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1A4F" w:rsidRPr="00A0676D" w:rsidP="004E005D" w14:paraId="0E02FE45" w14:textId="41824E87">
      <w:pPr>
        <w:jc w:val="center"/>
        <w:rPr>
          <w:rFonts w:ascii="Calibri" w:hAnsi="Calibri" w:cs="Calibri"/>
          <w:b/>
          <w:bCs/>
        </w:rPr>
      </w:pPr>
      <w:r w:rsidRPr="00A0676D">
        <w:rPr>
          <w:rFonts w:ascii="Calibri" w:hAnsi="Calibri" w:cs="Calibri"/>
          <w:b/>
          <w:bCs/>
        </w:rPr>
        <w:t>Supporting Statement</w:t>
      </w:r>
    </w:p>
    <w:p w:rsidR="00E359D3" w:rsidRPr="00A0676D" w:rsidP="004E005D" w14:paraId="23E14C20" w14:textId="77777777">
      <w:pPr>
        <w:jc w:val="center"/>
        <w:rPr>
          <w:rFonts w:ascii="Calibri" w:hAnsi="Calibri" w:cs="Calibri"/>
        </w:rPr>
      </w:pPr>
      <w:r w:rsidRPr="00A0676D">
        <w:rPr>
          <w:rFonts w:ascii="Calibri" w:hAnsi="Calibri" w:cs="Calibri"/>
        </w:rPr>
        <w:t>Internal Revenue Service</w:t>
      </w:r>
    </w:p>
    <w:p w:rsidR="00E359D3" w:rsidRPr="00A0676D" w:rsidP="004E005D" w14:paraId="15321DCD" w14:textId="77777777">
      <w:pPr>
        <w:jc w:val="center"/>
        <w:rPr>
          <w:rFonts w:ascii="Calibri" w:hAnsi="Calibri" w:cs="Calibri"/>
        </w:rPr>
      </w:pPr>
      <w:r w:rsidRPr="00A0676D">
        <w:rPr>
          <w:rFonts w:ascii="Calibri" w:hAnsi="Calibri" w:cs="Calibri"/>
        </w:rPr>
        <w:t>Statistics of Income Division</w:t>
      </w:r>
    </w:p>
    <w:p w:rsidR="00962A63" w:rsidRPr="00BC26A8" w:rsidP="00962A63" w14:paraId="3EAE0176" w14:textId="77777777">
      <w:pPr>
        <w:jc w:val="center"/>
        <w:rPr>
          <w:rFonts w:ascii="Calibri" w:hAnsi="Calibri" w:cs="Calibri"/>
          <w:b/>
          <w:bCs/>
        </w:rPr>
      </w:pPr>
      <w:r w:rsidRPr="00BC26A8">
        <w:rPr>
          <w:rFonts w:ascii="Calibri" w:hAnsi="Calibri" w:cs="Calibri"/>
          <w:b/>
          <w:bCs/>
        </w:rPr>
        <w:t>Appendix A</w:t>
      </w:r>
    </w:p>
    <w:p w:rsidR="00962A63" w:rsidRPr="00BC26A8" w:rsidP="00962A63" w14:paraId="347AEA5A" w14:textId="77777777">
      <w:pPr>
        <w:jc w:val="center"/>
        <w:rPr>
          <w:rFonts w:ascii="Calibri" w:hAnsi="Calibri" w:cs="Calibri"/>
          <w:b/>
          <w:bCs/>
        </w:rPr>
      </w:pPr>
      <w:r w:rsidRPr="00BC26A8">
        <w:rPr>
          <w:rFonts w:ascii="Calibri" w:hAnsi="Calibri" w:cs="Calibri"/>
          <w:b/>
          <w:bCs/>
          <w:color w:val="000000"/>
          <w:szCs w:val="28"/>
        </w:rPr>
        <w:t>Comprehensive Taxpayer Attitude Survey</w:t>
      </w:r>
    </w:p>
    <w:p w:rsidR="00E359D3" w:rsidRPr="00A0676D" w:rsidP="004E005D" w14:paraId="6A7D5A68" w14:textId="77777777">
      <w:pPr>
        <w:jc w:val="center"/>
        <w:rPr>
          <w:rFonts w:ascii="Calibri" w:hAnsi="Calibri" w:cs="Calibri"/>
        </w:rPr>
      </w:pPr>
      <w:r w:rsidRPr="00A0676D">
        <w:rPr>
          <w:rFonts w:ascii="Calibri" w:hAnsi="Calibri" w:cs="Calibri"/>
        </w:rPr>
        <w:t>August</w:t>
      </w:r>
      <w:r w:rsidRPr="00A0676D" w:rsidR="00B471D1">
        <w:rPr>
          <w:rFonts w:ascii="Calibri" w:hAnsi="Calibri" w:cs="Calibri"/>
        </w:rPr>
        <w:t xml:space="preserve"> 202</w:t>
      </w:r>
      <w:r w:rsidRPr="00A0676D" w:rsidR="00CE4D96">
        <w:rPr>
          <w:rFonts w:ascii="Calibri" w:hAnsi="Calibri" w:cs="Calibri"/>
        </w:rPr>
        <w:t>3</w:t>
      </w:r>
      <w:r w:rsidRPr="00A0676D" w:rsidR="00B471D1">
        <w:rPr>
          <w:rFonts w:ascii="Calibri" w:hAnsi="Calibri" w:cs="Calibri"/>
        </w:rPr>
        <w:t xml:space="preserve"> </w:t>
      </w:r>
      <w:r w:rsidRPr="00A0676D" w:rsidR="002944AE">
        <w:rPr>
          <w:rFonts w:ascii="Calibri" w:hAnsi="Calibri" w:cs="Calibri"/>
        </w:rPr>
        <w:t xml:space="preserve">through </w:t>
      </w:r>
      <w:r w:rsidRPr="00A0676D" w:rsidR="00CE4D96">
        <w:rPr>
          <w:rFonts w:ascii="Calibri" w:hAnsi="Calibri" w:cs="Calibri"/>
        </w:rPr>
        <w:t>August</w:t>
      </w:r>
      <w:r w:rsidRPr="00A0676D" w:rsidR="00896D86">
        <w:rPr>
          <w:rFonts w:ascii="Calibri" w:hAnsi="Calibri" w:cs="Calibri"/>
        </w:rPr>
        <w:t xml:space="preserve"> </w:t>
      </w:r>
      <w:r w:rsidRPr="00A0676D" w:rsidR="00B471D1">
        <w:rPr>
          <w:rFonts w:ascii="Calibri" w:hAnsi="Calibri" w:cs="Calibri"/>
        </w:rPr>
        <w:t>202</w:t>
      </w:r>
      <w:r w:rsidRPr="00A0676D" w:rsidR="00CE4D96">
        <w:rPr>
          <w:rFonts w:ascii="Calibri" w:hAnsi="Calibri" w:cs="Calibri"/>
        </w:rPr>
        <w:t>6</w:t>
      </w:r>
    </w:p>
    <w:p w:rsidR="006238D5" w:rsidRPr="00A0676D" w:rsidP="004E005D" w14:paraId="66022E35" w14:textId="77777777">
      <w:pPr>
        <w:jc w:val="center"/>
        <w:rPr>
          <w:rFonts w:ascii="Calibri" w:hAnsi="Calibri" w:cs="Calibri"/>
        </w:rPr>
      </w:pPr>
      <w:r w:rsidRPr="00A0676D">
        <w:rPr>
          <w:rFonts w:ascii="Calibri" w:hAnsi="Calibri" w:cs="Calibri"/>
        </w:rPr>
        <w:t xml:space="preserve">Triennial Approval </w:t>
      </w:r>
      <w:bookmarkStart w:id="0" w:name="_Hlk131572789"/>
      <w:r w:rsidRPr="00A0676D">
        <w:rPr>
          <w:rFonts w:ascii="Calibri" w:hAnsi="Calibri" w:cs="Calibri"/>
        </w:rPr>
        <w:t>Request</w:t>
      </w:r>
      <w:bookmarkEnd w:id="0"/>
    </w:p>
    <w:p w:rsidR="00962A63" w:rsidRPr="00A0676D" w:rsidP="00962A63" w14:paraId="7CB38CB4" w14:textId="77777777">
      <w:pPr>
        <w:jc w:val="center"/>
        <w:rPr>
          <w:rFonts w:ascii="Calibri" w:hAnsi="Calibri" w:cs="Calibri"/>
        </w:rPr>
      </w:pPr>
      <w:r w:rsidRPr="00A0676D">
        <w:rPr>
          <w:rFonts w:ascii="Calibri" w:hAnsi="Calibri" w:cs="Calibri"/>
        </w:rPr>
        <w:t>OMB Control Number 1545-2288</w:t>
      </w:r>
    </w:p>
    <w:p w:rsidR="00962A63" w:rsidRPr="00A0676D" w:rsidP="004E005D" w14:paraId="0F29D359" w14:textId="77777777">
      <w:pPr>
        <w:jc w:val="center"/>
        <w:rPr>
          <w:rFonts w:ascii="Calibri" w:hAnsi="Calibri" w:cs="Calibri"/>
        </w:rPr>
      </w:pPr>
    </w:p>
    <w:p w:rsidR="00E359D3" w:rsidRPr="00A0676D" w14:paraId="529DBDD8" w14:textId="77777777">
      <w:pPr>
        <w:rPr>
          <w:rFonts w:ascii="Calibri" w:hAnsi="Calibri" w:cs="Calibri"/>
        </w:rPr>
      </w:pPr>
    </w:p>
    <w:p w:rsidR="00E359D3" w:rsidRPr="00A0676D" w:rsidP="00414C62" w14:paraId="0888F05F" w14:textId="77777777">
      <w:pPr>
        <w:numPr>
          <w:ilvl w:val="0"/>
          <w:numId w:val="1"/>
        </w:numPr>
        <w:rPr>
          <w:rFonts w:ascii="Calibri" w:hAnsi="Calibri" w:cs="Calibri"/>
          <w:b/>
          <w:bCs/>
          <w:color w:val="000000"/>
        </w:rPr>
      </w:pPr>
      <w:r w:rsidRPr="00A0676D">
        <w:rPr>
          <w:rFonts w:ascii="Calibri" w:hAnsi="Calibri" w:cs="Calibri"/>
          <w:b/>
          <w:bCs/>
          <w:color w:val="000000"/>
        </w:rPr>
        <w:t>Justification</w:t>
      </w:r>
    </w:p>
    <w:p w:rsidR="002F6C5F" w:rsidRPr="00A0676D" w:rsidP="002F6C5F" w14:paraId="087A2B61" w14:textId="77777777">
      <w:pPr>
        <w:ind w:left="360"/>
        <w:rPr>
          <w:rFonts w:ascii="Calibri" w:hAnsi="Calibri" w:cs="Calibri"/>
          <w:b/>
          <w:bCs/>
          <w:color w:val="000000"/>
        </w:rPr>
      </w:pPr>
    </w:p>
    <w:p w:rsidR="00E359D3" w:rsidRPr="00A0676D" w:rsidP="00E359D3" w14:paraId="51DEEAEC" w14:textId="77777777">
      <w:pPr>
        <w:numPr>
          <w:ilvl w:val="1"/>
          <w:numId w:val="1"/>
        </w:numPr>
        <w:rPr>
          <w:rFonts w:ascii="Calibri" w:hAnsi="Calibri" w:cs="Calibri"/>
          <w:b/>
          <w:bCs/>
          <w:color w:val="000000"/>
        </w:rPr>
      </w:pPr>
      <w:r w:rsidRPr="00A0676D">
        <w:rPr>
          <w:rFonts w:ascii="Calibri" w:hAnsi="Calibri" w:cs="Calibri"/>
          <w:b/>
          <w:bCs/>
          <w:color w:val="000000"/>
        </w:rPr>
        <w:t>Circumstances Necessitating Collection of Information</w:t>
      </w:r>
    </w:p>
    <w:p w:rsidR="00E359D3" w:rsidRPr="00A0676D" w:rsidP="00E359D3" w14:paraId="6FE752E6" w14:textId="77777777">
      <w:pPr>
        <w:ind w:left="1080"/>
        <w:rPr>
          <w:rFonts w:ascii="Calibri" w:hAnsi="Calibri" w:cs="Calibri"/>
          <w:color w:val="000000"/>
        </w:rPr>
      </w:pPr>
    </w:p>
    <w:p w:rsidR="00917E5F" w:rsidRPr="00A0676D" w:rsidP="00E17EBF" w14:paraId="1864225D" w14:textId="77777777">
      <w:pPr>
        <w:ind w:left="1080"/>
        <w:rPr>
          <w:rFonts w:ascii="Calibri" w:hAnsi="Calibri" w:cs="Calibri"/>
          <w:color w:val="000000"/>
        </w:rPr>
      </w:pPr>
      <w:r w:rsidRPr="00A0676D">
        <w:rPr>
          <w:rFonts w:ascii="Calibri" w:hAnsi="Calibri" w:cs="Calibri"/>
          <w:color w:val="000000"/>
        </w:rPr>
        <w:t xml:space="preserve">In 2020, </w:t>
      </w:r>
      <w:r w:rsidRPr="00A0676D" w:rsidR="007C45F6">
        <w:rPr>
          <w:rFonts w:ascii="Calibri" w:hAnsi="Calibri" w:cs="Calibri"/>
          <w:color w:val="000000"/>
        </w:rPr>
        <w:t>RAAS</w:t>
      </w:r>
      <w:r w:rsidRPr="00A0676D" w:rsidR="00E359D3">
        <w:rPr>
          <w:rFonts w:ascii="Calibri" w:hAnsi="Calibri" w:cs="Calibri"/>
          <w:color w:val="000000"/>
        </w:rPr>
        <w:t xml:space="preserve"> </w:t>
      </w:r>
      <w:r w:rsidRPr="00A0676D" w:rsidR="00E17EBF">
        <w:rPr>
          <w:rFonts w:ascii="Calibri" w:hAnsi="Calibri" w:cs="Calibri"/>
          <w:color w:val="000000"/>
        </w:rPr>
        <w:t xml:space="preserve">received </w:t>
      </w:r>
      <w:r w:rsidRPr="00A0676D" w:rsidR="00E359D3">
        <w:rPr>
          <w:rFonts w:ascii="Calibri" w:hAnsi="Calibri" w:cs="Calibri"/>
          <w:color w:val="000000"/>
        </w:rPr>
        <w:t xml:space="preserve">a three-year </w:t>
      </w:r>
      <w:r w:rsidRPr="00A0676D" w:rsidR="00E17EBF">
        <w:rPr>
          <w:rFonts w:ascii="Calibri" w:hAnsi="Calibri" w:cs="Calibri"/>
          <w:color w:val="000000"/>
        </w:rPr>
        <w:t>approval</w:t>
      </w:r>
      <w:r w:rsidRPr="00A0676D" w:rsidR="00E359D3">
        <w:rPr>
          <w:rFonts w:ascii="Calibri" w:hAnsi="Calibri" w:cs="Calibri"/>
          <w:color w:val="000000"/>
        </w:rPr>
        <w:t xml:space="preserve"> to conduct </w:t>
      </w:r>
      <w:r w:rsidRPr="00A0676D" w:rsidR="00A11E0F">
        <w:rPr>
          <w:rFonts w:ascii="Calibri" w:hAnsi="Calibri" w:cs="Calibri"/>
          <w:color w:val="000000"/>
        </w:rPr>
        <w:t>the Comprehensive Taxpayer Attitude Survey (CTAS)</w:t>
      </w:r>
      <w:r w:rsidRPr="00A0676D" w:rsidR="00E17EBF">
        <w:rPr>
          <w:rFonts w:ascii="Calibri" w:hAnsi="Calibri" w:cs="Calibri"/>
          <w:color w:val="000000"/>
        </w:rPr>
        <w:t>, which expires August 31, 2023</w:t>
      </w:r>
      <w:r w:rsidRPr="00A0676D" w:rsidR="00E359D3">
        <w:rPr>
          <w:rFonts w:ascii="Calibri" w:hAnsi="Calibri" w:cs="Calibri"/>
          <w:color w:val="000000"/>
        </w:rPr>
        <w:t>.</w:t>
      </w:r>
      <w:r w:rsidRPr="00A0676D">
        <w:rPr>
          <w:rFonts w:ascii="Calibri" w:hAnsi="Calibri" w:cs="Calibri"/>
          <w:color w:val="000000"/>
        </w:rPr>
        <w:t xml:space="preserve"> In 202</w:t>
      </w:r>
      <w:r w:rsidRPr="00A0676D" w:rsidR="00CE4D96">
        <w:rPr>
          <w:rFonts w:ascii="Calibri" w:hAnsi="Calibri" w:cs="Calibri"/>
          <w:color w:val="000000"/>
        </w:rPr>
        <w:t>3</w:t>
      </w:r>
      <w:r w:rsidRPr="00A0676D">
        <w:rPr>
          <w:rFonts w:ascii="Calibri" w:hAnsi="Calibri" w:cs="Calibri"/>
          <w:color w:val="000000"/>
        </w:rPr>
        <w:t xml:space="preserve">, we are submitting an updated Supporting Statement </w:t>
      </w:r>
      <w:r w:rsidRPr="00A0676D" w:rsidR="00CE4D96">
        <w:rPr>
          <w:rFonts w:ascii="Calibri" w:hAnsi="Calibri" w:cs="Calibri"/>
          <w:color w:val="000000"/>
        </w:rPr>
        <w:t>to reflect</w:t>
      </w:r>
      <w:r w:rsidRPr="00A0676D">
        <w:rPr>
          <w:rFonts w:ascii="Calibri" w:hAnsi="Calibri" w:cs="Calibri"/>
          <w:color w:val="000000"/>
        </w:rPr>
        <w:t xml:space="preserve"> changes to the CTAS methodology that</w:t>
      </w:r>
      <w:r w:rsidRPr="00A0676D" w:rsidR="001D01CE">
        <w:rPr>
          <w:rFonts w:ascii="Calibri" w:hAnsi="Calibri" w:cs="Calibri"/>
          <w:color w:val="000000"/>
        </w:rPr>
        <w:t xml:space="preserve"> </w:t>
      </w:r>
      <w:r w:rsidRPr="00A0676D" w:rsidR="00362461">
        <w:rPr>
          <w:rFonts w:ascii="Calibri" w:hAnsi="Calibri" w:cs="Calibri"/>
          <w:color w:val="000000"/>
        </w:rPr>
        <w:t>will</w:t>
      </w:r>
      <w:r w:rsidRPr="00A0676D" w:rsidR="00001176">
        <w:rPr>
          <w:rFonts w:ascii="Calibri" w:hAnsi="Calibri" w:cs="Calibri"/>
          <w:color w:val="000000"/>
        </w:rPr>
        <w:t xml:space="preserve"> reduce c</w:t>
      </w:r>
      <w:r w:rsidRPr="00A0676D" w:rsidR="001A3E80">
        <w:rPr>
          <w:rFonts w:ascii="Calibri" w:hAnsi="Calibri" w:cs="Calibri"/>
          <w:color w:val="000000"/>
        </w:rPr>
        <w:t>osts</w:t>
      </w:r>
      <w:r w:rsidRPr="00A0676D" w:rsidR="007C45F6">
        <w:rPr>
          <w:rFonts w:ascii="Calibri" w:hAnsi="Calibri" w:cs="Calibri"/>
          <w:color w:val="000000"/>
        </w:rPr>
        <w:t xml:space="preserve">, </w:t>
      </w:r>
      <w:r w:rsidRPr="00A0676D" w:rsidR="001D01CE">
        <w:rPr>
          <w:rFonts w:ascii="Calibri" w:hAnsi="Calibri" w:cs="Calibri"/>
          <w:color w:val="000000"/>
        </w:rPr>
        <w:t>improve data quality</w:t>
      </w:r>
      <w:r w:rsidRPr="00A0676D" w:rsidR="00001176">
        <w:rPr>
          <w:rFonts w:ascii="Calibri" w:hAnsi="Calibri" w:cs="Calibri"/>
          <w:color w:val="000000"/>
        </w:rPr>
        <w:t xml:space="preserve"> and </w:t>
      </w:r>
      <w:r w:rsidRPr="00A0676D" w:rsidR="001D01CE">
        <w:rPr>
          <w:rFonts w:ascii="Calibri" w:hAnsi="Calibri" w:cs="Calibri"/>
          <w:color w:val="000000"/>
        </w:rPr>
        <w:t>the ability to include hard-to-reach populations</w:t>
      </w:r>
      <w:r w:rsidRPr="00A0676D" w:rsidR="001D792A">
        <w:rPr>
          <w:rFonts w:ascii="Calibri" w:hAnsi="Calibri" w:cs="Calibri"/>
          <w:color w:val="000000"/>
        </w:rPr>
        <w:t xml:space="preserve"> while also increasing </w:t>
      </w:r>
      <w:r w:rsidRPr="00A0676D" w:rsidR="001A3E80">
        <w:rPr>
          <w:rFonts w:ascii="Calibri" w:hAnsi="Calibri" w:cs="Calibri"/>
          <w:color w:val="000000"/>
        </w:rPr>
        <w:t>convenience for respondents</w:t>
      </w:r>
      <w:r w:rsidRPr="00A0676D" w:rsidR="001D792A">
        <w:rPr>
          <w:rFonts w:ascii="Calibri" w:hAnsi="Calibri" w:cs="Calibri"/>
          <w:color w:val="000000"/>
        </w:rPr>
        <w:t xml:space="preserve">. Our new methodology </w:t>
      </w:r>
      <w:r w:rsidRPr="00A0676D" w:rsidR="00362461">
        <w:rPr>
          <w:rFonts w:ascii="Calibri" w:hAnsi="Calibri" w:cs="Calibri"/>
          <w:color w:val="000000"/>
        </w:rPr>
        <w:t>will</w:t>
      </w:r>
      <w:r w:rsidRPr="00A0676D" w:rsidR="001D792A">
        <w:rPr>
          <w:rFonts w:ascii="Calibri" w:hAnsi="Calibri" w:cs="Calibri"/>
          <w:color w:val="000000"/>
        </w:rPr>
        <w:t xml:space="preserve"> help us </w:t>
      </w:r>
      <w:r w:rsidRPr="00A0676D" w:rsidR="001D01CE">
        <w:rPr>
          <w:rFonts w:ascii="Calibri" w:hAnsi="Calibri" w:cs="Calibri"/>
          <w:color w:val="000000"/>
        </w:rPr>
        <w:t>overcome</w:t>
      </w:r>
      <w:r w:rsidRPr="00A0676D" w:rsidR="00001176">
        <w:rPr>
          <w:rFonts w:ascii="Calibri" w:hAnsi="Calibri" w:cs="Calibri"/>
          <w:color w:val="000000"/>
        </w:rPr>
        <w:t xml:space="preserve"> the</w:t>
      </w:r>
      <w:r w:rsidRPr="00A0676D" w:rsidR="001D01CE">
        <w:rPr>
          <w:rFonts w:ascii="Calibri" w:hAnsi="Calibri" w:cs="Calibri"/>
          <w:color w:val="000000"/>
        </w:rPr>
        <w:t xml:space="preserve"> inherent challenges of relying on random digit dial (RDD) phone surveys and online panel surveys</w:t>
      </w:r>
      <w:r w:rsidRPr="00A0676D" w:rsidR="001D792A">
        <w:rPr>
          <w:rFonts w:ascii="Calibri" w:hAnsi="Calibri" w:cs="Calibri"/>
          <w:color w:val="000000"/>
        </w:rPr>
        <w:t>, using enhanced address-based sampling (ABS)</w:t>
      </w:r>
      <w:r w:rsidRPr="00A0676D" w:rsidR="001D01CE">
        <w:rPr>
          <w:rFonts w:ascii="Calibri" w:hAnsi="Calibri" w:cs="Calibri"/>
          <w:color w:val="000000"/>
        </w:rPr>
        <w:t>.</w:t>
      </w:r>
      <w:r w:rsidRPr="00A0676D" w:rsidR="00E359D3">
        <w:rPr>
          <w:rFonts w:ascii="Calibri" w:hAnsi="Calibri" w:cs="Calibri"/>
          <w:color w:val="000000"/>
        </w:rPr>
        <w:t xml:space="preserve"> </w:t>
      </w:r>
      <w:r w:rsidRPr="00A0676D" w:rsidR="00CE4D96">
        <w:rPr>
          <w:rFonts w:ascii="Calibri" w:hAnsi="Calibri" w:cs="Calibri"/>
          <w:color w:val="000000"/>
        </w:rPr>
        <w:t xml:space="preserve">We also have streamlined and strengthened the questionnaire by replacing some questions with more relevant questions to </w:t>
      </w:r>
      <w:r w:rsidRPr="00A0676D" w:rsidR="001D792A">
        <w:rPr>
          <w:rFonts w:ascii="Calibri" w:hAnsi="Calibri" w:cs="Calibri"/>
          <w:color w:val="000000"/>
        </w:rPr>
        <w:t>improve the Internal Revenue Service’s (IRS) ability to</w:t>
      </w:r>
      <w:r w:rsidRPr="00A0676D" w:rsidR="00CE4D96">
        <w:rPr>
          <w:rFonts w:ascii="Calibri" w:hAnsi="Calibri" w:cs="Calibri"/>
          <w:color w:val="000000"/>
        </w:rPr>
        <w:t xml:space="preserve"> understand taxpayers</w:t>
      </w:r>
      <w:r w:rsidRPr="00A0676D" w:rsidR="001D792A">
        <w:rPr>
          <w:rFonts w:ascii="Calibri" w:hAnsi="Calibri" w:cs="Calibri"/>
          <w:color w:val="000000"/>
        </w:rPr>
        <w:t xml:space="preserve">’ </w:t>
      </w:r>
      <w:r w:rsidRPr="00A0676D" w:rsidR="008958A2">
        <w:rPr>
          <w:rFonts w:ascii="Calibri" w:hAnsi="Calibri" w:cs="Calibri"/>
          <w:color w:val="000000"/>
        </w:rPr>
        <w:t>attitudes</w:t>
      </w:r>
      <w:r w:rsidRPr="00A0676D" w:rsidR="00A91A86">
        <w:rPr>
          <w:rFonts w:ascii="Calibri" w:hAnsi="Calibri" w:cs="Calibri"/>
          <w:color w:val="000000"/>
        </w:rPr>
        <w:t>, experiences, capabilities,</w:t>
      </w:r>
      <w:r w:rsidRPr="00A0676D" w:rsidR="008958A2">
        <w:rPr>
          <w:rFonts w:ascii="Calibri" w:hAnsi="Calibri" w:cs="Calibri"/>
          <w:color w:val="000000"/>
        </w:rPr>
        <w:t xml:space="preserve"> and behaviors to inform tax administration</w:t>
      </w:r>
      <w:r w:rsidRPr="00A0676D" w:rsidR="00CE4D96">
        <w:rPr>
          <w:rFonts w:ascii="Calibri" w:hAnsi="Calibri" w:cs="Calibri"/>
          <w:color w:val="000000"/>
        </w:rPr>
        <w:t>.</w:t>
      </w:r>
    </w:p>
    <w:p w:rsidR="00CE4D96" w:rsidRPr="00A0676D" w:rsidP="00E17EBF" w14:paraId="54871756" w14:textId="77777777">
      <w:pPr>
        <w:ind w:left="1080"/>
        <w:rPr>
          <w:rFonts w:ascii="Calibri" w:hAnsi="Calibri" w:cs="Calibri"/>
          <w:color w:val="000000"/>
        </w:rPr>
      </w:pPr>
    </w:p>
    <w:p w:rsidR="00E17EBF" w:rsidRPr="00A0676D" w:rsidP="00E17EBF" w14:paraId="5D971801" w14:textId="77777777">
      <w:pPr>
        <w:ind w:left="1080"/>
        <w:rPr>
          <w:rFonts w:ascii="Calibri" w:hAnsi="Calibri" w:cs="Calibri"/>
          <w:color w:val="000000"/>
        </w:rPr>
      </w:pPr>
      <w:r w:rsidRPr="00A0676D">
        <w:rPr>
          <w:rFonts w:ascii="Calibri" w:hAnsi="Calibri" w:cs="Calibri"/>
          <w:color w:val="000000"/>
        </w:rPr>
        <w:t>The new methodology</w:t>
      </w:r>
      <w:r w:rsidRPr="00A0676D" w:rsidR="00D042B9">
        <w:rPr>
          <w:rFonts w:ascii="Calibri" w:hAnsi="Calibri" w:cs="Calibri"/>
          <w:color w:val="000000"/>
        </w:rPr>
        <w:t xml:space="preserve"> </w:t>
      </w:r>
      <w:r w:rsidRPr="00A0676D" w:rsidR="005C417F">
        <w:rPr>
          <w:rFonts w:ascii="Calibri" w:hAnsi="Calibri" w:cs="Calibri"/>
          <w:color w:val="000000"/>
        </w:rPr>
        <w:t xml:space="preserve">will </w:t>
      </w:r>
      <w:r w:rsidRPr="00A0676D" w:rsidR="001A3E80">
        <w:rPr>
          <w:rFonts w:ascii="Calibri" w:hAnsi="Calibri" w:cs="Calibri"/>
          <w:color w:val="000000"/>
        </w:rPr>
        <w:t>continue to rely on</w:t>
      </w:r>
      <w:r w:rsidRPr="00A0676D" w:rsidR="00D042B9">
        <w:rPr>
          <w:rFonts w:ascii="Calibri" w:hAnsi="Calibri" w:cs="Calibri"/>
          <w:color w:val="000000"/>
        </w:rPr>
        <w:t xml:space="preserve"> </w:t>
      </w:r>
      <w:r w:rsidRPr="00A0676D" w:rsidR="001A3E80">
        <w:rPr>
          <w:rFonts w:ascii="Calibri" w:hAnsi="Calibri" w:cs="Calibri"/>
          <w:color w:val="000000"/>
        </w:rPr>
        <w:t xml:space="preserve">phone and online surveys, but will drop RDD and online panels, replacing these ways to reach potential respondents with </w:t>
      </w:r>
      <w:r w:rsidRPr="00A0676D" w:rsidR="00C82661">
        <w:rPr>
          <w:rFonts w:ascii="Calibri" w:hAnsi="Calibri" w:cs="Calibri"/>
          <w:color w:val="000000"/>
        </w:rPr>
        <w:t xml:space="preserve">technology-enabled ABS with </w:t>
      </w:r>
      <w:r w:rsidRPr="00A0676D" w:rsidR="001A3E80">
        <w:rPr>
          <w:rFonts w:ascii="Calibri" w:hAnsi="Calibri" w:cs="Calibri"/>
          <w:color w:val="000000"/>
        </w:rPr>
        <w:t>d</w:t>
      </w:r>
      <w:r w:rsidRPr="00A0676D" w:rsidR="00C82661">
        <w:rPr>
          <w:rFonts w:ascii="Calibri" w:hAnsi="Calibri" w:cs="Calibri"/>
          <w:color w:val="000000"/>
        </w:rPr>
        <w:t xml:space="preserve">ynamic </w:t>
      </w:r>
      <w:r w:rsidRPr="00A0676D" w:rsidR="001A3E80">
        <w:rPr>
          <w:rFonts w:ascii="Calibri" w:hAnsi="Calibri" w:cs="Calibri"/>
          <w:color w:val="000000"/>
        </w:rPr>
        <w:t>o</w:t>
      </w:r>
      <w:r w:rsidRPr="00A0676D" w:rsidR="00C82661">
        <w:rPr>
          <w:rFonts w:ascii="Calibri" w:hAnsi="Calibri" w:cs="Calibri"/>
          <w:color w:val="000000"/>
        </w:rPr>
        <w:t xml:space="preserve">nline </w:t>
      </w:r>
      <w:r w:rsidRPr="00A0676D" w:rsidR="001A3E80">
        <w:rPr>
          <w:rFonts w:ascii="Calibri" w:hAnsi="Calibri" w:cs="Calibri"/>
          <w:color w:val="000000"/>
        </w:rPr>
        <w:t>t</w:t>
      </w:r>
      <w:r w:rsidRPr="00A0676D" w:rsidR="00C82661">
        <w:rPr>
          <w:rFonts w:ascii="Calibri" w:hAnsi="Calibri" w:cs="Calibri"/>
          <w:color w:val="000000"/>
        </w:rPr>
        <w:t xml:space="preserve">argeting to </w:t>
      </w:r>
      <w:r w:rsidRPr="00A0676D" w:rsidR="001A3E80">
        <w:rPr>
          <w:rFonts w:ascii="Calibri" w:hAnsi="Calibri" w:cs="Calibri"/>
          <w:color w:val="000000"/>
        </w:rPr>
        <w:t xml:space="preserve">solicit respondents by mail and online. </w:t>
      </w:r>
      <w:r w:rsidRPr="00A0676D" w:rsidR="00C82661">
        <w:rPr>
          <w:rFonts w:ascii="Calibri" w:hAnsi="Calibri" w:cs="Calibri"/>
          <w:color w:val="000000"/>
        </w:rPr>
        <w:t xml:space="preserve">CTAS respondents </w:t>
      </w:r>
      <w:r w:rsidRPr="00A0676D" w:rsidR="005C417F">
        <w:rPr>
          <w:rFonts w:ascii="Calibri" w:hAnsi="Calibri" w:cs="Calibri"/>
          <w:color w:val="000000"/>
        </w:rPr>
        <w:t>will be able to</w:t>
      </w:r>
      <w:r w:rsidRPr="00A0676D" w:rsidR="00C82661">
        <w:rPr>
          <w:rFonts w:ascii="Calibri" w:hAnsi="Calibri" w:cs="Calibri"/>
          <w:color w:val="000000"/>
        </w:rPr>
        <w:t xml:space="preserve"> take the survey at their convenience, in </w:t>
      </w:r>
      <w:r w:rsidRPr="00A0676D" w:rsidR="001A3E80">
        <w:rPr>
          <w:rFonts w:ascii="Calibri" w:hAnsi="Calibri" w:cs="Calibri"/>
          <w:color w:val="000000"/>
        </w:rPr>
        <w:t xml:space="preserve">their choice of </w:t>
      </w:r>
      <w:r w:rsidRPr="00A0676D" w:rsidR="00C82661">
        <w:rPr>
          <w:rFonts w:ascii="Calibri" w:hAnsi="Calibri" w:cs="Calibri"/>
          <w:color w:val="000000"/>
        </w:rPr>
        <w:t xml:space="preserve">either English or Spanish, using their </w:t>
      </w:r>
      <w:r w:rsidRPr="00A0676D" w:rsidR="001A3E80">
        <w:rPr>
          <w:rFonts w:ascii="Calibri" w:hAnsi="Calibri" w:cs="Calibri"/>
          <w:color w:val="000000"/>
        </w:rPr>
        <w:t>preference</w:t>
      </w:r>
      <w:r w:rsidRPr="00A0676D" w:rsidR="00C82661">
        <w:rPr>
          <w:rFonts w:ascii="Calibri" w:hAnsi="Calibri" w:cs="Calibri"/>
          <w:color w:val="000000"/>
        </w:rPr>
        <w:t xml:space="preserve"> of an automated </w:t>
      </w:r>
      <w:r w:rsidRPr="00A0676D" w:rsidR="001A3E80">
        <w:rPr>
          <w:rFonts w:ascii="Calibri" w:hAnsi="Calibri" w:cs="Calibri"/>
          <w:color w:val="000000"/>
        </w:rPr>
        <w:t xml:space="preserve">interactive voice response (IVR) </w:t>
      </w:r>
      <w:r w:rsidRPr="00A0676D" w:rsidR="00C82661">
        <w:rPr>
          <w:rFonts w:ascii="Calibri" w:hAnsi="Calibri" w:cs="Calibri"/>
          <w:color w:val="000000"/>
        </w:rPr>
        <w:t xml:space="preserve">phone survey, </w:t>
      </w:r>
      <w:r w:rsidRPr="00A0676D" w:rsidR="00152D2D">
        <w:rPr>
          <w:rFonts w:ascii="Calibri" w:hAnsi="Calibri" w:cs="Calibri"/>
          <w:color w:val="000000"/>
        </w:rPr>
        <w:t>with an option for a live interviewer, if needed,</w:t>
      </w:r>
      <w:r w:rsidRPr="00A0676D" w:rsidR="00917E5F">
        <w:rPr>
          <w:rFonts w:ascii="Calibri" w:hAnsi="Calibri" w:cs="Calibri"/>
          <w:color w:val="000000"/>
        </w:rPr>
        <w:t xml:space="preserve"> or</w:t>
      </w:r>
      <w:r w:rsidRPr="00A0676D" w:rsidR="00152D2D">
        <w:rPr>
          <w:rFonts w:ascii="Calibri" w:hAnsi="Calibri" w:cs="Calibri"/>
          <w:color w:val="000000"/>
        </w:rPr>
        <w:t xml:space="preserve"> </w:t>
      </w:r>
      <w:r w:rsidRPr="00A0676D" w:rsidR="00C82661">
        <w:rPr>
          <w:rFonts w:ascii="Calibri" w:hAnsi="Calibri" w:cs="Calibri"/>
          <w:color w:val="000000"/>
        </w:rPr>
        <w:t>an online survey.</w:t>
      </w:r>
      <w:r w:rsidRPr="00A0676D" w:rsidR="00C82661">
        <w:rPr>
          <w:rFonts w:ascii="Calibri" w:hAnsi="Calibri" w:cs="Calibri"/>
          <w:b/>
          <w:bCs/>
          <w:color w:val="000000"/>
        </w:rPr>
        <w:t xml:space="preserve"> </w:t>
      </w:r>
      <w:r w:rsidRPr="00A0676D" w:rsidR="00C82661">
        <w:rPr>
          <w:rFonts w:ascii="Calibri" w:hAnsi="Calibri" w:cs="Calibri"/>
          <w:color w:val="000000"/>
        </w:rPr>
        <w:t xml:space="preserve">These </w:t>
      </w:r>
      <w:r w:rsidRPr="00A0676D" w:rsidR="00917E5F">
        <w:rPr>
          <w:rFonts w:ascii="Calibri" w:hAnsi="Calibri" w:cs="Calibri"/>
          <w:color w:val="000000"/>
        </w:rPr>
        <w:t>changes</w:t>
      </w:r>
      <w:r w:rsidRPr="00A0676D" w:rsidR="00E359D3">
        <w:rPr>
          <w:rFonts w:ascii="Calibri" w:hAnsi="Calibri" w:cs="Calibri"/>
          <w:color w:val="000000"/>
        </w:rPr>
        <w:t xml:space="preserve"> </w:t>
      </w:r>
      <w:r w:rsidRPr="00A0676D" w:rsidR="005C417F">
        <w:rPr>
          <w:rFonts w:ascii="Calibri" w:hAnsi="Calibri" w:cs="Calibri"/>
          <w:color w:val="000000"/>
        </w:rPr>
        <w:t xml:space="preserve">will </w:t>
      </w:r>
      <w:r w:rsidRPr="00A0676D" w:rsidR="00E359D3">
        <w:rPr>
          <w:rFonts w:ascii="Calibri" w:hAnsi="Calibri" w:cs="Calibri"/>
          <w:color w:val="000000"/>
        </w:rPr>
        <w:t xml:space="preserve">allow </w:t>
      </w:r>
      <w:r w:rsidRPr="00A0676D" w:rsidR="007C45F6">
        <w:rPr>
          <w:rFonts w:ascii="Calibri" w:hAnsi="Calibri" w:cs="Calibri"/>
          <w:color w:val="000000"/>
        </w:rPr>
        <w:t xml:space="preserve">RAAS </w:t>
      </w:r>
      <w:r w:rsidRPr="00A0676D" w:rsidR="00E359D3">
        <w:rPr>
          <w:rFonts w:ascii="Calibri" w:hAnsi="Calibri" w:cs="Calibri"/>
          <w:color w:val="000000"/>
        </w:rPr>
        <w:t xml:space="preserve">to </w:t>
      </w:r>
      <w:r w:rsidRPr="00A0676D" w:rsidR="0058495A">
        <w:rPr>
          <w:rFonts w:ascii="Calibri" w:hAnsi="Calibri" w:cs="Calibri"/>
          <w:color w:val="000000"/>
        </w:rPr>
        <w:t xml:space="preserve">continue </w:t>
      </w:r>
      <w:r w:rsidRPr="00A0676D">
        <w:rPr>
          <w:rFonts w:ascii="Calibri" w:hAnsi="Calibri" w:cs="Calibri"/>
          <w:color w:val="000000"/>
        </w:rPr>
        <w:t xml:space="preserve">to </w:t>
      </w:r>
      <w:r w:rsidRPr="00A0676D" w:rsidR="0058495A">
        <w:rPr>
          <w:rFonts w:ascii="Calibri" w:hAnsi="Calibri" w:cs="Calibri"/>
          <w:color w:val="000000"/>
        </w:rPr>
        <w:t>more effectively</w:t>
      </w:r>
      <w:r w:rsidRPr="00A0676D" w:rsidR="00E359D3">
        <w:rPr>
          <w:rFonts w:ascii="Calibri" w:hAnsi="Calibri" w:cs="Calibri"/>
          <w:color w:val="000000"/>
        </w:rPr>
        <w:t xml:space="preserve"> </w:t>
      </w:r>
      <w:r w:rsidRPr="00A0676D" w:rsidR="005C417F">
        <w:rPr>
          <w:rFonts w:ascii="Calibri" w:hAnsi="Calibri" w:cs="Calibri"/>
          <w:color w:val="000000"/>
        </w:rPr>
        <w:t>use</w:t>
      </w:r>
      <w:r w:rsidRPr="00A0676D" w:rsidR="00E359D3">
        <w:rPr>
          <w:rFonts w:ascii="Calibri" w:hAnsi="Calibri" w:cs="Calibri"/>
          <w:color w:val="000000"/>
        </w:rPr>
        <w:t xml:space="preserve"> a data-driven approach to understand customer </w:t>
      </w:r>
      <w:r w:rsidRPr="00A0676D" w:rsidR="008958A2">
        <w:rPr>
          <w:rFonts w:ascii="Calibri" w:hAnsi="Calibri" w:cs="Calibri"/>
          <w:color w:val="000000"/>
        </w:rPr>
        <w:t>attitudes and behaviors</w:t>
      </w:r>
      <w:r w:rsidRPr="00A0676D" w:rsidR="00E359D3">
        <w:rPr>
          <w:rFonts w:ascii="Calibri" w:hAnsi="Calibri" w:cs="Calibri"/>
          <w:color w:val="000000"/>
        </w:rPr>
        <w:t>.</w:t>
      </w:r>
      <w:r w:rsidRPr="00A0676D" w:rsidR="00D45306">
        <w:rPr>
          <w:rFonts w:ascii="Calibri" w:hAnsi="Calibri" w:cs="Calibri"/>
          <w:color w:val="000000"/>
        </w:rPr>
        <w:t xml:space="preserve"> </w:t>
      </w:r>
      <w:r w:rsidRPr="00A0676D" w:rsidR="00E359D3">
        <w:rPr>
          <w:rFonts w:ascii="Calibri" w:hAnsi="Calibri" w:cs="Calibri"/>
          <w:color w:val="000000"/>
        </w:rPr>
        <w:t>Collecting, analyzing, and using customer opinion data is a vital component of IRS’s Balance</w:t>
      </w:r>
      <w:r w:rsidRPr="00A0676D" w:rsidR="008C6DEC">
        <w:rPr>
          <w:rFonts w:ascii="Calibri" w:hAnsi="Calibri" w:cs="Calibri"/>
          <w:color w:val="000000"/>
        </w:rPr>
        <w:t>d</w:t>
      </w:r>
      <w:r w:rsidRPr="00A0676D" w:rsidR="00E359D3">
        <w:rPr>
          <w:rFonts w:ascii="Calibri" w:hAnsi="Calibri" w:cs="Calibri"/>
          <w:color w:val="000000"/>
        </w:rPr>
        <w:t xml:space="preserve"> Measures Approach, as mandated by </w:t>
      </w:r>
      <w:r w:rsidRPr="00A0676D" w:rsidR="001C5F32">
        <w:rPr>
          <w:rFonts w:ascii="Calibri" w:hAnsi="Calibri" w:cs="Calibri"/>
          <w:color w:val="000000"/>
        </w:rPr>
        <w:t xml:space="preserve">the </w:t>
      </w:r>
      <w:r w:rsidRPr="00A0676D" w:rsidR="00E359D3">
        <w:rPr>
          <w:rFonts w:ascii="Calibri" w:hAnsi="Calibri" w:cs="Calibri"/>
          <w:color w:val="000000"/>
        </w:rPr>
        <w:t>Internal Revenue Service Reform and Restructuring Act of 1998 and Executive Order 12862.</w:t>
      </w:r>
      <w:r w:rsidRPr="00A0676D">
        <w:rPr>
          <w:rFonts w:ascii="Calibri" w:hAnsi="Calibri" w:cs="Calibri"/>
          <w:color w:val="000000"/>
        </w:rPr>
        <w:t xml:space="preserve"> </w:t>
      </w:r>
    </w:p>
    <w:p w:rsidR="00E17EBF" w:rsidRPr="00A0676D" w:rsidP="00E17EBF" w14:paraId="0880CF6F" w14:textId="77777777">
      <w:pPr>
        <w:rPr>
          <w:rFonts w:ascii="Calibri" w:hAnsi="Calibri" w:cs="Calibri"/>
          <w:color w:val="000000"/>
        </w:rPr>
      </w:pPr>
    </w:p>
    <w:p w:rsidR="00CC4AD1" w:rsidRPr="00A0676D" w:rsidP="00067368" w14:paraId="50A28C79" w14:textId="77777777">
      <w:pPr>
        <w:pStyle w:val="NormalWeb"/>
        <w:spacing w:before="0" w:beforeAutospacing="0" w:after="0" w:afterAutospacing="0"/>
        <w:ind w:left="1080"/>
        <w:rPr>
          <w:rFonts w:ascii="Calibri" w:hAnsi="Calibri" w:cs="Calibri"/>
          <w:color w:val="000000"/>
        </w:rPr>
      </w:pPr>
      <w:r w:rsidRPr="00A0676D">
        <w:rPr>
          <w:rFonts w:ascii="Calibri" w:hAnsi="Calibri" w:cs="Calibri"/>
          <w:color w:val="000000"/>
        </w:rPr>
        <w:t xml:space="preserve">These methodology changes have become necessary, because changing respondent behaviors </w:t>
      </w:r>
      <w:r w:rsidRPr="00A0676D" w:rsidR="00067368">
        <w:rPr>
          <w:rFonts w:ascii="Calibri" w:hAnsi="Calibri" w:cs="Calibri"/>
          <w:color w:val="000000"/>
        </w:rPr>
        <w:t>have made</w:t>
      </w:r>
      <w:r w:rsidRPr="00A0676D">
        <w:rPr>
          <w:rFonts w:ascii="Calibri" w:hAnsi="Calibri" w:cs="Calibri"/>
          <w:color w:val="000000"/>
        </w:rPr>
        <w:t xml:space="preserve"> it increasingly difficult to contact hard-to-reach populations, </w:t>
      </w:r>
      <w:r w:rsidRPr="00A0676D" w:rsidR="00067368">
        <w:rPr>
          <w:rFonts w:ascii="Calibri" w:hAnsi="Calibri" w:cs="Calibri"/>
          <w:color w:val="000000"/>
        </w:rPr>
        <w:t>making</w:t>
      </w:r>
      <w:r w:rsidRPr="00A0676D">
        <w:rPr>
          <w:rFonts w:ascii="Calibri" w:hAnsi="Calibri" w:cs="Calibri"/>
          <w:color w:val="000000"/>
        </w:rPr>
        <w:t xml:space="preserve"> previous CTAS methods no longer cost-efficient or the most effective way to obtain a representative sample. </w:t>
      </w:r>
      <w:bookmarkStart w:id="1" w:name="_Hlk130990791"/>
      <w:r w:rsidRPr="00A0676D">
        <w:rPr>
          <w:rFonts w:ascii="Calibri" w:hAnsi="Calibri" w:cs="Calibri"/>
          <w:color w:val="000000"/>
        </w:rPr>
        <w:t>Previously, CTAS was administered in English-only</w:t>
      </w:r>
      <w:r w:rsidRPr="00A0676D" w:rsidR="005C417F">
        <w:rPr>
          <w:rFonts w:ascii="Calibri" w:hAnsi="Calibri" w:cs="Calibri"/>
          <w:color w:val="000000"/>
        </w:rPr>
        <w:t xml:space="preserve">, with a total </w:t>
      </w:r>
      <w:r w:rsidRPr="00A0676D">
        <w:rPr>
          <w:rFonts w:ascii="Calibri" w:hAnsi="Calibri" w:cs="Calibri"/>
          <w:color w:val="000000"/>
        </w:rPr>
        <w:t xml:space="preserve">sample size </w:t>
      </w:r>
      <w:r w:rsidRPr="00A0676D" w:rsidR="005C417F">
        <w:rPr>
          <w:rFonts w:ascii="Calibri" w:hAnsi="Calibri" w:cs="Calibri"/>
          <w:color w:val="000000"/>
        </w:rPr>
        <w:t>of</w:t>
      </w:r>
      <w:r w:rsidRPr="00A0676D">
        <w:rPr>
          <w:rFonts w:ascii="Calibri" w:hAnsi="Calibri" w:cs="Calibri"/>
          <w:color w:val="000000"/>
        </w:rPr>
        <w:t xml:space="preserve"> 2,000 split between phone an</w:t>
      </w:r>
      <w:r w:rsidRPr="00A0676D" w:rsidR="00067368">
        <w:rPr>
          <w:rFonts w:ascii="Calibri" w:hAnsi="Calibri" w:cs="Calibri"/>
          <w:color w:val="000000"/>
        </w:rPr>
        <w:t>d</w:t>
      </w:r>
      <w:r w:rsidRPr="00A0676D">
        <w:rPr>
          <w:rFonts w:ascii="Calibri" w:hAnsi="Calibri" w:cs="Calibri"/>
          <w:color w:val="000000"/>
        </w:rPr>
        <w:t xml:space="preserve"> online respondents. </w:t>
      </w:r>
      <w:bookmarkEnd w:id="1"/>
      <w:r w:rsidRPr="00A0676D">
        <w:rPr>
          <w:rFonts w:ascii="Calibri" w:hAnsi="Calibri" w:cs="Calibri"/>
          <w:color w:val="000000"/>
        </w:rPr>
        <w:t xml:space="preserve">The phone survey was designed to reach lower income adults who were less likely to be internet users and would otherwise be underrepresented in the online survey using the KnowledgePanel. </w:t>
      </w:r>
    </w:p>
    <w:p w:rsidR="00067368" w:rsidRPr="00A0676D" w:rsidP="00067368" w14:paraId="06F3CBD0" w14:textId="77777777">
      <w:pPr>
        <w:pStyle w:val="NormalWeb"/>
        <w:spacing w:before="200" w:beforeAutospacing="0" w:after="120" w:afterAutospacing="0"/>
        <w:ind w:left="1080"/>
        <w:rPr>
          <w:rFonts w:ascii="Calibri" w:hAnsi="Calibri" w:cs="Calibri"/>
          <w:color w:val="000000"/>
        </w:rPr>
      </w:pPr>
      <w:r w:rsidRPr="00A0676D">
        <w:rPr>
          <w:rFonts w:ascii="Calibri" w:hAnsi="Calibri" w:cs="Calibri"/>
          <w:b/>
          <w:bCs/>
          <w:color w:val="000000"/>
        </w:rPr>
        <w:t>Challenges of the previous RDD phone and online panel survey methodology:</w:t>
      </w:r>
      <w:r w:rsidRPr="00A0676D">
        <w:rPr>
          <w:rFonts w:ascii="Calibri" w:hAnsi="Calibri" w:cs="Calibri"/>
          <w:color w:val="000000"/>
        </w:rPr>
        <w:t xml:space="preserve"> Reaching people by phone has become increasingly difficult. Cell and landline response rates continue to decline, particularly among important subpopulations, such as low-income households and Spanish speakers, increasing costs and bias. In 2020, it took 257,353 calls to reach 41,793 people, to achieve 1,017 phone interviews. In 2021, it took more than 348,000 calls to complete a similar number of interviews, which has made random digit dialing (RDD) an increasingly expensive proposition. The </w:t>
      </w:r>
      <w:r w:rsidRPr="00A0676D" w:rsidR="00D568F2">
        <w:rPr>
          <w:rFonts w:ascii="Calibri" w:hAnsi="Calibri" w:cs="Calibri"/>
          <w:color w:val="000000"/>
        </w:rPr>
        <w:t xml:space="preserve">initial </w:t>
      </w:r>
      <w:r w:rsidRPr="00A0676D">
        <w:rPr>
          <w:rFonts w:ascii="Calibri" w:hAnsi="Calibri" w:cs="Calibri"/>
          <w:color w:val="000000"/>
        </w:rPr>
        <w:t xml:space="preserve">2021 CTAS contract </w:t>
      </w:r>
      <w:r w:rsidRPr="00A0676D" w:rsidR="00D568F2">
        <w:rPr>
          <w:rFonts w:ascii="Calibri" w:hAnsi="Calibri" w:cs="Calibri"/>
          <w:color w:val="000000"/>
        </w:rPr>
        <w:t xml:space="preserve">award </w:t>
      </w:r>
      <w:r w:rsidRPr="00A0676D">
        <w:rPr>
          <w:rFonts w:ascii="Calibri" w:hAnsi="Calibri" w:cs="Calibri"/>
          <w:color w:val="000000"/>
        </w:rPr>
        <w:t>of $305,159</w:t>
      </w:r>
      <w:r w:rsidRPr="00A0676D" w:rsidR="00D568F2">
        <w:rPr>
          <w:rFonts w:ascii="Calibri" w:hAnsi="Calibri" w:cs="Calibri"/>
          <w:color w:val="000000"/>
        </w:rPr>
        <w:t>, of which $294,050 was actually paid,</w:t>
      </w:r>
      <w:r w:rsidRPr="00A0676D">
        <w:rPr>
          <w:rFonts w:ascii="Calibri" w:hAnsi="Calibri" w:cs="Calibri"/>
          <w:color w:val="000000"/>
        </w:rPr>
        <w:t xml:space="preserve"> was expected to increase 30% to 40% in 2022 using RDD, because it takes more calls each year to complete interviews. </w:t>
      </w:r>
      <w:r w:rsidRPr="00A0676D" w:rsidR="003F6139">
        <w:rPr>
          <w:rFonts w:ascii="Calibri" w:hAnsi="Calibri" w:cs="Calibri"/>
          <w:color w:val="000000"/>
        </w:rPr>
        <w:t>Th</w:t>
      </w:r>
      <w:r w:rsidRPr="00A0676D" w:rsidR="006D3BDB">
        <w:rPr>
          <w:rFonts w:ascii="Calibri" w:hAnsi="Calibri" w:cs="Calibri"/>
          <w:color w:val="000000"/>
        </w:rPr>
        <w:t>e 2022 s</w:t>
      </w:r>
      <w:r w:rsidRPr="00A0676D" w:rsidR="003C445C">
        <w:rPr>
          <w:rFonts w:ascii="Calibri" w:hAnsi="Calibri" w:cs="Calibri"/>
          <w:color w:val="000000"/>
        </w:rPr>
        <w:t>urvey, which</w:t>
      </w:r>
      <w:r w:rsidRPr="00A0676D" w:rsidR="006D3BDB">
        <w:rPr>
          <w:rFonts w:ascii="Calibri" w:hAnsi="Calibri" w:cs="Calibri"/>
          <w:color w:val="000000"/>
        </w:rPr>
        <w:t xml:space="preserve"> used the enhanced ABS methodology and</w:t>
      </w:r>
      <w:r w:rsidRPr="00A0676D" w:rsidR="003C445C">
        <w:rPr>
          <w:rFonts w:ascii="Calibri" w:hAnsi="Calibri" w:cs="Calibri"/>
          <w:color w:val="000000"/>
        </w:rPr>
        <w:t xml:space="preserve"> is still being analyzed, has a</w:t>
      </w:r>
      <w:r w:rsidRPr="00A0676D" w:rsidR="006D3BDB">
        <w:rPr>
          <w:rFonts w:ascii="Calibri" w:hAnsi="Calibri" w:cs="Calibri"/>
          <w:color w:val="000000"/>
        </w:rPr>
        <w:t xml:space="preserve"> maximum </w:t>
      </w:r>
      <w:r w:rsidRPr="00A0676D" w:rsidR="003C445C">
        <w:rPr>
          <w:rFonts w:ascii="Calibri" w:hAnsi="Calibri" w:cs="Calibri"/>
          <w:color w:val="000000"/>
        </w:rPr>
        <w:t>contract award of $</w:t>
      </w:r>
      <w:r w:rsidRPr="00A0676D" w:rsidR="006D3BDB">
        <w:rPr>
          <w:rFonts w:ascii="Calibri" w:hAnsi="Calibri" w:cs="Calibri"/>
          <w:color w:val="000000"/>
        </w:rPr>
        <w:t>255,307, with final costs possibly a little lower, when the contract is completed in June 2023. This is a considerable cost savings over the estimated 30% to 40% above the 2021 contract costs RDD would’ve cost in 2022.</w:t>
      </w:r>
    </w:p>
    <w:p w:rsidR="00CC4AD1" w:rsidRPr="00A0676D" w:rsidP="00067368" w14:paraId="51DE9379" w14:textId="77777777">
      <w:pPr>
        <w:pStyle w:val="NormalWeb"/>
        <w:spacing w:before="200" w:beforeAutospacing="0" w:after="120" w:afterAutospacing="0"/>
        <w:ind w:left="1080"/>
        <w:rPr>
          <w:rFonts w:ascii="Calibri" w:hAnsi="Calibri" w:cs="Calibri"/>
          <w:color w:val="000000"/>
        </w:rPr>
      </w:pPr>
      <w:r w:rsidRPr="00A0676D">
        <w:rPr>
          <w:rFonts w:ascii="Calibri" w:hAnsi="Calibri" w:cs="Calibri"/>
          <w:color w:val="000000"/>
        </w:rPr>
        <w:t xml:space="preserve">Additionally, live phone interviews increase measurement bias. Live phone surveys take longer, averaging 27.57 minutes to complete, biasing samples toward respondents with more free time. Phone interviews also introduce social desirability bias. Online panel surveys, which for CTAS have averaged 14.5 minutes to complete, also face challenges. Online panel surveys, like the IPSOS Knowledge Panel previously used, rely on computers and tablets, and they overrepresent those who are most computer-literate. There is increasing evidence that those who continually take surveys in a panel are different from those who drop out of the panel. So, over time, the panel becomes increasingly less representative. </w:t>
      </w:r>
    </w:p>
    <w:p w:rsidR="00CC4AD1" w:rsidRPr="00A0676D" w:rsidP="00067368" w14:paraId="62CC698A" w14:textId="77777777">
      <w:pPr>
        <w:pStyle w:val="NormalWeb"/>
        <w:spacing w:before="200" w:beforeAutospacing="0" w:after="120" w:afterAutospacing="0"/>
        <w:ind w:left="1080"/>
        <w:rPr>
          <w:rFonts w:ascii="Calibri" w:hAnsi="Calibri" w:cs="Calibri"/>
          <w:color w:val="000000"/>
        </w:rPr>
      </w:pPr>
      <w:r w:rsidRPr="00A0676D">
        <w:rPr>
          <w:rFonts w:ascii="Calibri" w:hAnsi="Calibri" w:cs="Calibri"/>
          <w:color w:val="000000"/>
        </w:rPr>
        <w:t xml:space="preserve">The current CTAS vendor previously compared the results of blended phone and web responses with the web-only sample to see if differences in the results, if any, warranted continuing phone surveys over switching to an online-only survey. The analyses showed little differences between the samples in the central concepts measured, trends from year to year, differences in satisfaction ratings, rank order of the satisfaction scores, and representation of important segments. These analyses suggested that RAAS could consider switching to online-only surveys </w:t>
      </w:r>
      <w:r w:rsidRPr="00A0676D" w:rsidR="00B83959">
        <w:rPr>
          <w:rFonts w:ascii="Calibri" w:hAnsi="Calibri" w:cs="Calibri"/>
          <w:color w:val="000000"/>
        </w:rPr>
        <w:t>in the future</w:t>
      </w:r>
      <w:r w:rsidRPr="00A0676D" w:rsidR="00D568F2">
        <w:rPr>
          <w:rFonts w:ascii="Calibri" w:hAnsi="Calibri" w:cs="Calibri"/>
          <w:color w:val="000000"/>
        </w:rPr>
        <w:t>.</w:t>
      </w:r>
      <w:r w:rsidRPr="00A0676D">
        <w:rPr>
          <w:rFonts w:ascii="Calibri" w:hAnsi="Calibri" w:cs="Calibri"/>
          <w:color w:val="000000"/>
        </w:rPr>
        <w:t xml:space="preserve"> </w:t>
      </w:r>
      <w:r w:rsidRPr="00A0676D" w:rsidR="00B83959">
        <w:rPr>
          <w:rFonts w:ascii="Calibri" w:hAnsi="Calibri" w:cs="Calibri"/>
          <w:color w:val="000000"/>
        </w:rPr>
        <w:t>However, i</w:t>
      </w:r>
      <w:r w:rsidRPr="00A0676D" w:rsidR="006D3BDB">
        <w:rPr>
          <w:rFonts w:ascii="Calibri" w:hAnsi="Calibri" w:cs="Calibri"/>
          <w:color w:val="000000"/>
        </w:rPr>
        <w:t xml:space="preserve">n 2022, </w:t>
      </w:r>
      <w:r w:rsidRPr="00A0676D" w:rsidR="00D568F2">
        <w:rPr>
          <w:rFonts w:ascii="Calibri" w:hAnsi="Calibri" w:cs="Calibri"/>
          <w:color w:val="000000"/>
        </w:rPr>
        <w:t xml:space="preserve">RAAS </w:t>
      </w:r>
      <w:r w:rsidRPr="00A0676D" w:rsidR="00D47244">
        <w:rPr>
          <w:rFonts w:ascii="Calibri" w:hAnsi="Calibri" w:cs="Calibri"/>
          <w:color w:val="000000"/>
        </w:rPr>
        <w:t xml:space="preserve">provided respondents </w:t>
      </w:r>
      <w:r w:rsidRPr="00A0676D" w:rsidR="006D3BDB">
        <w:rPr>
          <w:rFonts w:ascii="Calibri" w:hAnsi="Calibri" w:cs="Calibri"/>
          <w:color w:val="000000"/>
        </w:rPr>
        <w:t xml:space="preserve">the option of phone </w:t>
      </w:r>
      <w:r w:rsidRPr="00A0676D" w:rsidR="00D47244">
        <w:rPr>
          <w:rFonts w:ascii="Calibri" w:hAnsi="Calibri" w:cs="Calibri"/>
          <w:color w:val="000000"/>
        </w:rPr>
        <w:t xml:space="preserve">or online </w:t>
      </w:r>
      <w:r w:rsidRPr="00A0676D" w:rsidR="006D3BDB">
        <w:rPr>
          <w:rFonts w:ascii="Calibri" w:hAnsi="Calibri" w:cs="Calibri"/>
          <w:color w:val="000000"/>
        </w:rPr>
        <w:t>surveys</w:t>
      </w:r>
      <w:r w:rsidRPr="00A0676D" w:rsidR="00D47244">
        <w:rPr>
          <w:rFonts w:ascii="Calibri" w:hAnsi="Calibri" w:cs="Calibri"/>
          <w:color w:val="000000"/>
        </w:rPr>
        <w:t xml:space="preserve">, </w:t>
      </w:r>
      <w:r w:rsidRPr="00A0676D" w:rsidR="00FB1F87">
        <w:rPr>
          <w:rFonts w:ascii="Calibri" w:hAnsi="Calibri" w:cs="Calibri"/>
          <w:color w:val="000000"/>
        </w:rPr>
        <w:t>and</w:t>
      </w:r>
      <w:r w:rsidRPr="00A0676D" w:rsidR="00D47244">
        <w:rPr>
          <w:rFonts w:ascii="Calibri" w:hAnsi="Calibri" w:cs="Calibri"/>
          <w:color w:val="000000"/>
        </w:rPr>
        <w:t xml:space="preserve"> only 1% selected the phone survey option. </w:t>
      </w:r>
      <w:r w:rsidRPr="00A0676D" w:rsidR="006D3BDB">
        <w:rPr>
          <w:rFonts w:ascii="Calibri" w:hAnsi="Calibri" w:cs="Calibri"/>
          <w:color w:val="000000"/>
        </w:rPr>
        <w:t xml:space="preserve"> </w:t>
      </w:r>
    </w:p>
    <w:p w:rsidR="00CC4AD1" w:rsidRPr="00A0676D" w:rsidP="00067368" w14:paraId="56F9B224" w14:textId="77777777">
      <w:pPr>
        <w:pStyle w:val="NormalWeb"/>
        <w:spacing w:before="0" w:beforeAutospacing="0" w:after="0" w:afterAutospacing="0"/>
        <w:ind w:left="1080"/>
        <w:rPr>
          <w:rFonts w:ascii="Calibri" w:hAnsi="Calibri" w:cs="Calibri"/>
          <w:color w:val="000000"/>
        </w:rPr>
      </w:pPr>
      <w:r w:rsidRPr="00A0676D">
        <w:rPr>
          <w:rFonts w:ascii="Calibri" w:hAnsi="Calibri" w:cs="Calibri"/>
          <w:color w:val="000000"/>
        </w:rPr>
        <w:t> </w:t>
      </w:r>
    </w:p>
    <w:p w:rsidR="00CC4AD1" w:rsidRPr="00A0676D" w:rsidP="00067368" w14:paraId="4433F535" w14:textId="77777777">
      <w:pPr>
        <w:pStyle w:val="NormalWeb"/>
        <w:spacing w:before="0" w:beforeAutospacing="0" w:after="0" w:afterAutospacing="0"/>
        <w:ind w:left="1080"/>
        <w:rPr>
          <w:rFonts w:ascii="Calibri" w:hAnsi="Calibri" w:cs="Calibri"/>
          <w:color w:val="000000"/>
        </w:rPr>
      </w:pPr>
      <w:r w:rsidRPr="00A0676D">
        <w:rPr>
          <w:rFonts w:ascii="Calibri" w:hAnsi="Calibri" w:cs="Calibri"/>
          <w:b/>
          <w:bCs/>
          <w:color w:val="000000"/>
        </w:rPr>
        <w:t xml:space="preserve">Approach: </w:t>
      </w:r>
      <w:r w:rsidRPr="00A0676D">
        <w:rPr>
          <w:rFonts w:ascii="Calibri" w:hAnsi="Calibri" w:cs="Calibri"/>
          <w:color w:val="000000"/>
        </w:rPr>
        <w:t xml:space="preserve">To address increasing cost and data quality challenges, RAAS' </w:t>
      </w:r>
      <w:r w:rsidRPr="00A0676D" w:rsidR="00D568F2">
        <w:rPr>
          <w:rFonts w:ascii="Calibri" w:hAnsi="Calibri" w:cs="Calibri"/>
          <w:color w:val="000000"/>
        </w:rPr>
        <w:t>updated</w:t>
      </w:r>
      <w:r w:rsidRPr="00A0676D">
        <w:rPr>
          <w:rFonts w:ascii="Calibri" w:hAnsi="Calibri" w:cs="Calibri"/>
          <w:color w:val="000000"/>
        </w:rPr>
        <w:t xml:space="preserve"> approach uses a combination of non-RDD, automated IVR phone surveys to reach non-internet users and non-panel, online surveys using improved methods for contacting hard-to-reach populations and giving users more choices. RAAS aims to provide the most accurate and representative data possible at a significant cost savings over continuing the previous method. Our current vendor has an exclusive partnership with the creator of this approach, which uses </w:t>
      </w:r>
      <w:r w:rsidRPr="00A0676D" w:rsidR="002E3216">
        <w:rPr>
          <w:rFonts w:ascii="Calibri" w:hAnsi="Calibri" w:cs="Calibri"/>
          <w:color w:val="000000"/>
        </w:rPr>
        <w:t>r</w:t>
      </w:r>
      <w:r w:rsidRPr="00A0676D">
        <w:rPr>
          <w:rFonts w:ascii="Calibri" w:hAnsi="Calibri" w:cs="Calibri"/>
          <w:color w:val="000000"/>
        </w:rPr>
        <w:t xml:space="preserve">andom </w:t>
      </w:r>
      <w:r w:rsidRPr="00A0676D" w:rsidR="002E3216">
        <w:rPr>
          <w:rFonts w:ascii="Calibri" w:hAnsi="Calibri" w:cs="Calibri"/>
          <w:color w:val="000000"/>
        </w:rPr>
        <w:t>a</w:t>
      </w:r>
      <w:r w:rsidRPr="00A0676D">
        <w:rPr>
          <w:rFonts w:ascii="Calibri" w:hAnsi="Calibri" w:cs="Calibri"/>
          <w:color w:val="000000"/>
        </w:rPr>
        <w:t>ddress-</w:t>
      </w:r>
      <w:r w:rsidRPr="00A0676D" w:rsidR="002E3216">
        <w:rPr>
          <w:rFonts w:ascii="Calibri" w:hAnsi="Calibri" w:cs="Calibri"/>
          <w:color w:val="000000"/>
        </w:rPr>
        <w:t>b</w:t>
      </w:r>
      <w:r w:rsidRPr="00A0676D">
        <w:rPr>
          <w:rFonts w:ascii="Calibri" w:hAnsi="Calibri" w:cs="Calibri"/>
          <w:color w:val="000000"/>
        </w:rPr>
        <w:t>ased (ABS) sampling</w:t>
      </w:r>
      <w:r w:rsidRPr="00A0676D" w:rsidR="00F12FCD">
        <w:rPr>
          <w:rFonts w:ascii="Calibri" w:hAnsi="Calibri" w:cs="Calibri"/>
          <w:color w:val="000000"/>
        </w:rPr>
        <w:t xml:space="preserve"> with dynamic online targeting</w:t>
      </w:r>
      <w:r w:rsidRPr="00A0676D">
        <w:rPr>
          <w:rFonts w:ascii="Calibri" w:hAnsi="Calibri" w:cs="Calibri"/>
          <w:color w:val="000000"/>
        </w:rPr>
        <w:t xml:space="preserve"> to create representative samples, </w:t>
      </w:r>
      <w:r w:rsidRPr="00A0676D" w:rsidR="0073361E">
        <w:rPr>
          <w:rFonts w:ascii="Calibri" w:hAnsi="Calibri" w:cs="Calibri"/>
          <w:color w:val="000000"/>
        </w:rPr>
        <w:t xml:space="preserve">and </w:t>
      </w:r>
      <w:r w:rsidRPr="00A0676D">
        <w:rPr>
          <w:rFonts w:ascii="Calibri" w:hAnsi="Calibri" w:cs="Calibri"/>
          <w:color w:val="000000"/>
        </w:rPr>
        <w:t>can target hard-to-reach populations, including the homeless</w:t>
      </w:r>
      <w:r w:rsidRPr="00A0676D" w:rsidR="0073361E">
        <w:rPr>
          <w:rFonts w:ascii="Calibri" w:hAnsi="Calibri" w:cs="Calibri"/>
          <w:color w:val="000000"/>
        </w:rPr>
        <w:t xml:space="preserve">. This approach </w:t>
      </w:r>
      <w:r w:rsidRPr="00A0676D">
        <w:rPr>
          <w:rFonts w:ascii="Calibri" w:hAnsi="Calibri" w:cs="Calibri"/>
          <w:color w:val="000000"/>
        </w:rPr>
        <w:t>offers automated phone surveys to those who prefer phone to online surveys</w:t>
      </w:r>
      <w:r w:rsidRPr="00A0676D" w:rsidR="0073361E">
        <w:rPr>
          <w:rFonts w:ascii="Calibri" w:hAnsi="Calibri" w:cs="Calibri"/>
          <w:color w:val="000000"/>
        </w:rPr>
        <w:t xml:space="preserve"> and</w:t>
      </w:r>
      <w:r w:rsidRPr="00A0676D">
        <w:rPr>
          <w:rFonts w:ascii="Calibri" w:hAnsi="Calibri" w:cs="Calibri"/>
          <w:color w:val="000000"/>
        </w:rPr>
        <w:t xml:space="preserve"> web-based surveys that can be taken using phone or computer</w:t>
      </w:r>
      <w:r w:rsidRPr="00A0676D" w:rsidR="0073361E">
        <w:rPr>
          <w:rFonts w:ascii="Calibri" w:hAnsi="Calibri" w:cs="Calibri"/>
          <w:color w:val="000000"/>
        </w:rPr>
        <w:t>. Both survey modes can be taken in</w:t>
      </w:r>
      <w:r w:rsidRPr="00A0676D">
        <w:rPr>
          <w:rFonts w:ascii="Calibri" w:hAnsi="Calibri" w:cs="Calibri"/>
          <w:color w:val="000000"/>
        </w:rPr>
        <w:t xml:space="preserve"> English or Spanish and at the respondents’ convenience.</w:t>
      </w:r>
    </w:p>
    <w:p w:rsidR="00E359D3" w:rsidRPr="00A0676D" w:rsidP="00E359D3" w14:paraId="1852BBD6" w14:textId="77777777">
      <w:pPr>
        <w:ind w:left="1080"/>
        <w:rPr>
          <w:rFonts w:ascii="Calibri" w:hAnsi="Calibri" w:cs="Calibri"/>
          <w:color w:val="000000"/>
        </w:rPr>
      </w:pPr>
    </w:p>
    <w:p w:rsidR="00741ECE" w:rsidRPr="00A0676D" w:rsidP="00BC2999" w14:paraId="38FCC274" w14:textId="77777777">
      <w:pPr>
        <w:ind w:left="1080"/>
        <w:rPr>
          <w:rFonts w:ascii="Calibri" w:hAnsi="Calibri" w:cs="Calibri"/>
          <w:color w:val="000000"/>
        </w:rPr>
      </w:pPr>
      <w:r w:rsidRPr="00A0676D">
        <w:rPr>
          <w:rFonts w:ascii="Calibri" w:hAnsi="Calibri" w:cs="Calibri"/>
          <w:color w:val="000000"/>
        </w:rPr>
        <w:t xml:space="preserve">The Comprehensive Taxpayer Attitude Survey (CTAS) </w:t>
      </w:r>
      <w:r w:rsidRPr="00A0676D" w:rsidR="003F69E6">
        <w:rPr>
          <w:rFonts w:ascii="Calibri" w:hAnsi="Calibri" w:cs="Calibri"/>
          <w:color w:val="000000"/>
        </w:rPr>
        <w:t>began in</w:t>
      </w:r>
      <w:r w:rsidRPr="00A0676D">
        <w:rPr>
          <w:rFonts w:ascii="Calibri" w:hAnsi="Calibri" w:cs="Calibri"/>
          <w:color w:val="000000"/>
        </w:rPr>
        <w:t xml:space="preserve"> 1999. </w:t>
      </w:r>
      <w:r w:rsidRPr="00A0676D" w:rsidR="001C5F32">
        <w:rPr>
          <w:rFonts w:ascii="Calibri" w:hAnsi="Calibri" w:cs="Calibri"/>
          <w:color w:val="000000"/>
        </w:rPr>
        <w:t>The IRS’ office of Research, Applied Analytics &amp; Statistics (RAAS) sponsors this annual survey (formerly conducted by the IRS Oversight Board), which</w:t>
      </w:r>
      <w:r w:rsidRPr="00A0676D" w:rsidR="003F69E6">
        <w:rPr>
          <w:rFonts w:ascii="Calibri" w:hAnsi="Calibri" w:cs="Calibri"/>
          <w:color w:val="000000"/>
        </w:rPr>
        <w:t xml:space="preserve"> is conducted in August and September of each year.</w:t>
      </w:r>
      <w:r w:rsidRPr="00A0676D">
        <w:rPr>
          <w:rFonts w:ascii="Calibri" w:hAnsi="Calibri" w:cs="Calibri"/>
          <w:color w:val="000000"/>
        </w:rPr>
        <w:t xml:space="preserve"> The primary objective of the survey is to capture updated time series data on taxpayers’ tax compliance attitudes, </w:t>
      </w:r>
      <w:r w:rsidRPr="00A0676D" w:rsidR="00B300C2">
        <w:rPr>
          <w:rFonts w:ascii="Calibri" w:hAnsi="Calibri" w:cs="Calibri"/>
          <w:color w:val="000000"/>
        </w:rPr>
        <w:t>experiences, capabilities</w:t>
      </w:r>
      <w:r w:rsidRPr="00A0676D">
        <w:rPr>
          <w:rFonts w:ascii="Calibri" w:hAnsi="Calibri" w:cs="Calibri"/>
          <w:color w:val="000000"/>
        </w:rPr>
        <w:t xml:space="preserve">, and behaviors, which can be compared to findings from previous surveys, providing insights into any changes in taxpayer views over time, which will provide greater insight into </w:t>
      </w:r>
      <w:r w:rsidRPr="00A0676D" w:rsidR="003F69E6">
        <w:rPr>
          <w:rFonts w:ascii="Calibri" w:hAnsi="Calibri" w:cs="Calibri"/>
          <w:color w:val="000000"/>
        </w:rPr>
        <w:t>these issues, which</w:t>
      </w:r>
      <w:r w:rsidRPr="00A0676D">
        <w:rPr>
          <w:rFonts w:ascii="Calibri" w:hAnsi="Calibri" w:cs="Calibri"/>
          <w:color w:val="000000"/>
        </w:rPr>
        <w:t xml:space="preserve"> are of strategic importance to tax administration.  </w:t>
      </w:r>
    </w:p>
    <w:p w:rsidR="00741ECE" w:rsidRPr="00A0676D" w:rsidP="00BC2999" w14:paraId="53BCC171" w14:textId="77777777">
      <w:pPr>
        <w:ind w:left="1080"/>
        <w:rPr>
          <w:rFonts w:ascii="Calibri" w:hAnsi="Calibri" w:cs="Calibri"/>
          <w:color w:val="000000"/>
        </w:rPr>
      </w:pPr>
    </w:p>
    <w:p w:rsidR="00741ECE" w:rsidRPr="00A0676D" w:rsidP="00BC2999" w14:paraId="0B55FC12" w14:textId="77777777">
      <w:pPr>
        <w:ind w:left="1080"/>
        <w:rPr>
          <w:rFonts w:ascii="Calibri" w:hAnsi="Calibri" w:cs="Calibri"/>
          <w:color w:val="000000"/>
        </w:rPr>
      </w:pPr>
      <w:r w:rsidRPr="00A0676D">
        <w:rPr>
          <w:rFonts w:ascii="Calibri" w:hAnsi="Calibri" w:cs="Calibri"/>
          <w:color w:val="000000"/>
        </w:rPr>
        <w:t>The results of CTAS are provided up the IRS chain of command to the Commissioner and are shared publicly, including publication in the annual IRS Data Book.  Additionally, these results have received significant public interest, with information from the survey being cited regularly in national publications.</w:t>
      </w:r>
      <w:r>
        <w:rPr>
          <w:rStyle w:val="FootnoteReference"/>
          <w:rFonts w:ascii="Calibri" w:hAnsi="Calibri" w:cs="Calibri"/>
          <w:color w:val="000000"/>
        </w:rPr>
        <w:footnoteReference w:id="2"/>
      </w:r>
    </w:p>
    <w:p w:rsidR="00741ECE" w:rsidRPr="00A0676D" w:rsidP="00E359D3" w14:paraId="7CB40737" w14:textId="77777777">
      <w:pPr>
        <w:ind w:left="1080"/>
        <w:rPr>
          <w:rFonts w:ascii="Calibri" w:hAnsi="Calibri" w:cs="Calibri"/>
          <w:color w:val="000000"/>
        </w:rPr>
      </w:pPr>
    </w:p>
    <w:p w:rsidR="00C43D7E" w:rsidRPr="00A0676D" w:rsidP="00C43D7E" w14:paraId="2185D087" w14:textId="77777777">
      <w:pPr>
        <w:numPr>
          <w:ilvl w:val="1"/>
          <w:numId w:val="1"/>
        </w:numPr>
        <w:tabs>
          <w:tab w:val="left" w:pos="1080"/>
        </w:tabs>
        <w:rPr>
          <w:rFonts w:ascii="Calibri" w:hAnsi="Calibri" w:cs="Calibri"/>
          <w:b/>
          <w:bCs/>
          <w:color w:val="000000"/>
        </w:rPr>
      </w:pPr>
      <w:r w:rsidRPr="00A0676D">
        <w:rPr>
          <w:rFonts w:ascii="Calibri" w:hAnsi="Calibri" w:cs="Calibri"/>
          <w:b/>
          <w:bCs/>
          <w:color w:val="000000"/>
        </w:rPr>
        <w:t>Use of the Data</w:t>
      </w:r>
    </w:p>
    <w:p w:rsidR="00C43D7E" w:rsidRPr="00A0676D" w:rsidP="00C43D7E" w14:paraId="259D9526" w14:textId="77777777">
      <w:pPr>
        <w:tabs>
          <w:tab w:val="left" w:pos="1080"/>
        </w:tabs>
        <w:ind w:left="1080"/>
        <w:rPr>
          <w:rFonts w:ascii="Calibri" w:hAnsi="Calibri" w:cs="Calibri"/>
          <w:color w:val="000000"/>
        </w:rPr>
      </w:pPr>
    </w:p>
    <w:p w:rsidR="00165039" w:rsidRPr="00A0676D" w:rsidP="00B300C2" w14:paraId="296F9EEF" w14:textId="77777777">
      <w:pPr>
        <w:pStyle w:val="NormalWeb"/>
        <w:spacing w:before="0" w:beforeAutospacing="0" w:after="0" w:afterAutospacing="0"/>
        <w:ind w:left="1080"/>
        <w:rPr>
          <w:rFonts w:ascii="Calibri" w:hAnsi="Calibri" w:cs="Calibri"/>
          <w:color w:val="000000"/>
        </w:rPr>
      </w:pPr>
      <w:r w:rsidRPr="00A0676D">
        <w:rPr>
          <w:rFonts w:ascii="Calibri" w:hAnsi="Calibri" w:cs="Calibri"/>
          <w:snapToGrid w:val="0"/>
          <w:color w:val="000000"/>
        </w:rPr>
        <w:t xml:space="preserve">The findings from this survey will continue to </w:t>
      </w:r>
      <w:r w:rsidRPr="00A0676D">
        <w:rPr>
          <w:rFonts w:ascii="Calibri" w:hAnsi="Calibri" w:cs="Calibri"/>
          <w:color w:val="000000"/>
        </w:rPr>
        <w:t xml:space="preserve">provide RAAS and IRS with a clear and reliable taxpayer context that </w:t>
      </w:r>
      <w:r w:rsidRPr="00A0676D" w:rsidR="00A20415">
        <w:rPr>
          <w:rFonts w:ascii="Calibri" w:hAnsi="Calibri" w:cs="Calibri"/>
          <w:color w:val="000000"/>
        </w:rPr>
        <w:t>informs</w:t>
      </w:r>
      <w:r w:rsidRPr="00A0676D">
        <w:rPr>
          <w:rFonts w:ascii="Calibri" w:hAnsi="Calibri" w:cs="Calibri"/>
          <w:color w:val="000000"/>
        </w:rPr>
        <w:t xml:space="preserve"> the Service</w:t>
      </w:r>
      <w:r w:rsidRPr="00A0676D" w:rsidR="00A20415">
        <w:rPr>
          <w:rFonts w:ascii="Calibri" w:hAnsi="Calibri" w:cs="Calibri"/>
          <w:color w:val="000000"/>
        </w:rPr>
        <w:t xml:space="preserve">’s </w:t>
      </w:r>
      <w:r w:rsidRPr="00A0676D">
        <w:rPr>
          <w:rFonts w:ascii="Calibri" w:hAnsi="Calibri" w:cs="Calibri"/>
          <w:color w:val="000000"/>
        </w:rPr>
        <w:t>performance of current IRS taxpayer service and enforcement programs designed to improve voluntary compliance</w:t>
      </w:r>
      <w:r w:rsidRPr="00A0676D" w:rsidR="00A20415">
        <w:rPr>
          <w:rFonts w:ascii="Calibri" w:hAnsi="Calibri" w:cs="Calibri"/>
          <w:color w:val="000000"/>
        </w:rPr>
        <w:t xml:space="preserve"> </w:t>
      </w:r>
      <w:r w:rsidRPr="00A0676D">
        <w:rPr>
          <w:rFonts w:ascii="Calibri" w:hAnsi="Calibri" w:cs="Calibri"/>
          <w:color w:val="000000"/>
        </w:rPr>
        <w:t>and the Service’s proposals for strategic performance measures.  The data being tracked includes measures on public attitude</w:t>
      </w:r>
      <w:r w:rsidRPr="00A0676D" w:rsidR="00A20415">
        <w:rPr>
          <w:rFonts w:ascii="Calibri" w:hAnsi="Calibri" w:cs="Calibri"/>
          <w:color w:val="000000"/>
        </w:rPr>
        <w:t>s</w:t>
      </w:r>
      <w:r w:rsidRPr="00A0676D">
        <w:rPr>
          <w:rFonts w:ascii="Calibri" w:hAnsi="Calibri" w:cs="Calibri"/>
          <w:color w:val="000000"/>
        </w:rPr>
        <w:t xml:space="preserve"> regarding cheating on taxes, trust in the IRS to fairly enforce tax laws, and factors that influence taxpayers to </w:t>
      </w:r>
      <w:r w:rsidRPr="00A0676D" w:rsidR="002D0761">
        <w:rPr>
          <w:rFonts w:ascii="Calibri" w:hAnsi="Calibri" w:cs="Calibri"/>
          <w:color w:val="000000"/>
        </w:rPr>
        <w:t>file</w:t>
      </w:r>
      <w:r w:rsidRPr="00A0676D">
        <w:rPr>
          <w:rFonts w:ascii="Calibri" w:hAnsi="Calibri" w:cs="Calibri"/>
          <w:color w:val="000000"/>
        </w:rPr>
        <w:t xml:space="preserve"> </w:t>
      </w:r>
      <w:r w:rsidRPr="00A0676D" w:rsidR="002D0761">
        <w:rPr>
          <w:rFonts w:ascii="Calibri" w:hAnsi="Calibri" w:cs="Calibri"/>
          <w:color w:val="000000"/>
        </w:rPr>
        <w:t>accurate, timely, and complete returns</w:t>
      </w:r>
      <w:r w:rsidRPr="00A0676D">
        <w:rPr>
          <w:rFonts w:ascii="Calibri" w:hAnsi="Calibri" w:cs="Calibri"/>
          <w:color w:val="000000"/>
        </w:rPr>
        <w:t xml:space="preserve">. </w:t>
      </w:r>
      <w:r w:rsidRPr="00A0676D" w:rsidR="002B1A7B">
        <w:rPr>
          <w:rFonts w:ascii="Calibri" w:hAnsi="Calibri" w:cs="Calibri"/>
          <w:color w:val="000000"/>
        </w:rPr>
        <w:t xml:space="preserve">Two CTAS measures are Taxpayer First Act Measures: </w:t>
      </w:r>
      <w:r w:rsidRPr="00A0676D" w:rsidR="002B1A7B">
        <w:rPr>
          <w:rFonts w:ascii="Calibri" w:hAnsi="Calibri" w:cs="Calibri"/>
          <w:i/>
          <w:iCs/>
          <w:color w:val="000000"/>
        </w:rPr>
        <w:t>I trust the IRS to help me understand my tax obligations</w:t>
      </w:r>
      <w:r w:rsidRPr="00A0676D" w:rsidR="002B1A7B">
        <w:rPr>
          <w:rFonts w:ascii="Calibri" w:hAnsi="Calibri" w:cs="Calibri"/>
          <w:color w:val="000000"/>
        </w:rPr>
        <w:t xml:space="preserve"> and </w:t>
      </w:r>
      <w:r w:rsidRPr="00A0676D" w:rsidR="002B1A7B">
        <w:rPr>
          <w:rFonts w:ascii="Calibri" w:hAnsi="Calibri" w:cs="Calibri"/>
          <w:i/>
          <w:iCs/>
          <w:color w:val="000000"/>
        </w:rPr>
        <w:t>The percentage of taxpayers satisfied with their personal interactions with the IRS.</w:t>
      </w:r>
      <w:r w:rsidRPr="00A0676D" w:rsidR="00F24893">
        <w:rPr>
          <w:rFonts w:ascii="Calibri" w:hAnsi="Calibri" w:cs="Calibri"/>
          <w:color w:val="000000"/>
        </w:rPr>
        <w:t xml:space="preserve"> </w:t>
      </w:r>
      <w:r w:rsidRPr="00A0676D">
        <w:rPr>
          <w:rFonts w:ascii="Calibri" w:hAnsi="Calibri" w:cs="Calibri"/>
          <w:color w:val="000000"/>
        </w:rPr>
        <w:t xml:space="preserve">The results of this survey </w:t>
      </w:r>
      <w:r w:rsidRPr="00A0676D" w:rsidR="00A20415">
        <w:rPr>
          <w:rFonts w:ascii="Calibri" w:hAnsi="Calibri" w:cs="Calibri"/>
          <w:color w:val="000000"/>
        </w:rPr>
        <w:t>allow</w:t>
      </w:r>
      <w:r w:rsidRPr="00A0676D">
        <w:rPr>
          <w:rFonts w:ascii="Calibri" w:hAnsi="Calibri" w:cs="Calibri"/>
          <w:color w:val="000000"/>
        </w:rPr>
        <w:t xml:space="preserve"> the IRS to </w:t>
      </w:r>
      <w:r w:rsidRPr="00A0676D" w:rsidR="00A20415">
        <w:rPr>
          <w:rFonts w:ascii="Calibri" w:hAnsi="Calibri" w:cs="Calibri"/>
          <w:color w:val="000000"/>
        </w:rPr>
        <w:t>understand</w:t>
      </w:r>
      <w:r w:rsidRPr="00A0676D">
        <w:rPr>
          <w:rFonts w:ascii="Calibri" w:hAnsi="Calibri" w:cs="Calibri"/>
          <w:color w:val="000000"/>
        </w:rPr>
        <w:t xml:space="preserve"> the impact of its programs on public perception</w:t>
      </w:r>
      <w:r w:rsidRPr="00A0676D" w:rsidR="00A20415">
        <w:rPr>
          <w:rFonts w:ascii="Calibri" w:hAnsi="Calibri" w:cs="Calibri"/>
          <w:color w:val="000000"/>
        </w:rPr>
        <w:t xml:space="preserve"> and </w:t>
      </w:r>
      <w:r w:rsidRPr="00A0676D" w:rsidR="00ED7ED6">
        <w:rPr>
          <w:rFonts w:ascii="Calibri" w:hAnsi="Calibri" w:cs="Calibri"/>
          <w:color w:val="000000"/>
        </w:rPr>
        <w:t>barriers</w:t>
      </w:r>
      <w:r w:rsidRPr="00A0676D" w:rsidR="007226DD">
        <w:rPr>
          <w:rFonts w:ascii="Calibri" w:hAnsi="Calibri" w:cs="Calibri"/>
          <w:color w:val="000000"/>
        </w:rPr>
        <w:t>, motivations, and capabilities</w:t>
      </w:r>
      <w:r w:rsidRPr="00A0676D" w:rsidR="00ED7ED6">
        <w:rPr>
          <w:rFonts w:ascii="Calibri" w:hAnsi="Calibri" w:cs="Calibri"/>
          <w:color w:val="000000"/>
        </w:rPr>
        <w:t xml:space="preserve"> taxpayers </w:t>
      </w:r>
      <w:r w:rsidRPr="00A0676D" w:rsidR="007226DD">
        <w:rPr>
          <w:rFonts w:ascii="Calibri" w:hAnsi="Calibri" w:cs="Calibri"/>
          <w:color w:val="000000"/>
        </w:rPr>
        <w:t>have</w:t>
      </w:r>
      <w:r w:rsidRPr="00A0676D" w:rsidR="00ED7ED6">
        <w:rPr>
          <w:rFonts w:ascii="Calibri" w:hAnsi="Calibri" w:cs="Calibri"/>
          <w:color w:val="000000"/>
        </w:rPr>
        <w:t xml:space="preserve"> that </w:t>
      </w:r>
      <w:r w:rsidRPr="00A0676D" w:rsidR="00AE6F0E">
        <w:rPr>
          <w:rFonts w:ascii="Calibri" w:hAnsi="Calibri" w:cs="Calibri"/>
          <w:color w:val="000000"/>
        </w:rPr>
        <w:t xml:space="preserve">can </w:t>
      </w:r>
      <w:r w:rsidRPr="00A0676D" w:rsidR="00ED7ED6">
        <w:rPr>
          <w:rFonts w:ascii="Calibri" w:hAnsi="Calibri" w:cs="Calibri"/>
          <w:color w:val="000000"/>
        </w:rPr>
        <w:t xml:space="preserve">affect their </w:t>
      </w:r>
      <w:r w:rsidRPr="00A0676D" w:rsidR="007226DD">
        <w:rPr>
          <w:rFonts w:ascii="Calibri" w:hAnsi="Calibri" w:cs="Calibri"/>
          <w:color w:val="000000"/>
        </w:rPr>
        <w:t xml:space="preserve">willingness and </w:t>
      </w:r>
      <w:r w:rsidRPr="00A0676D" w:rsidR="00ED7ED6">
        <w:rPr>
          <w:rFonts w:ascii="Calibri" w:hAnsi="Calibri" w:cs="Calibri"/>
          <w:color w:val="000000"/>
        </w:rPr>
        <w:t>ability to meet their tax obligations.</w:t>
      </w:r>
      <w:r w:rsidRPr="00A0676D">
        <w:rPr>
          <w:rFonts w:ascii="Calibri" w:hAnsi="Calibri" w:cs="Calibri"/>
          <w:color w:val="000000"/>
        </w:rPr>
        <w:t xml:space="preserve"> For transparency, select aggregate results are published in the annual IRS Data Book</w:t>
      </w:r>
      <w:r w:rsidRPr="00A0676D" w:rsidR="00024D7F">
        <w:rPr>
          <w:rFonts w:ascii="Calibri" w:hAnsi="Calibri" w:cs="Calibri"/>
          <w:color w:val="000000"/>
        </w:rPr>
        <w:t>,</w:t>
      </w:r>
      <w:r w:rsidRPr="00A0676D">
        <w:rPr>
          <w:rFonts w:ascii="Calibri" w:hAnsi="Calibri" w:cs="Calibri"/>
          <w:color w:val="000000"/>
        </w:rPr>
        <w:t xml:space="preserve"> and a more detailed report of survey result</w:t>
      </w:r>
      <w:r w:rsidRPr="00A0676D" w:rsidR="00024D7F">
        <w:rPr>
          <w:rFonts w:ascii="Calibri" w:hAnsi="Calibri" w:cs="Calibri"/>
          <w:color w:val="000000"/>
        </w:rPr>
        <w:t>s</w:t>
      </w:r>
      <w:r w:rsidRPr="00A0676D">
        <w:rPr>
          <w:rFonts w:ascii="Calibri" w:hAnsi="Calibri" w:cs="Calibri"/>
          <w:color w:val="000000"/>
        </w:rPr>
        <w:t xml:space="preserve"> is released on the IRS website. </w:t>
      </w:r>
    </w:p>
    <w:p w:rsidR="00165039" w:rsidRPr="00A0676D" w:rsidP="00C43D7E" w14:paraId="3A30FF48" w14:textId="77777777">
      <w:pPr>
        <w:tabs>
          <w:tab w:val="left" w:pos="1080"/>
        </w:tabs>
        <w:ind w:left="1080"/>
        <w:rPr>
          <w:rFonts w:ascii="Calibri" w:hAnsi="Calibri" w:cs="Calibri"/>
          <w:color w:val="000000"/>
        </w:rPr>
      </w:pPr>
    </w:p>
    <w:p w:rsidR="00C43D7E" w:rsidRPr="00A0676D" w:rsidP="00C43D7E" w14:paraId="04BE3970" w14:textId="77777777">
      <w:pPr>
        <w:numPr>
          <w:ilvl w:val="1"/>
          <w:numId w:val="1"/>
        </w:numPr>
        <w:tabs>
          <w:tab w:val="left" w:pos="1080"/>
        </w:tabs>
        <w:rPr>
          <w:rFonts w:ascii="Calibri" w:hAnsi="Calibri" w:cs="Calibri"/>
          <w:b/>
          <w:bCs/>
          <w:color w:val="000000"/>
        </w:rPr>
      </w:pPr>
      <w:r w:rsidRPr="00A0676D">
        <w:rPr>
          <w:rFonts w:ascii="Calibri" w:hAnsi="Calibri" w:cs="Calibri"/>
          <w:b/>
          <w:bCs/>
          <w:color w:val="000000"/>
        </w:rPr>
        <w:t>Use of Improved Information Technology to Reduce Burden</w:t>
      </w:r>
    </w:p>
    <w:p w:rsidR="00C43D7E" w:rsidRPr="00A0676D" w:rsidP="00C43D7E" w14:paraId="10AE2DB8" w14:textId="77777777">
      <w:pPr>
        <w:tabs>
          <w:tab w:val="left" w:pos="1080"/>
        </w:tabs>
        <w:ind w:left="1080"/>
        <w:rPr>
          <w:rFonts w:ascii="Calibri" w:hAnsi="Calibri" w:cs="Calibri"/>
          <w:color w:val="000000"/>
        </w:rPr>
      </w:pPr>
    </w:p>
    <w:p w:rsidR="00F14E20" w:rsidRPr="00A0676D" w:rsidP="00A35213" w14:paraId="051CAFE2" w14:textId="77777777">
      <w:pPr>
        <w:pStyle w:val="BodyTextFirstIndent"/>
        <w:spacing w:after="0"/>
        <w:ind w:left="1080" w:firstLine="0"/>
        <w:rPr>
          <w:rFonts w:ascii="Calibri" w:hAnsi="Calibri" w:cs="Calibri"/>
          <w:b/>
          <w:bCs/>
          <w:color w:val="000000"/>
        </w:rPr>
      </w:pPr>
      <w:r w:rsidRPr="00A0676D">
        <w:rPr>
          <w:rFonts w:ascii="Calibri" w:hAnsi="Calibri" w:cs="Calibri"/>
          <w:color w:val="000000"/>
        </w:rPr>
        <w:t>The methodology employed will minimiz</w:t>
      </w:r>
      <w:r w:rsidRPr="00A0676D" w:rsidR="000D7A92">
        <w:rPr>
          <w:rFonts w:ascii="Calibri" w:hAnsi="Calibri" w:cs="Calibri"/>
          <w:color w:val="000000"/>
        </w:rPr>
        <w:t>e</w:t>
      </w:r>
      <w:r w:rsidRPr="00A0676D">
        <w:rPr>
          <w:rFonts w:ascii="Calibri" w:hAnsi="Calibri" w:cs="Calibri"/>
          <w:color w:val="000000"/>
        </w:rPr>
        <w:t xml:space="preserve"> burden on the public</w:t>
      </w:r>
      <w:r w:rsidRPr="00A0676D" w:rsidR="000D7A92">
        <w:rPr>
          <w:rFonts w:ascii="Calibri" w:hAnsi="Calibri" w:cs="Calibri"/>
          <w:color w:val="000000"/>
        </w:rPr>
        <w:t>,</w:t>
      </w:r>
      <w:r w:rsidRPr="00A0676D" w:rsidR="005E3386">
        <w:rPr>
          <w:rFonts w:ascii="Calibri" w:hAnsi="Calibri" w:cs="Calibri"/>
          <w:color w:val="000000"/>
        </w:rPr>
        <w:t xml:space="preserve"> in burden hours and convenience,</w:t>
      </w:r>
      <w:r w:rsidRPr="00A0676D" w:rsidR="000D7A92">
        <w:rPr>
          <w:rFonts w:ascii="Calibri" w:hAnsi="Calibri" w:cs="Calibri"/>
          <w:color w:val="000000"/>
        </w:rPr>
        <w:t xml:space="preserve"> to the extent possible</w:t>
      </w:r>
      <w:r w:rsidRPr="00A0676D" w:rsidR="00BC56FC">
        <w:rPr>
          <w:rFonts w:ascii="Calibri" w:hAnsi="Calibri" w:cs="Calibri"/>
          <w:color w:val="000000"/>
        </w:rPr>
        <w:t>,</w:t>
      </w:r>
      <w:r w:rsidRPr="00A0676D" w:rsidR="000D7A92">
        <w:rPr>
          <w:rFonts w:ascii="Calibri" w:hAnsi="Calibri" w:cs="Calibri"/>
          <w:color w:val="000000"/>
        </w:rPr>
        <w:t xml:space="preserve"> and will consider the </w:t>
      </w:r>
      <w:r w:rsidRPr="00A0676D">
        <w:rPr>
          <w:rFonts w:ascii="Calibri" w:hAnsi="Calibri" w:cs="Calibri"/>
          <w:color w:val="000000"/>
        </w:rPr>
        <w:t xml:space="preserve">length of the data collection instrument itself, along with the </w:t>
      </w:r>
      <w:r w:rsidRPr="00A0676D" w:rsidR="006238A9">
        <w:rPr>
          <w:rFonts w:ascii="Calibri" w:hAnsi="Calibri" w:cs="Calibri"/>
          <w:color w:val="000000"/>
        </w:rPr>
        <w:t xml:space="preserve">use </w:t>
      </w:r>
      <w:r w:rsidRPr="00A0676D">
        <w:rPr>
          <w:rFonts w:ascii="Calibri" w:hAnsi="Calibri" w:cs="Calibri"/>
          <w:color w:val="000000"/>
        </w:rPr>
        <w:t xml:space="preserve">of the smallest sample size necessary to obtain valid and reliable information that is consistent with the </w:t>
      </w:r>
      <w:r w:rsidRPr="00A0676D" w:rsidR="00E81C80">
        <w:rPr>
          <w:rFonts w:ascii="Calibri" w:hAnsi="Calibri" w:cs="Calibri"/>
          <w:color w:val="000000"/>
        </w:rPr>
        <w:t>objectives</w:t>
      </w:r>
      <w:r w:rsidRPr="00A0676D">
        <w:rPr>
          <w:rFonts w:ascii="Calibri" w:hAnsi="Calibri" w:cs="Calibri"/>
          <w:color w:val="000000"/>
        </w:rPr>
        <w:t xml:space="preserve"> of the data collection effort.</w:t>
      </w:r>
      <w:r w:rsidRPr="00A0676D" w:rsidR="00607D8B">
        <w:rPr>
          <w:rFonts w:ascii="Calibri" w:hAnsi="Calibri" w:cs="Calibri"/>
          <w:color w:val="000000"/>
        </w:rPr>
        <w:t xml:space="preserve"> The updated CTAS methodology will rely</w:t>
      </w:r>
      <w:r w:rsidRPr="00A0676D" w:rsidR="00C70E5B">
        <w:rPr>
          <w:rFonts w:ascii="Calibri" w:hAnsi="Calibri" w:cs="Calibri"/>
          <w:color w:val="000000"/>
        </w:rPr>
        <w:t xml:space="preserve"> on</w:t>
      </w:r>
      <w:r w:rsidRPr="00A0676D" w:rsidR="00607D8B">
        <w:rPr>
          <w:rFonts w:ascii="Calibri" w:hAnsi="Calibri" w:cs="Calibri"/>
          <w:color w:val="000000"/>
        </w:rPr>
        <w:t xml:space="preserve"> </w:t>
      </w:r>
      <w:r w:rsidRPr="00A0676D" w:rsidR="005E3386">
        <w:rPr>
          <w:rFonts w:ascii="Calibri" w:hAnsi="Calibri" w:cs="Calibri"/>
          <w:color w:val="000000"/>
        </w:rPr>
        <w:t>a smaller sample size</w:t>
      </w:r>
      <w:r w:rsidRPr="00A0676D" w:rsidR="00C70E5B">
        <w:rPr>
          <w:rFonts w:ascii="Calibri" w:hAnsi="Calibri" w:cs="Calibri"/>
          <w:color w:val="000000"/>
        </w:rPr>
        <w:t xml:space="preserve"> and will use</w:t>
      </w:r>
      <w:r w:rsidRPr="00A0676D" w:rsidR="005E3386">
        <w:rPr>
          <w:rFonts w:ascii="Calibri" w:hAnsi="Calibri" w:cs="Calibri"/>
          <w:color w:val="000000"/>
        </w:rPr>
        <w:t xml:space="preserve"> a</w:t>
      </w:r>
      <w:r w:rsidRPr="00A0676D" w:rsidR="00607D8B">
        <w:rPr>
          <w:rFonts w:ascii="Calibri" w:hAnsi="Calibri" w:cs="Calibri"/>
          <w:color w:val="000000"/>
        </w:rPr>
        <w:t>ddress-based sampling (ABS) to solicit</w:t>
      </w:r>
      <w:r w:rsidRPr="00A0676D" w:rsidR="00135855">
        <w:rPr>
          <w:rFonts w:ascii="Calibri" w:hAnsi="Calibri" w:cs="Calibri"/>
          <w:color w:val="000000"/>
        </w:rPr>
        <w:t xml:space="preserve"> </w:t>
      </w:r>
      <w:r w:rsidRPr="00A0676D" w:rsidR="00607D8B">
        <w:rPr>
          <w:rFonts w:ascii="Calibri" w:hAnsi="Calibri" w:cs="Calibri"/>
          <w:color w:val="000000"/>
        </w:rPr>
        <w:t xml:space="preserve">respondents by mail. Additionally, it will use dynamic online targeting to solicit respondents at online sites that targeted populations are likely to use. </w:t>
      </w:r>
      <w:r w:rsidRPr="00A0676D" w:rsidR="003F109C">
        <w:rPr>
          <w:rFonts w:ascii="Calibri" w:hAnsi="Calibri" w:cs="Calibri"/>
          <w:color w:val="000000"/>
        </w:rPr>
        <w:t xml:space="preserve">These methods will provide a statistically representative sample of U.S. adults. </w:t>
      </w:r>
      <w:r w:rsidRPr="00A0676D" w:rsidR="00607D8B">
        <w:rPr>
          <w:rFonts w:ascii="Calibri" w:hAnsi="Calibri" w:cs="Calibri"/>
          <w:color w:val="000000"/>
        </w:rPr>
        <w:t>Respondents will be offered their choice of a survey mode that is most convenient to them</w:t>
      </w:r>
      <w:r w:rsidRPr="00A0676D" w:rsidR="00F054EF">
        <w:rPr>
          <w:rFonts w:ascii="Calibri" w:hAnsi="Calibri" w:cs="Calibri"/>
          <w:color w:val="000000"/>
        </w:rPr>
        <w:t xml:space="preserve"> (phone</w:t>
      </w:r>
      <w:r w:rsidRPr="00A0676D" w:rsidR="00C70E5B">
        <w:rPr>
          <w:rFonts w:ascii="Calibri" w:hAnsi="Calibri" w:cs="Calibri"/>
          <w:color w:val="000000"/>
        </w:rPr>
        <w:t xml:space="preserve"> or</w:t>
      </w:r>
      <w:r w:rsidRPr="00A0676D" w:rsidR="00F054EF">
        <w:rPr>
          <w:rFonts w:ascii="Calibri" w:hAnsi="Calibri" w:cs="Calibri"/>
          <w:color w:val="000000"/>
        </w:rPr>
        <w:t xml:space="preserve"> web)</w:t>
      </w:r>
      <w:r w:rsidRPr="00A0676D" w:rsidR="00607D8B">
        <w:rPr>
          <w:rFonts w:ascii="Calibri" w:hAnsi="Calibri" w:cs="Calibri"/>
          <w:color w:val="000000"/>
        </w:rPr>
        <w:t xml:space="preserve">, that they can access at the best time for them, in the language most </w:t>
      </w:r>
      <w:r w:rsidRPr="00A0676D" w:rsidR="00607D8B">
        <w:rPr>
          <w:rFonts w:ascii="Calibri" w:hAnsi="Calibri" w:cs="Calibri"/>
          <w:color w:val="000000"/>
        </w:rPr>
        <w:t xml:space="preserve">comfortable for them (English or Spanish). </w:t>
      </w:r>
      <w:r w:rsidRPr="00A0676D" w:rsidR="00B45E4F">
        <w:rPr>
          <w:rFonts w:ascii="Calibri" w:hAnsi="Calibri" w:cs="Calibri"/>
          <w:color w:val="000000"/>
        </w:rPr>
        <w:t>Those who choose phone interviews will use an automated</w:t>
      </w:r>
      <w:r w:rsidRPr="00A0676D" w:rsidR="00EC6418">
        <w:rPr>
          <w:rFonts w:ascii="Calibri" w:hAnsi="Calibri" w:cs="Calibri"/>
          <w:color w:val="000000"/>
        </w:rPr>
        <w:t xml:space="preserve"> IVR system</w:t>
      </w:r>
      <w:r w:rsidRPr="00A0676D" w:rsidR="00B45E4F">
        <w:rPr>
          <w:rFonts w:ascii="Calibri" w:hAnsi="Calibri" w:cs="Calibri"/>
          <w:color w:val="000000"/>
        </w:rPr>
        <w:t xml:space="preserve">. Any respondents who have problems using IVR can contact a help desk that can provide a live interviewer. Those who choose an online survey can use a quick response (QR) code or a web address to access the survey.  </w:t>
      </w:r>
      <w:r w:rsidRPr="00A0676D">
        <w:rPr>
          <w:rFonts w:ascii="Calibri" w:hAnsi="Calibri" w:cs="Calibri"/>
          <w:color w:val="000000"/>
        </w:rPr>
        <w:t>In</w:t>
      </w:r>
      <w:r w:rsidRPr="00A0676D" w:rsidR="005C1A5F">
        <w:rPr>
          <w:rFonts w:ascii="Calibri" w:hAnsi="Calibri" w:cs="Calibri"/>
          <w:color w:val="000000"/>
        </w:rPr>
        <w:t>stead of</w:t>
      </w:r>
      <w:r w:rsidRPr="00A0676D">
        <w:rPr>
          <w:rFonts w:ascii="Calibri" w:hAnsi="Calibri" w:cs="Calibri"/>
          <w:color w:val="000000"/>
        </w:rPr>
        <w:t xml:space="preserve"> using a combined landline and cell phone survey of 1,000 individual respondents</w:t>
      </w:r>
      <w:r w:rsidRPr="00A0676D" w:rsidR="005C1A5F">
        <w:rPr>
          <w:rFonts w:ascii="Calibri" w:hAnsi="Calibri" w:cs="Calibri"/>
          <w:color w:val="000000"/>
        </w:rPr>
        <w:t xml:space="preserve"> and </w:t>
      </w:r>
      <w:r w:rsidRPr="00A0676D">
        <w:rPr>
          <w:rFonts w:ascii="Calibri" w:hAnsi="Calibri" w:cs="Calibri"/>
          <w:color w:val="000000"/>
        </w:rPr>
        <w:t>a concurrent online survey of 1,000 individual respondents</w:t>
      </w:r>
      <w:r w:rsidRPr="00A0676D" w:rsidR="005C1A5F">
        <w:rPr>
          <w:rFonts w:ascii="Calibri" w:hAnsi="Calibri" w:cs="Calibri"/>
          <w:color w:val="000000"/>
        </w:rPr>
        <w:t xml:space="preserve">, </w:t>
      </w:r>
      <w:r w:rsidRPr="00A0676D" w:rsidR="00607D8B">
        <w:rPr>
          <w:rFonts w:ascii="Calibri" w:hAnsi="Calibri" w:cs="Calibri"/>
          <w:color w:val="000000"/>
        </w:rPr>
        <w:t xml:space="preserve">the updated methodology will further reduce burden by </w:t>
      </w:r>
      <w:r w:rsidRPr="00A0676D" w:rsidR="001F77F9">
        <w:rPr>
          <w:rFonts w:ascii="Calibri" w:hAnsi="Calibri" w:cs="Calibri"/>
          <w:color w:val="000000"/>
        </w:rPr>
        <w:t>dropping</w:t>
      </w:r>
      <w:r w:rsidRPr="00A0676D" w:rsidR="00B45E4F">
        <w:rPr>
          <w:rFonts w:ascii="Calibri" w:hAnsi="Calibri" w:cs="Calibri"/>
          <w:color w:val="000000"/>
        </w:rPr>
        <w:t xml:space="preserve"> the total sample size to 1,</w:t>
      </w:r>
      <w:r w:rsidRPr="00A0676D" w:rsidR="001F77F9">
        <w:rPr>
          <w:rFonts w:ascii="Calibri" w:hAnsi="Calibri" w:cs="Calibri"/>
          <w:color w:val="000000"/>
        </w:rPr>
        <w:t>29</w:t>
      </w:r>
      <w:r w:rsidRPr="00A0676D" w:rsidR="00EC6418">
        <w:rPr>
          <w:rFonts w:ascii="Calibri" w:hAnsi="Calibri" w:cs="Calibri"/>
          <w:color w:val="000000"/>
        </w:rPr>
        <w:t>8</w:t>
      </w:r>
      <w:r w:rsidRPr="00A0676D" w:rsidR="00B45E4F">
        <w:rPr>
          <w:rFonts w:ascii="Calibri" w:hAnsi="Calibri" w:cs="Calibri"/>
          <w:color w:val="000000"/>
        </w:rPr>
        <w:t>. These methods reduce burden to the public as well as the government by making it easier and more convenient for respondents</w:t>
      </w:r>
      <w:r w:rsidRPr="00A0676D" w:rsidR="00AA2816">
        <w:rPr>
          <w:rFonts w:ascii="Calibri" w:hAnsi="Calibri" w:cs="Calibri"/>
          <w:color w:val="000000"/>
        </w:rPr>
        <w:t xml:space="preserve"> through technology</w:t>
      </w:r>
      <w:r w:rsidRPr="00A0676D" w:rsidR="00B45E4F">
        <w:rPr>
          <w:rFonts w:ascii="Calibri" w:hAnsi="Calibri" w:cs="Calibri"/>
          <w:color w:val="000000"/>
        </w:rPr>
        <w:t>, by reducing the number of respondents needed</w:t>
      </w:r>
      <w:r w:rsidRPr="00A0676D" w:rsidR="00CC4AD1">
        <w:rPr>
          <w:rFonts w:ascii="Calibri" w:hAnsi="Calibri" w:cs="Calibri"/>
          <w:color w:val="000000"/>
        </w:rPr>
        <w:t xml:space="preserve"> and the number of people contacted</w:t>
      </w:r>
      <w:r w:rsidRPr="00A0676D" w:rsidR="001F77F9">
        <w:rPr>
          <w:rFonts w:ascii="Calibri" w:hAnsi="Calibri" w:cs="Calibri"/>
          <w:color w:val="000000"/>
        </w:rPr>
        <w:t>, and</w:t>
      </w:r>
      <w:r w:rsidRPr="00A0676D" w:rsidR="003F109C">
        <w:rPr>
          <w:rFonts w:ascii="Calibri" w:hAnsi="Calibri" w:cs="Calibri"/>
          <w:color w:val="000000"/>
        </w:rPr>
        <w:t xml:space="preserve"> by</w:t>
      </w:r>
      <w:r w:rsidRPr="00A0676D" w:rsidR="001F77F9">
        <w:rPr>
          <w:rFonts w:ascii="Calibri" w:hAnsi="Calibri" w:cs="Calibri"/>
          <w:color w:val="000000"/>
        </w:rPr>
        <w:t xml:space="preserve"> reducing costs for the government</w:t>
      </w:r>
      <w:r w:rsidRPr="00A0676D" w:rsidR="00AA2816">
        <w:rPr>
          <w:rFonts w:ascii="Calibri" w:hAnsi="Calibri" w:cs="Calibri"/>
          <w:color w:val="000000"/>
        </w:rPr>
        <w:t>.</w:t>
      </w:r>
    </w:p>
    <w:p w:rsidR="00CC0D50" w:rsidRPr="00A0676D" w:rsidP="00F14E20" w14:paraId="389421E1" w14:textId="77777777">
      <w:pPr>
        <w:tabs>
          <w:tab w:val="left" w:pos="1080"/>
          <w:tab w:val="left" w:pos="1515"/>
        </w:tabs>
        <w:ind w:left="1080"/>
        <w:rPr>
          <w:rFonts w:ascii="Calibri" w:hAnsi="Calibri" w:cs="Calibri"/>
          <w:color w:val="000000"/>
        </w:rPr>
      </w:pPr>
    </w:p>
    <w:p w:rsidR="009B7F12" w:rsidRPr="00A0676D" w:rsidP="009B7F12" w14:paraId="25E49818" w14:textId="77777777">
      <w:pPr>
        <w:numPr>
          <w:ilvl w:val="1"/>
          <w:numId w:val="1"/>
        </w:numPr>
        <w:tabs>
          <w:tab w:val="left" w:pos="1080"/>
        </w:tabs>
        <w:rPr>
          <w:rFonts w:ascii="Calibri" w:hAnsi="Calibri" w:cs="Calibri"/>
          <w:b/>
          <w:bCs/>
          <w:color w:val="000000"/>
        </w:rPr>
      </w:pPr>
      <w:r w:rsidRPr="00A0676D">
        <w:rPr>
          <w:rFonts w:ascii="Calibri" w:hAnsi="Calibri" w:cs="Calibri"/>
          <w:b/>
          <w:bCs/>
          <w:color w:val="000000"/>
        </w:rPr>
        <w:t>Efforts to Identify Duplication</w:t>
      </w:r>
    </w:p>
    <w:p w:rsidR="009B7F12" w:rsidRPr="00A0676D" w:rsidP="009B7F12" w14:paraId="4DABA503" w14:textId="77777777">
      <w:pPr>
        <w:tabs>
          <w:tab w:val="left" w:pos="1080"/>
        </w:tabs>
        <w:rPr>
          <w:rFonts w:ascii="Calibri" w:hAnsi="Calibri" w:cs="Calibri"/>
          <w:color w:val="000000"/>
        </w:rPr>
      </w:pPr>
    </w:p>
    <w:p w:rsidR="00BD59C6" w:rsidRPr="00A0676D" w:rsidP="000110C7" w14:paraId="4CE64B31" w14:textId="77777777">
      <w:pPr>
        <w:pStyle w:val="Heading1"/>
        <w:ind w:left="1008"/>
        <w:rPr>
          <w:rFonts w:ascii="Calibri" w:hAnsi="Calibri" w:cs="Calibri"/>
          <w:b w:val="0"/>
          <w:color w:val="000000"/>
        </w:rPr>
      </w:pPr>
      <w:r w:rsidRPr="00A0676D">
        <w:rPr>
          <w:rFonts w:ascii="Calibri" w:hAnsi="Calibri" w:cs="Calibri"/>
          <w:b w:val="0"/>
          <w:color w:val="000000"/>
        </w:rPr>
        <w:t xml:space="preserve">In conducting this research, RAAS will coordinate closely with the rest of IRS to ensure that </w:t>
      </w:r>
      <w:r w:rsidRPr="00A0676D" w:rsidR="00382182">
        <w:rPr>
          <w:rFonts w:ascii="Calibri" w:hAnsi="Calibri" w:cs="Calibri"/>
          <w:b w:val="0"/>
          <w:color w:val="000000"/>
        </w:rPr>
        <w:t>CTAS</w:t>
      </w:r>
      <w:r w:rsidRPr="00A0676D">
        <w:rPr>
          <w:rFonts w:ascii="Calibri" w:hAnsi="Calibri" w:cs="Calibri"/>
          <w:b w:val="0"/>
          <w:color w:val="000000"/>
        </w:rPr>
        <w:t xml:space="preserve"> will provide maximum benefit to sound tax administration. RAAS will assist in survey design. Additionally, information from past and ongoing RAAS surveys, IRS research, and other research by non-profit organizations will be considered. No similar data are gathered or maintained by the Agency or are available from other sources known to RAAS.</w:t>
      </w:r>
    </w:p>
    <w:p w:rsidR="009B7F12" w:rsidRPr="00A0676D" w:rsidP="009B7F12" w14:paraId="39DF6E3E" w14:textId="77777777">
      <w:pPr>
        <w:tabs>
          <w:tab w:val="left" w:pos="1080"/>
        </w:tabs>
        <w:ind w:left="1080"/>
        <w:rPr>
          <w:rFonts w:ascii="Calibri" w:hAnsi="Calibri" w:cs="Calibri"/>
          <w:color w:val="000000"/>
        </w:rPr>
      </w:pPr>
    </w:p>
    <w:p w:rsidR="009B7F12" w:rsidRPr="00A0676D" w:rsidP="009B7F12" w14:paraId="4B951963" w14:textId="77777777">
      <w:pPr>
        <w:numPr>
          <w:ilvl w:val="1"/>
          <w:numId w:val="1"/>
        </w:numPr>
        <w:tabs>
          <w:tab w:val="left" w:pos="1080"/>
        </w:tabs>
        <w:rPr>
          <w:rFonts w:ascii="Calibri" w:hAnsi="Calibri" w:cs="Calibri"/>
          <w:b/>
          <w:bCs/>
          <w:color w:val="000000"/>
        </w:rPr>
      </w:pPr>
      <w:r w:rsidRPr="00A0676D">
        <w:rPr>
          <w:rFonts w:ascii="Calibri" w:hAnsi="Calibri" w:cs="Calibri"/>
          <w:b/>
          <w:bCs/>
          <w:color w:val="000000"/>
        </w:rPr>
        <w:t>Methods to Minimize Burden on Small Businesses or Other Small Entities</w:t>
      </w:r>
    </w:p>
    <w:p w:rsidR="009B7F12" w:rsidRPr="00A0676D" w:rsidP="009B7F12" w14:paraId="31FBD524" w14:textId="77777777">
      <w:pPr>
        <w:tabs>
          <w:tab w:val="left" w:pos="1080"/>
        </w:tabs>
        <w:ind w:left="1080"/>
        <w:rPr>
          <w:rFonts w:ascii="Calibri" w:hAnsi="Calibri" w:cs="Calibri"/>
          <w:color w:val="000000"/>
        </w:rPr>
      </w:pPr>
    </w:p>
    <w:p w:rsidR="009B7F12" w:rsidRPr="00A0676D" w:rsidP="000110C7" w14:paraId="252C8851" w14:textId="77777777">
      <w:pPr>
        <w:tabs>
          <w:tab w:val="left" w:pos="1080"/>
        </w:tabs>
        <w:ind w:left="1008"/>
        <w:rPr>
          <w:rFonts w:ascii="Calibri" w:hAnsi="Calibri" w:cs="Calibri"/>
          <w:color w:val="000000"/>
        </w:rPr>
      </w:pPr>
      <w:r w:rsidRPr="00A0676D">
        <w:rPr>
          <w:rFonts w:ascii="Calibri" w:hAnsi="Calibri" w:cs="Calibri"/>
          <w:color w:val="000000"/>
        </w:rPr>
        <w:t xml:space="preserve">This survey does not target small business or other small entities, but rather, individual members of the public, whom we assume are likely to be taxpayers. All </w:t>
      </w:r>
      <w:r w:rsidRPr="00A0676D" w:rsidR="00E81C80">
        <w:rPr>
          <w:rFonts w:ascii="Calibri" w:hAnsi="Calibri" w:cs="Calibri"/>
          <w:color w:val="000000"/>
        </w:rPr>
        <w:t>data collection efforts</w:t>
      </w:r>
      <w:r w:rsidRPr="00A0676D">
        <w:rPr>
          <w:rFonts w:ascii="Calibri" w:hAnsi="Calibri" w:cs="Calibri"/>
          <w:color w:val="000000"/>
        </w:rPr>
        <w:t xml:space="preserve"> will be </w:t>
      </w:r>
      <w:r w:rsidRPr="00A0676D" w:rsidR="00043708">
        <w:rPr>
          <w:rFonts w:ascii="Calibri" w:hAnsi="Calibri" w:cs="Calibri"/>
          <w:color w:val="000000"/>
        </w:rPr>
        <w:t>voluntary,</w:t>
      </w:r>
      <w:r w:rsidRPr="00A0676D">
        <w:rPr>
          <w:rFonts w:ascii="Calibri" w:hAnsi="Calibri" w:cs="Calibri"/>
          <w:color w:val="000000"/>
        </w:rPr>
        <w:t xml:space="preserve"> and no respondents will be required to consult or access taxpayer record</w:t>
      </w:r>
      <w:r w:rsidRPr="00A0676D" w:rsidR="00FB3901">
        <w:rPr>
          <w:rFonts w:ascii="Calibri" w:hAnsi="Calibri" w:cs="Calibri"/>
          <w:color w:val="000000"/>
        </w:rPr>
        <w:t>s</w:t>
      </w:r>
      <w:r w:rsidRPr="00A0676D">
        <w:rPr>
          <w:rFonts w:ascii="Calibri" w:hAnsi="Calibri" w:cs="Calibri"/>
          <w:color w:val="000000"/>
        </w:rPr>
        <w:t xml:space="preserve"> for detailed factual information.</w:t>
      </w:r>
      <w:r w:rsidRPr="00A0676D" w:rsidR="00AE3B44">
        <w:rPr>
          <w:rFonts w:ascii="Calibri" w:hAnsi="Calibri" w:cs="Calibri"/>
          <w:color w:val="000000"/>
        </w:rPr>
        <w:t xml:space="preserve"> Additionally, </w:t>
      </w:r>
      <w:r w:rsidRPr="00A0676D" w:rsidR="00482695">
        <w:rPr>
          <w:rFonts w:ascii="Calibri" w:hAnsi="Calibri" w:cs="Calibri"/>
          <w:color w:val="000000"/>
        </w:rPr>
        <w:t xml:space="preserve">respondent </w:t>
      </w:r>
      <w:r w:rsidRPr="00A0676D" w:rsidR="00AE3B44">
        <w:rPr>
          <w:rFonts w:ascii="Calibri" w:hAnsi="Calibri" w:cs="Calibri"/>
          <w:color w:val="000000"/>
        </w:rPr>
        <w:t>burden has been reduced by allowing them to take the survey at a time of their convenience, in the language they prefer, either English or Spanish, and using the mode the</w:t>
      </w:r>
      <w:r w:rsidRPr="00A0676D" w:rsidR="00252DC3">
        <w:rPr>
          <w:rFonts w:ascii="Calibri" w:hAnsi="Calibri" w:cs="Calibri"/>
          <w:color w:val="000000"/>
        </w:rPr>
        <w:t>y</w:t>
      </w:r>
      <w:r w:rsidRPr="00A0676D" w:rsidR="00AE3B44">
        <w:rPr>
          <w:rFonts w:ascii="Calibri" w:hAnsi="Calibri" w:cs="Calibri"/>
          <w:color w:val="000000"/>
        </w:rPr>
        <w:t xml:space="preserve"> prefer, either IVR phone or online</w:t>
      </w:r>
      <w:r w:rsidRPr="00A0676D" w:rsidR="00135855">
        <w:rPr>
          <w:rFonts w:ascii="Calibri" w:hAnsi="Calibri" w:cs="Calibri"/>
          <w:color w:val="000000"/>
        </w:rPr>
        <w:t xml:space="preserve"> surveys</w:t>
      </w:r>
      <w:r w:rsidRPr="00A0676D" w:rsidR="00AE3B44">
        <w:rPr>
          <w:rFonts w:ascii="Calibri" w:hAnsi="Calibri" w:cs="Calibri"/>
          <w:color w:val="000000"/>
        </w:rPr>
        <w:t>.</w:t>
      </w:r>
    </w:p>
    <w:p w:rsidR="009B7F12" w:rsidRPr="00A0676D" w:rsidP="009B7F12" w14:paraId="387654C8" w14:textId="77777777">
      <w:pPr>
        <w:tabs>
          <w:tab w:val="left" w:pos="1080"/>
        </w:tabs>
        <w:ind w:left="1080"/>
        <w:rPr>
          <w:rFonts w:ascii="Calibri" w:hAnsi="Calibri" w:cs="Calibri"/>
          <w:color w:val="000000"/>
        </w:rPr>
      </w:pPr>
    </w:p>
    <w:p w:rsidR="009B7F12" w:rsidRPr="00A0676D" w:rsidP="009B7F12" w14:paraId="2E9F4FD4" w14:textId="77777777">
      <w:pPr>
        <w:numPr>
          <w:ilvl w:val="1"/>
          <w:numId w:val="1"/>
        </w:numPr>
        <w:tabs>
          <w:tab w:val="left" w:pos="1080"/>
        </w:tabs>
        <w:rPr>
          <w:rFonts w:ascii="Calibri" w:hAnsi="Calibri" w:cs="Calibri"/>
          <w:b/>
          <w:bCs/>
          <w:color w:val="000000"/>
        </w:rPr>
      </w:pPr>
      <w:r w:rsidRPr="00A0676D">
        <w:rPr>
          <w:rFonts w:ascii="Calibri" w:hAnsi="Calibri" w:cs="Calibri"/>
          <w:b/>
          <w:bCs/>
          <w:color w:val="000000"/>
        </w:rPr>
        <w:t>Consequences of Less Frequent Collection of Federal Programs or Policy Activities</w:t>
      </w:r>
    </w:p>
    <w:p w:rsidR="009B7F12" w:rsidRPr="00A0676D" w:rsidP="009B7F12" w14:paraId="30C64352" w14:textId="77777777">
      <w:pPr>
        <w:tabs>
          <w:tab w:val="left" w:pos="1080"/>
        </w:tabs>
        <w:ind w:left="1080"/>
        <w:rPr>
          <w:rFonts w:ascii="Calibri" w:hAnsi="Calibri" w:cs="Calibri"/>
          <w:color w:val="000000"/>
        </w:rPr>
      </w:pPr>
    </w:p>
    <w:p w:rsidR="00086E5A" w:rsidRPr="00A0676D" w:rsidP="000110C7" w14:paraId="41116952" w14:textId="77777777">
      <w:pPr>
        <w:ind w:left="1008"/>
        <w:rPr>
          <w:rFonts w:ascii="Calibri" w:hAnsi="Calibri" w:cs="Calibri"/>
          <w:color w:val="000000"/>
        </w:rPr>
      </w:pPr>
      <w:r w:rsidRPr="00A0676D">
        <w:rPr>
          <w:rFonts w:ascii="Calibri" w:hAnsi="Calibri" w:cs="Calibri"/>
          <w:color w:val="000000"/>
        </w:rPr>
        <w:t xml:space="preserve">This clearance involves </w:t>
      </w:r>
      <w:r w:rsidRPr="00A0676D" w:rsidR="00973873">
        <w:rPr>
          <w:rFonts w:ascii="Calibri" w:hAnsi="Calibri" w:cs="Calibri"/>
          <w:color w:val="000000"/>
        </w:rPr>
        <w:t xml:space="preserve">an annual, </w:t>
      </w:r>
      <w:r w:rsidRPr="00A0676D">
        <w:rPr>
          <w:rFonts w:ascii="Calibri" w:hAnsi="Calibri" w:cs="Calibri"/>
          <w:color w:val="000000"/>
        </w:rPr>
        <w:t>one-time data collection activit</w:t>
      </w:r>
      <w:r w:rsidRPr="00A0676D" w:rsidR="00973873">
        <w:rPr>
          <w:rFonts w:ascii="Calibri" w:hAnsi="Calibri" w:cs="Calibri"/>
          <w:color w:val="000000"/>
        </w:rPr>
        <w:t>y</w:t>
      </w:r>
      <w:r w:rsidRPr="00A0676D">
        <w:rPr>
          <w:rFonts w:ascii="Calibri" w:hAnsi="Calibri" w:cs="Calibri"/>
          <w:color w:val="000000"/>
        </w:rPr>
        <w:t>.</w:t>
      </w:r>
      <w:r w:rsidRPr="00A0676D" w:rsidR="007B4257">
        <w:rPr>
          <w:rFonts w:ascii="Calibri" w:hAnsi="Calibri" w:cs="Calibri"/>
          <w:color w:val="000000"/>
        </w:rPr>
        <w:t xml:space="preserve"> </w:t>
      </w:r>
      <w:r w:rsidRPr="00A0676D">
        <w:rPr>
          <w:rFonts w:ascii="Calibri" w:hAnsi="Calibri" w:cs="Calibri"/>
          <w:color w:val="000000"/>
        </w:rPr>
        <w:t>Less frequent data collection would impede RAAS’ effort to get updated critical input needed to provide a clear and reliable taxpayer context that aids IRS in its review of the performance of current IRS taxpayer service and enforcement programs designed to improve voluntary compliance, and in RAAS’ proposals for strategic performance measures. In addition, the long</w:t>
      </w:r>
      <w:r w:rsidRPr="00A0676D" w:rsidR="00C062FB">
        <w:rPr>
          <w:rFonts w:ascii="Calibri" w:hAnsi="Calibri" w:cs="Calibri"/>
          <w:color w:val="000000"/>
        </w:rPr>
        <w:t>-</w:t>
      </w:r>
      <w:r w:rsidRPr="00A0676D">
        <w:rPr>
          <w:rFonts w:ascii="Calibri" w:hAnsi="Calibri" w:cs="Calibri"/>
          <w:color w:val="000000"/>
        </w:rPr>
        <w:t xml:space="preserve">time annual series of taxpayer attitudes </w:t>
      </w:r>
      <w:r w:rsidRPr="00A0676D" w:rsidR="00822D57">
        <w:rPr>
          <w:rFonts w:ascii="Calibri" w:hAnsi="Calibri" w:cs="Calibri"/>
          <w:color w:val="000000"/>
        </w:rPr>
        <w:t xml:space="preserve">and behaviors </w:t>
      </w:r>
      <w:r w:rsidRPr="00A0676D">
        <w:rPr>
          <w:rFonts w:ascii="Calibri" w:hAnsi="Calibri" w:cs="Calibri"/>
          <w:color w:val="000000"/>
        </w:rPr>
        <w:t>would be interrupted.</w:t>
      </w:r>
    </w:p>
    <w:p w:rsidR="009B7F12" w:rsidRPr="00A0676D" w:rsidP="009B7F12" w14:paraId="54024209" w14:textId="77777777">
      <w:pPr>
        <w:tabs>
          <w:tab w:val="left" w:pos="1080"/>
        </w:tabs>
        <w:ind w:left="1080"/>
        <w:rPr>
          <w:rFonts w:ascii="Calibri" w:hAnsi="Calibri" w:cs="Calibri"/>
          <w:color w:val="000000"/>
        </w:rPr>
      </w:pPr>
    </w:p>
    <w:p w:rsidR="009B7F12" w:rsidRPr="00A0676D" w:rsidP="009B7F12" w14:paraId="75AC258A" w14:textId="77777777">
      <w:pPr>
        <w:numPr>
          <w:ilvl w:val="1"/>
          <w:numId w:val="1"/>
        </w:numPr>
        <w:tabs>
          <w:tab w:val="left" w:pos="1080"/>
        </w:tabs>
        <w:rPr>
          <w:rFonts w:ascii="Calibri" w:hAnsi="Calibri" w:cs="Calibri"/>
          <w:b/>
          <w:bCs/>
          <w:color w:val="000000"/>
        </w:rPr>
      </w:pPr>
      <w:r w:rsidRPr="00A0676D">
        <w:rPr>
          <w:rFonts w:ascii="Calibri" w:hAnsi="Calibri" w:cs="Calibri"/>
          <w:b/>
          <w:bCs/>
          <w:color w:val="000000"/>
        </w:rPr>
        <w:t>Special Circumstances Requiring Data Collection to be Inconsistent with Guidelines in 5 CFR 1320.5(d) (2)</w:t>
      </w:r>
    </w:p>
    <w:p w:rsidR="009B7F12" w:rsidRPr="00A0676D" w:rsidP="009B7F12" w14:paraId="682909E7" w14:textId="77777777">
      <w:pPr>
        <w:tabs>
          <w:tab w:val="left" w:pos="1080"/>
        </w:tabs>
        <w:ind w:left="1080"/>
        <w:rPr>
          <w:rFonts w:ascii="Calibri" w:hAnsi="Calibri" w:cs="Calibri"/>
          <w:color w:val="000000"/>
        </w:rPr>
      </w:pPr>
    </w:p>
    <w:p w:rsidR="009B7F12" w:rsidRPr="00A0676D" w:rsidP="009B7F12" w14:paraId="096DDCFB" w14:textId="77777777">
      <w:pPr>
        <w:tabs>
          <w:tab w:val="left" w:pos="1080"/>
        </w:tabs>
        <w:ind w:left="1080"/>
        <w:rPr>
          <w:rFonts w:ascii="Calibri" w:hAnsi="Calibri" w:cs="Calibri"/>
          <w:color w:val="000000"/>
        </w:rPr>
      </w:pPr>
      <w:r w:rsidRPr="00A0676D">
        <w:rPr>
          <w:rFonts w:ascii="Calibri" w:hAnsi="Calibri" w:cs="Calibri"/>
          <w:color w:val="000000"/>
        </w:rPr>
        <w:t xml:space="preserve">There are no special circumstances. </w:t>
      </w:r>
      <w:r w:rsidRPr="00A0676D" w:rsidR="00E72C71">
        <w:rPr>
          <w:rFonts w:ascii="Calibri" w:hAnsi="Calibri" w:cs="Calibri"/>
          <w:color w:val="000000"/>
        </w:rPr>
        <w:t xml:space="preserve">The IRS will collect information under this clearance in a manner that complies with 5 </w:t>
      </w:r>
      <w:r w:rsidRPr="00A0676D" w:rsidR="00721F37">
        <w:rPr>
          <w:rFonts w:ascii="Calibri" w:hAnsi="Calibri" w:cs="Calibri"/>
          <w:color w:val="000000"/>
        </w:rPr>
        <w:t xml:space="preserve">CFR </w:t>
      </w:r>
      <w:r w:rsidRPr="00A0676D" w:rsidR="00E72C71">
        <w:rPr>
          <w:rFonts w:ascii="Calibri" w:hAnsi="Calibri" w:cs="Calibri"/>
          <w:color w:val="000000"/>
        </w:rPr>
        <w:t>1320.5(d) (2).</w:t>
      </w:r>
    </w:p>
    <w:p w:rsidR="00E72C71" w:rsidRPr="00A0676D" w:rsidP="009B7F12" w14:paraId="56C3388A" w14:textId="77777777">
      <w:pPr>
        <w:tabs>
          <w:tab w:val="left" w:pos="1080"/>
        </w:tabs>
        <w:ind w:left="1080"/>
        <w:rPr>
          <w:rFonts w:ascii="Calibri" w:hAnsi="Calibri" w:cs="Calibri"/>
          <w:color w:val="000000"/>
        </w:rPr>
      </w:pPr>
    </w:p>
    <w:p w:rsidR="00E72C71" w:rsidRPr="00A0676D" w:rsidP="00E72C71" w14:paraId="1A5CD82F" w14:textId="77777777">
      <w:pPr>
        <w:numPr>
          <w:ilvl w:val="1"/>
          <w:numId w:val="1"/>
        </w:numPr>
        <w:tabs>
          <w:tab w:val="left" w:pos="1080"/>
        </w:tabs>
        <w:rPr>
          <w:rFonts w:ascii="Calibri" w:hAnsi="Calibri" w:cs="Calibri"/>
          <w:b/>
          <w:bCs/>
          <w:color w:val="000000"/>
        </w:rPr>
      </w:pPr>
      <w:r w:rsidRPr="00A0676D">
        <w:rPr>
          <w:rFonts w:ascii="Calibri" w:hAnsi="Calibri" w:cs="Calibri"/>
          <w:b/>
          <w:bCs/>
          <w:color w:val="000000"/>
        </w:rPr>
        <w:t>Consultation with Individuals Outside of the Agency on Availability of Data</w:t>
      </w:r>
      <w:r w:rsidRPr="00A0676D" w:rsidR="00E81C80">
        <w:rPr>
          <w:rFonts w:ascii="Calibri" w:hAnsi="Calibri" w:cs="Calibri"/>
          <w:b/>
          <w:bCs/>
          <w:color w:val="000000"/>
        </w:rPr>
        <w:t>,</w:t>
      </w:r>
      <w:r w:rsidRPr="00A0676D">
        <w:rPr>
          <w:rFonts w:ascii="Calibri" w:hAnsi="Calibri" w:cs="Calibri"/>
          <w:b/>
          <w:bCs/>
          <w:color w:val="000000"/>
        </w:rPr>
        <w:t xml:space="preserve"> Frequency of Collection, Clarity of Instructions and Forms, and Data Elements</w:t>
      </w:r>
    </w:p>
    <w:p w:rsidR="00B8266F" w:rsidRPr="00A0676D" w:rsidP="00022CAF" w14:paraId="76DE3293" w14:textId="77777777">
      <w:pPr>
        <w:ind w:left="1080"/>
        <w:rPr>
          <w:rFonts w:ascii="Calibri" w:hAnsi="Calibri" w:cs="Calibri"/>
          <w:color w:val="000000"/>
        </w:rPr>
      </w:pPr>
    </w:p>
    <w:p w:rsidR="00B8266F" w:rsidRPr="00A0676D" w:rsidP="00B8266F" w14:paraId="45473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cs="Calibri"/>
          <w:color w:val="000000"/>
        </w:rPr>
      </w:pPr>
      <w:r w:rsidRPr="00A0676D">
        <w:rPr>
          <w:rFonts w:ascii="Calibri" w:hAnsi="Calibri" w:cs="Calibri"/>
          <w:color w:val="000000"/>
        </w:rPr>
        <w:t>a.   Other agencies - not applicable.</w:t>
      </w:r>
    </w:p>
    <w:p w:rsidR="00B8266F" w:rsidRPr="00A0676D" w:rsidP="00B8266F" w14:paraId="58328E73" w14:textId="77777777">
      <w:pPr>
        <w:widowControl w:val="0"/>
        <w:numPr>
          <w:ilvl w:val="0"/>
          <w:numId w:val="4"/>
        </w:numPr>
        <w:tabs>
          <w:tab w:val="left" w:pos="0"/>
          <w:tab w:val="clear" w:pos="360"/>
          <w:tab w:val="left" w:pos="720"/>
          <w:tab w:val="left" w:pos="2880"/>
          <w:tab w:val="left" w:pos="3600"/>
          <w:tab w:val="left" w:pos="4320"/>
          <w:tab w:val="left" w:pos="5040"/>
          <w:tab w:val="left" w:pos="5760"/>
          <w:tab w:val="left" w:pos="6480"/>
          <w:tab w:val="left" w:pos="7200"/>
          <w:tab w:val="left" w:pos="7920"/>
          <w:tab w:val="left" w:pos="8640"/>
        </w:tabs>
        <w:ind w:left="1080"/>
        <w:rPr>
          <w:rFonts w:ascii="Calibri" w:hAnsi="Calibri" w:cs="Calibri"/>
          <w:color w:val="000000"/>
        </w:rPr>
      </w:pPr>
      <w:r w:rsidRPr="00A0676D">
        <w:rPr>
          <w:rFonts w:ascii="Calibri" w:hAnsi="Calibri" w:cs="Calibri"/>
          <w:color w:val="000000"/>
        </w:rPr>
        <w:t xml:space="preserve"> </w:t>
      </w:r>
    </w:p>
    <w:p w:rsidR="00B8266F" w:rsidRPr="00A0676D" w:rsidP="00B8266F" w14:paraId="268FB97B" w14:textId="77777777">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s>
        <w:ind w:left="1440"/>
        <w:rPr>
          <w:rFonts w:ascii="Calibri" w:hAnsi="Calibri" w:cs="Calibri"/>
          <w:color w:val="000000"/>
        </w:rPr>
      </w:pPr>
      <w:r w:rsidRPr="00A0676D">
        <w:rPr>
          <w:rFonts w:ascii="Calibri" w:hAnsi="Calibri" w:cs="Calibri"/>
          <w:color w:val="000000"/>
        </w:rPr>
        <w:t>b. Within the IRS, coordination occurs on each propose</w:t>
      </w:r>
      <w:r w:rsidRPr="00A0676D" w:rsidR="002C46DD">
        <w:rPr>
          <w:rFonts w:ascii="Calibri" w:hAnsi="Calibri" w:cs="Calibri"/>
          <w:color w:val="000000"/>
        </w:rPr>
        <w:t>d</w:t>
      </w:r>
      <w:r w:rsidRPr="00A0676D">
        <w:rPr>
          <w:rFonts w:ascii="Calibri" w:hAnsi="Calibri" w:cs="Calibri"/>
          <w:color w:val="000000"/>
        </w:rPr>
        <w:t xml:space="preserve"> project through other areas of the IRS.  Care is taken to ensure that efforts do not duplicate those of opinion research or surveys conducted by contractors at the request of the IRS subject matter specialists.  The individuals responsible for this coordination are:</w:t>
      </w:r>
    </w:p>
    <w:p w:rsidR="00B8266F" w:rsidRPr="00A0676D" w:rsidP="00B8266F" w14:paraId="72CB6624"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p>
    <w:p w:rsidR="00B8266F" w:rsidRPr="00A0676D" w:rsidP="00B8266F" w14:paraId="001A77B5"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Timothy S. Castle</w:t>
      </w:r>
    </w:p>
    <w:p w:rsidR="00B8266F" w:rsidRPr="00A0676D" w:rsidP="00B8266F" w14:paraId="126EFB5A"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Internal Revenue Service</w:t>
      </w:r>
    </w:p>
    <w:p w:rsidR="00B8266F" w:rsidRPr="00A0676D" w:rsidP="00B8266F" w14:paraId="46AD5FB2"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Statistics of Income Division</w:t>
      </w:r>
    </w:p>
    <w:p w:rsidR="00B8266F" w:rsidRPr="00A0676D" w:rsidP="00B8266F" w14:paraId="043D1A1F"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77 K Street, NE</w:t>
      </w:r>
    </w:p>
    <w:p w:rsidR="00B8266F" w:rsidRPr="00A0676D" w:rsidP="00B8266F" w14:paraId="371FD6E0"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Washington, DC 2000</w:t>
      </w:r>
      <w:r w:rsidRPr="00A0676D" w:rsidR="008101BF">
        <w:rPr>
          <w:rFonts w:ascii="Calibri" w:hAnsi="Calibri" w:cs="Calibri"/>
          <w:color w:val="000000"/>
        </w:rPr>
        <w:t>2</w:t>
      </w:r>
    </w:p>
    <w:p w:rsidR="00B8266F" w:rsidRPr="00A0676D" w:rsidP="00B8266F" w14:paraId="5B833161"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(202) 8</w:t>
      </w:r>
      <w:r w:rsidRPr="00A0676D" w:rsidR="00EF213F">
        <w:rPr>
          <w:rFonts w:ascii="Calibri" w:hAnsi="Calibri" w:cs="Calibri"/>
          <w:color w:val="000000"/>
        </w:rPr>
        <w:t>03</w:t>
      </w:r>
      <w:r w:rsidRPr="00A0676D">
        <w:rPr>
          <w:rFonts w:ascii="Calibri" w:hAnsi="Calibri" w:cs="Calibri"/>
          <w:color w:val="000000"/>
        </w:rPr>
        <w:t>-</w:t>
      </w:r>
      <w:r w:rsidRPr="00A0676D" w:rsidR="00EF213F">
        <w:rPr>
          <w:rFonts w:ascii="Calibri" w:hAnsi="Calibri" w:cs="Calibri"/>
          <w:color w:val="000000"/>
        </w:rPr>
        <w:t>9</w:t>
      </w:r>
      <w:r w:rsidRPr="00A0676D" w:rsidR="005E0668">
        <w:rPr>
          <w:rFonts w:ascii="Calibri" w:hAnsi="Calibri" w:cs="Calibri"/>
          <w:color w:val="000000"/>
        </w:rPr>
        <w:t>106</w:t>
      </w:r>
    </w:p>
    <w:p w:rsidR="00B8266F" w:rsidRPr="00A0676D" w:rsidP="00B8266F" w14:paraId="530A4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color w:val="000000"/>
        </w:rPr>
      </w:pPr>
    </w:p>
    <w:p w:rsidR="003D12AD" w:rsidRPr="00A0676D" w:rsidP="00B8266F" w14:paraId="4C419A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Donna Baldwin</w:t>
      </w:r>
    </w:p>
    <w:p w:rsidR="003D12AD" w:rsidRPr="00A0676D" w:rsidP="003D12AD" w14:paraId="0BC327C8"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Internal Revenue Service</w:t>
      </w:r>
    </w:p>
    <w:p w:rsidR="003D12AD" w:rsidRPr="00A0676D" w:rsidP="003D12AD" w14:paraId="58D9C8D2"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Statistics of Income Division</w:t>
      </w:r>
    </w:p>
    <w:p w:rsidR="003D12AD" w:rsidRPr="00A0676D" w:rsidP="003D12AD" w14:paraId="35F9FDBA"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77 K Street, NE</w:t>
      </w:r>
    </w:p>
    <w:p w:rsidR="003D12AD" w:rsidRPr="00A0676D" w:rsidP="003D12AD" w14:paraId="52878F74" w14:textId="77777777">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Washington, DC 20002</w:t>
      </w:r>
    </w:p>
    <w:p w:rsidR="003D12AD" w:rsidRPr="00A0676D" w:rsidP="00B8266F" w14:paraId="359728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r w:rsidRPr="00A0676D">
        <w:rPr>
          <w:rFonts w:ascii="Calibri" w:hAnsi="Calibri" w:cs="Calibri"/>
          <w:color w:val="000000"/>
        </w:rPr>
        <w:t>(</w:t>
      </w:r>
      <w:r w:rsidRPr="00A0676D" w:rsidR="00E21E97">
        <w:rPr>
          <w:rFonts w:ascii="Calibri" w:hAnsi="Calibri" w:cs="Calibri"/>
          <w:color w:val="000000"/>
        </w:rPr>
        <w:t>571</w:t>
      </w:r>
      <w:r w:rsidRPr="00A0676D">
        <w:rPr>
          <w:rFonts w:ascii="Calibri" w:hAnsi="Calibri" w:cs="Calibri"/>
          <w:color w:val="000000"/>
        </w:rPr>
        <w:t xml:space="preserve">) </w:t>
      </w:r>
      <w:r w:rsidRPr="00A0676D" w:rsidR="00E21E97">
        <w:rPr>
          <w:rFonts w:ascii="Calibri" w:hAnsi="Calibri" w:cs="Calibri"/>
          <w:color w:val="000000"/>
        </w:rPr>
        <w:t>516</w:t>
      </w:r>
      <w:r w:rsidRPr="00A0676D">
        <w:rPr>
          <w:rFonts w:ascii="Calibri" w:hAnsi="Calibri" w:cs="Calibri"/>
          <w:color w:val="000000"/>
        </w:rPr>
        <w:t>-</w:t>
      </w:r>
      <w:r w:rsidRPr="00A0676D" w:rsidR="00E21E97">
        <w:rPr>
          <w:rFonts w:ascii="Calibri" w:hAnsi="Calibri" w:cs="Calibri"/>
          <w:color w:val="000000"/>
        </w:rPr>
        <w:t>1052</w:t>
      </w:r>
    </w:p>
    <w:p w:rsidR="003D12AD" w:rsidRPr="00A0676D" w:rsidP="00B8266F" w14:paraId="02FAEF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alibri" w:hAnsi="Calibri" w:cs="Calibri"/>
          <w:color w:val="000000"/>
        </w:rPr>
      </w:pPr>
    </w:p>
    <w:p w:rsidR="00B8266F" w:rsidRPr="00A0676D" w:rsidP="00B8266F" w14:paraId="6FD52C59" w14:textId="7C07CB2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firstLine="720"/>
        <w:jc w:val="both"/>
        <w:rPr>
          <w:rFonts w:ascii="Calibri" w:hAnsi="Calibri" w:cs="Calibri"/>
          <w:color w:val="000000"/>
        </w:rPr>
      </w:pPr>
      <w:r w:rsidRPr="00A0676D">
        <w:rPr>
          <w:rFonts w:ascii="Calibri" w:hAnsi="Calibri" w:cs="Calibri"/>
          <w:color w:val="000000"/>
        </w:rPr>
        <w:tab/>
      </w:r>
      <w:r w:rsidRPr="00A0676D">
        <w:rPr>
          <w:rFonts w:ascii="Calibri" w:hAnsi="Calibri" w:cs="Calibri"/>
          <w:color w:val="000000"/>
        </w:rPr>
        <w:tab/>
      </w:r>
      <w:r w:rsidRPr="00A0676D">
        <w:rPr>
          <w:rFonts w:ascii="Calibri" w:hAnsi="Calibri" w:cs="Calibri"/>
          <w:color w:val="000000"/>
        </w:rPr>
        <w:tab/>
      </w:r>
      <w:r w:rsidRPr="00A0676D">
        <w:rPr>
          <w:rFonts w:ascii="Calibri" w:hAnsi="Calibri" w:cs="Calibri"/>
          <w:color w:val="000000"/>
        </w:rPr>
        <w:tab/>
        <w:t>c.</w:t>
      </w:r>
      <w:r w:rsidR="00AA08A8">
        <w:rPr>
          <w:rFonts w:ascii="Calibri" w:hAnsi="Calibri" w:cs="Calibri"/>
          <w:color w:val="000000"/>
        </w:rPr>
        <w:t xml:space="preserve"> </w:t>
      </w:r>
      <w:r w:rsidRPr="00A0676D">
        <w:rPr>
          <w:rFonts w:ascii="Calibri" w:hAnsi="Calibri" w:cs="Calibri"/>
          <w:color w:val="000000"/>
        </w:rPr>
        <w:t>There are no unresolved problems.</w:t>
      </w:r>
    </w:p>
    <w:p w:rsidR="00B8266F" w:rsidRPr="00A0676D" w:rsidP="00B8266F" w14:paraId="60134D1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jc w:val="both"/>
        <w:rPr>
          <w:rFonts w:ascii="Calibri" w:hAnsi="Calibri" w:cs="Calibri"/>
          <w:color w:val="000000"/>
        </w:rPr>
      </w:pPr>
    </w:p>
    <w:p w:rsidR="00382A6A" w:rsidRPr="00A0676D" w:rsidP="00382A6A" w14:paraId="5F8063F5" w14:textId="350C1952">
      <w:pPr>
        <w:pStyle w:val="BodyTextIndent2"/>
        <w:spacing w:line="240" w:lineRule="auto"/>
        <w:ind w:left="1440"/>
        <w:rPr>
          <w:rFonts w:ascii="Calibri" w:hAnsi="Calibri" w:cs="Calibri"/>
          <w:color w:val="000000"/>
        </w:rPr>
      </w:pPr>
      <w:r w:rsidRPr="00A0676D">
        <w:rPr>
          <w:rFonts w:ascii="Calibri" w:hAnsi="Calibri" w:cs="Calibri"/>
          <w:color w:val="000000"/>
        </w:rPr>
        <w:t>d.</w:t>
      </w:r>
      <w:r w:rsidR="00AA08A8">
        <w:rPr>
          <w:rFonts w:ascii="Calibri" w:hAnsi="Calibri" w:cs="Calibri"/>
          <w:color w:val="000000"/>
        </w:rPr>
        <w:t xml:space="preserve"> </w:t>
      </w:r>
      <w:r w:rsidRPr="00A0676D">
        <w:rPr>
          <w:rFonts w:ascii="Calibri" w:hAnsi="Calibri" w:cs="Calibri"/>
          <w:color w:val="000000"/>
        </w:rPr>
        <w:t>Any comments received will be noted in an update. If no comments are received, the box below will be revised with a date. Continual feedback from the scientific community is an important aspect of IRS’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r w:rsidRPr="00A0676D">
        <w:rPr>
          <w:rFonts w:ascii="Calibri" w:hAnsi="Calibri" w:cs="Calibri"/>
          <w:color w:val="000000"/>
        </w:rPr>
        <w:tab/>
      </w:r>
    </w:p>
    <w:p w:rsidR="004404F8" w:rsidRPr="00A0676D" w:rsidP="00382A6A" w14:paraId="5B87A597" w14:textId="77777777">
      <w:pPr>
        <w:pStyle w:val="BodyTextIndent2"/>
        <w:spacing w:line="240" w:lineRule="auto"/>
        <w:ind w:left="1440"/>
        <w:rPr>
          <w:rFonts w:ascii="Calibri" w:hAnsi="Calibri" w:cs="Calibri"/>
          <w:color w:val="000000"/>
        </w:rPr>
      </w:pPr>
    </w:p>
    <w:p w:rsidR="004404F8" w:rsidRPr="00A0676D" w:rsidP="00382A6A" w14:paraId="7DE867CB" w14:textId="77777777">
      <w:pPr>
        <w:pStyle w:val="BodyTextIndent2"/>
        <w:spacing w:line="240" w:lineRule="auto"/>
        <w:ind w:left="1440"/>
        <w:rPr>
          <w:rFonts w:ascii="Calibri" w:hAnsi="Calibri" w:cs="Calibri"/>
          <w:color w:val="000000"/>
        </w:rPr>
      </w:pPr>
      <w:r w:rsidRPr="00A0676D">
        <w:rPr>
          <w:rFonts w:ascii="Calibri" w:hAnsi="Calibri" w:cs="Calibri"/>
          <w:color w:val="000000"/>
        </w:rPr>
        <w:t xml:space="preserve">In response to the </w:t>
      </w:r>
      <w:r w:rsidRPr="00A0676D">
        <w:rPr>
          <w:rFonts w:ascii="Calibri" w:hAnsi="Calibri" w:cs="Calibri"/>
          <w:i/>
          <w:iCs/>
          <w:color w:val="000000"/>
        </w:rPr>
        <w:t>Federal Register</w:t>
      </w:r>
      <w:r w:rsidRPr="00A0676D">
        <w:rPr>
          <w:rFonts w:ascii="Calibri" w:hAnsi="Calibri" w:cs="Calibri"/>
          <w:color w:val="000000"/>
        </w:rPr>
        <w:t xml:space="preserve"> notice (88 FR 31097) dated May 15, 2023, IRS received no comments during the comment period for </w:t>
      </w:r>
      <w:r w:rsidRPr="00A0676D" w:rsidR="00EF0438">
        <w:rPr>
          <w:rFonts w:ascii="Calibri" w:hAnsi="Calibri" w:cs="Calibri"/>
          <w:color w:val="000000"/>
        </w:rPr>
        <w:t>C</w:t>
      </w:r>
      <w:r w:rsidRPr="00A0676D">
        <w:rPr>
          <w:rFonts w:ascii="Calibri" w:hAnsi="Calibri" w:cs="Calibri"/>
          <w:color w:val="000000"/>
        </w:rPr>
        <w:t xml:space="preserve">omprehensive </w:t>
      </w:r>
      <w:r w:rsidRPr="00A0676D" w:rsidR="00EF0438">
        <w:rPr>
          <w:rFonts w:ascii="Calibri" w:hAnsi="Calibri" w:cs="Calibri"/>
          <w:color w:val="000000"/>
        </w:rPr>
        <w:t>T</w:t>
      </w:r>
      <w:r w:rsidRPr="00A0676D">
        <w:rPr>
          <w:rFonts w:ascii="Calibri" w:hAnsi="Calibri" w:cs="Calibri"/>
          <w:color w:val="000000"/>
        </w:rPr>
        <w:t xml:space="preserve">axpayer </w:t>
      </w:r>
      <w:r w:rsidRPr="00A0676D" w:rsidR="00EF0438">
        <w:rPr>
          <w:rFonts w:ascii="Calibri" w:hAnsi="Calibri" w:cs="Calibri"/>
          <w:color w:val="000000"/>
        </w:rPr>
        <w:t>A</w:t>
      </w:r>
      <w:r w:rsidRPr="00A0676D">
        <w:rPr>
          <w:rFonts w:ascii="Calibri" w:hAnsi="Calibri" w:cs="Calibri"/>
          <w:color w:val="000000"/>
        </w:rPr>
        <w:t xml:space="preserve">ttitude </w:t>
      </w:r>
      <w:r w:rsidRPr="00A0676D" w:rsidR="00EF0438">
        <w:rPr>
          <w:rFonts w:ascii="Calibri" w:hAnsi="Calibri" w:cs="Calibri"/>
          <w:color w:val="000000"/>
        </w:rPr>
        <w:t>S</w:t>
      </w:r>
      <w:r w:rsidRPr="00A0676D">
        <w:rPr>
          <w:rFonts w:ascii="Calibri" w:hAnsi="Calibri" w:cs="Calibri"/>
          <w:color w:val="000000"/>
        </w:rPr>
        <w:t xml:space="preserve">urvey (CTAS).   </w:t>
      </w:r>
    </w:p>
    <w:p w:rsidR="004404F8" w:rsidRPr="00A0676D" w:rsidP="00382A6A" w14:paraId="57E2E40F" w14:textId="77777777">
      <w:pPr>
        <w:pStyle w:val="BodyTextIndent2"/>
        <w:spacing w:line="240" w:lineRule="auto"/>
        <w:ind w:left="1440"/>
        <w:rPr>
          <w:rFonts w:ascii="Calibri" w:hAnsi="Calibri" w:cs="Calibri"/>
          <w:b/>
          <w:bCs/>
          <w:color w:val="000000"/>
        </w:rPr>
      </w:pPr>
    </w:p>
    <w:p w:rsidR="009F0ABF" w:rsidRPr="00A0676D" w:rsidP="009F0ABF" w14:paraId="36540378" w14:textId="77777777">
      <w:pPr>
        <w:numPr>
          <w:ilvl w:val="1"/>
          <w:numId w:val="1"/>
        </w:numPr>
        <w:tabs>
          <w:tab w:val="left" w:pos="1080"/>
        </w:tabs>
        <w:rPr>
          <w:rFonts w:ascii="Calibri" w:hAnsi="Calibri" w:cs="Calibri"/>
          <w:b/>
          <w:bCs/>
          <w:color w:val="000000"/>
        </w:rPr>
      </w:pPr>
      <w:r w:rsidRPr="00A0676D">
        <w:rPr>
          <w:rFonts w:ascii="Calibri" w:hAnsi="Calibri" w:cs="Calibri"/>
          <w:b/>
          <w:bCs/>
          <w:color w:val="000000"/>
        </w:rPr>
        <w:t>Explanation of Decision to Provide any Payment or Gift to Respondents</w:t>
      </w:r>
    </w:p>
    <w:p w:rsidR="009F0ABF" w:rsidRPr="00A0676D" w:rsidP="009F0ABF" w14:paraId="5015DB46" w14:textId="77777777">
      <w:pPr>
        <w:tabs>
          <w:tab w:val="left" w:pos="1080"/>
        </w:tabs>
        <w:ind w:left="1080"/>
        <w:rPr>
          <w:rFonts w:ascii="Calibri" w:hAnsi="Calibri" w:cs="Calibri"/>
          <w:color w:val="000000"/>
        </w:rPr>
      </w:pPr>
    </w:p>
    <w:p w:rsidR="00A659D6" w:rsidRPr="00A0676D" w:rsidP="00C062FB" w14:paraId="7189ED9C" w14:textId="77777777">
      <w:pPr>
        <w:autoSpaceDE w:val="0"/>
        <w:autoSpaceDN w:val="0"/>
        <w:adjustRightInd w:val="0"/>
        <w:ind w:left="1080"/>
        <w:rPr>
          <w:rFonts w:ascii="Calibri" w:hAnsi="Calibri" w:cs="Calibri"/>
          <w:color w:val="000000"/>
        </w:rPr>
      </w:pPr>
      <w:r w:rsidRPr="00A0676D">
        <w:rPr>
          <w:rFonts w:ascii="Calibri" w:hAnsi="Calibri" w:cs="Calibri"/>
          <w:color w:val="000000"/>
        </w:rPr>
        <w:t>At times, incentives are authorized as a thank you for, and to encourage participation in IRS surveys</w:t>
      </w:r>
      <w:r w:rsidRPr="00A0676D" w:rsidR="009F0ABF">
        <w:rPr>
          <w:rFonts w:ascii="Calibri" w:hAnsi="Calibri" w:cs="Calibri"/>
          <w:color w:val="000000"/>
        </w:rPr>
        <w:t xml:space="preserve">. </w:t>
      </w:r>
      <w:r w:rsidRPr="00A0676D" w:rsidR="00DE16D2">
        <w:rPr>
          <w:rFonts w:ascii="Calibri" w:hAnsi="Calibri" w:cs="Calibri"/>
          <w:color w:val="000000"/>
        </w:rPr>
        <w:t>This survey will rely on incentives. The incentive will be</w:t>
      </w:r>
      <w:r w:rsidRPr="00A0676D" w:rsidR="00044FCF">
        <w:rPr>
          <w:rFonts w:ascii="Calibri" w:hAnsi="Calibri" w:cs="Calibri"/>
          <w:color w:val="000000"/>
        </w:rPr>
        <w:t xml:space="preserve"> a </w:t>
      </w:r>
      <w:r w:rsidRPr="00A0676D" w:rsidR="00DE16D2">
        <w:rPr>
          <w:rFonts w:ascii="Calibri" w:hAnsi="Calibri" w:cs="Calibri"/>
          <w:color w:val="000000"/>
        </w:rPr>
        <w:t>$10 gift card, paid upon completion of the survey, except for the homeless segment, which will receive a $10 gift card for participation (partial or complete survey). If needed, an additional $10 gift card incentive will be provided to homeless individuals.</w:t>
      </w:r>
    </w:p>
    <w:p w:rsidR="009F0ABF" w:rsidRPr="00A0676D" w:rsidP="009F0ABF" w14:paraId="536D6A10" w14:textId="77777777">
      <w:pPr>
        <w:tabs>
          <w:tab w:val="left" w:pos="1080"/>
        </w:tabs>
        <w:ind w:left="1080"/>
        <w:rPr>
          <w:rFonts w:ascii="Calibri" w:hAnsi="Calibri" w:cs="Calibri"/>
          <w:color w:val="000000"/>
        </w:rPr>
      </w:pPr>
    </w:p>
    <w:p w:rsidR="009F0ABF" w:rsidRPr="00A0676D" w:rsidP="009F0ABF" w14:paraId="278AD356" w14:textId="77777777">
      <w:pPr>
        <w:numPr>
          <w:ilvl w:val="1"/>
          <w:numId w:val="1"/>
        </w:numPr>
        <w:tabs>
          <w:tab w:val="left" w:pos="1080"/>
        </w:tabs>
        <w:rPr>
          <w:rFonts w:ascii="Calibri" w:hAnsi="Calibri" w:cs="Calibri"/>
          <w:b/>
          <w:bCs/>
          <w:color w:val="000000"/>
        </w:rPr>
      </w:pPr>
      <w:r w:rsidRPr="00A0676D">
        <w:rPr>
          <w:rFonts w:ascii="Calibri" w:hAnsi="Calibri" w:cs="Calibri"/>
          <w:b/>
          <w:bCs/>
          <w:color w:val="000000"/>
        </w:rPr>
        <w:t xml:space="preserve">  Assurance of </w:t>
      </w:r>
      <w:r w:rsidRPr="00A0676D" w:rsidR="008C6DEC">
        <w:rPr>
          <w:rFonts w:ascii="Calibri" w:hAnsi="Calibri" w:cs="Calibri"/>
          <w:b/>
          <w:bCs/>
          <w:color w:val="000000"/>
        </w:rPr>
        <w:t>Privacy</w:t>
      </w:r>
      <w:r w:rsidRPr="00A0676D">
        <w:rPr>
          <w:rFonts w:ascii="Calibri" w:hAnsi="Calibri" w:cs="Calibri"/>
          <w:b/>
          <w:bCs/>
          <w:color w:val="000000"/>
        </w:rPr>
        <w:t xml:space="preserve"> of Response</w:t>
      </w:r>
    </w:p>
    <w:p w:rsidR="009F0ABF" w:rsidRPr="00A0676D" w:rsidP="009F0ABF" w14:paraId="13DA56D2" w14:textId="77777777">
      <w:pPr>
        <w:tabs>
          <w:tab w:val="left" w:pos="1080"/>
        </w:tabs>
        <w:rPr>
          <w:rFonts w:ascii="Calibri" w:hAnsi="Calibri" w:cs="Calibri"/>
          <w:color w:val="000000"/>
        </w:rPr>
      </w:pPr>
    </w:p>
    <w:p w:rsidR="009F0ABF" w:rsidRPr="00A0676D" w:rsidP="009F0ABF" w14:paraId="3A418231" w14:textId="77777777">
      <w:pPr>
        <w:tabs>
          <w:tab w:val="left" w:pos="1080"/>
        </w:tabs>
        <w:ind w:left="1080"/>
        <w:rPr>
          <w:rFonts w:ascii="Calibri" w:hAnsi="Calibri" w:cs="Calibri"/>
          <w:color w:val="000000"/>
        </w:rPr>
      </w:pPr>
      <w:r w:rsidRPr="00A0676D">
        <w:rPr>
          <w:rFonts w:ascii="Calibri" w:hAnsi="Calibri" w:cs="Calibri"/>
          <w:color w:val="000000"/>
        </w:rPr>
        <w:t xml:space="preserve">Agency policy dictates non-disclosure of taxpayer information.  </w:t>
      </w:r>
      <w:r w:rsidRPr="00A0676D" w:rsidR="008E0AF5">
        <w:rPr>
          <w:rFonts w:ascii="Calibri" w:hAnsi="Calibri" w:cs="Calibri"/>
          <w:color w:val="000000"/>
        </w:rPr>
        <w:t xml:space="preserve">This survey is not subject to Section 6103 requirements, because it does not rely on IRS taxpayer data. </w:t>
      </w:r>
      <w:r w:rsidRPr="00A0676D">
        <w:rPr>
          <w:rFonts w:ascii="Calibri" w:hAnsi="Calibri" w:cs="Calibri"/>
          <w:color w:val="000000"/>
        </w:rPr>
        <w:t>Survey respondents contacted by</w:t>
      </w:r>
      <w:r w:rsidRPr="00A0676D" w:rsidR="00B30B82">
        <w:rPr>
          <w:rFonts w:ascii="Calibri" w:hAnsi="Calibri" w:cs="Calibri"/>
          <w:color w:val="000000"/>
        </w:rPr>
        <w:t xml:space="preserve"> </w:t>
      </w:r>
      <w:r w:rsidRPr="00A0676D">
        <w:rPr>
          <w:rFonts w:ascii="Calibri" w:hAnsi="Calibri" w:cs="Calibri"/>
          <w:color w:val="000000"/>
        </w:rPr>
        <w:t>mail</w:t>
      </w:r>
      <w:r w:rsidRPr="00A0676D" w:rsidR="003F3039">
        <w:rPr>
          <w:rFonts w:ascii="Calibri" w:hAnsi="Calibri" w:cs="Calibri"/>
          <w:color w:val="000000"/>
        </w:rPr>
        <w:t xml:space="preserve">, </w:t>
      </w:r>
      <w:r w:rsidRPr="00A0676D" w:rsidR="00071229">
        <w:rPr>
          <w:rFonts w:ascii="Calibri" w:hAnsi="Calibri" w:cs="Calibri"/>
          <w:color w:val="000000"/>
        </w:rPr>
        <w:t>online</w:t>
      </w:r>
      <w:r w:rsidRPr="00A0676D">
        <w:rPr>
          <w:rFonts w:ascii="Calibri" w:hAnsi="Calibri" w:cs="Calibri"/>
          <w:color w:val="000000"/>
        </w:rPr>
        <w:t xml:space="preserve">, or some other form of written communication will be advised on the survey form, cover letter, or other accompanying document that participation is </w:t>
      </w:r>
      <w:r w:rsidRPr="00A0676D" w:rsidR="003D12AD">
        <w:rPr>
          <w:rFonts w:ascii="Calibri" w:hAnsi="Calibri" w:cs="Calibri"/>
          <w:color w:val="000000"/>
        </w:rPr>
        <w:t>voluntary,</w:t>
      </w:r>
      <w:r w:rsidRPr="00A0676D">
        <w:rPr>
          <w:rFonts w:ascii="Calibri" w:hAnsi="Calibri" w:cs="Calibri"/>
          <w:color w:val="000000"/>
        </w:rPr>
        <w:t xml:space="preserve"> and that the data provided will be kept </w:t>
      </w:r>
      <w:r w:rsidRPr="00A0676D" w:rsidR="008C6DEC">
        <w:rPr>
          <w:rFonts w:ascii="Calibri" w:hAnsi="Calibri" w:cs="Calibri"/>
          <w:color w:val="000000"/>
        </w:rPr>
        <w:t>private</w:t>
      </w:r>
      <w:r w:rsidRPr="00A0676D" w:rsidR="0088346C">
        <w:rPr>
          <w:rFonts w:ascii="Calibri" w:hAnsi="Calibri" w:cs="Calibri"/>
          <w:color w:val="000000"/>
        </w:rPr>
        <w:t xml:space="preserve"> to the extent allowed by law</w:t>
      </w:r>
      <w:r w:rsidRPr="00A0676D">
        <w:rPr>
          <w:rFonts w:ascii="Calibri" w:hAnsi="Calibri" w:cs="Calibri"/>
          <w:color w:val="000000"/>
        </w:rPr>
        <w:t xml:space="preserve">. </w:t>
      </w:r>
      <w:r w:rsidRPr="00A0676D" w:rsidR="00774522">
        <w:rPr>
          <w:rFonts w:ascii="Calibri" w:hAnsi="Calibri" w:cs="Calibri"/>
          <w:color w:val="000000"/>
        </w:rPr>
        <w:t>The</w:t>
      </w:r>
      <w:r w:rsidRPr="00A0676D">
        <w:rPr>
          <w:rFonts w:ascii="Calibri" w:hAnsi="Calibri" w:cs="Calibri"/>
          <w:color w:val="000000"/>
        </w:rPr>
        <w:t xml:space="preserve"> introduction to </w:t>
      </w:r>
      <w:r w:rsidRPr="00A0676D" w:rsidR="00774522">
        <w:rPr>
          <w:rFonts w:ascii="Calibri" w:hAnsi="Calibri" w:cs="Calibri"/>
          <w:color w:val="000000"/>
        </w:rPr>
        <w:t xml:space="preserve">this </w:t>
      </w:r>
      <w:r w:rsidRPr="00A0676D">
        <w:rPr>
          <w:rFonts w:ascii="Calibri" w:hAnsi="Calibri" w:cs="Calibri"/>
          <w:color w:val="000000"/>
        </w:rPr>
        <w:t>data gathering effort will</w:t>
      </w:r>
      <w:r w:rsidRPr="00A0676D" w:rsidR="00A7724A">
        <w:rPr>
          <w:rFonts w:ascii="Calibri" w:hAnsi="Calibri" w:cs="Calibri"/>
          <w:color w:val="000000"/>
        </w:rPr>
        <w:t xml:space="preserve"> also</w:t>
      </w:r>
      <w:r w:rsidRPr="00A0676D">
        <w:rPr>
          <w:rFonts w:ascii="Calibri" w:hAnsi="Calibri" w:cs="Calibri"/>
          <w:color w:val="000000"/>
        </w:rPr>
        <w:t xml:space="preserve"> inform respondents that the survey is </w:t>
      </w:r>
      <w:r w:rsidRPr="00A0676D" w:rsidR="003D12AD">
        <w:rPr>
          <w:rFonts w:ascii="Calibri" w:hAnsi="Calibri" w:cs="Calibri"/>
          <w:color w:val="000000"/>
        </w:rPr>
        <w:t>voluntary,</w:t>
      </w:r>
      <w:r w:rsidRPr="00A0676D">
        <w:rPr>
          <w:rFonts w:ascii="Calibri" w:hAnsi="Calibri" w:cs="Calibri"/>
          <w:color w:val="000000"/>
        </w:rPr>
        <w:t xml:space="preserve"> and that the data provided will be kept </w:t>
      </w:r>
      <w:r w:rsidRPr="00A0676D" w:rsidR="008C6DEC">
        <w:rPr>
          <w:rFonts w:ascii="Calibri" w:hAnsi="Calibri" w:cs="Calibri"/>
          <w:color w:val="000000"/>
        </w:rPr>
        <w:t>private</w:t>
      </w:r>
      <w:r w:rsidRPr="00A0676D" w:rsidR="0088346C">
        <w:rPr>
          <w:rFonts w:ascii="Calibri" w:hAnsi="Calibri" w:cs="Calibri"/>
          <w:color w:val="000000"/>
        </w:rPr>
        <w:t xml:space="preserve"> to the extent allowed by law</w:t>
      </w:r>
      <w:r w:rsidRPr="00A0676D">
        <w:rPr>
          <w:rFonts w:ascii="Calibri" w:hAnsi="Calibri" w:cs="Calibri"/>
          <w:color w:val="000000"/>
        </w:rPr>
        <w:t xml:space="preserve">.  </w:t>
      </w:r>
    </w:p>
    <w:p w:rsidR="00B64FF5" w:rsidRPr="00A0676D" w:rsidP="009F0ABF" w14:paraId="7E2C6BB6" w14:textId="77777777">
      <w:pPr>
        <w:tabs>
          <w:tab w:val="left" w:pos="1080"/>
        </w:tabs>
        <w:ind w:left="1080"/>
        <w:rPr>
          <w:rFonts w:ascii="Calibri" w:hAnsi="Calibri" w:cs="Calibri"/>
          <w:color w:val="000000"/>
        </w:rPr>
      </w:pPr>
    </w:p>
    <w:p w:rsidR="00B64FF5" w:rsidRPr="00A0676D" w:rsidP="00C062FB" w14:paraId="092D2420" w14:textId="77777777">
      <w:pPr>
        <w:ind w:left="1080"/>
        <w:rPr>
          <w:rFonts w:ascii="Calibri" w:hAnsi="Calibri" w:cs="Calibri"/>
          <w:color w:val="000000"/>
        </w:rPr>
      </w:pPr>
      <w:r w:rsidRPr="00A0676D">
        <w:rPr>
          <w:rFonts w:ascii="Calibri" w:hAnsi="Calibri" w:cs="Calibri"/>
          <w:color w:val="000000"/>
        </w:rPr>
        <w:t>The survey will be conducted</w:t>
      </w:r>
      <w:r w:rsidRPr="00A0676D" w:rsidR="00B30B82">
        <w:rPr>
          <w:rFonts w:ascii="Calibri" w:hAnsi="Calibri" w:cs="Calibri"/>
          <w:color w:val="000000"/>
        </w:rPr>
        <w:t xml:space="preserve"> </w:t>
      </w:r>
      <w:r w:rsidRPr="00A0676D" w:rsidR="004E1BC8">
        <w:rPr>
          <w:rFonts w:ascii="Calibri" w:hAnsi="Calibri" w:cs="Calibri"/>
          <w:color w:val="000000"/>
        </w:rPr>
        <w:t xml:space="preserve">using </w:t>
      </w:r>
      <w:r w:rsidRPr="00A0676D" w:rsidR="00B30B82">
        <w:rPr>
          <w:rFonts w:ascii="Calibri" w:hAnsi="Calibri" w:cs="Calibri"/>
          <w:color w:val="000000"/>
        </w:rPr>
        <w:t>automated IVR phone</w:t>
      </w:r>
      <w:r w:rsidRPr="00A0676D" w:rsidR="00D568F2">
        <w:rPr>
          <w:rFonts w:ascii="Calibri" w:hAnsi="Calibri" w:cs="Calibri"/>
          <w:color w:val="000000"/>
        </w:rPr>
        <w:t xml:space="preserve"> and</w:t>
      </w:r>
      <w:r w:rsidRPr="00A0676D" w:rsidR="00B30B82">
        <w:rPr>
          <w:rFonts w:ascii="Calibri" w:hAnsi="Calibri" w:cs="Calibri"/>
          <w:color w:val="000000"/>
        </w:rPr>
        <w:t xml:space="preserve"> online surveys</w:t>
      </w:r>
      <w:r w:rsidRPr="00A0676D">
        <w:rPr>
          <w:rFonts w:ascii="Calibri" w:hAnsi="Calibri" w:cs="Calibri"/>
          <w:color w:val="000000"/>
        </w:rPr>
        <w:t xml:space="preserve">, and no sensitive personally identifiable information will be compiled by the vendor as part of the database for this survey, nor </w:t>
      </w:r>
      <w:r w:rsidRPr="00A0676D" w:rsidR="008E0AF5">
        <w:rPr>
          <w:rFonts w:ascii="Calibri" w:hAnsi="Calibri" w:cs="Calibri"/>
          <w:color w:val="000000"/>
        </w:rPr>
        <w:t>shared with</w:t>
      </w:r>
      <w:r w:rsidRPr="00A0676D">
        <w:rPr>
          <w:rFonts w:ascii="Calibri" w:hAnsi="Calibri" w:cs="Calibri"/>
          <w:color w:val="000000"/>
        </w:rPr>
        <w:t xml:space="preserve"> RAAS. </w:t>
      </w:r>
      <w:r w:rsidRPr="00A0676D" w:rsidR="00B30B82">
        <w:rPr>
          <w:rFonts w:ascii="Calibri" w:hAnsi="Calibri" w:cs="Calibri"/>
          <w:color w:val="000000"/>
        </w:rPr>
        <w:t>The</w:t>
      </w:r>
      <w:r w:rsidRPr="00A0676D">
        <w:rPr>
          <w:rFonts w:ascii="Calibri" w:hAnsi="Calibri" w:cs="Calibri"/>
          <w:color w:val="000000"/>
        </w:rPr>
        <w:t xml:space="preserve"> vendor will take steps that ensure that specific records cannot be tied to individual taxpayers. Research personnel will ensure that privacy and security of the results will be maintained, to the extent allowed by law. Public and official access to the information will be tightly controlled.</w:t>
      </w:r>
      <w:r w:rsidRPr="00A0676D" w:rsidR="00774522">
        <w:rPr>
          <w:rFonts w:ascii="Calibri" w:hAnsi="Calibri" w:cs="Calibri"/>
          <w:color w:val="000000"/>
        </w:rPr>
        <w:t xml:space="preserve"> IRS Data security requirements flow down to the vendor’s subcontractors per the IRS contract award document.</w:t>
      </w:r>
    </w:p>
    <w:p w:rsidR="009F0ABF" w:rsidRPr="00A0676D" w:rsidP="009F0ABF" w14:paraId="23CF8E9B" w14:textId="77777777">
      <w:pPr>
        <w:tabs>
          <w:tab w:val="left" w:pos="1080"/>
        </w:tabs>
        <w:ind w:left="1080"/>
        <w:rPr>
          <w:rFonts w:ascii="Calibri" w:hAnsi="Calibri" w:cs="Calibri"/>
          <w:color w:val="000000"/>
        </w:rPr>
      </w:pPr>
    </w:p>
    <w:p w:rsidR="009F0ABF" w:rsidRPr="00A0676D" w:rsidP="009F0ABF" w14:paraId="6C9EA5E0" w14:textId="77777777">
      <w:pPr>
        <w:numPr>
          <w:ilvl w:val="1"/>
          <w:numId w:val="1"/>
        </w:numPr>
        <w:tabs>
          <w:tab w:val="left" w:pos="1080"/>
        </w:tabs>
        <w:rPr>
          <w:rFonts w:ascii="Calibri" w:hAnsi="Calibri" w:cs="Calibri"/>
          <w:b/>
          <w:bCs/>
          <w:color w:val="000000"/>
        </w:rPr>
      </w:pPr>
      <w:r w:rsidRPr="00A0676D">
        <w:rPr>
          <w:rFonts w:ascii="Calibri" w:hAnsi="Calibri" w:cs="Calibri"/>
          <w:color w:val="000000"/>
        </w:rPr>
        <w:t xml:space="preserve">  </w:t>
      </w:r>
      <w:r w:rsidRPr="00A0676D">
        <w:rPr>
          <w:rFonts w:ascii="Calibri" w:hAnsi="Calibri" w:cs="Calibri"/>
          <w:b/>
          <w:bCs/>
          <w:color w:val="000000"/>
        </w:rPr>
        <w:t>Justification of Sensitive Questions</w:t>
      </w:r>
    </w:p>
    <w:p w:rsidR="009F0ABF" w:rsidRPr="00A0676D" w:rsidP="009F0ABF" w14:paraId="1D4E6CDA" w14:textId="77777777">
      <w:pPr>
        <w:tabs>
          <w:tab w:val="left" w:pos="1080"/>
        </w:tabs>
        <w:ind w:left="1080"/>
        <w:rPr>
          <w:rFonts w:ascii="Calibri" w:hAnsi="Calibri" w:cs="Calibri"/>
          <w:color w:val="000000"/>
        </w:rPr>
      </w:pPr>
    </w:p>
    <w:p w:rsidR="00D126A0" w:rsidRPr="00A0676D" w:rsidP="00C062FB" w14:paraId="64B29F04" w14:textId="77777777">
      <w:pPr>
        <w:ind w:left="1080"/>
        <w:rPr>
          <w:rFonts w:ascii="Calibri" w:hAnsi="Calibri" w:cs="Calibri"/>
          <w:b/>
          <w:color w:val="000000"/>
        </w:rPr>
      </w:pPr>
      <w:r w:rsidRPr="00A0676D">
        <w:rPr>
          <w:rFonts w:ascii="Calibri" w:hAnsi="Calibri" w:cs="Calibri"/>
          <w:color w:val="000000"/>
        </w:rPr>
        <w:t xml:space="preserve">The survey questions </w:t>
      </w:r>
      <w:r w:rsidRPr="00A0676D" w:rsidR="009F0ABF">
        <w:rPr>
          <w:rFonts w:ascii="Calibri" w:hAnsi="Calibri" w:cs="Calibri"/>
          <w:color w:val="000000"/>
        </w:rPr>
        <w:t>are not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w:t>
      </w:r>
      <w:r w:rsidRPr="00A0676D" w:rsidR="00EF4136">
        <w:rPr>
          <w:rFonts w:ascii="Calibri" w:hAnsi="Calibri" w:cs="Calibri"/>
          <w:color w:val="000000"/>
        </w:rPr>
        <w:t>lpful in evaluating the results; therefore, respondents will be encouraged to answer these questions but assured that their participation is completely voluntary.</w:t>
      </w:r>
      <w:r w:rsidRPr="00A0676D">
        <w:rPr>
          <w:rFonts w:ascii="Calibri" w:hAnsi="Calibri" w:cs="Calibri"/>
          <w:color w:val="000000"/>
        </w:rPr>
        <w:t xml:space="preserve"> No sensitive personally identifiable information will be collected and shared with RAAS.</w:t>
      </w:r>
    </w:p>
    <w:p w:rsidR="00B40CDF" w:rsidRPr="00A0676D" w:rsidP="00EF4136" w14:paraId="338B42A8" w14:textId="77777777">
      <w:pPr>
        <w:tabs>
          <w:tab w:val="left" w:pos="1080"/>
        </w:tabs>
        <w:ind w:left="1080"/>
        <w:rPr>
          <w:rFonts w:ascii="Calibri" w:hAnsi="Calibri" w:cs="Calibri"/>
          <w:color w:val="000000"/>
        </w:rPr>
      </w:pPr>
    </w:p>
    <w:p w:rsidR="00B40CDF" w:rsidRPr="00A0676D" w:rsidP="00B40CDF" w14:paraId="0088F795" w14:textId="77777777">
      <w:pPr>
        <w:numPr>
          <w:ilvl w:val="1"/>
          <w:numId w:val="1"/>
        </w:numPr>
        <w:tabs>
          <w:tab w:val="left" w:pos="1080"/>
        </w:tabs>
        <w:rPr>
          <w:rFonts w:ascii="Calibri" w:hAnsi="Calibri" w:cs="Calibri"/>
          <w:b/>
          <w:bCs/>
          <w:color w:val="000000"/>
        </w:rPr>
      </w:pPr>
      <w:r w:rsidRPr="00A0676D">
        <w:rPr>
          <w:rFonts w:ascii="Calibri" w:hAnsi="Calibri" w:cs="Calibri"/>
          <w:color w:val="000000"/>
        </w:rPr>
        <w:t xml:space="preserve">  </w:t>
      </w:r>
      <w:r w:rsidRPr="00A0676D">
        <w:rPr>
          <w:rFonts w:ascii="Calibri" w:hAnsi="Calibri" w:cs="Calibri"/>
          <w:b/>
          <w:bCs/>
          <w:color w:val="000000"/>
        </w:rPr>
        <w:t>Estimated Burden of Information Collection</w:t>
      </w:r>
    </w:p>
    <w:p w:rsidR="00B40CDF" w:rsidRPr="00A0676D" w:rsidP="00B40CDF" w14:paraId="218ECCB9" w14:textId="77777777">
      <w:pPr>
        <w:tabs>
          <w:tab w:val="left" w:pos="1080"/>
        </w:tabs>
        <w:ind w:left="1080"/>
        <w:rPr>
          <w:rFonts w:ascii="Calibri" w:hAnsi="Calibri" w:cs="Calibri"/>
          <w:color w:val="000000"/>
        </w:rPr>
      </w:pPr>
    </w:p>
    <w:p w:rsidR="00371513" w:rsidRPr="00A0676D" w:rsidP="00B40CDF" w14:paraId="7E509485" w14:textId="77777777">
      <w:pPr>
        <w:tabs>
          <w:tab w:val="left" w:pos="1080"/>
        </w:tabs>
        <w:ind w:left="1080"/>
        <w:rPr>
          <w:rFonts w:ascii="Calibri" w:hAnsi="Calibri" w:cs="Calibri"/>
          <w:color w:val="000000"/>
        </w:rPr>
      </w:pPr>
      <w:r w:rsidRPr="00A0676D">
        <w:rPr>
          <w:rFonts w:ascii="Calibri" w:hAnsi="Calibri" w:cs="Calibri"/>
          <w:color w:val="000000"/>
        </w:rPr>
        <w:t xml:space="preserve">The total respondent burden </w:t>
      </w:r>
      <w:r w:rsidRPr="00A0676D" w:rsidR="004C10F8">
        <w:rPr>
          <w:rFonts w:ascii="Calibri" w:hAnsi="Calibri" w:cs="Calibri"/>
          <w:color w:val="000000"/>
        </w:rPr>
        <w:t xml:space="preserve">hours </w:t>
      </w:r>
      <w:r w:rsidRPr="00A0676D">
        <w:rPr>
          <w:rFonts w:ascii="Calibri" w:hAnsi="Calibri" w:cs="Calibri"/>
          <w:color w:val="000000"/>
        </w:rPr>
        <w:t>during this three-year appr</w:t>
      </w:r>
      <w:r w:rsidRPr="00A0676D" w:rsidR="0088346C">
        <w:rPr>
          <w:rFonts w:ascii="Calibri" w:hAnsi="Calibri" w:cs="Calibri"/>
          <w:color w:val="000000"/>
        </w:rPr>
        <w:t xml:space="preserve">oval period </w:t>
      </w:r>
      <w:r w:rsidRPr="00A0676D" w:rsidR="00A7724A">
        <w:rPr>
          <w:rFonts w:ascii="Calibri" w:hAnsi="Calibri" w:cs="Calibri"/>
          <w:color w:val="000000"/>
        </w:rPr>
        <w:t>is</w:t>
      </w:r>
      <w:r w:rsidRPr="00A0676D" w:rsidR="00054EC5">
        <w:rPr>
          <w:rFonts w:ascii="Calibri" w:hAnsi="Calibri" w:cs="Calibri"/>
          <w:color w:val="000000"/>
        </w:rPr>
        <w:t xml:space="preserve"> </w:t>
      </w:r>
      <w:r w:rsidRPr="00A0676D" w:rsidR="0088346C">
        <w:rPr>
          <w:rFonts w:ascii="Calibri" w:hAnsi="Calibri" w:cs="Calibri"/>
          <w:color w:val="000000"/>
        </w:rPr>
        <w:t xml:space="preserve">estimated to be </w:t>
      </w:r>
      <w:r w:rsidRPr="00A0676D" w:rsidR="00054EC5">
        <w:rPr>
          <w:rFonts w:ascii="Calibri" w:hAnsi="Calibri" w:cs="Calibri"/>
          <w:color w:val="000000"/>
        </w:rPr>
        <w:t>3,</w:t>
      </w:r>
      <w:r w:rsidRPr="00A0676D" w:rsidR="00036573">
        <w:rPr>
          <w:rFonts w:ascii="Calibri" w:hAnsi="Calibri" w:cs="Calibri"/>
          <w:color w:val="000000"/>
        </w:rPr>
        <w:t>927</w:t>
      </w:r>
      <w:r w:rsidRPr="00A0676D" w:rsidR="00054EC5">
        <w:rPr>
          <w:rFonts w:ascii="Calibri" w:hAnsi="Calibri" w:cs="Calibri"/>
          <w:color w:val="000000"/>
        </w:rPr>
        <w:t xml:space="preserve"> (1,</w:t>
      </w:r>
      <w:r w:rsidRPr="00A0676D" w:rsidR="00036573">
        <w:rPr>
          <w:rFonts w:ascii="Calibri" w:hAnsi="Calibri" w:cs="Calibri"/>
          <w:color w:val="000000"/>
        </w:rPr>
        <w:t>30</w:t>
      </w:r>
      <w:r w:rsidRPr="00A0676D" w:rsidR="00E97DA2">
        <w:rPr>
          <w:rFonts w:ascii="Calibri" w:hAnsi="Calibri" w:cs="Calibri"/>
          <w:color w:val="000000"/>
        </w:rPr>
        <w:t>9</w:t>
      </w:r>
      <w:r w:rsidRPr="00A0676D" w:rsidR="00054EC5">
        <w:rPr>
          <w:rFonts w:ascii="Calibri" w:hAnsi="Calibri" w:cs="Calibri"/>
          <w:color w:val="000000"/>
        </w:rPr>
        <w:t xml:space="preserve"> annually)</w:t>
      </w:r>
      <w:r w:rsidRPr="00A0676D" w:rsidR="00FD2114">
        <w:rPr>
          <w:rFonts w:ascii="Calibri" w:hAnsi="Calibri" w:cs="Calibri"/>
          <w:color w:val="000000"/>
        </w:rPr>
        <w:t>.</w:t>
      </w:r>
    </w:p>
    <w:p w:rsidR="00371513" w:rsidRPr="00A0676D" w:rsidP="00B40CDF" w14:paraId="745EAA50" w14:textId="77777777">
      <w:pPr>
        <w:tabs>
          <w:tab w:val="left" w:pos="1080"/>
        </w:tabs>
        <w:ind w:left="1080"/>
        <w:rPr>
          <w:rFonts w:ascii="Calibri" w:hAnsi="Calibri" w:cs="Calibri"/>
          <w:color w:val="000000"/>
        </w:rPr>
      </w:pPr>
    </w:p>
    <w:tbl>
      <w:tblPr>
        <w:tblpPr w:leftFromText="180" w:rightFromText="180" w:vertAnchor="text" w:horzAnchor="margin" w:tblpY="2385"/>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443"/>
        <w:gridCol w:w="1536"/>
        <w:gridCol w:w="1430"/>
        <w:gridCol w:w="1177"/>
        <w:gridCol w:w="1262"/>
        <w:gridCol w:w="1350"/>
        <w:gridCol w:w="1620"/>
      </w:tblGrid>
      <w:tr w14:paraId="6CBCD0BA" w14:textId="77777777" w:rsidTr="00F16540">
        <w:tblPrEx>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Ex>
        <w:tc>
          <w:tcPr>
            <w:tcW w:w="2443" w:type="dxa"/>
            <w:shd w:val="pct12" w:color="auto" w:fill="FFFFFF"/>
          </w:tcPr>
          <w:p w:rsidR="009C5009" w:rsidRPr="00A0676D" w:rsidP="00F16540" w14:paraId="6EB8A82F" w14:textId="77777777">
            <w:pPr>
              <w:rPr>
                <w:rFonts w:ascii="Calibri" w:hAnsi="Calibri" w:cs="Calibri"/>
                <w:b/>
                <w:color w:val="000000"/>
                <w:sz w:val="22"/>
                <w:szCs w:val="22"/>
              </w:rPr>
            </w:pPr>
            <w:bookmarkStart w:id="2" w:name="_Hlk130992253"/>
            <w:r w:rsidRPr="00A0676D">
              <w:rPr>
                <w:rFonts w:ascii="Calibri" w:hAnsi="Calibri" w:cs="Calibri"/>
                <w:b/>
                <w:color w:val="000000"/>
                <w:sz w:val="22"/>
                <w:szCs w:val="22"/>
              </w:rPr>
              <w:t>Screened/Interviewed</w:t>
            </w:r>
          </w:p>
        </w:tc>
        <w:tc>
          <w:tcPr>
            <w:tcW w:w="1536" w:type="dxa"/>
            <w:shd w:val="pct12" w:color="auto" w:fill="FFFFFF"/>
          </w:tcPr>
          <w:p w:rsidR="009C5009" w:rsidRPr="00A0676D" w:rsidP="00F16540" w14:paraId="3D190D48" w14:textId="77777777">
            <w:pPr>
              <w:rPr>
                <w:rFonts w:ascii="Calibri" w:hAnsi="Calibri" w:cs="Calibri"/>
                <w:b/>
                <w:color w:val="000000"/>
                <w:sz w:val="22"/>
                <w:szCs w:val="22"/>
              </w:rPr>
            </w:pPr>
            <w:r w:rsidRPr="00A0676D">
              <w:rPr>
                <w:rFonts w:ascii="Calibri" w:hAnsi="Calibri" w:cs="Calibri"/>
                <w:b/>
                <w:color w:val="000000"/>
                <w:sz w:val="22"/>
                <w:szCs w:val="22"/>
              </w:rPr>
              <w:t xml:space="preserve">No. of Respondents (How many will respond to this collection?) </w:t>
            </w:r>
          </w:p>
        </w:tc>
        <w:tc>
          <w:tcPr>
            <w:tcW w:w="1430" w:type="dxa"/>
            <w:shd w:val="pct12" w:color="auto" w:fill="FFFFFF"/>
          </w:tcPr>
          <w:p w:rsidR="009C5009" w:rsidRPr="00A0676D" w:rsidP="00F16540" w14:paraId="051F66E4" w14:textId="77777777">
            <w:pPr>
              <w:rPr>
                <w:rFonts w:ascii="Calibri" w:hAnsi="Calibri" w:cs="Calibri"/>
                <w:b/>
                <w:color w:val="000000"/>
                <w:sz w:val="22"/>
                <w:szCs w:val="22"/>
              </w:rPr>
            </w:pPr>
            <w:r w:rsidRPr="00A0676D">
              <w:rPr>
                <w:rFonts w:ascii="Calibri" w:hAnsi="Calibri" w:cs="Calibri"/>
                <w:b/>
                <w:color w:val="000000"/>
                <w:sz w:val="22"/>
                <w:szCs w:val="22"/>
              </w:rPr>
              <w:t>No. of Responses per Respondent (How many times?)</w:t>
            </w:r>
          </w:p>
        </w:tc>
        <w:tc>
          <w:tcPr>
            <w:tcW w:w="1177" w:type="dxa"/>
            <w:shd w:val="pct12" w:color="auto" w:fill="FFFFFF"/>
          </w:tcPr>
          <w:p w:rsidR="009C5009" w:rsidRPr="00A0676D" w:rsidP="00F16540" w14:paraId="20BAE33D" w14:textId="77777777">
            <w:pPr>
              <w:rPr>
                <w:rFonts w:ascii="Calibri" w:hAnsi="Calibri" w:cs="Calibri"/>
                <w:b/>
                <w:color w:val="000000"/>
                <w:sz w:val="22"/>
                <w:szCs w:val="22"/>
              </w:rPr>
            </w:pPr>
            <w:r w:rsidRPr="00A0676D">
              <w:rPr>
                <w:rFonts w:ascii="Calibri" w:hAnsi="Calibri" w:cs="Calibri"/>
                <w:b/>
                <w:color w:val="000000"/>
                <w:sz w:val="22"/>
                <w:szCs w:val="22"/>
              </w:rPr>
              <w:t xml:space="preserve">Avg. Burden per Response </w:t>
            </w:r>
          </w:p>
        </w:tc>
        <w:tc>
          <w:tcPr>
            <w:tcW w:w="1262" w:type="dxa"/>
            <w:shd w:val="pct12" w:color="auto" w:fill="FFFFFF"/>
          </w:tcPr>
          <w:p w:rsidR="009C5009" w:rsidRPr="00A0676D" w:rsidP="00F16540" w14:paraId="3CAC6DA8" w14:textId="77777777">
            <w:pPr>
              <w:rPr>
                <w:rFonts w:ascii="Calibri" w:hAnsi="Calibri" w:cs="Calibri"/>
                <w:b/>
                <w:color w:val="000000"/>
                <w:sz w:val="22"/>
                <w:szCs w:val="22"/>
              </w:rPr>
            </w:pPr>
            <w:r w:rsidRPr="00A0676D">
              <w:rPr>
                <w:rFonts w:ascii="Calibri" w:hAnsi="Calibri" w:cs="Calibri"/>
                <w:b/>
                <w:color w:val="000000"/>
                <w:sz w:val="22"/>
                <w:szCs w:val="22"/>
              </w:rPr>
              <w:t>Total Annual Burden (in hours)</w:t>
            </w:r>
          </w:p>
        </w:tc>
        <w:tc>
          <w:tcPr>
            <w:tcW w:w="1350" w:type="dxa"/>
            <w:shd w:val="pct12" w:color="auto" w:fill="FFFFFF"/>
          </w:tcPr>
          <w:p w:rsidR="009C5009" w:rsidRPr="00A0676D" w:rsidP="00F16540" w14:paraId="3DF79F59" w14:textId="77777777">
            <w:pPr>
              <w:rPr>
                <w:rFonts w:ascii="Calibri" w:hAnsi="Calibri" w:cs="Calibri"/>
                <w:b/>
                <w:color w:val="000000"/>
                <w:sz w:val="22"/>
                <w:szCs w:val="22"/>
              </w:rPr>
            </w:pPr>
            <w:r w:rsidRPr="00A0676D">
              <w:rPr>
                <w:rFonts w:ascii="Calibri" w:hAnsi="Calibri" w:cs="Calibri"/>
                <w:b/>
                <w:color w:val="000000"/>
                <w:sz w:val="22"/>
                <w:szCs w:val="22"/>
              </w:rPr>
              <w:t>Average Hourly Wage Rate</w:t>
            </w:r>
          </w:p>
        </w:tc>
        <w:tc>
          <w:tcPr>
            <w:tcW w:w="1620" w:type="dxa"/>
            <w:shd w:val="pct12" w:color="auto" w:fill="FFFFFF"/>
          </w:tcPr>
          <w:p w:rsidR="009C5009" w:rsidRPr="00A0676D" w:rsidP="00F16540" w14:paraId="5FA8E096" w14:textId="77777777">
            <w:pPr>
              <w:rPr>
                <w:rFonts w:ascii="Calibri" w:hAnsi="Calibri" w:cs="Calibri"/>
                <w:b/>
                <w:color w:val="000000"/>
                <w:sz w:val="22"/>
                <w:szCs w:val="22"/>
              </w:rPr>
            </w:pPr>
            <w:r w:rsidRPr="00A0676D">
              <w:rPr>
                <w:rFonts w:ascii="Calibri" w:hAnsi="Calibri" w:cs="Calibri"/>
                <w:b/>
                <w:color w:val="000000"/>
                <w:sz w:val="22"/>
                <w:szCs w:val="22"/>
              </w:rPr>
              <w:t>Total Annual Respondent Cost*</w:t>
            </w:r>
          </w:p>
        </w:tc>
      </w:tr>
      <w:tr w14:paraId="120CBB49" w14:textId="77777777" w:rsidTr="00F16540">
        <w:tblPrEx>
          <w:tblW w:w="10818" w:type="dxa"/>
          <w:shd w:val="clear" w:color="auto" w:fill="FFFFFF"/>
          <w:tblLayout w:type="fixed"/>
          <w:tblLook w:val="04A0"/>
        </w:tblPrEx>
        <w:tc>
          <w:tcPr>
            <w:tcW w:w="2443" w:type="dxa"/>
            <w:shd w:val="clear" w:color="auto" w:fill="FFFFFF"/>
          </w:tcPr>
          <w:p w:rsidR="009C5009" w:rsidRPr="00A0676D" w:rsidP="00F16540" w14:paraId="22A0618A" w14:textId="77777777">
            <w:pPr>
              <w:rPr>
                <w:rFonts w:ascii="Calibri" w:hAnsi="Calibri" w:cs="Calibri"/>
                <w:color w:val="000000"/>
                <w:sz w:val="22"/>
                <w:szCs w:val="22"/>
              </w:rPr>
            </w:pPr>
            <w:r w:rsidRPr="00A0676D">
              <w:rPr>
                <w:rFonts w:ascii="Calibri" w:hAnsi="Calibri" w:cs="Calibri"/>
                <w:color w:val="000000"/>
                <w:sz w:val="22"/>
                <w:szCs w:val="22"/>
              </w:rPr>
              <w:t>Initial Invitation</w:t>
            </w:r>
          </w:p>
        </w:tc>
        <w:tc>
          <w:tcPr>
            <w:tcW w:w="1536" w:type="dxa"/>
            <w:shd w:val="clear" w:color="auto" w:fill="FFFFFF"/>
          </w:tcPr>
          <w:p w:rsidR="009C5009" w:rsidRPr="00A0676D" w:rsidP="00F16540" w14:paraId="7DCAA93F" w14:textId="77777777">
            <w:pPr>
              <w:rPr>
                <w:rFonts w:ascii="Calibri" w:hAnsi="Calibri" w:cs="Calibri"/>
                <w:color w:val="000000"/>
                <w:sz w:val="22"/>
                <w:szCs w:val="22"/>
              </w:rPr>
            </w:pPr>
            <w:r w:rsidRPr="00A0676D">
              <w:rPr>
                <w:rFonts w:ascii="Calibri" w:hAnsi="Calibri" w:cs="Calibri"/>
                <w:color w:val="000000"/>
                <w:sz w:val="22"/>
                <w:szCs w:val="22"/>
              </w:rPr>
              <w:t>32,450</w:t>
            </w:r>
          </w:p>
        </w:tc>
        <w:tc>
          <w:tcPr>
            <w:tcW w:w="1430" w:type="dxa"/>
            <w:shd w:val="clear" w:color="auto" w:fill="FFFFFF"/>
          </w:tcPr>
          <w:p w:rsidR="009C5009" w:rsidRPr="00A0676D" w:rsidP="00F16540" w14:paraId="62CBC5FA" w14:textId="77777777">
            <w:pPr>
              <w:rPr>
                <w:rFonts w:ascii="Calibri" w:hAnsi="Calibri" w:cs="Calibri"/>
                <w:color w:val="000000"/>
                <w:sz w:val="22"/>
                <w:szCs w:val="22"/>
              </w:rPr>
            </w:pPr>
            <w:r w:rsidRPr="00A0676D">
              <w:rPr>
                <w:rFonts w:ascii="Calibri" w:hAnsi="Calibri" w:cs="Calibri"/>
                <w:color w:val="000000"/>
                <w:sz w:val="22"/>
                <w:szCs w:val="22"/>
              </w:rPr>
              <w:t>1</w:t>
            </w:r>
          </w:p>
        </w:tc>
        <w:tc>
          <w:tcPr>
            <w:tcW w:w="1177" w:type="dxa"/>
            <w:shd w:val="clear" w:color="auto" w:fill="FFFFFF"/>
          </w:tcPr>
          <w:p w:rsidR="009C5009" w:rsidRPr="00A0676D" w:rsidP="00F16540" w14:paraId="3E76FDD5" w14:textId="77777777">
            <w:pPr>
              <w:rPr>
                <w:rFonts w:ascii="Calibri" w:hAnsi="Calibri" w:cs="Calibri"/>
                <w:color w:val="000000"/>
                <w:sz w:val="22"/>
                <w:szCs w:val="22"/>
              </w:rPr>
            </w:pPr>
            <w:r w:rsidRPr="00A0676D">
              <w:rPr>
                <w:rFonts w:ascii="Calibri" w:hAnsi="Calibri" w:cs="Calibri"/>
                <w:color w:val="000000"/>
                <w:sz w:val="22"/>
                <w:szCs w:val="22"/>
              </w:rPr>
              <w:t>1.0 minute</w:t>
            </w:r>
          </w:p>
        </w:tc>
        <w:tc>
          <w:tcPr>
            <w:tcW w:w="1262" w:type="dxa"/>
            <w:shd w:val="clear" w:color="auto" w:fill="FFFFFF"/>
          </w:tcPr>
          <w:p w:rsidR="009C5009" w:rsidRPr="00A0676D" w:rsidP="00F16540" w14:paraId="75F4B170" w14:textId="77777777">
            <w:pPr>
              <w:rPr>
                <w:rFonts w:ascii="Calibri" w:hAnsi="Calibri" w:cs="Calibri"/>
                <w:color w:val="000000"/>
                <w:sz w:val="22"/>
                <w:szCs w:val="22"/>
              </w:rPr>
            </w:pPr>
            <w:r w:rsidRPr="00A0676D">
              <w:rPr>
                <w:rFonts w:ascii="Calibri" w:hAnsi="Calibri" w:cs="Calibri"/>
                <w:color w:val="000000"/>
                <w:sz w:val="22"/>
                <w:szCs w:val="22"/>
              </w:rPr>
              <w:t>540.</w:t>
            </w:r>
            <w:r w:rsidRPr="00A0676D" w:rsidR="00E97DA2">
              <w:rPr>
                <w:rFonts w:ascii="Calibri" w:hAnsi="Calibri" w:cs="Calibri"/>
                <w:color w:val="000000"/>
                <w:sz w:val="22"/>
                <w:szCs w:val="22"/>
              </w:rPr>
              <w:t>8</w:t>
            </w:r>
          </w:p>
        </w:tc>
        <w:tc>
          <w:tcPr>
            <w:tcW w:w="1350" w:type="dxa"/>
            <w:shd w:val="clear" w:color="auto" w:fill="FFFFFF"/>
          </w:tcPr>
          <w:p w:rsidR="009C5009" w:rsidRPr="00A0676D" w:rsidP="00F16540" w14:paraId="47480674" w14:textId="77777777">
            <w:pPr>
              <w:rPr>
                <w:rFonts w:ascii="Calibri" w:hAnsi="Calibri" w:cs="Calibri"/>
                <w:color w:val="000000"/>
                <w:sz w:val="22"/>
                <w:szCs w:val="22"/>
              </w:rPr>
            </w:pPr>
            <w:r w:rsidRPr="00A0676D">
              <w:rPr>
                <w:rFonts w:ascii="Calibri" w:hAnsi="Calibri" w:cs="Calibri"/>
                <w:color w:val="000000"/>
                <w:sz w:val="22"/>
                <w:szCs w:val="22"/>
              </w:rPr>
              <w:t>$28.01</w:t>
            </w:r>
          </w:p>
        </w:tc>
        <w:tc>
          <w:tcPr>
            <w:tcW w:w="1620" w:type="dxa"/>
            <w:shd w:val="clear" w:color="auto" w:fill="FFFFFF"/>
          </w:tcPr>
          <w:p w:rsidR="009C5009" w:rsidRPr="00A0676D" w:rsidP="00F16540" w14:paraId="312C7838" w14:textId="77777777">
            <w:pPr>
              <w:rPr>
                <w:rFonts w:ascii="Calibri" w:hAnsi="Calibri" w:cs="Calibri"/>
                <w:color w:val="000000"/>
                <w:sz w:val="22"/>
                <w:szCs w:val="22"/>
              </w:rPr>
            </w:pPr>
            <w:r w:rsidRPr="00A0676D">
              <w:rPr>
                <w:rFonts w:ascii="Calibri" w:hAnsi="Calibri" w:cs="Calibri"/>
                <w:color w:val="000000"/>
                <w:sz w:val="22"/>
                <w:szCs w:val="22"/>
              </w:rPr>
              <w:t>$15,148</w:t>
            </w:r>
          </w:p>
        </w:tc>
      </w:tr>
      <w:tr w14:paraId="1BA08AB9" w14:textId="77777777" w:rsidTr="00F16540">
        <w:tblPrEx>
          <w:tblW w:w="10818" w:type="dxa"/>
          <w:shd w:val="clear" w:color="auto" w:fill="FFFFFF"/>
          <w:tblLayout w:type="fixed"/>
          <w:tblLook w:val="04A0"/>
        </w:tblPrEx>
        <w:tc>
          <w:tcPr>
            <w:tcW w:w="2443" w:type="dxa"/>
            <w:shd w:val="clear" w:color="auto" w:fill="FFFFFF"/>
          </w:tcPr>
          <w:p w:rsidR="009C5009" w:rsidRPr="00A0676D" w:rsidP="00F16540" w14:paraId="0D79A92D" w14:textId="77777777">
            <w:pPr>
              <w:rPr>
                <w:rFonts w:ascii="Calibri" w:hAnsi="Calibri" w:cs="Calibri"/>
                <w:color w:val="000000"/>
                <w:sz w:val="22"/>
                <w:szCs w:val="22"/>
              </w:rPr>
            </w:pPr>
            <w:r w:rsidRPr="00A0676D">
              <w:rPr>
                <w:rFonts w:ascii="Calibri" w:hAnsi="Calibri" w:cs="Calibri"/>
                <w:color w:val="000000"/>
                <w:sz w:val="22"/>
                <w:szCs w:val="22"/>
              </w:rPr>
              <w:t>Follow-up Invitation</w:t>
            </w:r>
          </w:p>
        </w:tc>
        <w:tc>
          <w:tcPr>
            <w:tcW w:w="1536" w:type="dxa"/>
            <w:shd w:val="clear" w:color="auto" w:fill="FFFFFF"/>
          </w:tcPr>
          <w:p w:rsidR="009C5009" w:rsidRPr="00A0676D" w:rsidP="00F16540" w14:paraId="0F5BEC08" w14:textId="77777777">
            <w:pPr>
              <w:rPr>
                <w:rFonts w:ascii="Calibri" w:hAnsi="Calibri" w:cs="Calibri"/>
                <w:color w:val="000000"/>
                <w:sz w:val="22"/>
                <w:szCs w:val="22"/>
              </w:rPr>
            </w:pPr>
            <w:r w:rsidRPr="00A0676D">
              <w:rPr>
                <w:rFonts w:ascii="Calibri" w:hAnsi="Calibri" w:cs="Calibri"/>
                <w:color w:val="000000"/>
                <w:sz w:val="22"/>
                <w:szCs w:val="22"/>
              </w:rPr>
              <w:t>32,450</w:t>
            </w:r>
          </w:p>
        </w:tc>
        <w:tc>
          <w:tcPr>
            <w:tcW w:w="1430" w:type="dxa"/>
            <w:shd w:val="clear" w:color="auto" w:fill="FFFFFF"/>
          </w:tcPr>
          <w:p w:rsidR="009C5009" w:rsidRPr="00A0676D" w:rsidP="00F16540" w14:paraId="547AA9B9" w14:textId="77777777">
            <w:pPr>
              <w:rPr>
                <w:rFonts w:ascii="Calibri" w:hAnsi="Calibri" w:cs="Calibri"/>
                <w:color w:val="000000"/>
                <w:sz w:val="22"/>
                <w:szCs w:val="22"/>
              </w:rPr>
            </w:pPr>
            <w:r w:rsidRPr="00A0676D">
              <w:rPr>
                <w:rFonts w:ascii="Calibri" w:hAnsi="Calibri" w:cs="Calibri"/>
                <w:color w:val="000000"/>
                <w:sz w:val="22"/>
                <w:szCs w:val="22"/>
              </w:rPr>
              <w:t>1</w:t>
            </w:r>
          </w:p>
        </w:tc>
        <w:tc>
          <w:tcPr>
            <w:tcW w:w="1177" w:type="dxa"/>
            <w:shd w:val="clear" w:color="auto" w:fill="FFFFFF"/>
          </w:tcPr>
          <w:p w:rsidR="009C5009" w:rsidRPr="00A0676D" w:rsidP="00F16540" w14:paraId="00CE0E9B" w14:textId="77777777">
            <w:pPr>
              <w:rPr>
                <w:rFonts w:ascii="Calibri" w:hAnsi="Calibri" w:cs="Calibri"/>
                <w:color w:val="000000"/>
                <w:sz w:val="22"/>
                <w:szCs w:val="22"/>
              </w:rPr>
            </w:pPr>
            <w:r w:rsidRPr="00A0676D">
              <w:rPr>
                <w:rFonts w:ascii="Calibri" w:hAnsi="Calibri" w:cs="Calibri"/>
                <w:color w:val="000000"/>
                <w:sz w:val="22"/>
                <w:szCs w:val="22"/>
              </w:rPr>
              <w:t>0.5 minutes</w:t>
            </w:r>
          </w:p>
        </w:tc>
        <w:tc>
          <w:tcPr>
            <w:tcW w:w="1262" w:type="dxa"/>
            <w:shd w:val="clear" w:color="auto" w:fill="FFFFFF"/>
          </w:tcPr>
          <w:p w:rsidR="009C5009" w:rsidRPr="00A0676D" w:rsidP="00F16540" w14:paraId="7C12EF1A" w14:textId="77777777">
            <w:pPr>
              <w:rPr>
                <w:rFonts w:ascii="Calibri" w:hAnsi="Calibri" w:cs="Calibri"/>
                <w:color w:val="000000"/>
                <w:sz w:val="22"/>
                <w:szCs w:val="22"/>
              </w:rPr>
            </w:pPr>
            <w:r w:rsidRPr="00A0676D">
              <w:rPr>
                <w:rFonts w:ascii="Calibri" w:hAnsi="Calibri" w:cs="Calibri"/>
                <w:color w:val="000000"/>
                <w:sz w:val="22"/>
                <w:szCs w:val="22"/>
              </w:rPr>
              <w:t>270.4</w:t>
            </w:r>
          </w:p>
        </w:tc>
        <w:tc>
          <w:tcPr>
            <w:tcW w:w="1350" w:type="dxa"/>
            <w:shd w:val="clear" w:color="auto" w:fill="FFFFFF"/>
          </w:tcPr>
          <w:p w:rsidR="009C5009" w:rsidRPr="00A0676D" w:rsidP="00F16540" w14:paraId="7D6BAB62" w14:textId="77777777">
            <w:pPr>
              <w:rPr>
                <w:rFonts w:ascii="Calibri" w:hAnsi="Calibri" w:cs="Calibri"/>
                <w:color w:val="000000"/>
                <w:sz w:val="22"/>
                <w:szCs w:val="22"/>
              </w:rPr>
            </w:pPr>
            <w:r w:rsidRPr="00A0676D">
              <w:rPr>
                <w:rFonts w:ascii="Calibri" w:hAnsi="Calibri" w:cs="Calibri"/>
                <w:color w:val="000000"/>
                <w:sz w:val="22"/>
                <w:szCs w:val="22"/>
              </w:rPr>
              <w:t>$28.01</w:t>
            </w:r>
          </w:p>
        </w:tc>
        <w:tc>
          <w:tcPr>
            <w:tcW w:w="1620" w:type="dxa"/>
            <w:shd w:val="clear" w:color="auto" w:fill="FFFFFF"/>
          </w:tcPr>
          <w:p w:rsidR="009C5009" w:rsidRPr="00A0676D" w:rsidP="00F16540" w14:paraId="269ACC68" w14:textId="77777777">
            <w:pPr>
              <w:rPr>
                <w:rFonts w:ascii="Calibri" w:hAnsi="Calibri" w:cs="Calibri"/>
                <w:color w:val="000000"/>
                <w:sz w:val="22"/>
                <w:szCs w:val="22"/>
              </w:rPr>
            </w:pPr>
            <w:r w:rsidRPr="00A0676D">
              <w:rPr>
                <w:rFonts w:ascii="Calibri" w:hAnsi="Calibri" w:cs="Calibri"/>
                <w:color w:val="000000"/>
                <w:sz w:val="22"/>
                <w:szCs w:val="22"/>
              </w:rPr>
              <w:t>$7,574</w:t>
            </w:r>
          </w:p>
        </w:tc>
      </w:tr>
      <w:tr w14:paraId="0BD9F453" w14:textId="77777777" w:rsidTr="00F16540">
        <w:tblPrEx>
          <w:tblW w:w="10818" w:type="dxa"/>
          <w:shd w:val="clear" w:color="auto" w:fill="FFFFFF"/>
          <w:tblLayout w:type="fixed"/>
          <w:tblLook w:val="04A0"/>
        </w:tblPrEx>
        <w:tc>
          <w:tcPr>
            <w:tcW w:w="2443" w:type="dxa"/>
            <w:shd w:val="clear" w:color="auto" w:fill="FFFFFF"/>
          </w:tcPr>
          <w:p w:rsidR="009C5009" w:rsidRPr="00A0676D" w:rsidP="00F16540" w14:paraId="78F6A5FB" w14:textId="77777777">
            <w:pPr>
              <w:rPr>
                <w:rFonts w:ascii="Calibri" w:hAnsi="Calibri" w:cs="Calibri"/>
                <w:color w:val="000000"/>
                <w:sz w:val="22"/>
                <w:szCs w:val="22"/>
              </w:rPr>
            </w:pPr>
            <w:r w:rsidRPr="00A0676D">
              <w:rPr>
                <w:rFonts w:ascii="Calibri" w:hAnsi="Calibri" w:cs="Calibri"/>
                <w:color w:val="000000"/>
                <w:sz w:val="22"/>
                <w:szCs w:val="22"/>
              </w:rPr>
              <w:t>Total Participants</w:t>
            </w:r>
          </w:p>
          <w:p w:rsidR="009C5009" w:rsidRPr="00A0676D" w:rsidP="00F16540" w14:paraId="294A9907" w14:textId="77777777">
            <w:pPr>
              <w:numPr>
                <w:ilvl w:val="0"/>
                <w:numId w:val="9"/>
              </w:numPr>
              <w:ind w:left="525" w:hanging="270"/>
              <w:rPr>
                <w:rFonts w:ascii="Calibri" w:hAnsi="Calibri" w:cs="Calibri"/>
                <w:color w:val="000000"/>
                <w:sz w:val="22"/>
                <w:szCs w:val="22"/>
              </w:rPr>
            </w:pPr>
            <w:r w:rsidRPr="00A0676D">
              <w:rPr>
                <w:rFonts w:ascii="Calibri" w:hAnsi="Calibri" w:cs="Calibri"/>
                <w:color w:val="000000"/>
                <w:sz w:val="22"/>
                <w:szCs w:val="22"/>
              </w:rPr>
              <w:t>1,100 general population</w:t>
            </w:r>
          </w:p>
          <w:p w:rsidR="009C5009" w:rsidRPr="00A0676D" w:rsidP="00F16540" w14:paraId="2DDD6B59" w14:textId="77777777">
            <w:pPr>
              <w:numPr>
                <w:ilvl w:val="0"/>
                <w:numId w:val="9"/>
              </w:numPr>
              <w:ind w:left="525" w:hanging="270"/>
              <w:rPr>
                <w:rFonts w:ascii="Calibri" w:hAnsi="Calibri" w:cs="Calibri"/>
                <w:color w:val="000000"/>
                <w:sz w:val="22"/>
                <w:szCs w:val="22"/>
              </w:rPr>
            </w:pPr>
            <w:r w:rsidRPr="00A0676D">
              <w:rPr>
                <w:rFonts w:ascii="Calibri" w:hAnsi="Calibri" w:cs="Calibri"/>
                <w:color w:val="000000"/>
                <w:sz w:val="22"/>
                <w:szCs w:val="22"/>
              </w:rPr>
              <w:t>198 oversample hard-to-reach**</w:t>
            </w:r>
          </w:p>
        </w:tc>
        <w:tc>
          <w:tcPr>
            <w:tcW w:w="1536" w:type="dxa"/>
            <w:shd w:val="clear" w:color="auto" w:fill="FFFFFF"/>
          </w:tcPr>
          <w:p w:rsidR="009C5009" w:rsidRPr="00A0676D" w:rsidP="00F16540" w14:paraId="226C0BF4" w14:textId="77777777">
            <w:pPr>
              <w:rPr>
                <w:rFonts w:ascii="Calibri" w:hAnsi="Calibri" w:cs="Calibri"/>
                <w:color w:val="000000"/>
                <w:sz w:val="22"/>
                <w:szCs w:val="22"/>
                <w:highlight w:val="yellow"/>
              </w:rPr>
            </w:pPr>
            <w:r w:rsidRPr="00A0676D">
              <w:rPr>
                <w:rFonts w:ascii="Calibri" w:hAnsi="Calibri" w:cs="Calibri"/>
                <w:color w:val="000000"/>
                <w:sz w:val="22"/>
                <w:szCs w:val="22"/>
              </w:rPr>
              <w:t>1,298 (Included in the above)</w:t>
            </w:r>
          </w:p>
        </w:tc>
        <w:tc>
          <w:tcPr>
            <w:tcW w:w="1430" w:type="dxa"/>
            <w:shd w:val="clear" w:color="auto" w:fill="FFFFFF"/>
          </w:tcPr>
          <w:p w:rsidR="009C5009" w:rsidRPr="00A0676D" w:rsidP="00F16540" w14:paraId="26134238" w14:textId="77777777">
            <w:pPr>
              <w:rPr>
                <w:rFonts w:ascii="Calibri" w:hAnsi="Calibri" w:cs="Calibri"/>
                <w:bCs/>
                <w:color w:val="000000"/>
                <w:sz w:val="22"/>
                <w:szCs w:val="22"/>
              </w:rPr>
            </w:pPr>
            <w:r w:rsidRPr="00A0676D">
              <w:rPr>
                <w:rFonts w:ascii="Calibri" w:hAnsi="Calibri" w:cs="Calibri"/>
                <w:bCs/>
                <w:color w:val="000000"/>
                <w:sz w:val="22"/>
                <w:szCs w:val="22"/>
              </w:rPr>
              <w:t>1</w:t>
            </w:r>
          </w:p>
        </w:tc>
        <w:tc>
          <w:tcPr>
            <w:tcW w:w="1177" w:type="dxa"/>
            <w:shd w:val="clear" w:color="auto" w:fill="FFFFFF"/>
          </w:tcPr>
          <w:p w:rsidR="009C5009" w:rsidRPr="00A0676D" w:rsidP="00F16540" w14:paraId="4BE0291F" w14:textId="77777777">
            <w:pPr>
              <w:rPr>
                <w:rFonts w:ascii="Calibri" w:hAnsi="Calibri" w:cs="Calibri"/>
                <w:color w:val="000000"/>
                <w:sz w:val="22"/>
                <w:szCs w:val="22"/>
              </w:rPr>
            </w:pPr>
            <w:r w:rsidRPr="00A0676D">
              <w:rPr>
                <w:rFonts w:ascii="Calibri" w:hAnsi="Calibri" w:cs="Calibri"/>
                <w:color w:val="000000"/>
                <w:sz w:val="22"/>
                <w:szCs w:val="22"/>
              </w:rPr>
              <w:t>23 minutes</w:t>
            </w:r>
          </w:p>
          <w:p w:rsidR="006D30A2" w:rsidRPr="00A0676D" w:rsidP="00F16540" w14:paraId="71966EBD" w14:textId="77777777">
            <w:pPr>
              <w:rPr>
                <w:rFonts w:ascii="Calibri" w:hAnsi="Calibri" w:cs="Calibri"/>
                <w:b/>
                <w:color w:val="000000"/>
                <w:sz w:val="22"/>
                <w:szCs w:val="22"/>
              </w:rPr>
            </w:pPr>
          </w:p>
        </w:tc>
        <w:tc>
          <w:tcPr>
            <w:tcW w:w="1262" w:type="dxa"/>
            <w:shd w:val="clear" w:color="auto" w:fill="FFFFFF"/>
          </w:tcPr>
          <w:p w:rsidR="00763144" w:rsidRPr="00A0676D" w:rsidP="00F16540" w14:paraId="332338C1" w14:textId="77777777">
            <w:pPr>
              <w:rPr>
                <w:rFonts w:ascii="Calibri" w:hAnsi="Calibri" w:cs="Calibri"/>
                <w:b/>
                <w:color w:val="000000"/>
                <w:sz w:val="22"/>
                <w:szCs w:val="22"/>
              </w:rPr>
            </w:pPr>
            <w:r w:rsidRPr="00A0676D">
              <w:rPr>
                <w:rFonts w:ascii="Calibri" w:hAnsi="Calibri" w:cs="Calibri"/>
                <w:color w:val="000000"/>
                <w:sz w:val="22"/>
                <w:szCs w:val="22"/>
              </w:rPr>
              <w:t>497.6</w:t>
            </w:r>
          </w:p>
        </w:tc>
        <w:tc>
          <w:tcPr>
            <w:tcW w:w="1350" w:type="dxa"/>
            <w:shd w:val="clear" w:color="auto" w:fill="FFFFFF"/>
          </w:tcPr>
          <w:p w:rsidR="009C5009" w:rsidRPr="00A0676D" w:rsidP="00F16540" w14:paraId="694513C3" w14:textId="77777777">
            <w:pPr>
              <w:rPr>
                <w:rFonts w:ascii="Calibri" w:hAnsi="Calibri" w:cs="Calibri"/>
                <w:b/>
                <w:color w:val="000000"/>
                <w:sz w:val="22"/>
                <w:szCs w:val="22"/>
              </w:rPr>
            </w:pPr>
            <w:r w:rsidRPr="00A0676D">
              <w:rPr>
                <w:rFonts w:ascii="Calibri" w:hAnsi="Calibri" w:cs="Calibri"/>
                <w:color w:val="000000"/>
                <w:sz w:val="22"/>
                <w:szCs w:val="22"/>
              </w:rPr>
              <w:t>$28.01</w:t>
            </w:r>
          </w:p>
        </w:tc>
        <w:tc>
          <w:tcPr>
            <w:tcW w:w="1620" w:type="dxa"/>
            <w:shd w:val="clear" w:color="auto" w:fill="FFFFFF"/>
          </w:tcPr>
          <w:p w:rsidR="00763144" w:rsidRPr="00A0676D" w:rsidP="00F16540" w14:paraId="1A13FCE7" w14:textId="77777777">
            <w:pPr>
              <w:rPr>
                <w:rFonts w:ascii="Calibri" w:hAnsi="Calibri" w:cs="Calibri"/>
                <w:bCs/>
                <w:color w:val="000000"/>
                <w:sz w:val="22"/>
                <w:szCs w:val="22"/>
              </w:rPr>
            </w:pPr>
            <w:r w:rsidRPr="00A0676D">
              <w:rPr>
                <w:rFonts w:ascii="Calibri" w:hAnsi="Calibri" w:cs="Calibri"/>
                <w:bCs/>
                <w:color w:val="000000"/>
                <w:sz w:val="22"/>
                <w:szCs w:val="22"/>
              </w:rPr>
              <w:t>$13,938</w:t>
            </w:r>
          </w:p>
        </w:tc>
      </w:tr>
      <w:tr w14:paraId="2FBF016F" w14:textId="77777777" w:rsidTr="00F16540">
        <w:tblPrEx>
          <w:tblW w:w="10818" w:type="dxa"/>
          <w:shd w:val="clear" w:color="auto" w:fill="FFFFFF"/>
          <w:tblLayout w:type="fixed"/>
          <w:tblLook w:val="04A0"/>
        </w:tblPrEx>
        <w:tc>
          <w:tcPr>
            <w:tcW w:w="2443" w:type="dxa"/>
            <w:shd w:val="clear" w:color="auto" w:fill="FFFFFF"/>
          </w:tcPr>
          <w:p w:rsidR="009C5009" w:rsidRPr="00A0676D" w:rsidP="00F16540" w14:paraId="437ED5CA" w14:textId="77777777">
            <w:pPr>
              <w:rPr>
                <w:rFonts w:ascii="Calibri" w:hAnsi="Calibri" w:cs="Calibri"/>
                <w:b/>
                <w:color w:val="000000"/>
                <w:sz w:val="22"/>
                <w:szCs w:val="22"/>
              </w:rPr>
            </w:pPr>
            <w:r w:rsidRPr="00A0676D">
              <w:rPr>
                <w:rFonts w:ascii="Calibri" w:hAnsi="Calibri" w:cs="Calibri"/>
                <w:b/>
                <w:color w:val="000000"/>
                <w:sz w:val="22"/>
                <w:szCs w:val="22"/>
              </w:rPr>
              <w:t xml:space="preserve">Total </w:t>
            </w:r>
          </w:p>
          <w:p w:rsidR="009C5009" w:rsidRPr="00A0676D" w:rsidP="00F16540" w14:paraId="73DC84B7" w14:textId="77777777">
            <w:pPr>
              <w:rPr>
                <w:rFonts w:ascii="Calibri" w:hAnsi="Calibri" w:cs="Calibri"/>
                <w:b/>
                <w:color w:val="000000"/>
                <w:sz w:val="22"/>
                <w:szCs w:val="22"/>
              </w:rPr>
            </w:pPr>
            <w:r w:rsidRPr="00A0676D">
              <w:rPr>
                <w:rFonts w:ascii="Calibri" w:hAnsi="Calibri" w:cs="Calibri"/>
                <w:color w:val="000000"/>
                <w:sz w:val="22"/>
                <w:szCs w:val="22"/>
              </w:rPr>
              <w:t>(Response Rate = 4%)</w:t>
            </w:r>
          </w:p>
        </w:tc>
        <w:tc>
          <w:tcPr>
            <w:tcW w:w="1536" w:type="dxa"/>
            <w:shd w:val="clear" w:color="auto" w:fill="FFFFFF"/>
          </w:tcPr>
          <w:p w:rsidR="009C5009" w:rsidRPr="00A0676D" w:rsidP="00F16540" w14:paraId="6DDC549E" w14:textId="77777777">
            <w:pPr>
              <w:rPr>
                <w:rFonts w:ascii="Calibri" w:hAnsi="Calibri" w:cs="Calibri"/>
                <w:bCs/>
                <w:color w:val="000000"/>
                <w:sz w:val="22"/>
                <w:szCs w:val="22"/>
              </w:rPr>
            </w:pPr>
            <w:r w:rsidRPr="00A0676D">
              <w:rPr>
                <w:rFonts w:ascii="Calibri" w:hAnsi="Calibri" w:cs="Calibri"/>
                <w:b/>
                <w:color w:val="000000"/>
                <w:sz w:val="22"/>
                <w:szCs w:val="22"/>
              </w:rPr>
              <w:t>32,450</w:t>
            </w:r>
          </w:p>
        </w:tc>
        <w:tc>
          <w:tcPr>
            <w:tcW w:w="1430" w:type="dxa"/>
            <w:shd w:val="clear" w:color="auto" w:fill="FFFFFF"/>
          </w:tcPr>
          <w:p w:rsidR="009C5009" w:rsidRPr="00A0676D" w:rsidP="00F16540" w14:paraId="38A72038" w14:textId="77777777">
            <w:pPr>
              <w:rPr>
                <w:rFonts w:ascii="Calibri" w:hAnsi="Calibri" w:cs="Calibri"/>
                <w:b/>
                <w:color w:val="000000"/>
                <w:sz w:val="22"/>
                <w:szCs w:val="22"/>
              </w:rPr>
            </w:pPr>
          </w:p>
        </w:tc>
        <w:tc>
          <w:tcPr>
            <w:tcW w:w="1177" w:type="dxa"/>
            <w:shd w:val="clear" w:color="auto" w:fill="FFFFFF"/>
          </w:tcPr>
          <w:p w:rsidR="009C5009" w:rsidRPr="00A0676D" w:rsidP="00F16540" w14:paraId="7E8BD0B1" w14:textId="77777777">
            <w:pPr>
              <w:rPr>
                <w:rFonts w:ascii="Calibri" w:hAnsi="Calibri" w:cs="Calibri"/>
                <w:b/>
                <w:color w:val="000000"/>
                <w:sz w:val="22"/>
                <w:szCs w:val="22"/>
              </w:rPr>
            </w:pPr>
          </w:p>
        </w:tc>
        <w:tc>
          <w:tcPr>
            <w:tcW w:w="1262" w:type="dxa"/>
            <w:shd w:val="clear" w:color="auto" w:fill="FFFFFF"/>
          </w:tcPr>
          <w:p w:rsidR="00763144" w:rsidRPr="00A0676D" w:rsidP="00F16540" w14:paraId="54D21A06" w14:textId="77777777">
            <w:pPr>
              <w:rPr>
                <w:rFonts w:ascii="Calibri" w:hAnsi="Calibri" w:cs="Calibri"/>
                <w:b/>
                <w:color w:val="000000"/>
                <w:sz w:val="22"/>
                <w:szCs w:val="22"/>
              </w:rPr>
            </w:pPr>
            <w:r w:rsidRPr="00A0676D">
              <w:rPr>
                <w:rFonts w:ascii="Calibri" w:hAnsi="Calibri" w:cs="Calibri"/>
                <w:b/>
                <w:color w:val="000000"/>
                <w:sz w:val="22"/>
                <w:szCs w:val="22"/>
              </w:rPr>
              <w:t>1,30</w:t>
            </w:r>
            <w:r w:rsidRPr="00A0676D" w:rsidR="00E97DA2">
              <w:rPr>
                <w:rFonts w:ascii="Calibri" w:hAnsi="Calibri" w:cs="Calibri"/>
                <w:b/>
                <w:color w:val="000000"/>
                <w:sz w:val="22"/>
                <w:szCs w:val="22"/>
              </w:rPr>
              <w:t>8</w:t>
            </w:r>
            <w:r w:rsidRPr="00A0676D">
              <w:rPr>
                <w:rFonts w:ascii="Calibri" w:hAnsi="Calibri" w:cs="Calibri"/>
                <w:b/>
                <w:color w:val="000000"/>
                <w:sz w:val="22"/>
                <w:szCs w:val="22"/>
              </w:rPr>
              <w:t>.</w:t>
            </w:r>
            <w:r w:rsidRPr="00A0676D" w:rsidR="00E97DA2">
              <w:rPr>
                <w:rFonts w:ascii="Calibri" w:hAnsi="Calibri" w:cs="Calibri"/>
                <w:b/>
                <w:color w:val="000000"/>
                <w:sz w:val="22"/>
                <w:szCs w:val="22"/>
              </w:rPr>
              <w:t>8</w:t>
            </w:r>
          </w:p>
        </w:tc>
        <w:tc>
          <w:tcPr>
            <w:tcW w:w="1350" w:type="dxa"/>
            <w:shd w:val="clear" w:color="auto" w:fill="FFFFFF"/>
          </w:tcPr>
          <w:p w:rsidR="009C5009" w:rsidRPr="00A0676D" w:rsidP="00F16540" w14:paraId="1B3D3E9C" w14:textId="77777777">
            <w:pPr>
              <w:rPr>
                <w:rFonts w:ascii="Calibri" w:hAnsi="Calibri" w:cs="Calibri"/>
                <w:b/>
                <w:color w:val="000000"/>
                <w:sz w:val="22"/>
                <w:szCs w:val="22"/>
              </w:rPr>
            </w:pPr>
          </w:p>
        </w:tc>
        <w:tc>
          <w:tcPr>
            <w:tcW w:w="1620" w:type="dxa"/>
            <w:shd w:val="clear" w:color="auto" w:fill="FFFFFF"/>
          </w:tcPr>
          <w:p w:rsidR="00763144" w:rsidRPr="00A0676D" w:rsidP="00F16540" w14:paraId="1797A5C4" w14:textId="77777777">
            <w:pPr>
              <w:rPr>
                <w:rFonts w:ascii="Calibri" w:hAnsi="Calibri" w:cs="Calibri"/>
                <w:b/>
                <w:color w:val="000000"/>
                <w:sz w:val="22"/>
                <w:szCs w:val="22"/>
              </w:rPr>
            </w:pPr>
            <w:r w:rsidRPr="00A0676D">
              <w:rPr>
                <w:rFonts w:ascii="Calibri" w:hAnsi="Calibri" w:cs="Calibri"/>
                <w:b/>
                <w:color w:val="000000"/>
                <w:sz w:val="22"/>
                <w:szCs w:val="22"/>
              </w:rPr>
              <w:t>$36,660</w:t>
            </w:r>
          </w:p>
        </w:tc>
      </w:tr>
    </w:tbl>
    <w:bookmarkEnd w:id="2"/>
    <w:p w:rsidR="00371513" w:rsidRPr="00A0676D" w:rsidP="00275B51" w14:paraId="4DA6BFC3" w14:textId="77777777">
      <w:pPr>
        <w:ind w:left="1080"/>
        <w:rPr>
          <w:rFonts w:ascii="Calibri" w:hAnsi="Calibri" w:cs="Calibri"/>
          <w:color w:val="000000"/>
        </w:rPr>
      </w:pPr>
      <w:r w:rsidRPr="00A0676D">
        <w:rPr>
          <w:rFonts w:ascii="Calibri" w:hAnsi="Calibri" w:cs="Calibri"/>
          <w:color w:val="000000"/>
        </w:rPr>
        <w:t xml:space="preserve">With an estimated response rate of </w:t>
      </w:r>
      <w:r w:rsidRPr="00A0676D" w:rsidR="00054EC5">
        <w:rPr>
          <w:rFonts w:ascii="Calibri" w:hAnsi="Calibri" w:cs="Calibri"/>
          <w:color w:val="000000"/>
        </w:rPr>
        <w:t>4</w:t>
      </w:r>
      <w:r w:rsidRPr="00A0676D">
        <w:rPr>
          <w:rFonts w:ascii="Calibri" w:hAnsi="Calibri" w:cs="Calibri"/>
          <w:color w:val="000000"/>
        </w:rPr>
        <w:t xml:space="preserve">%, we anticipate screening </w:t>
      </w:r>
      <w:r w:rsidRPr="00A0676D" w:rsidR="00054EC5">
        <w:rPr>
          <w:rFonts w:ascii="Calibri" w:hAnsi="Calibri" w:cs="Calibri"/>
          <w:color w:val="000000"/>
        </w:rPr>
        <w:t>32,450</w:t>
      </w:r>
      <w:r w:rsidRPr="00A0676D">
        <w:rPr>
          <w:rFonts w:ascii="Calibri" w:hAnsi="Calibri" w:cs="Calibri"/>
          <w:color w:val="000000"/>
        </w:rPr>
        <w:t xml:space="preserve"> respondents</w:t>
      </w:r>
      <w:r w:rsidRPr="00A0676D" w:rsidR="00987114">
        <w:rPr>
          <w:rFonts w:ascii="Calibri" w:hAnsi="Calibri" w:cs="Calibri"/>
          <w:color w:val="000000"/>
        </w:rPr>
        <w:t xml:space="preserve"> annually</w:t>
      </w:r>
      <w:r w:rsidRPr="00A0676D">
        <w:rPr>
          <w:rFonts w:ascii="Calibri" w:hAnsi="Calibri" w:cs="Calibri"/>
          <w:color w:val="000000"/>
        </w:rPr>
        <w:t xml:space="preserve">, who will take </w:t>
      </w:r>
      <w:r w:rsidRPr="00A0676D" w:rsidR="00054EC5">
        <w:rPr>
          <w:rFonts w:ascii="Calibri" w:hAnsi="Calibri" w:cs="Calibri"/>
          <w:color w:val="000000"/>
        </w:rPr>
        <w:t>1.5 minutes total in two contacts</w:t>
      </w:r>
      <w:r w:rsidRPr="00A0676D">
        <w:rPr>
          <w:rFonts w:ascii="Calibri" w:hAnsi="Calibri" w:cs="Calibri"/>
          <w:color w:val="000000"/>
        </w:rPr>
        <w:t xml:space="preserve"> to either accept or decline to participate. </w:t>
      </w:r>
      <w:r w:rsidRPr="00A0676D" w:rsidR="00296539">
        <w:rPr>
          <w:rFonts w:ascii="Calibri" w:hAnsi="Calibri" w:cs="Calibri"/>
          <w:color w:val="000000"/>
        </w:rPr>
        <w:t>1,29</w:t>
      </w:r>
      <w:r w:rsidRPr="00A0676D" w:rsidR="00054EC5">
        <w:rPr>
          <w:rFonts w:ascii="Calibri" w:hAnsi="Calibri" w:cs="Calibri"/>
          <w:color w:val="000000"/>
        </w:rPr>
        <w:t>8</w:t>
      </w:r>
      <w:r w:rsidRPr="00A0676D">
        <w:rPr>
          <w:rFonts w:ascii="Calibri" w:hAnsi="Calibri" w:cs="Calibri"/>
          <w:b/>
          <w:bCs/>
          <w:color w:val="000000"/>
        </w:rPr>
        <w:t xml:space="preserve"> </w:t>
      </w:r>
      <w:r w:rsidRPr="00A0676D">
        <w:rPr>
          <w:rFonts w:ascii="Calibri" w:hAnsi="Calibri" w:cs="Calibri"/>
          <w:color w:val="000000"/>
        </w:rPr>
        <w:t xml:space="preserve">respondents will agree to participate in the survey, which represents the total number of interviews, including oversamples </w:t>
      </w:r>
      <w:r w:rsidRPr="00A0676D" w:rsidR="00560EBF">
        <w:rPr>
          <w:rFonts w:ascii="Calibri" w:hAnsi="Calibri" w:cs="Calibri"/>
          <w:color w:val="000000"/>
        </w:rPr>
        <w:t>of hard-to-reach populations</w:t>
      </w:r>
      <w:r w:rsidRPr="00A0676D">
        <w:rPr>
          <w:rFonts w:ascii="Calibri" w:hAnsi="Calibri" w:cs="Calibri"/>
          <w:color w:val="000000"/>
        </w:rPr>
        <w:t xml:space="preserve">. Their </w:t>
      </w:r>
      <w:r w:rsidRPr="00A0676D" w:rsidR="00987114">
        <w:rPr>
          <w:rFonts w:ascii="Calibri" w:hAnsi="Calibri" w:cs="Calibri"/>
          <w:color w:val="000000"/>
        </w:rPr>
        <w:t xml:space="preserve">estimated </w:t>
      </w:r>
      <w:r w:rsidRPr="00A0676D">
        <w:rPr>
          <w:rFonts w:ascii="Calibri" w:hAnsi="Calibri" w:cs="Calibri"/>
          <w:color w:val="000000"/>
        </w:rPr>
        <w:t>participation time is 23 minutes per response</w:t>
      </w:r>
      <w:r w:rsidRPr="00A0676D" w:rsidR="006D30A2">
        <w:rPr>
          <w:rFonts w:ascii="Calibri" w:hAnsi="Calibri" w:cs="Calibri"/>
          <w:color w:val="000000"/>
        </w:rPr>
        <w:t>, to accommodate the unpredictability of respondents’ choice of online versus phone surveys</w:t>
      </w:r>
      <w:r w:rsidRPr="00A0676D">
        <w:rPr>
          <w:rFonts w:ascii="Calibri" w:hAnsi="Calibri" w:cs="Calibri"/>
          <w:color w:val="000000"/>
        </w:rPr>
        <w:t xml:space="preserve">. </w:t>
      </w:r>
      <w:r w:rsidRPr="00A0676D" w:rsidR="00430B6F">
        <w:rPr>
          <w:rFonts w:ascii="Calibri" w:hAnsi="Calibri" w:cs="Calibri"/>
          <w:color w:val="000000"/>
        </w:rPr>
        <w:t xml:space="preserve">The estimated annual burden for this survey is </w:t>
      </w:r>
      <w:bookmarkStart w:id="3" w:name="_Hlk131079620"/>
      <w:r w:rsidRPr="00A0676D" w:rsidR="00430B6F">
        <w:rPr>
          <w:rFonts w:ascii="Calibri" w:hAnsi="Calibri" w:cs="Calibri"/>
          <w:color w:val="000000"/>
        </w:rPr>
        <w:t>1,</w:t>
      </w:r>
      <w:r w:rsidRPr="00A0676D" w:rsidR="00560EBF">
        <w:rPr>
          <w:rFonts w:ascii="Calibri" w:hAnsi="Calibri" w:cs="Calibri"/>
          <w:color w:val="000000"/>
        </w:rPr>
        <w:t>30</w:t>
      </w:r>
      <w:r w:rsidRPr="00A0676D" w:rsidR="006302D6">
        <w:rPr>
          <w:rFonts w:ascii="Calibri" w:hAnsi="Calibri" w:cs="Calibri"/>
          <w:color w:val="000000"/>
        </w:rPr>
        <w:t>9</w:t>
      </w:r>
      <w:r w:rsidRPr="00A0676D" w:rsidR="00560EBF">
        <w:rPr>
          <w:rFonts w:ascii="Calibri" w:hAnsi="Calibri" w:cs="Calibri"/>
          <w:color w:val="000000"/>
        </w:rPr>
        <w:t xml:space="preserve"> </w:t>
      </w:r>
      <w:bookmarkEnd w:id="3"/>
      <w:r w:rsidRPr="00A0676D" w:rsidR="00430B6F">
        <w:rPr>
          <w:rFonts w:ascii="Calibri" w:hAnsi="Calibri" w:cs="Calibri"/>
          <w:color w:val="000000"/>
        </w:rPr>
        <w:t>hours.</w:t>
      </w:r>
    </w:p>
    <w:p w:rsidR="00371513" w:rsidRPr="00A0676D" w:rsidP="00371513" w14:paraId="11177DC6" w14:textId="77777777">
      <w:pPr>
        <w:ind w:left="360"/>
        <w:rPr>
          <w:rFonts w:ascii="Calibri" w:hAnsi="Calibri" w:cs="Calibri"/>
          <w:color w:val="000000"/>
        </w:rPr>
      </w:pPr>
    </w:p>
    <w:p w:rsidR="00371513" w:rsidRPr="00A0676D" w:rsidP="00371513" w14:paraId="4D40D7EA" w14:textId="77777777">
      <w:pPr>
        <w:ind w:left="360"/>
        <w:rPr>
          <w:rFonts w:ascii="Calibri" w:hAnsi="Calibri" w:cs="Calibri"/>
          <w:color w:val="000000"/>
        </w:rPr>
      </w:pPr>
      <w:r w:rsidRPr="00A0676D">
        <w:rPr>
          <w:rFonts w:ascii="Calibri" w:hAnsi="Calibri" w:cs="Calibri"/>
          <w:color w:val="000000"/>
        </w:rPr>
        <w:t xml:space="preserve">*Totals may not appear to add correctly due to rounding.  </w:t>
      </w:r>
    </w:p>
    <w:p w:rsidR="008F762C" w:rsidRPr="00A0676D" w:rsidP="008F762C" w14:paraId="4BA814AF" w14:textId="77777777">
      <w:pPr>
        <w:ind w:left="360"/>
        <w:rPr>
          <w:rFonts w:ascii="Calibri" w:hAnsi="Calibri" w:cs="Calibri"/>
          <w:color w:val="000000"/>
        </w:rPr>
      </w:pPr>
      <w:r w:rsidRPr="00A0676D">
        <w:rPr>
          <w:rFonts w:ascii="Calibri" w:hAnsi="Calibri" w:cs="Calibri"/>
          <w:color w:val="000000"/>
        </w:rPr>
        <w:t>**</w:t>
      </w:r>
      <w:r w:rsidRPr="00A0676D" w:rsidR="0062103F">
        <w:rPr>
          <w:rFonts w:ascii="Calibri" w:hAnsi="Calibri" w:cs="Calibri"/>
          <w:color w:val="000000"/>
        </w:rPr>
        <w:t>Spanish LEP, Asian-Language LEP, Homeless, Rural Low Income</w:t>
      </w:r>
      <w:r w:rsidRPr="00A0676D" w:rsidR="00A7724A">
        <w:rPr>
          <w:rFonts w:ascii="Calibri" w:hAnsi="Calibri" w:cs="Calibri"/>
          <w:color w:val="000000"/>
        </w:rPr>
        <w:t>, Veterans</w:t>
      </w:r>
      <w:r w:rsidRPr="00A0676D" w:rsidR="00036573">
        <w:rPr>
          <w:rFonts w:ascii="Calibri" w:hAnsi="Calibri" w:cs="Calibri"/>
          <w:color w:val="000000"/>
        </w:rPr>
        <w:t>, Stateside Military</w:t>
      </w:r>
      <w:r w:rsidRPr="00A0676D" w:rsidR="00EF751D">
        <w:rPr>
          <w:rFonts w:ascii="Calibri" w:hAnsi="Calibri" w:cs="Calibri"/>
          <w:color w:val="000000"/>
        </w:rPr>
        <w:t xml:space="preserve"> </w:t>
      </w:r>
      <w:r w:rsidRPr="00A0676D">
        <w:rPr>
          <w:rFonts w:ascii="Calibri" w:hAnsi="Calibri" w:cs="Calibri"/>
          <w:color w:val="000000"/>
        </w:rPr>
        <w:t xml:space="preserve"> </w:t>
      </w:r>
    </w:p>
    <w:p w:rsidR="00B40CDF" w:rsidRPr="00A0676D" w:rsidP="00B40CDF" w14:paraId="0A2E4DE7" w14:textId="77777777">
      <w:pPr>
        <w:tabs>
          <w:tab w:val="left" w:pos="1080"/>
        </w:tabs>
        <w:ind w:left="1080"/>
        <w:rPr>
          <w:rFonts w:ascii="Calibri" w:hAnsi="Calibri" w:cs="Calibri"/>
          <w:color w:val="000000"/>
        </w:rPr>
      </w:pPr>
      <w:r w:rsidRPr="00A0676D">
        <w:rPr>
          <w:rFonts w:ascii="Calibri" w:hAnsi="Calibri" w:cs="Calibri"/>
          <w:color w:val="000000"/>
        </w:rPr>
        <w:t xml:space="preserve"> </w:t>
      </w:r>
      <w:r w:rsidRPr="00A0676D" w:rsidR="00371513">
        <w:rPr>
          <w:rFonts w:ascii="Calibri" w:hAnsi="Calibri" w:cs="Calibri"/>
          <w:color w:val="000000"/>
        </w:rPr>
        <w:t xml:space="preserve"> </w:t>
      </w:r>
    </w:p>
    <w:p w:rsidR="00B40CDF" w:rsidRPr="00A0676D" w:rsidP="00B40CDF" w14:paraId="2D6F3F9B" w14:textId="77777777">
      <w:pPr>
        <w:numPr>
          <w:ilvl w:val="1"/>
          <w:numId w:val="1"/>
        </w:numPr>
        <w:tabs>
          <w:tab w:val="left" w:pos="1080"/>
        </w:tabs>
        <w:rPr>
          <w:rFonts w:ascii="Calibri" w:hAnsi="Calibri" w:cs="Calibri"/>
          <w:b/>
          <w:bCs/>
          <w:color w:val="000000"/>
        </w:rPr>
      </w:pPr>
      <w:r w:rsidRPr="00A0676D">
        <w:rPr>
          <w:rFonts w:ascii="Calibri" w:hAnsi="Calibri" w:cs="Calibri"/>
          <w:b/>
          <w:bCs/>
          <w:color w:val="000000"/>
        </w:rPr>
        <w:t xml:space="preserve"> Estimated Total Annual Cost Burden to Respondents</w:t>
      </w:r>
    </w:p>
    <w:p w:rsidR="00B40CDF" w:rsidRPr="00A0676D" w:rsidP="00B40CDF" w14:paraId="1FE7E8FD" w14:textId="77777777">
      <w:pPr>
        <w:tabs>
          <w:tab w:val="left" w:pos="1080"/>
        </w:tabs>
        <w:rPr>
          <w:rFonts w:ascii="Calibri" w:hAnsi="Calibri" w:cs="Calibri"/>
          <w:color w:val="000000"/>
        </w:rPr>
      </w:pPr>
    </w:p>
    <w:p w:rsidR="00987114" w:rsidRPr="00A0676D" w:rsidP="00987114" w14:paraId="1EE1F6EC" w14:textId="77777777">
      <w:pPr>
        <w:tabs>
          <w:tab w:val="left" w:pos="1080"/>
        </w:tabs>
        <w:ind w:left="1080"/>
        <w:rPr>
          <w:rFonts w:ascii="Calibri" w:hAnsi="Calibri" w:cs="Calibri"/>
          <w:color w:val="000000"/>
        </w:rPr>
      </w:pPr>
      <w:bookmarkStart w:id="4" w:name="_Hlk131569682"/>
      <w:r w:rsidRPr="00A0676D">
        <w:rPr>
          <w:rFonts w:ascii="Calibri" w:hAnsi="Calibri" w:cs="Calibri"/>
          <w:color w:val="000000"/>
        </w:rPr>
        <w:t>There are no out-of-pocket costs to respondents.  The estimated total cost burden to respondents during this three-year approval period is estimated to be $</w:t>
      </w:r>
      <w:r w:rsidRPr="00A0676D" w:rsidR="00A72C6C">
        <w:rPr>
          <w:rFonts w:ascii="Calibri" w:hAnsi="Calibri" w:cs="Calibri"/>
          <w:color w:val="000000"/>
        </w:rPr>
        <w:t>109,980</w:t>
      </w:r>
      <w:r w:rsidRPr="00A0676D" w:rsidR="00987FB7">
        <w:rPr>
          <w:rFonts w:ascii="Calibri" w:hAnsi="Calibri" w:cs="Calibri"/>
          <w:color w:val="000000"/>
        </w:rPr>
        <w:t xml:space="preserve"> ($</w:t>
      </w:r>
      <w:r w:rsidRPr="00A0676D" w:rsidR="00A72C6C">
        <w:rPr>
          <w:rFonts w:ascii="Calibri" w:hAnsi="Calibri" w:cs="Calibri"/>
          <w:color w:val="000000"/>
        </w:rPr>
        <w:t>36,660</w:t>
      </w:r>
      <w:r w:rsidRPr="00A0676D" w:rsidR="00987FB7">
        <w:rPr>
          <w:rFonts w:ascii="Calibri" w:hAnsi="Calibri" w:cs="Calibri"/>
          <w:color w:val="000000"/>
        </w:rPr>
        <w:t xml:space="preserve"> annually)</w:t>
      </w:r>
      <w:r w:rsidRPr="00A0676D">
        <w:rPr>
          <w:rFonts w:ascii="Calibri" w:hAnsi="Calibri" w:cs="Calibri"/>
          <w:color w:val="000000"/>
        </w:rPr>
        <w:t xml:space="preserve">, accounting for the value of their time. </w:t>
      </w:r>
    </w:p>
    <w:p w:rsidR="00987114" w:rsidRPr="00A0676D" w:rsidP="00987114" w14:paraId="5DCA7A5F" w14:textId="77777777">
      <w:pPr>
        <w:ind w:left="1080"/>
        <w:rPr>
          <w:rFonts w:ascii="Calibri" w:hAnsi="Calibri" w:cs="Calibri"/>
          <w:color w:val="000000"/>
        </w:rPr>
      </w:pPr>
    </w:p>
    <w:p w:rsidR="00987114" w:rsidRPr="00A0676D" w:rsidP="00C062FB" w14:paraId="3BC58905" w14:textId="77777777">
      <w:pPr>
        <w:ind w:left="1080"/>
        <w:rPr>
          <w:rFonts w:ascii="Calibri" w:hAnsi="Calibri" w:cs="Calibri"/>
          <w:color w:val="000000"/>
        </w:rPr>
      </w:pPr>
      <w:r w:rsidRPr="00A0676D">
        <w:rPr>
          <w:rFonts w:ascii="Calibri" w:hAnsi="Calibri" w:cs="Calibri"/>
          <w:color w:val="000000"/>
        </w:rPr>
        <w:t>The surveys take place across the United States with all cross-sections of society.  This estimate was created using the mean hourly wage for all occupations (</w:t>
      </w:r>
      <w:r w:rsidRPr="00A0676D" w:rsidR="00A02C18">
        <w:rPr>
          <w:rFonts w:ascii="Calibri" w:hAnsi="Calibri" w:cs="Calibri"/>
          <w:color w:val="000000"/>
        </w:rPr>
        <w:t>$28.01</w:t>
      </w:r>
      <w:r w:rsidRPr="00A0676D">
        <w:rPr>
          <w:rFonts w:ascii="Calibri" w:hAnsi="Calibri" w:cs="Calibri"/>
          <w:color w:val="000000"/>
        </w:rPr>
        <w:t>) from the Bureau of Labor Statistics May 20</w:t>
      </w:r>
      <w:r w:rsidRPr="00A0676D" w:rsidR="00A02C18">
        <w:rPr>
          <w:rFonts w:ascii="Calibri" w:hAnsi="Calibri" w:cs="Calibri"/>
          <w:color w:val="000000"/>
        </w:rPr>
        <w:t>21</w:t>
      </w:r>
      <w:r w:rsidRPr="00A0676D">
        <w:rPr>
          <w:rFonts w:ascii="Calibri" w:hAnsi="Calibri" w:cs="Calibri"/>
          <w:color w:val="000000"/>
        </w:rPr>
        <w:t xml:space="preserve"> National Occupational Employment and Wage Estimates - United States.</w:t>
      </w:r>
      <w:r>
        <w:rPr>
          <w:rStyle w:val="FootnoteReference"/>
          <w:rFonts w:ascii="Calibri" w:hAnsi="Calibri" w:cs="Calibri"/>
          <w:color w:val="000000"/>
        </w:rPr>
        <w:footnoteReference w:id="3"/>
      </w:r>
    </w:p>
    <w:bookmarkEnd w:id="4"/>
    <w:p w:rsidR="00B40CDF" w:rsidRPr="00A0676D" w:rsidP="00B40CDF" w14:paraId="24265DFC" w14:textId="77777777">
      <w:pPr>
        <w:tabs>
          <w:tab w:val="left" w:pos="1080"/>
        </w:tabs>
        <w:rPr>
          <w:rFonts w:ascii="Calibri" w:hAnsi="Calibri" w:cs="Calibri"/>
          <w:color w:val="000000"/>
        </w:rPr>
      </w:pPr>
    </w:p>
    <w:p w:rsidR="00B40CDF" w:rsidRPr="00A0676D" w:rsidP="00EA1343" w14:paraId="6EF045DD" w14:textId="77777777">
      <w:pPr>
        <w:numPr>
          <w:ilvl w:val="1"/>
          <w:numId w:val="1"/>
        </w:numPr>
        <w:tabs>
          <w:tab w:val="left" w:pos="1080"/>
        </w:tabs>
        <w:rPr>
          <w:rFonts w:ascii="Calibri" w:hAnsi="Calibri" w:cs="Calibri"/>
          <w:b/>
          <w:bCs/>
          <w:color w:val="000000"/>
        </w:rPr>
      </w:pPr>
      <w:bookmarkStart w:id="5" w:name="_Hlk108428088"/>
      <w:r w:rsidRPr="00A0676D">
        <w:rPr>
          <w:rFonts w:ascii="Calibri" w:hAnsi="Calibri" w:cs="Calibri"/>
          <w:b/>
          <w:bCs/>
          <w:color w:val="000000"/>
        </w:rPr>
        <w:t xml:space="preserve"> </w:t>
      </w:r>
      <w:r w:rsidRPr="00A0676D" w:rsidR="00EA1343">
        <w:rPr>
          <w:rFonts w:ascii="Calibri" w:hAnsi="Calibri" w:cs="Calibri"/>
          <w:b/>
          <w:bCs/>
          <w:color w:val="000000"/>
        </w:rPr>
        <w:t>Estimated Annualized Cost to the Federal Government</w:t>
      </w:r>
    </w:p>
    <w:p w:rsidR="00EA1343" w:rsidRPr="00A0676D" w:rsidP="00EA1343" w14:paraId="12B52DC4" w14:textId="77777777">
      <w:pPr>
        <w:tabs>
          <w:tab w:val="left" w:pos="1080"/>
        </w:tabs>
        <w:rPr>
          <w:rFonts w:ascii="Calibri" w:hAnsi="Calibri" w:cs="Calibri"/>
          <w:color w:val="000000"/>
        </w:rPr>
      </w:pPr>
    </w:p>
    <w:p w:rsidR="00B32F6C" w:rsidRPr="00FA0F7D" w:rsidP="00FB3901" w14:paraId="4BA9830E" w14:textId="77777777">
      <w:pPr>
        <w:tabs>
          <w:tab w:val="left" w:pos="1080"/>
        </w:tabs>
        <w:ind w:left="1080"/>
        <w:rPr>
          <w:rFonts w:ascii="Calibri" w:hAnsi="Calibri" w:cs="Calibri"/>
          <w:color w:val="000000"/>
        </w:rPr>
      </w:pPr>
      <w:r w:rsidRPr="00FA0F7D">
        <w:rPr>
          <w:rFonts w:ascii="Calibri" w:hAnsi="Calibri" w:cs="Calibri"/>
          <w:color w:val="000000"/>
        </w:rPr>
        <w:t xml:space="preserve">The </w:t>
      </w:r>
      <w:r w:rsidRPr="00FA0F7D" w:rsidR="00C35911">
        <w:rPr>
          <w:rFonts w:ascii="Calibri" w:hAnsi="Calibri" w:cs="Calibri"/>
          <w:color w:val="000000"/>
        </w:rPr>
        <w:t>federa</w:t>
      </w:r>
      <w:r w:rsidRPr="00FA0F7D">
        <w:rPr>
          <w:rFonts w:ascii="Calibri" w:hAnsi="Calibri" w:cs="Calibri"/>
          <w:color w:val="000000"/>
        </w:rPr>
        <w:t>l</w:t>
      </w:r>
      <w:r w:rsidRPr="00FA0F7D" w:rsidR="00C35911">
        <w:rPr>
          <w:rFonts w:ascii="Calibri" w:hAnsi="Calibri" w:cs="Calibri"/>
          <w:color w:val="000000"/>
        </w:rPr>
        <w:t xml:space="preserve"> </w:t>
      </w:r>
      <w:r w:rsidRPr="00FA0F7D">
        <w:rPr>
          <w:rFonts w:ascii="Calibri" w:hAnsi="Calibri" w:cs="Calibri"/>
          <w:color w:val="000000"/>
        </w:rPr>
        <w:t xml:space="preserve">government cost estimate for this collection </w:t>
      </w:r>
      <w:r w:rsidRPr="00FA0F7D" w:rsidR="003D12AD">
        <w:rPr>
          <w:rFonts w:ascii="Calibri" w:hAnsi="Calibri" w:cs="Calibri"/>
          <w:color w:val="000000"/>
        </w:rPr>
        <w:t xml:space="preserve">is </w:t>
      </w:r>
      <w:r w:rsidRPr="00FA0F7D">
        <w:rPr>
          <w:rFonts w:ascii="Calibri" w:hAnsi="Calibri" w:cs="Calibri"/>
          <w:color w:val="000000"/>
        </w:rPr>
        <w:t xml:space="preserve">summarized below. </w:t>
      </w:r>
    </w:p>
    <w:tbl>
      <w:tblPr>
        <w:tblpPr w:leftFromText="180" w:rightFromText="180" w:vertAnchor="text" w:horzAnchor="margin" w:tblpXSpec="center" w:tblpY="176"/>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604"/>
        <w:gridCol w:w="610"/>
        <w:gridCol w:w="1655"/>
        <w:gridCol w:w="425"/>
        <w:gridCol w:w="1566"/>
        <w:gridCol w:w="1437"/>
      </w:tblGrid>
      <w:tr w14:paraId="292B3DA6" w14:textId="77777777" w:rsidTr="00CC69E3">
        <w:tblPrEx>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27" w:type="dxa"/>
            <w:tcBorders>
              <w:top w:val="single" w:sz="4" w:space="0" w:color="auto"/>
              <w:left w:val="single" w:sz="4" w:space="0" w:color="auto"/>
              <w:bottom w:val="single" w:sz="4" w:space="0" w:color="auto"/>
              <w:right w:val="single" w:sz="4" w:space="0" w:color="auto"/>
            </w:tcBorders>
            <w:vAlign w:val="bottom"/>
          </w:tcPr>
          <w:p w:rsidR="00CC69E3" w:rsidRPr="00FA0F7D" w:rsidP="00CC69E3" w14:paraId="41159B89" w14:textId="77777777">
            <w:pPr>
              <w:keepNext/>
              <w:keepLines/>
              <w:jc w:val="center"/>
              <w:rPr>
                <w:rFonts w:ascii="Calibri" w:hAnsi="Calibri" w:cs="Calibri"/>
                <w:b/>
                <w:u w:val="single"/>
              </w:rPr>
            </w:pPr>
          </w:p>
        </w:tc>
        <w:tc>
          <w:tcPr>
            <w:tcW w:w="1625" w:type="dxa"/>
            <w:tcBorders>
              <w:top w:val="single" w:sz="4" w:space="0" w:color="auto"/>
              <w:left w:val="single" w:sz="4" w:space="0" w:color="auto"/>
              <w:bottom w:val="single" w:sz="4" w:space="0" w:color="auto"/>
              <w:right w:val="single" w:sz="4" w:space="0" w:color="auto"/>
            </w:tcBorders>
            <w:vAlign w:val="bottom"/>
            <w:hideMark/>
          </w:tcPr>
          <w:p w:rsidR="00CC69E3" w:rsidRPr="00FA0F7D" w:rsidP="00CC69E3" w14:paraId="74FC9C60" w14:textId="77777777">
            <w:pPr>
              <w:keepNext/>
              <w:keepLines/>
              <w:jc w:val="center"/>
              <w:rPr>
                <w:rFonts w:ascii="Calibri" w:hAnsi="Calibri" w:cs="Calibri"/>
                <w:b/>
                <w:u w:val="single"/>
              </w:rPr>
            </w:pPr>
            <w:r w:rsidRPr="00FA0F7D">
              <w:rPr>
                <w:rFonts w:ascii="Calibri" w:hAnsi="Calibri" w:cs="Calibri"/>
                <w:b/>
                <w:u w:val="single"/>
              </w:rPr>
              <w:t>Annualized Cost 2023</w:t>
            </w:r>
          </w:p>
        </w:tc>
        <w:tc>
          <w:tcPr>
            <w:tcW w:w="658" w:type="dxa"/>
            <w:tcBorders>
              <w:top w:val="single" w:sz="4" w:space="0" w:color="auto"/>
              <w:left w:val="single" w:sz="4" w:space="0" w:color="auto"/>
              <w:bottom w:val="single" w:sz="4" w:space="0" w:color="auto"/>
              <w:right w:val="single" w:sz="4" w:space="0" w:color="auto"/>
            </w:tcBorders>
          </w:tcPr>
          <w:p w:rsidR="00CC69E3" w:rsidRPr="00FA0F7D" w:rsidP="00CC69E3" w14:paraId="1A080544" w14:textId="77777777">
            <w:pPr>
              <w:keepNext/>
              <w:keepLines/>
              <w:jc w:val="center"/>
              <w:rPr>
                <w:rFonts w:ascii="Calibri" w:hAnsi="Calibri" w:cs="Calibri"/>
                <w:b/>
                <w:u w:val="single"/>
              </w:rPr>
            </w:pPr>
          </w:p>
        </w:tc>
        <w:tc>
          <w:tcPr>
            <w:tcW w:w="1682" w:type="dxa"/>
            <w:tcBorders>
              <w:top w:val="single" w:sz="4" w:space="0" w:color="auto"/>
              <w:left w:val="single" w:sz="4" w:space="0" w:color="auto"/>
              <w:bottom w:val="single" w:sz="4" w:space="0" w:color="auto"/>
              <w:right w:val="single" w:sz="4" w:space="0" w:color="auto"/>
            </w:tcBorders>
            <w:vAlign w:val="bottom"/>
            <w:hideMark/>
          </w:tcPr>
          <w:p w:rsidR="00CC69E3" w:rsidRPr="00FA0F7D" w:rsidP="00CC69E3" w14:paraId="40BEB4E1" w14:textId="77777777">
            <w:pPr>
              <w:keepNext/>
              <w:keepLines/>
              <w:jc w:val="center"/>
              <w:rPr>
                <w:rFonts w:ascii="Calibri" w:hAnsi="Calibri" w:cs="Calibri"/>
                <w:b/>
                <w:u w:val="single"/>
              </w:rPr>
            </w:pPr>
            <w:r w:rsidRPr="00FA0F7D">
              <w:rPr>
                <w:rFonts w:ascii="Calibri" w:hAnsi="Calibri" w:cs="Calibri"/>
                <w:b/>
                <w:u w:val="single"/>
              </w:rPr>
              <w:t>Annualized Cost 2024</w:t>
            </w:r>
          </w:p>
        </w:tc>
        <w:tc>
          <w:tcPr>
            <w:tcW w:w="450" w:type="dxa"/>
            <w:tcBorders>
              <w:top w:val="single" w:sz="4" w:space="0" w:color="auto"/>
              <w:left w:val="single" w:sz="4" w:space="0" w:color="auto"/>
              <w:bottom w:val="single" w:sz="4" w:space="0" w:color="auto"/>
              <w:right w:val="single" w:sz="4" w:space="0" w:color="auto"/>
            </w:tcBorders>
          </w:tcPr>
          <w:p w:rsidR="00CC69E3" w:rsidRPr="00FA0F7D" w:rsidP="00CC69E3" w14:paraId="6F2DF7E6" w14:textId="77777777">
            <w:pPr>
              <w:keepNext/>
              <w:keepLines/>
              <w:jc w:val="center"/>
              <w:rPr>
                <w:rFonts w:ascii="Calibri" w:hAnsi="Calibri" w:cs="Calibri"/>
                <w:b/>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CC69E3" w:rsidRPr="00FA0F7D" w:rsidP="00CC69E3" w14:paraId="518C1C6D" w14:textId="77777777">
            <w:pPr>
              <w:keepNext/>
              <w:keepLines/>
              <w:jc w:val="center"/>
              <w:rPr>
                <w:rFonts w:ascii="Calibri" w:hAnsi="Calibri" w:cs="Calibri"/>
                <w:b/>
                <w:u w:val="single"/>
              </w:rPr>
            </w:pPr>
            <w:r w:rsidRPr="00FA0F7D">
              <w:rPr>
                <w:rFonts w:ascii="Calibri" w:hAnsi="Calibri" w:cs="Calibri"/>
                <w:b/>
                <w:u w:val="single"/>
              </w:rPr>
              <w:t>Annualized Cost 2025</w:t>
            </w:r>
          </w:p>
        </w:tc>
        <w:tc>
          <w:tcPr>
            <w:tcW w:w="1244" w:type="dxa"/>
            <w:tcBorders>
              <w:top w:val="single" w:sz="4" w:space="0" w:color="auto"/>
              <w:left w:val="single" w:sz="4" w:space="0" w:color="auto"/>
              <w:bottom w:val="single" w:sz="4" w:space="0" w:color="auto"/>
              <w:right w:val="single" w:sz="4" w:space="0" w:color="auto"/>
            </w:tcBorders>
          </w:tcPr>
          <w:p w:rsidR="00CC69E3" w:rsidRPr="00FA0F7D" w:rsidP="00CC69E3" w14:paraId="072B74C4" w14:textId="77777777">
            <w:pPr>
              <w:keepNext/>
              <w:keepLines/>
              <w:jc w:val="center"/>
              <w:rPr>
                <w:rFonts w:ascii="Calibri" w:hAnsi="Calibri" w:cs="Calibri"/>
                <w:b/>
                <w:u w:val="single"/>
              </w:rPr>
            </w:pPr>
            <w:r w:rsidRPr="00FA0F7D">
              <w:rPr>
                <w:rFonts w:ascii="Calibri" w:hAnsi="Calibri" w:cs="Calibri"/>
                <w:b/>
                <w:u w:val="single"/>
              </w:rPr>
              <w:t xml:space="preserve">Total Cost over </w:t>
            </w:r>
            <w:r w:rsidRPr="00FA0F7D" w:rsidR="00844CDC">
              <w:rPr>
                <w:rFonts w:ascii="Calibri" w:hAnsi="Calibri" w:cs="Calibri"/>
                <w:b/>
                <w:u w:val="single"/>
              </w:rPr>
              <w:t>three-year period</w:t>
            </w:r>
          </w:p>
        </w:tc>
      </w:tr>
      <w:tr w14:paraId="754D97B0" w14:textId="77777777" w:rsidTr="00CC69E3">
        <w:tblPrEx>
          <w:tblW w:w="8568" w:type="dxa"/>
          <w:tblLook w:val="04A0"/>
        </w:tblPrEx>
        <w:trPr>
          <w:trHeight w:val="323"/>
        </w:trPr>
        <w:tc>
          <w:tcPr>
            <w:tcW w:w="1327" w:type="dxa"/>
            <w:tcBorders>
              <w:top w:val="single" w:sz="4" w:space="0" w:color="auto"/>
              <w:left w:val="single" w:sz="4" w:space="0" w:color="auto"/>
              <w:bottom w:val="single" w:sz="4" w:space="0" w:color="auto"/>
              <w:right w:val="single" w:sz="4" w:space="0" w:color="auto"/>
            </w:tcBorders>
            <w:vAlign w:val="bottom"/>
            <w:hideMark/>
          </w:tcPr>
          <w:p w:rsidR="00CC69E3" w:rsidRPr="00FA0F7D" w:rsidP="00CC69E3" w14:paraId="7AE8D6DA" w14:textId="77777777">
            <w:pPr>
              <w:keepNext/>
              <w:keepLines/>
              <w:numPr>
                <w:ilvl w:val="12"/>
                <w:numId w:val="0"/>
              </w:numPr>
              <w:rPr>
                <w:rFonts w:ascii="Calibri" w:hAnsi="Calibri" w:cs="Calibri"/>
              </w:rPr>
            </w:pPr>
          </w:p>
        </w:tc>
        <w:tc>
          <w:tcPr>
            <w:tcW w:w="1625" w:type="dxa"/>
            <w:tcBorders>
              <w:top w:val="single" w:sz="4" w:space="0" w:color="auto"/>
              <w:left w:val="single" w:sz="4" w:space="0" w:color="auto"/>
              <w:bottom w:val="single" w:sz="4" w:space="0" w:color="auto"/>
              <w:right w:val="single" w:sz="4" w:space="0" w:color="auto"/>
            </w:tcBorders>
            <w:vAlign w:val="center"/>
            <w:hideMark/>
          </w:tcPr>
          <w:p w:rsidR="00CC69E3" w:rsidRPr="00FA0F7D" w:rsidP="00CC69E3" w14:paraId="51876952" w14:textId="77777777">
            <w:pPr>
              <w:keepNext/>
              <w:keepLines/>
              <w:jc w:val="center"/>
              <w:rPr>
                <w:rFonts w:ascii="Calibri" w:hAnsi="Calibri" w:cs="Calibri"/>
              </w:rPr>
            </w:pPr>
          </w:p>
          <w:p w:rsidR="00CC69E3" w:rsidRPr="00FA0F7D" w:rsidP="00CC69E3" w14:paraId="52E06001" w14:textId="77777777">
            <w:pPr>
              <w:keepNext/>
              <w:keepLines/>
              <w:jc w:val="center"/>
              <w:rPr>
                <w:rFonts w:ascii="Calibri" w:hAnsi="Calibri" w:cs="Calibri"/>
              </w:rPr>
            </w:pPr>
            <w:r w:rsidRPr="00FA0F7D">
              <w:rPr>
                <w:rFonts w:ascii="Calibri" w:hAnsi="Calibri" w:cs="Calibri"/>
              </w:rPr>
              <w:t>$260,417.33</w:t>
            </w:r>
          </w:p>
        </w:tc>
        <w:tc>
          <w:tcPr>
            <w:tcW w:w="658"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04CFF1D0" w14:textId="77777777">
            <w:pPr>
              <w:keepNext/>
              <w:keepLines/>
              <w:jc w:val="center"/>
              <w:rPr>
                <w:rFonts w:ascii="Calibri" w:hAnsi="Calibri" w:cs="Calibri"/>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CC69E3" w:rsidRPr="00FA0F7D" w:rsidP="00CC69E3" w14:paraId="387C7E2C" w14:textId="77777777">
            <w:pPr>
              <w:keepNext/>
              <w:keepLines/>
              <w:jc w:val="center"/>
              <w:rPr>
                <w:rFonts w:ascii="Calibri" w:hAnsi="Calibri" w:cs="Calibri"/>
              </w:rPr>
            </w:pPr>
          </w:p>
          <w:p w:rsidR="00CC69E3" w:rsidRPr="00FA0F7D" w:rsidP="00CC69E3" w14:paraId="1B012E03" w14:textId="77777777">
            <w:pPr>
              <w:keepNext/>
              <w:keepLines/>
              <w:jc w:val="center"/>
              <w:rPr>
                <w:rFonts w:ascii="Calibri" w:hAnsi="Calibri" w:cs="Calibri"/>
              </w:rPr>
            </w:pPr>
            <w:r w:rsidRPr="00FA0F7D">
              <w:rPr>
                <w:rFonts w:ascii="Calibri" w:hAnsi="Calibri" w:cs="Calibri"/>
              </w:rPr>
              <w:t>$265,618.18</w:t>
            </w:r>
          </w:p>
        </w:tc>
        <w:tc>
          <w:tcPr>
            <w:tcW w:w="450"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174EDC45" w14:textId="77777777">
            <w:pPr>
              <w:keepNext/>
              <w:keepLines/>
              <w:jc w:val="center"/>
              <w:rPr>
                <w:rFonts w:ascii="Calibri" w:hAnsi="Calibri" w:cs="Calibri"/>
              </w:rPr>
            </w:pPr>
          </w:p>
        </w:tc>
        <w:tc>
          <w:tcPr>
            <w:tcW w:w="1582" w:type="dxa"/>
            <w:tcBorders>
              <w:top w:val="single" w:sz="4" w:space="0" w:color="auto"/>
              <w:left w:val="single" w:sz="4" w:space="0" w:color="auto"/>
              <w:bottom w:val="single" w:sz="4" w:space="0" w:color="auto"/>
              <w:right w:val="single" w:sz="4" w:space="0" w:color="auto"/>
            </w:tcBorders>
            <w:vAlign w:val="center"/>
            <w:hideMark/>
          </w:tcPr>
          <w:p w:rsidR="00CC69E3" w:rsidRPr="00FA0F7D" w:rsidP="00CC69E3" w14:paraId="4764F8DD" w14:textId="77777777">
            <w:pPr>
              <w:keepNext/>
              <w:keepLines/>
              <w:jc w:val="center"/>
              <w:rPr>
                <w:rFonts w:ascii="Calibri" w:hAnsi="Calibri" w:cs="Calibri"/>
              </w:rPr>
            </w:pPr>
          </w:p>
          <w:p w:rsidR="00CC69E3" w:rsidRPr="00FA0F7D" w:rsidP="00CC69E3" w14:paraId="07AC202A" w14:textId="77777777">
            <w:pPr>
              <w:keepNext/>
              <w:keepLines/>
              <w:jc w:val="center"/>
              <w:rPr>
                <w:rFonts w:ascii="Calibri" w:hAnsi="Calibri" w:cs="Calibri"/>
              </w:rPr>
            </w:pPr>
            <w:r w:rsidRPr="00FA0F7D">
              <w:rPr>
                <w:rFonts w:ascii="Calibri" w:hAnsi="Calibri" w:cs="Calibri"/>
              </w:rPr>
              <w:t>$270,932.82</w:t>
            </w:r>
          </w:p>
        </w:tc>
        <w:tc>
          <w:tcPr>
            <w:tcW w:w="1244" w:type="dxa"/>
            <w:tcBorders>
              <w:top w:val="single" w:sz="4" w:space="0" w:color="auto"/>
              <w:left w:val="single" w:sz="4" w:space="0" w:color="auto"/>
              <w:bottom w:val="single" w:sz="4" w:space="0" w:color="auto"/>
              <w:right w:val="single" w:sz="4" w:space="0" w:color="auto"/>
            </w:tcBorders>
          </w:tcPr>
          <w:p w:rsidR="00CC69E3" w:rsidRPr="00FA0F7D" w:rsidP="00CC69E3" w14:paraId="715A919E" w14:textId="77777777">
            <w:pPr>
              <w:keepNext/>
              <w:keepLines/>
              <w:jc w:val="center"/>
              <w:rPr>
                <w:rFonts w:ascii="Calibri" w:hAnsi="Calibri" w:cs="Calibri"/>
              </w:rPr>
            </w:pPr>
          </w:p>
          <w:p w:rsidR="00844CDC" w:rsidRPr="00FA0F7D" w:rsidP="00CC69E3" w14:paraId="3A915A9A" w14:textId="77777777">
            <w:pPr>
              <w:keepNext/>
              <w:keepLines/>
              <w:jc w:val="center"/>
              <w:rPr>
                <w:rFonts w:ascii="Calibri" w:hAnsi="Calibri" w:cs="Calibri"/>
              </w:rPr>
            </w:pPr>
            <w:r w:rsidRPr="00FA0F7D">
              <w:rPr>
                <w:rFonts w:ascii="Calibri" w:hAnsi="Calibri" w:cs="Calibri"/>
              </w:rPr>
              <w:t>$796,968.33</w:t>
            </w:r>
          </w:p>
        </w:tc>
      </w:tr>
      <w:tr w14:paraId="7669EDC0" w14:textId="77777777" w:rsidTr="00CC69E3">
        <w:tblPrEx>
          <w:tblW w:w="8568" w:type="dxa"/>
          <w:tblLook w:val="04A0"/>
        </w:tblPrEx>
        <w:tc>
          <w:tcPr>
            <w:tcW w:w="1327" w:type="dxa"/>
            <w:tcBorders>
              <w:top w:val="single" w:sz="4" w:space="0" w:color="auto"/>
              <w:left w:val="single" w:sz="4" w:space="0" w:color="auto"/>
              <w:bottom w:val="single" w:sz="4" w:space="0" w:color="auto"/>
              <w:right w:val="single" w:sz="4" w:space="0" w:color="auto"/>
            </w:tcBorders>
          </w:tcPr>
          <w:p w:rsidR="00CC69E3" w:rsidRPr="00FA0F7D" w:rsidP="00CC69E3" w14:paraId="3CC141A9" w14:textId="77777777">
            <w:pPr>
              <w:keepNext/>
              <w:keepLines/>
              <w:rPr>
                <w:rFonts w:ascii="Calibri" w:hAnsi="Calibri" w:cs="Calibri"/>
                <w:b/>
              </w:rPr>
            </w:pPr>
          </w:p>
        </w:tc>
        <w:tc>
          <w:tcPr>
            <w:tcW w:w="1625"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5D00BAA6" w14:textId="77777777">
            <w:pPr>
              <w:keepNext/>
              <w:keepLines/>
              <w:jc w:val="center"/>
              <w:rPr>
                <w:rFonts w:ascii="Calibri" w:hAnsi="Calibri" w:cs="Calibri"/>
                <w:bCs/>
              </w:rPr>
            </w:pPr>
          </w:p>
        </w:tc>
        <w:tc>
          <w:tcPr>
            <w:tcW w:w="658"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00054C5F" w14:textId="77777777">
            <w:pPr>
              <w:keepNext/>
              <w:keepLines/>
              <w:jc w:val="center"/>
              <w:rPr>
                <w:rFonts w:ascii="Calibri" w:hAnsi="Calibri" w:cs="Calibri"/>
                <w:bCs/>
              </w:rPr>
            </w:pPr>
          </w:p>
        </w:tc>
        <w:tc>
          <w:tcPr>
            <w:tcW w:w="1682"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664F98B9" w14:textId="77777777">
            <w:pPr>
              <w:keepNext/>
              <w:keepLines/>
              <w:jc w:val="center"/>
              <w:rPr>
                <w:rFonts w:ascii="Calibri" w:hAnsi="Calibri" w:cs="Calibri"/>
                <w:bCs/>
              </w:rPr>
            </w:pPr>
          </w:p>
        </w:tc>
        <w:tc>
          <w:tcPr>
            <w:tcW w:w="450"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16A2E49A" w14:textId="77777777">
            <w:pPr>
              <w:keepNext/>
              <w:keepLines/>
              <w:jc w:val="center"/>
              <w:rPr>
                <w:rFonts w:ascii="Calibri" w:hAnsi="Calibri" w:cs="Calibri"/>
                <w:bCs/>
              </w:rPr>
            </w:pPr>
          </w:p>
        </w:tc>
        <w:tc>
          <w:tcPr>
            <w:tcW w:w="1582"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02289ECC" w14:textId="77777777">
            <w:pPr>
              <w:keepNext/>
              <w:keepLines/>
              <w:jc w:val="center"/>
              <w:rPr>
                <w:rFonts w:ascii="Calibri" w:hAnsi="Calibri" w:cs="Calibri"/>
                <w:bCs/>
              </w:rPr>
            </w:pPr>
          </w:p>
        </w:tc>
        <w:tc>
          <w:tcPr>
            <w:tcW w:w="1244" w:type="dxa"/>
            <w:tcBorders>
              <w:top w:val="single" w:sz="4" w:space="0" w:color="auto"/>
              <w:left w:val="single" w:sz="4" w:space="0" w:color="auto"/>
              <w:bottom w:val="single" w:sz="4" w:space="0" w:color="auto"/>
              <w:right w:val="single" w:sz="4" w:space="0" w:color="auto"/>
            </w:tcBorders>
          </w:tcPr>
          <w:p w:rsidR="00CC69E3" w:rsidRPr="00FA0F7D" w:rsidP="00CC69E3" w14:paraId="6B60AA16" w14:textId="77777777">
            <w:pPr>
              <w:keepNext/>
              <w:keepLines/>
              <w:jc w:val="center"/>
              <w:rPr>
                <w:rFonts w:ascii="Calibri" w:hAnsi="Calibri" w:cs="Calibri"/>
                <w:bCs/>
              </w:rPr>
            </w:pPr>
          </w:p>
        </w:tc>
      </w:tr>
      <w:tr w14:paraId="74E9FFE1" w14:textId="77777777" w:rsidTr="00CC69E3">
        <w:tblPrEx>
          <w:tblW w:w="8568" w:type="dxa"/>
          <w:tblLook w:val="04A0"/>
        </w:tblPrEx>
        <w:tc>
          <w:tcPr>
            <w:tcW w:w="1327" w:type="dxa"/>
            <w:tcBorders>
              <w:top w:val="single" w:sz="4" w:space="0" w:color="auto"/>
              <w:left w:val="single" w:sz="4" w:space="0" w:color="auto"/>
              <w:bottom w:val="single" w:sz="4" w:space="0" w:color="auto"/>
              <w:right w:val="single" w:sz="4" w:space="0" w:color="auto"/>
            </w:tcBorders>
          </w:tcPr>
          <w:p w:rsidR="00CC69E3" w:rsidRPr="00FA0F7D" w:rsidP="00CC69E3" w14:paraId="58D2D4E9" w14:textId="77777777">
            <w:pPr>
              <w:keepNext/>
              <w:keepLines/>
              <w:rPr>
                <w:rFonts w:ascii="Calibri" w:hAnsi="Calibri" w:cs="Calibri"/>
                <w:b/>
              </w:rPr>
            </w:pPr>
            <w:r w:rsidRPr="00FA0F7D">
              <w:rPr>
                <w:rFonts w:ascii="Calibri" w:hAnsi="Calibri" w:cs="Calibri"/>
                <w:b/>
              </w:rPr>
              <w:t xml:space="preserve"> Totals</w:t>
            </w:r>
          </w:p>
        </w:tc>
        <w:tc>
          <w:tcPr>
            <w:tcW w:w="1625"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2B3ED9B8" w14:textId="77777777">
            <w:pPr>
              <w:keepNext/>
              <w:keepLines/>
              <w:jc w:val="center"/>
              <w:rPr>
                <w:rFonts w:ascii="Calibri" w:hAnsi="Calibri" w:cs="Calibri"/>
                <w:b/>
              </w:rPr>
            </w:pPr>
            <w:r w:rsidRPr="00FA0F7D">
              <w:rPr>
                <w:rFonts w:ascii="Calibri" w:hAnsi="Calibri" w:cs="Calibri"/>
                <w:b/>
              </w:rPr>
              <w:t>$260,417.33</w:t>
            </w:r>
          </w:p>
        </w:tc>
        <w:tc>
          <w:tcPr>
            <w:tcW w:w="658"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253330FA" w14:textId="77777777">
            <w:pPr>
              <w:keepNext/>
              <w:keepLines/>
              <w:jc w:val="center"/>
              <w:rPr>
                <w:rFonts w:ascii="Calibri" w:hAnsi="Calibri" w:cs="Calibri"/>
                <w:b/>
              </w:rPr>
            </w:pPr>
          </w:p>
        </w:tc>
        <w:tc>
          <w:tcPr>
            <w:tcW w:w="1682"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37EAA516" w14:textId="77777777">
            <w:pPr>
              <w:keepNext/>
              <w:keepLines/>
              <w:jc w:val="center"/>
              <w:rPr>
                <w:rFonts w:ascii="Calibri" w:hAnsi="Calibri" w:cs="Calibri"/>
                <w:b/>
              </w:rPr>
            </w:pPr>
            <w:r w:rsidRPr="00FA0F7D">
              <w:rPr>
                <w:rFonts w:ascii="Calibri" w:hAnsi="Calibri" w:cs="Calibri"/>
                <w:b/>
              </w:rPr>
              <w:t>$265,618.18</w:t>
            </w:r>
          </w:p>
        </w:tc>
        <w:tc>
          <w:tcPr>
            <w:tcW w:w="450"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3FCC14A9" w14:textId="77777777">
            <w:pPr>
              <w:keepNext/>
              <w:keepLines/>
              <w:jc w:val="center"/>
              <w:rPr>
                <w:rFonts w:ascii="Calibri" w:hAnsi="Calibri" w:cs="Calibri"/>
                <w:b/>
              </w:rPr>
            </w:pPr>
          </w:p>
        </w:tc>
        <w:tc>
          <w:tcPr>
            <w:tcW w:w="1582" w:type="dxa"/>
            <w:tcBorders>
              <w:top w:val="single" w:sz="4" w:space="0" w:color="auto"/>
              <w:left w:val="single" w:sz="4" w:space="0" w:color="auto"/>
              <w:bottom w:val="single" w:sz="4" w:space="0" w:color="auto"/>
              <w:right w:val="single" w:sz="4" w:space="0" w:color="auto"/>
            </w:tcBorders>
            <w:vAlign w:val="center"/>
          </w:tcPr>
          <w:p w:rsidR="00CC69E3" w:rsidRPr="00FA0F7D" w:rsidP="00CC69E3" w14:paraId="13415ECE" w14:textId="77777777">
            <w:pPr>
              <w:keepNext/>
              <w:keepLines/>
              <w:jc w:val="center"/>
              <w:rPr>
                <w:rFonts w:ascii="Calibri" w:hAnsi="Calibri" w:cs="Calibri"/>
                <w:b/>
              </w:rPr>
            </w:pPr>
            <w:r w:rsidRPr="00FA0F7D">
              <w:rPr>
                <w:rFonts w:ascii="Calibri" w:hAnsi="Calibri" w:cs="Calibri"/>
                <w:b/>
              </w:rPr>
              <w:t>$270,932.82</w:t>
            </w:r>
          </w:p>
        </w:tc>
        <w:tc>
          <w:tcPr>
            <w:tcW w:w="1244" w:type="dxa"/>
            <w:tcBorders>
              <w:top w:val="single" w:sz="4" w:space="0" w:color="auto"/>
              <w:left w:val="single" w:sz="4" w:space="0" w:color="auto"/>
              <w:bottom w:val="single" w:sz="4" w:space="0" w:color="auto"/>
              <w:right w:val="single" w:sz="4" w:space="0" w:color="auto"/>
            </w:tcBorders>
          </w:tcPr>
          <w:p w:rsidR="00CC69E3" w:rsidRPr="00FA0F7D" w:rsidP="00CC69E3" w14:paraId="4DDEBC48" w14:textId="77777777">
            <w:pPr>
              <w:keepNext/>
              <w:keepLines/>
              <w:jc w:val="center"/>
              <w:rPr>
                <w:rFonts w:ascii="Calibri" w:hAnsi="Calibri" w:cs="Calibri"/>
                <w:b/>
              </w:rPr>
            </w:pPr>
            <w:r w:rsidRPr="00FA0F7D">
              <w:rPr>
                <w:rFonts w:ascii="Calibri" w:hAnsi="Calibri" w:cs="Calibri"/>
                <w:b/>
              </w:rPr>
              <w:t>$796,968.33</w:t>
            </w:r>
          </w:p>
        </w:tc>
      </w:tr>
    </w:tbl>
    <w:p w:rsidR="00B32F6C" w:rsidRPr="00FA0F7D" w:rsidP="00FB3901" w14:paraId="500A3FE4" w14:textId="77777777">
      <w:pPr>
        <w:tabs>
          <w:tab w:val="left" w:pos="1080"/>
        </w:tabs>
        <w:ind w:left="1080"/>
        <w:rPr>
          <w:rFonts w:ascii="Calibri" w:hAnsi="Calibri" w:cs="Calibri"/>
          <w:color w:val="000000"/>
        </w:rPr>
      </w:pPr>
    </w:p>
    <w:p w:rsidR="00B32F6C" w:rsidRPr="00FA0F7D" w:rsidP="00FB3901" w14:paraId="3441F00F" w14:textId="77777777">
      <w:pPr>
        <w:tabs>
          <w:tab w:val="left" w:pos="1080"/>
        </w:tabs>
        <w:ind w:left="1080"/>
        <w:rPr>
          <w:rFonts w:ascii="Calibri" w:hAnsi="Calibri" w:cs="Calibri"/>
          <w:color w:val="000000"/>
        </w:rPr>
      </w:pPr>
    </w:p>
    <w:p w:rsidR="00B32F6C" w:rsidRPr="00FA0F7D" w:rsidP="00FB3901" w14:paraId="60A34E4F" w14:textId="77777777">
      <w:pPr>
        <w:tabs>
          <w:tab w:val="left" w:pos="1080"/>
        </w:tabs>
        <w:ind w:left="1080"/>
        <w:rPr>
          <w:rFonts w:ascii="Calibri" w:hAnsi="Calibri" w:cs="Calibri"/>
          <w:color w:val="000000"/>
        </w:rPr>
      </w:pPr>
    </w:p>
    <w:p w:rsidR="00CC69E3" w:rsidRPr="00FA0F7D" w:rsidP="00FB3901" w14:paraId="740004E3" w14:textId="77777777">
      <w:pPr>
        <w:tabs>
          <w:tab w:val="left" w:pos="1080"/>
        </w:tabs>
        <w:ind w:left="1080"/>
        <w:rPr>
          <w:rFonts w:ascii="Calibri" w:hAnsi="Calibri" w:cs="Calibri"/>
          <w:color w:val="000000"/>
        </w:rPr>
      </w:pPr>
    </w:p>
    <w:p w:rsidR="00CC69E3" w:rsidRPr="00FA0F7D" w:rsidP="00FB3901" w14:paraId="3FC870A6" w14:textId="77777777">
      <w:pPr>
        <w:tabs>
          <w:tab w:val="left" w:pos="1080"/>
        </w:tabs>
        <w:ind w:left="1080"/>
        <w:rPr>
          <w:rFonts w:ascii="Calibri" w:hAnsi="Calibri" w:cs="Calibri"/>
          <w:color w:val="000000"/>
        </w:rPr>
      </w:pPr>
    </w:p>
    <w:p w:rsidR="00CC69E3" w:rsidRPr="00FA0F7D" w:rsidP="00FB3901" w14:paraId="079677A2" w14:textId="77777777">
      <w:pPr>
        <w:tabs>
          <w:tab w:val="left" w:pos="1080"/>
        </w:tabs>
        <w:ind w:left="1080"/>
        <w:rPr>
          <w:rFonts w:ascii="Calibri" w:hAnsi="Calibri" w:cs="Calibri"/>
          <w:color w:val="000000"/>
        </w:rPr>
      </w:pPr>
    </w:p>
    <w:p w:rsidR="006B0D1B" w:rsidRPr="00FA0F7D" w:rsidP="00844CDC" w14:paraId="327847D6" w14:textId="77777777">
      <w:pPr>
        <w:tabs>
          <w:tab w:val="left" w:pos="1080"/>
        </w:tabs>
        <w:ind w:left="720"/>
        <w:rPr>
          <w:rFonts w:ascii="Calibri" w:hAnsi="Calibri" w:cs="Calibri"/>
          <w:color w:val="000000"/>
        </w:rPr>
      </w:pPr>
      <w:r w:rsidRPr="00FA0F7D">
        <w:rPr>
          <w:rFonts w:ascii="Calibri" w:hAnsi="Calibri" w:cs="Calibri"/>
          <w:color w:val="000000"/>
        </w:rPr>
        <w:t xml:space="preserve">     </w:t>
      </w:r>
    </w:p>
    <w:p w:rsidR="006B0D1B" w:rsidRPr="00FA0F7D" w:rsidP="00844CDC" w14:paraId="4B68A93E" w14:textId="77777777">
      <w:pPr>
        <w:tabs>
          <w:tab w:val="left" w:pos="1080"/>
        </w:tabs>
        <w:ind w:left="720"/>
        <w:rPr>
          <w:rFonts w:ascii="Calibri" w:hAnsi="Calibri" w:cs="Calibri"/>
          <w:color w:val="000000"/>
        </w:rPr>
      </w:pPr>
    </w:p>
    <w:p w:rsidR="006B0D1B" w:rsidRPr="00FA0F7D" w:rsidP="00844CDC" w14:paraId="09319AD3" w14:textId="77777777">
      <w:pPr>
        <w:tabs>
          <w:tab w:val="left" w:pos="1080"/>
        </w:tabs>
        <w:ind w:left="720"/>
        <w:rPr>
          <w:rFonts w:ascii="Calibri" w:hAnsi="Calibri" w:cs="Calibri"/>
          <w:color w:val="000000"/>
        </w:rPr>
      </w:pPr>
    </w:p>
    <w:p w:rsidR="00F24CC4" w:rsidRPr="00FA0F7D" w:rsidP="00844CDC" w14:paraId="4F0D4853" w14:textId="77777777">
      <w:pPr>
        <w:tabs>
          <w:tab w:val="left" w:pos="1080"/>
        </w:tabs>
        <w:ind w:left="720"/>
        <w:rPr>
          <w:rFonts w:ascii="Calibri" w:hAnsi="Calibri" w:cs="Calibri"/>
          <w:color w:val="000000"/>
        </w:rPr>
      </w:pPr>
      <w:r w:rsidRPr="00FA0F7D">
        <w:rPr>
          <w:rFonts w:ascii="Calibri" w:hAnsi="Calibri" w:cs="Calibri"/>
          <w:color w:val="000000"/>
        </w:rPr>
        <w:t xml:space="preserve">The </w:t>
      </w:r>
      <w:r w:rsidRPr="00FA0F7D" w:rsidR="00D717CE">
        <w:rPr>
          <w:rFonts w:ascii="Calibri" w:hAnsi="Calibri" w:cs="Calibri"/>
          <w:color w:val="000000"/>
        </w:rPr>
        <w:t xml:space="preserve">cost </w:t>
      </w:r>
      <w:r w:rsidRPr="00FA0F7D" w:rsidR="00901682">
        <w:rPr>
          <w:rFonts w:ascii="Calibri" w:hAnsi="Calibri" w:cs="Calibri"/>
          <w:color w:val="000000"/>
        </w:rPr>
        <w:t xml:space="preserve">could </w:t>
      </w:r>
      <w:r w:rsidRPr="00FA0F7D" w:rsidR="004D05E9">
        <w:rPr>
          <w:rFonts w:ascii="Calibri" w:hAnsi="Calibri" w:cs="Calibri"/>
          <w:color w:val="000000"/>
        </w:rPr>
        <w:t>be less</w:t>
      </w:r>
      <w:r w:rsidRPr="00FA0F7D" w:rsidR="00D717CE">
        <w:rPr>
          <w:rFonts w:ascii="Calibri" w:hAnsi="Calibri" w:cs="Calibri"/>
          <w:color w:val="000000"/>
        </w:rPr>
        <w:t xml:space="preserve"> than </w:t>
      </w:r>
      <w:r w:rsidRPr="00FA0F7D" w:rsidR="00901682">
        <w:rPr>
          <w:rFonts w:ascii="Calibri" w:hAnsi="Calibri" w:cs="Calibri"/>
          <w:color w:val="000000"/>
        </w:rPr>
        <w:t>awarded</w:t>
      </w:r>
      <w:r w:rsidRPr="00FA0F7D" w:rsidR="00D717CE">
        <w:rPr>
          <w:rFonts w:ascii="Calibri" w:hAnsi="Calibri" w:cs="Calibri"/>
          <w:color w:val="000000"/>
        </w:rPr>
        <w:t>, due</w:t>
      </w:r>
      <w:r w:rsidRPr="00FA0F7D" w:rsidR="00D047CD">
        <w:rPr>
          <w:rFonts w:ascii="Calibri" w:hAnsi="Calibri" w:cs="Calibri"/>
          <w:color w:val="000000"/>
        </w:rPr>
        <w:t xml:space="preserve"> to</w:t>
      </w:r>
      <w:r w:rsidRPr="00FA0F7D" w:rsidR="00901682">
        <w:rPr>
          <w:rFonts w:ascii="Calibri" w:hAnsi="Calibri" w:cs="Calibri"/>
          <w:color w:val="000000"/>
        </w:rPr>
        <w:t xml:space="preserve"> potential</w:t>
      </w:r>
      <w:r w:rsidRPr="00FA0F7D" w:rsidR="00D047CD">
        <w:rPr>
          <w:rFonts w:ascii="Calibri" w:hAnsi="Calibri" w:cs="Calibri"/>
          <w:color w:val="000000"/>
        </w:rPr>
        <w:t xml:space="preserve"> unused optional </w:t>
      </w:r>
      <w:r w:rsidRPr="00FA0F7D" w:rsidR="00901682">
        <w:rPr>
          <w:rFonts w:ascii="Calibri" w:hAnsi="Calibri" w:cs="Calibri"/>
          <w:color w:val="000000"/>
        </w:rPr>
        <w:t>tasks</w:t>
      </w:r>
      <w:r w:rsidRPr="00FA0F7D">
        <w:rPr>
          <w:rFonts w:ascii="Calibri" w:hAnsi="Calibri" w:cs="Calibri"/>
          <w:color w:val="000000"/>
        </w:rPr>
        <w:t xml:space="preserve">. </w:t>
      </w:r>
    </w:p>
    <w:p w:rsidR="00F24CC4" w:rsidRPr="00A0676D" w:rsidP="00FB3901" w14:paraId="4B9C706B" w14:textId="77777777">
      <w:pPr>
        <w:tabs>
          <w:tab w:val="left" w:pos="1080"/>
        </w:tabs>
        <w:ind w:left="1080"/>
        <w:rPr>
          <w:rFonts w:ascii="Calibri" w:hAnsi="Calibri" w:cs="Calibri"/>
          <w:b/>
          <w:bCs/>
          <w:color w:val="000000"/>
        </w:rPr>
      </w:pPr>
    </w:p>
    <w:p w:rsidR="00EA1343" w:rsidRPr="00A0676D" w:rsidP="000110C7" w14:paraId="4B9191A9" w14:textId="77777777">
      <w:pPr>
        <w:tabs>
          <w:tab w:val="left" w:pos="1080"/>
        </w:tabs>
        <w:ind w:left="576"/>
        <w:rPr>
          <w:rFonts w:ascii="Calibri" w:hAnsi="Calibri" w:cs="Calibri"/>
          <w:b/>
          <w:bCs/>
          <w:color w:val="000000"/>
        </w:rPr>
      </w:pPr>
      <w:r w:rsidRPr="00A0676D">
        <w:rPr>
          <w:rFonts w:ascii="Calibri" w:hAnsi="Calibri" w:cs="Calibri"/>
          <w:b/>
          <w:bCs/>
          <w:color w:val="000000"/>
        </w:rPr>
        <w:t xml:space="preserve"> </w:t>
      </w:r>
      <w:r w:rsidRPr="00A0676D" w:rsidR="004F0E2F">
        <w:rPr>
          <w:rFonts w:ascii="Calibri" w:hAnsi="Calibri" w:cs="Calibri"/>
          <w:b/>
          <w:bCs/>
          <w:color w:val="000000"/>
        </w:rPr>
        <w:t xml:space="preserve">15. </w:t>
      </w:r>
      <w:r w:rsidRPr="00A0676D" w:rsidR="00B04466">
        <w:rPr>
          <w:rFonts w:ascii="Calibri" w:hAnsi="Calibri" w:cs="Calibri"/>
          <w:b/>
          <w:bCs/>
          <w:color w:val="000000"/>
        </w:rPr>
        <w:t>Reasons for Change in Burden</w:t>
      </w:r>
    </w:p>
    <w:bookmarkEnd w:id="5"/>
    <w:p w:rsidR="00B04466" w:rsidRPr="00A0676D" w:rsidP="00B04466" w14:paraId="2A8DE39A" w14:textId="77777777">
      <w:pPr>
        <w:tabs>
          <w:tab w:val="left" w:pos="1080"/>
        </w:tabs>
        <w:ind w:left="1080"/>
        <w:rPr>
          <w:rFonts w:ascii="Calibri" w:hAnsi="Calibri" w:cs="Calibri"/>
          <w:color w:val="000000"/>
        </w:rPr>
      </w:pPr>
    </w:p>
    <w:p w:rsidR="00B04466" w:rsidP="000110C7" w14:paraId="2061514E" w14:textId="77777777">
      <w:pPr>
        <w:tabs>
          <w:tab w:val="left" w:pos="1080"/>
        </w:tabs>
        <w:ind w:left="1008"/>
        <w:rPr>
          <w:rFonts w:ascii="Calibri" w:hAnsi="Calibri" w:cs="Calibri"/>
          <w:color w:val="000000"/>
        </w:rPr>
      </w:pPr>
      <w:bookmarkStart w:id="6" w:name="_Hlk108427804"/>
      <w:r w:rsidRPr="00A0676D">
        <w:rPr>
          <w:rFonts w:ascii="Calibri" w:hAnsi="Calibri" w:cs="Calibri"/>
          <w:color w:val="000000"/>
        </w:rPr>
        <w:t>Previous years</w:t>
      </w:r>
      <w:r w:rsidRPr="00A0676D" w:rsidR="000B4E7A">
        <w:rPr>
          <w:rFonts w:ascii="Calibri" w:hAnsi="Calibri" w:cs="Calibri"/>
          <w:color w:val="000000"/>
        </w:rPr>
        <w:t>'</w:t>
      </w:r>
      <w:r w:rsidRPr="00A0676D">
        <w:rPr>
          <w:rFonts w:ascii="Calibri" w:hAnsi="Calibri" w:cs="Calibri"/>
          <w:color w:val="000000"/>
        </w:rPr>
        <w:t xml:space="preserve"> estimates were </w:t>
      </w:r>
      <w:r w:rsidRPr="00A0676D" w:rsidR="00F4672A">
        <w:rPr>
          <w:rFonts w:ascii="Calibri" w:hAnsi="Calibri" w:cs="Calibri"/>
          <w:color w:val="000000"/>
        </w:rPr>
        <w:t>based on using RDD and online panel surveys</w:t>
      </w:r>
      <w:r w:rsidRPr="00A0676D" w:rsidR="00C30A70">
        <w:rPr>
          <w:rFonts w:ascii="Calibri" w:hAnsi="Calibri" w:cs="Calibri"/>
          <w:color w:val="000000"/>
        </w:rPr>
        <w:t xml:space="preserve"> and </w:t>
      </w:r>
      <w:r w:rsidRPr="00A0676D" w:rsidR="00504555">
        <w:rPr>
          <w:rFonts w:ascii="Calibri" w:hAnsi="Calibri" w:cs="Calibri"/>
          <w:color w:val="000000"/>
        </w:rPr>
        <w:t>the updated methodology replaces RDD and online panels with ABS mail and dynamic online</w:t>
      </w:r>
      <w:r w:rsidRPr="00A0676D" w:rsidR="00C30A70">
        <w:rPr>
          <w:rFonts w:ascii="Calibri" w:hAnsi="Calibri" w:cs="Calibri"/>
          <w:color w:val="000000"/>
        </w:rPr>
        <w:t xml:space="preserve"> targeting </w:t>
      </w:r>
      <w:r w:rsidRPr="00A0676D" w:rsidR="00504555">
        <w:rPr>
          <w:rFonts w:ascii="Calibri" w:hAnsi="Calibri" w:cs="Calibri"/>
          <w:color w:val="000000"/>
        </w:rPr>
        <w:t>to reach</w:t>
      </w:r>
      <w:r w:rsidRPr="00A0676D" w:rsidR="00C30A70">
        <w:rPr>
          <w:rFonts w:ascii="Calibri" w:hAnsi="Calibri" w:cs="Calibri"/>
          <w:color w:val="000000"/>
        </w:rPr>
        <w:t xml:space="preserve"> certain hard-to-reach populations </w:t>
      </w:r>
      <w:r w:rsidRPr="00A0676D" w:rsidR="00504555">
        <w:rPr>
          <w:rFonts w:ascii="Calibri" w:hAnsi="Calibri" w:cs="Calibri"/>
          <w:color w:val="000000"/>
        </w:rPr>
        <w:t>in</w:t>
      </w:r>
      <w:r w:rsidRPr="00A0676D" w:rsidR="00C30A70">
        <w:rPr>
          <w:rFonts w:ascii="Calibri" w:hAnsi="Calibri" w:cs="Calibri"/>
          <w:color w:val="000000"/>
        </w:rPr>
        <w:t xml:space="preserve"> the 202</w:t>
      </w:r>
      <w:r w:rsidRPr="00A0676D" w:rsidR="001740B5">
        <w:rPr>
          <w:rFonts w:ascii="Calibri" w:hAnsi="Calibri" w:cs="Calibri"/>
          <w:color w:val="000000"/>
        </w:rPr>
        <w:t>3</w:t>
      </w:r>
      <w:r w:rsidRPr="00A0676D" w:rsidR="00C30A70">
        <w:rPr>
          <w:rFonts w:ascii="Calibri" w:hAnsi="Calibri" w:cs="Calibri"/>
          <w:color w:val="000000"/>
        </w:rPr>
        <w:t xml:space="preserve"> survey</w:t>
      </w:r>
      <w:r w:rsidRPr="00A0676D" w:rsidR="00F4672A">
        <w:rPr>
          <w:rFonts w:ascii="Calibri" w:hAnsi="Calibri" w:cs="Calibri"/>
          <w:color w:val="000000"/>
        </w:rPr>
        <w:t xml:space="preserve">. </w:t>
      </w:r>
      <w:r w:rsidRPr="00A0676D" w:rsidR="001740B5">
        <w:rPr>
          <w:rFonts w:ascii="Calibri" w:hAnsi="Calibri" w:cs="Calibri"/>
          <w:color w:val="000000"/>
        </w:rPr>
        <w:t>W</w:t>
      </w:r>
      <w:r w:rsidRPr="00A0676D">
        <w:rPr>
          <w:rFonts w:ascii="Calibri" w:hAnsi="Calibri" w:cs="Calibri"/>
          <w:color w:val="000000"/>
        </w:rPr>
        <w:t xml:space="preserve">e estimate that </w:t>
      </w:r>
      <w:r w:rsidRPr="00A0676D" w:rsidR="004D05E9">
        <w:rPr>
          <w:rFonts w:ascii="Calibri" w:hAnsi="Calibri" w:cs="Calibri"/>
          <w:color w:val="000000"/>
        </w:rPr>
        <w:t xml:space="preserve">3,927 </w:t>
      </w:r>
      <w:r w:rsidRPr="00A0676D" w:rsidR="0054229D">
        <w:rPr>
          <w:rFonts w:ascii="Calibri" w:hAnsi="Calibri" w:cs="Calibri"/>
          <w:color w:val="000000"/>
        </w:rPr>
        <w:t>(</w:t>
      </w:r>
      <w:r w:rsidRPr="00A0676D" w:rsidR="004D05E9">
        <w:rPr>
          <w:rFonts w:ascii="Calibri" w:hAnsi="Calibri" w:cs="Calibri"/>
          <w:color w:val="000000"/>
        </w:rPr>
        <w:t>1,30</w:t>
      </w:r>
      <w:r w:rsidR="00FD7E38">
        <w:rPr>
          <w:rFonts w:ascii="Calibri" w:hAnsi="Calibri" w:cs="Calibri"/>
          <w:color w:val="000000"/>
        </w:rPr>
        <w:t>9</w:t>
      </w:r>
      <w:r w:rsidRPr="00A0676D" w:rsidR="004D05E9">
        <w:rPr>
          <w:rFonts w:ascii="Calibri" w:hAnsi="Calibri" w:cs="Calibri"/>
          <w:color w:val="000000"/>
        </w:rPr>
        <w:t xml:space="preserve"> </w:t>
      </w:r>
      <w:r w:rsidRPr="00A0676D" w:rsidR="0054229D">
        <w:rPr>
          <w:rFonts w:ascii="Calibri" w:hAnsi="Calibri" w:cs="Calibri"/>
          <w:color w:val="000000"/>
        </w:rPr>
        <w:t xml:space="preserve">annually) </w:t>
      </w:r>
      <w:r w:rsidRPr="00A0676D">
        <w:rPr>
          <w:rFonts w:ascii="Calibri" w:hAnsi="Calibri" w:cs="Calibri"/>
          <w:color w:val="000000"/>
        </w:rPr>
        <w:t xml:space="preserve">burden hours will be used </w:t>
      </w:r>
      <w:r w:rsidRPr="00A0676D" w:rsidR="00E619FB">
        <w:rPr>
          <w:rFonts w:ascii="Calibri" w:hAnsi="Calibri" w:cs="Calibri"/>
          <w:color w:val="000000"/>
        </w:rPr>
        <w:t>by the conclusion of the currently approved</w:t>
      </w:r>
      <w:r w:rsidRPr="00A0676D">
        <w:rPr>
          <w:rFonts w:ascii="Calibri" w:hAnsi="Calibri" w:cs="Calibri"/>
          <w:color w:val="000000"/>
        </w:rPr>
        <w:t xml:space="preserve"> three</w:t>
      </w:r>
      <w:r w:rsidRPr="00A0676D" w:rsidR="00E619FB">
        <w:rPr>
          <w:rFonts w:ascii="Calibri" w:hAnsi="Calibri" w:cs="Calibri"/>
          <w:color w:val="000000"/>
        </w:rPr>
        <w:t>-</w:t>
      </w:r>
      <w:r w:rsidRPr="00A0676D">
        <w:rPr>
          <w:rFonts w:ascii="Calibri" w:hAnsi="Calibri" w:cs="Calibri"/>
          <w:color w:val="000000"/>
        </w:rPr>
        <w:t>year</w:t>
      </w:r>
      <w:r w:rsidRPr="00A0676D" w:rsidR="00E619FB">
        <w:rPr>
          <w:rFonts w:ascii="Calibri" w:hAnsi="Calibri" w:cs="Calibri"/>
          <w:color w:val="000000"/>
        </w:rPr>
        <w:t xml:space="preserve"> period</w:t>
      </w:r>
      <w:r w:rsidRPr="00A0676D" w:rsidR="00F24CC4">
        <w:rPr>
          <w:rFonts w:ascii="Calibri" w:hAnsi="Calibri" w:cs="Calibri"/>
          <w:color w:val="000000"/>
        </w:rPr>
        <w:t xml:space="preserve">. </w:t>
      </w:r>
    </w:p>
    <w:p w:rsidR="004019F1" w:rsidP="000110C7" w14:paraId="5078E651" w14:textId="77777777">
      <w:pPr>
        <w:tabs>
          <w:tab w:val="left" w:pos="1080"/>
        </w:tabs>
        <w:ind w:left="1008"/>
        <w:rPr>
          <w:rFonts w:ascii="Calibri" w:hAnsi="Calibri" w:cs="Calibri"/>
          <w:color w:val="000000"/>
        </w:rPr>
      </w:pPr>
    </w:p>
    <w:p w:rsidR="004019F1" w:rsidRPr="00AA08A8" w:rsidP="004019F1" w14:paraId="4928881E" w14:textId="77777777">
      <w:pPr>
        <w:ind w:left="1008" w:hanging="432"/>
        <w:rPr>
          <w:rFonts w:ascii="Calibri" w:hAnsi="Calibri" w:cs="Calibri"/>
          <w:color w:val="000000"/>
        </w:rPr>
      </w:pPr>
      <w:r w:rsidRPr="00AA08A8">
        <w:rPr>
          <w:rFonts w:ascii="Calibri" w:hAnsi="Calibri" w:cs="Calibri"/>
          <w:color w:val="000000"/>
        </w:rPr>
        <w:t xml:space="preserve">        </w:t>
      </w:r>
      <w:r w:rsidRPr="00AA08A8" w:rsidR="00F14E8F">
        <w:rPr>
          <w:rFonts w:ascii="Calibri" w:hAnsi="Calibri" w:cs="Calibri"/>
          <w:color w:val="000000"/>
        </w:rPr>
        <w:t>T</w:t>
      </w:r>
      <w:r w:rsidRPr="00AA08A8">
        <w:rPr>
          <w:rFonts w:ascii="Calibri" w:hAnsi="Calibri" w:cs="Calibri"/>
          <w:color w:val="000000"/>
        </w:rPr>
        <w:t xml:space="preserve">he estimated number of filers has been reduced to </w:t>
      </w:r>
      <w:r w:rsidRPr="00AA08A8" w:rsidR="00F14E8F">
        <w:rPr>
          <w:rFonts w:ascii="Calibri" w:hAnsi="Calibri" w:cs="Calibri"/>
          <w:color w:val="000000"/>
        </w:rPr>
        <w:t>32</w:t>
      </w:r>
      <w:r w:rsidRPr="00AA08A8">
        <w:rPr>
          <w:rFonts w:ascii="Calibri" w:hAnsi="Calibri" w:cs="Calibri"/>
          <w:color w:val="000000"/>
        </w:rPr>
        <w:t>,</w:t>
      </w:r>
      <w:r w:rsidRPr="00AA08A8" w:rsidR="00F14E8F">
        <w:rPr>
          <w:rFonts w:ascii="Calibri" w:hAnsi="Calibri" w:cs="Calibri"/>
          <w:color w:val="000000"/>
        </w:rPr>
        <w:t>450</w:t>
      </w:r>
      <w:r w:rsidRPr="00AA08A8">
        <w:rPr>
          <w:rFonts w:ascii="Calibri" w:hAnsi="Calibri" w:cs="Calibri"/>
          <w:color w:val="000000"/>
        </w:rPr>
        <w:t xml:space="preserve"> from </w:t>
      </w:r>
      <w:r w:rsidRPr="00AA08A8" w:rsidR="00F14E8F">
        <w:rPr>
          <w:rFonts w:ascii="Calibri" w:hAnsi="Calibri" w:cs="Calibri"/>
          <w:color w:val="000000"/>
        </w:rPr>
        <w:t>39</w:t>
      </w:r>
      <w:r w:rsidRPr="00AA08A8">
        <w:rPr>
          <w:rFonts w:ascii="Calibri" w:hAnsi="Calibri" w:cs="Calibri"/>
          <w:color w:val="000000"/>
        </w:rPr>
        <w:t>,</w:t>
      </w:r>
      <w:r w:rsidRPr="00AA08A8" w:rsidR="00F14E8F">
        <w:rPr>
          <w:rFonts w:ascii="Calibri" w:hAnsi="Calibri" w:cs="Calibri"/>
          <w:color w:val="000000"/>
        </w:rPr>
        <w:t>2</w:t>
      </w:r>
      <w:r w:rsidRPr="00AA08A8">
        <w:rPr>
          <w:rFonts w:ascii="Calibri" w:hAnsi="Calibri" w:cs="Calibri"/>
          <w:color w:val="000000"/>
        </w:rPr>
        <w:t>73 based on IRS most recent filing data, resulting in a</w:t>
      </w:r>
      <w:r w:rsidRPr="00AA08A8" w:rsidR="00F14E8F">
        <w:rPr>
          <w:rFonts w:ascii="Calibri" w:hAnsi="Calibri" w:cs="Calibri"/>
          <w:color w:val="000000"/>
        </w:rPr>
        <w:t>n in</w:t>
      </w:r>
      <w:r w:rsidRPr="00AA08A8">
        <w:rPr>
          <w:rFonts w:ascii="Calibri" w:hAnsi="Calibri" w:cs="Calibri"/>
          <w:color w:val="000000"/>
        </w:rPr>
        <w:t xml:space="preserve">crease of </w:t>
      </w:r>
      <w:r w:rsidRPr="00AA08A8" w:rsidR="00F14E8F">
        <w:rPr>
          <w:rFonts w:ascii="Calibri" w:hAnsi="Calibri" w:cs="Calibri"/>
          <w:color w:val="000000"/>
        </w:rPr>
        <w:t>19</w:t>
      </w:r>
      <w:r w:rsidRPr="00AA08A8">
        <w:rPr>
          <w:rFonts w:ascii="Calibri" w:hAnsi="Calibri" w:cs="Calibri"/>
          <w:color w:val="000000"/>
        </w:rPr>
        <w:t xml:space="preserve">8 burden hours from the previously approved estimates. </w:t>
      </w:r>
    </w:p>
    <w:p w:rsidR="004019F1" w:rsidRPr="000A3C92" w:rsidP="004019F1" w14:paraId="32FAC6CF" w14:textId="77777777">
      <w:pPr>
        <w:ind w:left="1008" w:hanging="432"/>
        <w:rPr>
          <w:rFonts w:ascii="Calibri" w:hAnsi="Calibri"/>
          <w:sz w:val="22"/>
          <w:szCs w:val="22"/>
        </w:rPr>
      </w:pPr>
    </w:p>
    <w:tbl>
      <w:tblPr>
        <w:tblW w:w="4421" w:type="pct"/>
        <w:tblInd w:w="915" w:type="dxa"/>
        <w:tblBorders>
          <w:top w:val="single" w:sz="6" w:space="0" w:color="C5DBEC"/>
          <w:left w:val="single" w:sz="6" w:space="0" w:color="C5DBEC"/>
          <w:bottom w:val="single" w:sz="6" w:space="0" w:color="C5DBEC"/>
          <w:right w:val="single" w:sz="6" w:space="0" w:color="C5DBEC"/>
        </w:tblBorders>
        <w:tblLook w:val="04A0"/>
      </w:tblPr>
      <w:tblGrid>
        <w:gridCol w:w="1149"/>
        <w:gridCol w:w="1056"/>
        <w:gridCol w:w="1198"/>
        <w:gridCol w:w="1351"/>
        <w:gridCol w:w="1519"/>
        <w:gridCol w:w="1309"/>
        <w:gridCol w:w="1189"/>
      </w:tblGrid>
      <w:tr w14:paraId="2A7728EA" w14:textId="77777777" w:rsidTr="00F14E8F">
        <w:tblPrEx>
          <w:tblW w:w="4421" w:type="pct"/>
          <w:tblInd w:w="915" w:type="dxa"/>
          <w:tblBorders>
            <w:top w:val="single" w:sz="6" w:space="0" w:color="C5DBEC"/>
            <w:left w:val="single" w:sz="6" w:space="0" w:color="C5DBEC"/>
            <w:bottom w:val="single" w:sz="6" w:space="0" w:color="C5DBEC"/>
            <w:right w:val="single" w:sz="6" w:space="0" w:color="C5DBEC"/>
          </w:tblBorders>
          <w:tblLook w:val="04A0"/>
        </w:tblPrEx>
        <w:tc>
          <w:tcPr>
            <w:tcW w:w="6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14E8F" w:rsidRPr="00764B48" w:rsidP="00AA364B" w14:paraId="59A9B9DB" w14:textId="77777777">
            <w:pPr>
              <w:keepNext/>
              <w:keepLines/>
              <w:jc w:val="center"/>
              <w:rPr>
                <w:rFonts w:ascii="Calibri" w:hAnsi="Calibri" w:cs="Arial"/>
                <w:b/>
                <w:bCs/>
                <w:color w:val="000000"/>
                <w:sz w:val="22"/>
                <w:szCs w:val="22"/>
              </w:rPr>
            </w:pPr>
            <w:r w:rsidRPr="00764B48">
              <w:rPr>
                <w:rFonts w:ascii="Calibri" w:hAnsi="Calibri" w:cs="Arial"/>
                <w:b/>
                <w:bCs/>
                <w:color w:val="000000"/>
                <w:sz w:val="22"/>
                <w:szCs w:val="22"/>
              </w:rPr>
              <w:t> </w:t>
            </w:r>
          </w:p>
        </w:tc>
        <w:tc>
          <w:tcPr>
            <w:tcW w:w="6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14E8F" w:rsidRPr="00764B48" w:rsidP="00AA364B" w14:paraId="5F4BEB69" w14:textId="77777777">
            <w:pPr>
              <w:keepNext/>
              <w:keepLines/>
              <w:jc w:val="center"/>
              <w:rPr>
                <w:rFonts w:ascii="Calibri" w:hAnsi="Calibri" w:cs="Arial"/>
                <w:b/>
                <w:bCs/>
                <w:color w:val="000000"/>
                <w:sz w:val="22"/>
                <w:szCs w:val="22"/>
              </w:rPr>
            </w:pPr>
            <w:r w:rsidRPr="00764B48">
              <w:rPr>
                <w:rFonts w:ascii="Calibri" w:hAnsi="Calibri" w:cs="Arial"/>
                <w:b/>
                <w:bCs/>
                <w:color w:val="000000"/>
                <w:sz w:val="22"/>
                <w:szCs w:val="22"/>
              </w:rPr>
              <w:t>Requested</w:t>
            </w:r>
          </w:p>
        </w:tc>
        <w:tc>
          <w:tcPr>
            <w:tcW w:w="6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14E8F" w:rsidRPr="00764B48" w:rsidP="00AA364B" w14:paraId="7E9307B6" w14:textId="77777777">
            <w:pPr>
              <w:keepNext/>
              <w:keepLines/>
              <w:jc w:val="center"/>
              <w:rPr>
                <w:rFonts w:ascii="Calibri" w:hAnsi="Calibri" w:cs="Arial"/>
                <w:b/>
                <w:bCs/>
                <w:color w:val="000000"/>
                <w:sz w:val="22"/>
                <w:szCs w:val="22"/>
              </w:rPr>
            </w:pPr>
            <w:r w:rsidRPr="00764B48">
              <w:rPr>
                <w:rFonts w:ascii="Calibri" w:hAnsi="Calibri" w:cs="Arial"/>
                <w:b/>
                <w:bCs/>
                <w:color w:val="000000"/>
                <w:sz w:val="22"/>
                <w:szCs w:val="22"/>
              </w:rPr>
              <w:t>Program Change Due to New Statute</w:t>
            </w:r>
          </w:p>
        </w:tc>
        <w:tc>
          <w:tcPr>
            <w:tcW w:w="7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14E8F" w:rsidRPr="00764B48" w:rsidP="00AA364B" w14:paraId="699BD8E3" w14:textId="77777777">
            <w:pPr>
              <w:keepNext/>
              <w:keepLines/>
              <w:jc w:val="center"/>
              <w:rPr>
                <w:rFonts w:ascii="Calibri" w:hAnsi="Calibri" w:cs="Arial"/>
                <w:b/>
                <w:bCs/>
                <w:color w:val="000000"/>
                <w:sz w:val="22"/>
                <w:szCs w:val="22"/>
              </w:rPr>
            </w:pPr>
            <w:r w:rsidRPr="00764B48">
              <w:rPr>
                <w:rFonts w:ascii="Calibri" w:hAnsi="Calibri" w:cs="Arial"/>
                <w:b/>
                <w:bCs/>
                <w:color w:val="000000"/>
                <w:sz w:val="22"/>
                <w:szCs w:val="22"/>
              </w:rPr>
              <w:t>Program Change Due to Agency Discretion</w:t>
            </w: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14E8F" w:rsidRPr="00764B48" w:rsidP="00AA364B" w14:paraId="1ADC5B67" w14:textId="77777777">
            <w:pPr>
              <w:keepNext/>
              <w:keepLines/>
              <w:jc w:val="center"/>
              <w:rPr>
                <w:rFonts w:ascii="Calibri" w:hAnsi="Calibri" w:cs="Arial"/>
                <w:b/>
                <w:bCs/>
                <w:color w:val="000000"/>
                <w:sz w:val="22"/>
                <w:szCs w:val="22"/>
              </w:rPr>
            </w:pPr>
            <w:r w:rsidRPr="00764B48">
              <w:rPr>
                <w:rFonts w:ascii="Calibri" w:hAnsi="Calibri" w:cs="Arial"/>
                <w:b/>
                <w:bCs/>
                <w:color w:val="000000"/>
                <w:sz w:val="22"/>
                <w:szCs w:val="22"/>
              </w:rPr>
              <w:t>Change Due to Adjustment in Agency Estimate</w:t>
            </w:r>
          </w:p>
        </w:tc>
        <w:tc>
          <w:tcPr>
            <w:tcW w:w="7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14E8F" w:rsidRPr="00764B48" w:rsidP="00AA364B" w14:paraId="12AB3737" w14:textId="77777777">
            <w:pPr>
              <w:keepNext/>
              <w:keepLines/>
              <w:jc w:val="center"/>
              <w:rPr>
                <w:rFonts w:ascii="Calibri" w:hAnsi="Calibri" w:cs="Arial"/>
                <w:b/>
                <w:bCs/>
                <w:color w:val="000000"/>
                <w:sz w:val="22"/>
                <w:szCs w:val="22"/>
              </w:rPr>
            </w:pPr>
            <w:r w:rsidRPr="00764B48">
              <w:rPr>
                <w:rFonts w:ascii="Calibri" w:hAnsi="Calibri" w:cs="Arial"/>
                <w:b/>
                <w:bCs/>
                <w:color w:val="000000"/>
                <w:sz w:val="22"/>
                <w:szCs w:val="22"/>
              </w:rPr>
              <w:t>Change Due to Potential Violation of the PRA</w:t>
            </w:r>
          </w:p>
        </w:tc>
        <w:tc>
          <w:tcPr>
            <w:tcW w:w="6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hideMark/>
          </w:tcPr>
          <w:p w:rsidR="00F14E8F" w:rsidRPr="00764B48" w:rsidP="00AA364B" w14:paraId="4D7206AE" w14:textId="77777777">
            <w:pPr>
              <w:keepNext/>
              <w:keepLines/>
              <w:jc w:val="center"/>
              <w:rPr>
                <w:rFonts w:ascii="Calibri" w:hAnsi="Calibri" w:cs="Arial"/>
                <w:b/>
                <w:bCs/>
                <w:color w:val="000000"/>
                <w:sz w:val="22"/>
                <w:szCs w:val="22"/>
              </w:rPr>
            </w:pPr>
            <w:r w:rsidRPr="00764B48">
              <w:rPr>
                <w:rFonts w:ascii="Calibri" w:hAnsi="Calibri" w:cs="Arial"/>
                <w:b/>
                <w:bCs/>
                <w:color w:val="000000"/>
                <w:sz w:val="22"/>
                <w:szCs w:val="22"/>
              </w:rPr>
              <w:t>Previously Approved</w:t>
            </w:r>
          </w:p>
        </w:tc>
      </w:tr>
      <w:tr w14:paraId="56A54E87" w14:textId="77777777" w:rsidTr="00F14E8F">
        <w:tblPrEx>
          <w:tblW w:w="4421" w:type="pct"/>
          <w:tblInd w:w="915" w:type="dxa"/>
          <w:tblLook w:val="04A0"/>
        </w:tblPrEx>
        <w:tc>
          <w:tcPr>
            <w:tcW w:w="6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14E8F" w:rsidRPr="00764B48" w:rsidP="00AA364B" w14:paraId="38695B78" w14:textId="77777777">
            <w:pPr>
              <w:keepNext/>
              <w:keepLines/>
              <w:rPr>
                <w:rFonts w:ascii="Calibri" w:hAnsi="Calibri" w:cs="Arial"/>
                <w:color w:val="000000"/>
                <w:sz w:val="22"/>
                <w:szCs w:val="22"/>
              </w:rPr>
            </w:pPr>
            <w:r w:rsidRPr="00764B48">
              <w:rPr>
                <w:rFonts w:ascii="Calibri" w:hAnsi="Calibri" w:cs="Arial"/>
                <w:color w:val="000000"/>
                <w:sz w:val="22"/>
                <w:szCs w:val="22"/>
              </w:rPr>
              <w:t>Annual Number of Responses for this IC</w:t>
            </w:r>
          </w:p>
        </w:tc>
        <w:tc>
          <w:tcPr>
            <w:tcW w:w="6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3CE6E8DB" w14:textId="77777777">
            <w:pPr>
              <w:keepNext/>
              <w:keepLines/>
              <w:jc w:val="center"/>
              <w:rPr>
                <w:rFonts w:ascii="Calibri" w:hAnsi="Calibri" w:cs="Arial"/>
                <w:sz w:val="22"/>
                <w:szCs w:val="22"/>
              </w:rPr>
            </w:pPr>
            <w:r>
              <w:rPr>
                <w:rFonts w:ascii="Calibri" w:hAnsi="Calibri" w:cs="Arial"/>
                <w:sz w:val="22"/>
                <w:szCs w:val="22"/>
              </w:rPr>
              <w:t>3</w:t>
            </w:r>
            <w:r w:rsidRPr="00A827A9">
              <w:rPr>
                <w:rFonts w:ascii="Calibri" w:hAnsi="Calibri" w:cs="Arial"/>
                <w:sz w:val="22"/>
                <w:szCs w:val="22"/>
              </w:rPr>
              <w:t>2</w:t>
            </w:r>
            <w:r>
              <w:rPr>
                <w:rFonts w:ascii="Calibri" w:hAnsi="Calibri" w:cs="Arial"/>
                <w:sz w:val="22"/>
                <w:szCs w:val="22"/>
              </w:rPr>
              <w:t>,</w:t>
            </w:r>
            <w:r w:rsidRPr="00A827A9">
              <w:rPr>
                <w:rFonts w:ascii="Calibri" w:hAnsi="Calibri" w:cs="Arial"/>
                <w:sz w:val="22"/>
                <w:szCs w:val="22"/>
              </w:rPr>
              <w:t>4</w:t>
            </w:r>
            <w:r>
              <w:rPr>
                <w:rFonts w:ascii="Calibri" w:hAnsi="Calibri" w:cs="Arial"/>
                <w:sz w:val="22"/>
                <w:szCs w:val="22"/>
              </w:rPr>
              <w:t>50</w:t>
            </w:r>
          </w:p>
        </w:tc>
        <w:tc>
          <w:tcPr>
            <w:tcW w:w="6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017FE05F" w14:textId="77777777">
            <w:pPr>
              <w:keepNext/>
              <w:keepLines/>
              <w:jc w:val="center"/>
              <w:rPr>
                <w:rFonts w:ascii="Calibri" w:hAnsi="Calibri" w:cs="Arial"/>
                <w:sz w:val="22"/>
                <w:szCs w:val="22"/>
              </w:rPr>
            </w:pPr>
            <w:r w:rsidRPr="00A827A9">
              <w:rPr>
                <w:rFonts w:ascii="Calibri" w:hAnsi="Calibri" w:cs="Arial"/>
                <w:sz w:val="22"/>
                <w:szCs w:val="22"/>
              </w:rPr>
              <w:t>0</w:t>
            </w:r>
          </w:p>
        </w:tc>
        <w:tc>
          <w:tcPr>
            <w:tcW w:w="7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21CF4294" w14:textId="77777777">
            <w:pPr>
              <w:keepNext/>
              <w:keepLines/>
              <w:jc w:val="center"/>
              <w:rPr>
                <w:rFonts w:ascii="Calibri" w:hAnsi="Calibri" w:cs="Arial"/>
                <w:sz w:val="22"/>
                <w:szCs w:val="22"/>
              </w:rPr>
            </w:pPr>
            <w:r w:rsidRPr="00A827A9">
              <w:rPr>
                <w:rFonts w:ascii="Calibri" w:hAnsi="Calibri" w:cs="Arial"/>
                <w:sz w:val="22"/>
                <w:szCs w:val="22"/>
              </w:rPr>
              <w:t>0</w:t>
            </w: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2739E5BC" w14:textId="77777777">
            <w:pPr>
              <w:keepNext/>
              <w:keepLines/>
              <w:jc w:val="center"/>
              <w:rPr>
                <w:rFonts w:ascii="Calibri" w:hAnsi="Calibri" w:cs="Arial"/>
                <w:sz w:val="22"/>
                <w:szCs w:val="22"/>
              </w:rPr>
            </w:pPr>
            <w:r w:rsidRPr="00A827A9">
              <w:rPr>
                <w:rFonts w:ascii="Calibri" w:hAnsi="Calibri" w:cs="Arial"/>
                <w:sz w:val="22"/>
                <w:szCs w:val="22"/>
              </w:rPr>
              <w:t>-</w:t>
            </w:r>
            <w:r>
              <w:rPr>
                <w:rFonts w:ascii="Calibri" w:hAnsi="Calibri" w:cs="Arial"/>
                <w:sz w:val="22"/>
                <w:szCs w:val="22"/>
              </w:rPr>
              <w:t>6,</w:t>
            </w:r>
            <w:r w:rsidRPr="00A827A9">
              <w:rPr>
                <w:rFonts w:ascii="Calibri" w:hAnsi="Calibri" w:cs="Arial"/>
                <w:sz w:val="22"/>
                <w:szCs w:val="22"/>
              </w:rPr>
              <w:t>8</w:t>
            </w:r>
            <w:r>
              <w:rPr>
                <w:rFonts w:ascii="Calibri" w:hAnsi="Calibri" w:cs="Arial"/>
                <w:sz w:val="22"/>
                <w:szCs w:val="22"/>
              </w:rPr>
              <w:t>23</w:t>
            </w:r>
          </w:p>
        </w:tc>
        <w:tc>
          <w:tcPr>
            <w:tcW w:w="7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732F2497" w14:textId="77777777">
            <w:pPr>
              <w:keepNext/>
              <w:keepLines/>
              <w:jc w:val="center"/>
              <w:rPr>
                <w:rFonts w:ascii="Calibri" w:hAnsi="Calibri" w:cs="Arial"/>
                <w:sz w:val="22"/>
                <w:szCs w:val="22"/>
              </w:rPr>
            </w:pPr>
            <w:r w:rsidRPr="00A827A9">
              <w:rPr>
                <w:rFonts w:ascii="Calibri" w:hAnsi="Calibri" w:cs="Arial"/>
                <w:sz w:val="22"/>
                <w:szCs w:val="22"/>
              </w:rPr>
              <w:t>0</w:t>
            </w:r>
          </w:p>
        </w:tc>
        <w:tc>
          <w:tcPr>
            <w:tcW w:w="6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729B9B64" w14:textId="77777777">
            <w:pPr>
              <w:keepNext/>
              <w:keepLines/>
              <w:jc w:val="center"/>
              <w:rPr>
                <w:rFonts w:ascii="Calibri" w:hAnsi="Calibri" w:cs="Arial"/>
                <w:sz w:val="22"/>
                <w:szCs w:val="22"/>
              </w:rPr>
            </w:pPr>
            <w:r>
              <w:rPr>
                <w:rFonts w:ascii="Calibri" w:hAnsi="Calibri" w:cs="Arial"/>
                <w:sz w:val="22"/>
                <w:szCs w:val="22"/>
              </w:rPr>
              <w:t>39</w:t>
            </w:r>
            <w:r w:rsidRPr="00A827A9">
              <w:rPr>
                <w:rFonts w:ascii="Calibri" w:hAnsi="Calibri" w:cs="Arial"/>
                <w:sz w:val="22"/>
                <w:szCs w:val="22"/>
              </w:rPr>
              <w:t>,</w:t>
            </w:r>
            <w:r>
              <w:rPr>
                <w:rFonts w:ascii="Calibri" w:hAnsi="Calibri" w:cs="Arial"/>
                <w:sz w:val="22"/>
                <w:szCs w:val="22"/>
              </w:rPr>
              <w:t>273</w:t>
            </w:r>
          </w:p>
        </w:tc>
      </w:tr>
      <w:tr w14:paraId="379599CB" w14:textId="77777777" w:rsidTr="00F14E8F">
        <w:tblPrEx>
          <w:tblW w:w="4421" w:type="pct"/>
          <w:tblInd w:w="915" w:type="dxa"/>
          <w:tblLook w:val="04A0"/>
        </w:tblPrEx>
        <w:tc>
          <w:tcPr>
            <w:tcW w:w="6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F14E8F" w:rsidRPr="00764B48" w:rsidP="00AA364B" w14:paraId="1EC26CFB" w14:textId="77777777">
            <w:pPr>
              <w:keepNext/>
              <w:keepLines/>
              <w:rPr>
                <w:rFonts w:ascii="Calibri" w:hAnsi="Calibri" w:cs="Arial"/>
                <w:color w:val="000000"/>
                <w:sz w:val="22"/>
                <w:szCs w:val="22"/>
              </w:rPr>
            </w:pPr>
            <w:r w:rsidRPr="00764B48">
              <w:rPr>
                <w:rFonts w:ascii="Calibri" w:hAnsi="Calibri" w:cs="Arial"/>
                <w:color w:val="000000"/>
                <w:sz w:val="22"/>
                <w:szCs w:val="22"/>
              </w:rPr>
              <w:t>Annual IC Time Burden (Hours)</w:t>
            </w:r>
          </w:p>
        </w:tc>
        <w:tc>
          <w:tcPr>
            <w:tcW w:w="6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23DBAE28" w14:textId="77777777">
            <w:pPr>
              <w:keepNext/>
              <w:keepLines/>
              <w:jc w:val="center"/>
              <w:rPr>
                <w:rFonts w:ascii="Calibri" w:hAnsi="Calibri" w:cs="Arial"/>
                <w:sz w:val="22"/>
                <w:szCs w:val="22"/>
              </w:rPr>
            </w:pPr>
            <w:r>
              <w:rPr>
                <w:rFonts w:ascii="Calibri" w:hAnsi="Calibri" w:cs="Arial"/>
                <w:sz w:val="22"/>
                <w:szCs w:val="22"/>
              </w:rPr>
              <w:t>1,309</w:t>
            </w:r>
          </w:p>
        </w:tc>
        <w:tc>
          <w:tcPr>
            <w:tcW w:w="6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3DB4E742" w14:textId="77777777">
            <w:pPr>
              <w:keepNext/>
              <w:keepLines/>
              <w:jc w:val="center"/>
              <w:rPr>
                <w:rFonts w:ascii="Calibri" w:hAnsi="Calibri" w:cs="Arial"/>
                <w:sz w:val="22"/>
                <w:szCs w:val="22"/>
              </w:rPr>
            </w:pPr>
            <w:r w:rsidRPr="00A827A9">
              <w:rPr>
                <w:rFonts w:ascii="Calibri" w:hAnsi="Calibri" w:cs="Arial"/>
                <w:sz w:val="22"/>
                <w:szCs w:val="22"/>
              </w:rPr>
              <w:t>0</w:t>
            </w:r>
          </w:p>
        </w:tc>
        <w:tc>
          <w:tcPr>
            <w:tcW w:w="7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6018A7B1" w14:textId="77777777">
            <w:pPr>
              <w:keepNext/>
              <w:keepLines/>
              <w:jc w:val="center"/>
              <w:rPr>
                <w:rFonts w:ascii="Calibri" w:hAnsi="Calibri" w:cs="Arial"/>
                <w:sz w:val="22"/>
                <w:szCs w:val="22"/>
              </w:rPr>
            </w:pPr>
            <w:r w:rsidRPr="00A827A9">
              <w:rPr>
                <w:rFonts w:ascii="Calibri" w:hAnsi="Calibri" w:cs="Arial"/>
                <w:sz w:val="22"/>
                <w:szCs w:val="22"/>
              </w:rPr>
              <w:t>0</w:t>
            </w: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2CE60D8A" w14:textId="77777777">
            <w:pPr>
              <w:keepNext/>
              <w:keepLines/>
              <w:jc w:val="center"/>
              <w:rPr>
                <w:rFonts w:ascii="Calibri" w:hAnsi="Calibri" w:cs="Arial"/>
                <w:sz w:val="22"/>
                <w:szCs w:val="22"/>
              </w:rPr>
            </w:pPr>
            <w:r>
              <w:rPr>
                <w:rFonts w:ascii="Calibri" w:hAnsi="Calibri" w:cs="Arial"/>
                <w:sz w:val="22"/>
                <w:szCs w:val="22"/>
              </w:rPr>
              <w:t xml:space="preserve">    198</w:t>
            </w:r>
          </w:p>
        </w:tc>
        <w:tc>
          <w:tcPr>
            <w:tcW w:w="7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10A2319D" w14:textId="77777777">
            <w:pPr>
              <w:keepNext/>
              <w:keepLines/>
              <w:jc w:val="center"/>
              <w:rPr>
                <w:rFonts w:ascii="Calibri" w:hAnsi="Calibri" w:cs="Arial"/>
                <w:sz w:val="22"/>
                <w:szCs w:val="22"/>
              </w:rPr>
            </w:pPr>
            <w:r w:rsidRPr="00A827A9">
              <w:rPr>
                <w:rFonts w:ascii="Calibri" w:hAnsi="Calibri" w:cs="Arial"/>
                <w:sz w:val="22"/>
                <w:szCs w:val="22"/>
              </w:rPr>
              <w:t>0</w:t>
            </w:r>
          </w:p>
        </w:tc>
        <w:tc>
          <w:tcPr>
            <w:tcW w:w="6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F14E8F" w:rsidRPr="00A827A9" w:rsidP="00AA364B" w14:paraId="39561CA4" w14:textId="77777777">
            <w:pPr>
              <w:keepNext/>
              <w:keepLines/>
              <w:jc w:val="center"/>
              <w:rPr>
                <w:rFonts w:ascii="Calibri" w:hAnsi="Calibri" w:cs="Arial"/>
                <w:sz w:val="22"/>
                <w:szCs w:val="22"/>
              </w:rPr>
            </w:pPr>
            <w:r>
              <w:rPr>
                <w:rFonts w:ascii="Calibri" w:hAnsi="Calibri" w:cs="Arial"/>
                <w:sz w:val="22"/>
                <w:szCs w:val="22"/>
              </w:rPr>
              <w:t>1,111</w:t>
            </w:r>
          </w:p>
        </w:tc>
      </w:tr>
    </w:tbl>
    <w:p w:rsidR="004019F1" w:rsidP="000110C7" w14:paraId="0139CEE7" w14:textId="77777777">
      <w:pPr>
        <w:tabs>
          <w:tab w:val="left" w:pos="1080"/>
        </w:tabs>
        <w:ind w:left="1008"/>
        <w:rPr>
          <w:rFonts w:ascii="Calibri" w:hAnsi="Calibri" w:cs="Calibri"/>
          <w:color w:val="000000"/>
        </w:rPr>
      </w:pPr>
    </w:p>
    <w:bookmarkEnd w:id="6"/>
    <w:p w:rsidR="00762F5D" w:rsidRPr="00A0676D" w:rsidP="00EF4136" w14:paraId="21C31257" w14:textId="77777777">
      <w:pPr>
        <w:tabs>
          <w:tab w:val="left" w:pos="1080"/>
        </w:tabs>
        <w:ind w:left="1080"/>
        <w:rPr>
          <w:rFonts w:ascii="Calibri" w:hAnsi="Calibri" w:cs="Calibri"/>
          <w:color w:val="000000"/>
        </w:rPr>
      </w:pPr>
    </w:p>
    <w:p w:rsidR="00B04466" w:rsidRPr="00A0676D" w:rsidP="004F0E2F" w14:paraId="53A363B4" w14:textId="77777777">
      <w:pPr>
        <w:numPr>
          <w:ilvl w:val="0"/>
          <w:numId w:val="5"/>
        </w:numPr>
        <w:rPr>
          <w:rFonts w:ascii="Calibri" w:hAnsi="Calibri" w:cs="Calibri"/>
          <w:b/>
          <w:bCs/>
          <w:color w:val="000000"/>
        </w:rPr>
      </w:pPr>
      <w:r w:rsidRPr="00A0676D">
        <w:rPr>
          <w:rFonts w:ascii="Calibri" w:hAnsi="Calibri" w:cs="Calibri"/>
          <w:b/>
          <w:bCs/>
          <w:color w:val="000000"/>
        </w:rPr>
        <w:t>Plans for Tabulation, Statistical Analysis and Publication</w:t>
      </w:r>
    </w:p>
    <w:p w:rsidR="00B04466" w:rsidRPr="00A0676D" w:rsidP="00B04466" w14:paraId="3E34DC66" w14:textId="77777777">
      <w:pPr>
        <w:tabs>
          <w:tab w:val="left" w:pos="1080"/>
        </w:tabs>
        <w:rPr>
          <w:rFonts w:ascii="Calibri" w:hAnsi="Calibri" w:cs="Calibri"/>
          <w:color w:val="000000"/>
        </w:rPr>
      </w:pPr>
    </w:p>
    <w:p w:rsidR="00614F41" w:rsidRPr="00A0676D" w:rsidP="000110C7" w14:paraId="0CF81BB6" w14:textId="77777777">
      <w:pPr>
        <w:ind w:left="1008"/>
        <w:rPr>
          <w:rFonts w:ascii="Calibri" w:hAnsi="Calibri" w:cs="Calibri"/>
          <w:color w:val="000000"/>
        </w:rPr>
      </w:pPr>
      <w:r w:rsidRPr="00A0676D">
        <w:rPr>
          <w:rFonts w:ascii="Calibri" w:hAnsi="Calibri" w:cs="Calibri"/>
          <w:color w:val="000000"/>
        </w:rPr>
        <w:t xml:space="preserve">The data </w:t>
      </w:r>
      <w:r w:rsidRPr="00A0676D" w:rsidR="00994D3D">
        <w:rPr>
          <w:rFonts w:ascii="Calibri" w:hAnsi="Calibri" w:cs="Calibri"/>
          <w:color w:val="000000"/>
        </w:rPr>
        <w:t xml:space="preserve">normally </w:t>
      </w:r>
      <w:r w:rsidRPr="00A0676D">
        <w:rPr>
          <w:rFonts w:ascii="Calibri" w:hAnsi="Calibri" w:cs="Calibri"/>
          <w:color w:val="000000"/>
        </w:rPr>
        <w:t>will be collected using concurrent</w:t>
      </w:r>
      <w:r w:rsidRPr="00A0676D" w:rsidR="00581AAB">
        <w:rPr>
          <w:rFonts w:ascii="Calibri" w:hAnsi="Calibri" w:cs="Calibri"/>
          <w:color w:val="000000"/>
        </w:rPr>
        <w:t xml:space="preserve"> automated IVR</w:t>
      </w:r>
      <w:r w:rsidRPr="00A0676D">
        <w:rPr>
          <w:rFonts w:ascii="Calibri" w:hAnsi="Calibri" w:cs="Calibri"/>
          <w:color w:val="000000"/>
        </w:rPr>
        <w:t xml:space="preserve"> telephone</w:t>
      </w:r>
      <w:r w:rsidRPr="00A0676D" w:rsidR="009165CC">
        <w:rPr>
          <w:rFonts w:ascii="Calibri" w:hAnsi="Calibri" w:cs="Calibri"/>
          <w:color w:val="000000"/>
        </w:rPr>
        <w:t xml:space="preserve"> and </w:t>
      </w:r>
      <w:r w:rsidRPr="00A0676D">
        <w:rPr>
          <w:rFonts w:ascii="Calibri" w:hAnsi="Calibri" w:cs="Calibri"/>
          <w:color w:val="000000"/>
        </w:rPr>
        <w:t>online</w:t>
      </w:r>
      <w:r w:rsidRPr="00A0676D" w:rsidR="009165CC">
        <w:rPr>
          <w:rFonts w:ascii="Calibri" w:hAnsi="Calibri" w:cs="Calibri"/>
          <w:color w:val="000000"/>
        </w:rPr>
        <w:t xml:space="preserve"> surveys</w:t>
      </w:r>
      <w:r w:rsidRPr="00A0676D" w:rsidR="00581AAB">
        <w:rPr>
          <w:rFonts w:ascii="Calibri" w:hAnsi="Calibri" w:cs="Calibri"/>
          <w:color w:val="000000"/>
        </w:rPr>
        <w:t>,</w:t>
      </w:r>
      <w:r w:rsidRPr="00A0676D">
        <w:rPr>
          <w:rFonts w:ascii="Calibri" w:hAnsi="Calibri" w:cs="Calibri"/>
          <w:color w:val="000000"/>
        </w:rPr>
        <w:t xml:space="preserve"> in August and September of each year</w:t>
      </w:r>
      <w:r w:rsidRPr="00A0676D" w:rsidR="00994D3D">
        <w:rPr>
          <w:rFonts w:ascii="Calibri" w:hAnsi="Calibri" w:cs="Calibri"/>
          <w:color w:val="000000"/>
        </w:rPr>
        <w:t>.</w:t>
      </w:r>
      <w:r w:rsidRPr="00A0676D">
        <w:rPr>
          <w:rFonts w:ascii="Calibri" w:hAnsi="Calibri" w:cs="Calibri"/>
          <w:color w:val="000000"/>
        </w:rPr>
        <w:t xml:space="preserve"> Data from the surveys will contain no sensitive personally identifiable information and will be assembled into a database in which responses are anonymous and tabulated into aggregate level results that summarize taxpayer compliance attitudes and IRS service preferences, and their relationships to key characteristics such as employment status and age. </w:t>
      </w:r>
      <w:r w:rsidRPr="00A0676D" w:rsidR="001C17F7">
        <w:rPr>
          <w:rFonts w:ascii="Calibri" w:hAnsi="Calibri" w:cs="Calibri"/>
          <w:color w:val="000000"/>
        </w:rPr>
        <w:t xml:space="preserve">Micro data provided to IRS will be anonymized with numerical unique identifiers that will make it impossible for IRS to link responses to any individual. </w:t>
      </w:r>
      <w:r w:rsidRPr="00A0676D">
        <w:rPr>
          <w:rFonts w:ascii="Calibri" w:hAnsi="Calibri" w:cs="Calibri"/>
          <w:iCs/>
          <w:snapToGrid w:val="0"/>
          <w:color w:val="000000"/>
        </w:rPr>
        <w:t xml:space="preserve">The data will </w:t>
      </w:r>
      <w:r w:rsidRPr="00A0676D">
        <w:rPr>
          <w:rFonts w:ascii="Calibri" w:hAnsi="Calibri" w:cs="Calibri"/>
          <w:color w:val="000000"/>
        </w:rPr>
        <w:t>help RAAS to further develop general service improvement in tax administration.</w:t>
      </w:r>
    </w:p>
    <w:p w:rsidR="00614F41" w:rsidRPr="00A0676D" w:rsidP="00C062FB" w14:paraId="254BC2C0" w14:textId="77777777">
      <w:pPr>
        <w:ind w:left="1080"/>
        <w:rPr>
          <w:rFonts w:ascii="Calibri" w:hAnsi="Calibri" w:cs="Calibri"/>
          <w:color w:val="000000"/>
        </w:rPr>
      </w:pPr>
    </w:p>
    <w:p w:rsidR="00614F41" w:rsidRPr="00A0676D" w:rsidP="000110C7" w14:paraId="667B0AFA" w14:textId="77777777">
      <w:pPr>
        <w:ind w:left="1008"/>
        <w:rPr>
          <w:rFonts w:ascii="Calibri" w:hAnsi="Calibri" w:cs="Calibri"/>
          <w:snapToGrid w:val="0"/>
          <w:color w:val="000000"/>
        </w:rPr>
      </w:pPr>
      <w:r w:rsidRPr="00A0676D">
        <w:rPr>
          <w:rFonts w:ascii="Calibri" w:hAnsi="Calibri" w:cs="Calibri"/>
          <w:snapToGrid w:val="0"/>
          <w:color w:val="000000"/>
        </w:rPr>
        <w:t xml:space="preserve">Because the expected response rate is less than 50%, no critical decisions will be made solely from the analysis of the data from this survey. The results of this survey are simply one piece of a larger set of information needed to assess taxpayers’ attitudes and needs and help RAAS better direct the IRS.  The Executive Report of the survey will be published on the IRS Tax Stats website in the spring of each year.  A few highlights from the Executive </w:t>
      </w:r>
      <w:r w:rsidRPr="00A0676D" w:rsidR="000110C7">
        <w:rPr>
          <w:rFonts w:ascii="Calibri" w:hAnsi="Calibri" w:cs="Calibri"/>
          <w:snapToGrid w:val="0"/>
          <w:color w:val="000000"/>
        </w:rPr>
        <w:t xml:space="preserve"> </w:t>
      </w:r>
      <w:r w:rsidRPr="00A0676D">
        <w:rPr>
          <w:rFonts w:ascii="Calibri" w:hAnsi="Calibri" w:cs="Calibri"/>
          <w:snapToGrid w:val="0"/>
          <w:color w:val="000000"/>
        </w:rPr>
        <w:t xml:space="preserve">Report will be published in the IRS Data Book, which is </w:t>
      </w:r>
      <w:r w:rsidRPr="00A0676D" w:rsidR="00E26608">
        <w:rPr>
          <w:rFonts w:ascii="Calibri" w:hAnsi="Calibri" w:cs="Calibri"/>
          <w:snapToGrid w:val="0"/>
          <w:color w:val="000000"/>
        </w:rPr>
        <w:t xml:space="preserve">usually </w:t>
      </w:r>
      <w:r w:rsidRPr="00A0676D">
        <w:rPr>
          <w:rFonts w:ascii="Calibri" w:hAnsi="Calibri" w:cs="Calibri"/>
          <w:snapToGrid w:val="0"/>
          <w:color w:val="000000"/>
        </w:rPr>
        <w:t xml:space="preserve">published in March of each </w:t>
      </w:r>
      <w:r w:rsidRPr="00A0676D" w:rsidR="000110C7">
        <w:rPr>
          <w:rFonts w:ascii="Calibri" w:hAnsi="Calibri" w:cs="Calibri"/>
          <w:snapToGrid w:val="0"/>
          <w:color w:val="000000"/>
        </w:rPr>
        <w:t xml:space="preserve"> </w:t>
      </w:r>
      <w:r w:rsidRPr="00A0676D">
        <w:rPr>
          <w:rFonts w:ascii="Calibri" w:hAnsi="Calibri" w:cs="Calibri"/>
          <w:snapToGrid w:val="0"/>
          <w:color w:val="000000"/>
        </w:rPr>
        <w:t>year. The results will be high</w:t>
      </w:r>
      <w:r w:rsidRPr="00A0676D" w:rsidR="00501EE2">
        <w:rPr>
          <w:rFonts w:ascii="Calibri" w:hAnsi="Calibri" w:cs="Calibri"/>
          <w:snapToGrid w:val="0"/>
          <w:color w:val="000000"/>
        </w:rPr>
        <w:t>-</w:t>
      </w:r>
      <w:r w:rsidRPr="00A0676D">
        <w:rPr>
          <w:rFonts w:ascii="Calibri" w:hAnsi="Calibri" w:cs="Calibri"/>
          <w:snapToGrid w:val="0"/>
          <w:color w:val="000000"/>
        </w:rPr>
        <w:t>level totals with some demographic groupings.</w:t>
      </w:r>
    </w:p>
    <w:p w:rsidR="001A0CE1" w:rsidRPr="00A0676D" w:rsidP="00B04466" w14:paraId="196100C0" w14:textId="77777777">
      <w:pPr>
        <w:tabs>
          <w:tab w:val="left" w:pos="1080"/>
        </w:tabs>
        <w:ind w:left="1080"/>
        <w:rPr>
          <w:rFonts w:ascii="Calibri" w:hAnsi="Calibri" w:cs="Calibri"/>
          <w:color w:val="000000"/>
        </w:rPr>
      </w:pPr>
    </w:p>
    <w:p w:rsidR="00F16540" w:rsidRPr="00A0676D" w:rsidP="00B04466" w14:paraId="396676C1" w14:textId="77777777">
      <w:pPr>
        <w:tabs>
          <w:tab w:val="left" w:pos="1080"/>
        </w:tabs>
        <w:ind w:left="1080"/>
        <w:rPr>
          <w:rFonts w:ascii="Calibri" w:hAnsi="Calibri" w:cs="Calibri"/>
          <w:color w:val="000000"/>
        </w:rPr>
      </w:pPr>
    </w:p>
    <w:p w:rsidR="001A0CE1" w:rsidRPr="00A0676D" w:rsidP="004F0E2F" w14:paraId="2AE69C03" w14:textId="77777777">
      <w:pPr>
        <w:numPr>
          <w:ilvl w:val="0"/>
          <w:numId w:val="5"/>
        </w:numPr>
        <w:rPr>
          <w:rFonts w:ascii="Calibri" w:hAnsi="Calibri" w:cs="Calibri"/>
          <w:b/>
          <w:bCs/>
          <w:color w:val="000000"/>
        </w:rPr>
      </w:pPr>
      <w:r w:rsidRPr="00A0676D">
        <w:rPr>
          <w:rFonts w:ascii="Calibri" w:hAnsi="Calibri" w:cs="Calibri"/>
          <w:b/>
          <w:bCs/>
          <w:color w:val="000000"/>
        </w:rPr>
        <w:t xml:space="preserve"> Reasons why Displaying the OMB Expiration Date is Inappropriate</w:t>
      </w:r>
    </w:p>
    <w:p w:rsidR="001A0CE1" w:rsidRPr="00A0676D" w:rsidP="001A0CE1" w14:paraId="6BFBE705" w14:textId="77777777">
      <w:pPr>
        <w:tabs>
          <w:tab w:val="left" w:pos="1080"/>
        </w:tabs>
        <w:ind w:left="1080"/>
        <w:rPr>
          <w:rFonts w:ascii="Calibri" w:hAnsi="Calibri" w:cs="Calibri"/>
          <w:color w:val="000000"/>
        </w:rPr>
      </w:pPr>
    </w:p>
    <w:p w:rsidR="00B04466" w:rsidRPr="00A0676D" w:rsidP="00C062FB" w14:paraId="39DA930B" w14:textId="77777777">
      <w:pPr>
        <w:pStyle w:val="ListParagraph"/>
        <w:ind w:left="1080"/>
        <w:rPr>
          <w:rFonts w:ascii="Calibri" w:hAnsi="Calibri" w:cs="Calibri"/>
          <w:color w:val="000000"/>
        </w:rPr>
      </w:pPr>
      <w:r w:rsidRPr="00A0676D">
        <w:rPr>
          <w:rFonts w:ascii="Calibri" w:hAnsi="Calibri" w:cs="Calibri"/>
          <w:color w:val="000000"/>
        </w:rPr>
        <w:t xml:space="preserve">IRS is </w:t>
      </w:r>
      <w:r w:rsidRPr="00A0676D" w:rsidR="001921D0">
        <w:rPr>
          <w:rFonts w:ascii="Calibri" w:hAnsi="Calibri" w:cs="Calibri"/>
          <w:color w:val="000000"/>
        </w:rPr>
        <w:t xml:space="preserve">again </w:t>
      </w:r>
      <w:r w:rsidRPr="00A0676D">
        <w:rPr>
          <w:rFonts w:ascii="Calibri" w:hAnsi="Calibri" w:cs="Calibri"/>
          <w:color w:val="000000"/>
        </w:rPr>
        <w:t>seeking approval to not display the expiration date for OMB approval, as this is a limited-duration collection and disclosure over the telephone</w:t>
      </w:r>
      <w:r w:rsidRPr="00A0676D" w:rsidR="005B16A2">
        <w:rPr>
          <w:rFonts w:ascii="Calibri" w:hAnsi="Calibri" w:cs="Calibri"/>
          <w:color w:val="000000"/>
        </w:rPr>
        <w:t xml:space="preserve"> and </w:t>
      </w:r>
      <w:r w:rsidRPr="00A0676D" w:rsidR="00E26608">
        <w:rPr>
          <w:rFonts w:ascii="Calibri" w:hAnsi="Calibri" w:cs="Calibri"/>
          <w:color w:val="000000"/>
        </w:rPr>
        <w:t xml:space="preserve">online screens </w:t>
      </w:r>
      <w:r w:rsidRPr="00A0676D">
        <w:rPr>
          <w:rFonts w:ascii="Calibri" w:hAnsi="Calibri" w:cs="Calibri"/>
          <w:color w:val="000000"/>
        </w:rPr>
        <w:t>adds time and complexity to the script</w:t>
      </w:r>
      <w:r w:rsidRPr="00A0676D" w:rsidR="00E26608">
        <w:rPr>
          <w:rFonts w:ascii="Calibri" w:hAnsi="Calibri" w:cs="Calibri"/>
          <w:color w:val="000000"/>
        </w:rPr>
        <w:t xml:space="preserve"> and instructions</w:t>
      </w:r>
      <w:r w:rsidRPr="00A0676D">
        <w:rPr>
          <w:rFonts w:ascii="Calibri" w:hAnsi="Calibri" w:cs="Calibri"/>
          <w:color w:val="000000"/>
        </w:rPr>
        <w:t xml:space="preserve">. </w:t>
      </w:r>
      <w:r w:rsidRPr="00A0676D" w:rsidR="001A0CE1">
        <w:rPr>
          <w:rFonts w:ascii="Calibri" w:hAnsi="Calibri" w:cs="Calibri"/>
          <w:color w:val="000000"/>
        </w:rPr>
        <w:t xml:space="preserve">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w:t>
      </w:r>
    </w:p>
    <w:p w:rsidR="00CF4B40" w:rsidRPr="00A0676D" w:rsidP="001A0CE1" w14:paraId="1147D9F3" w14:textId="77777777">
      <w:pPr>
        <w:tabs>
          <w:tab w:val="left" w:pos="1080"/>
        </w:tabs>
        <w:ind w:left="1080"/>
        <w:rPr>
          <w:rFonts w:ascii="Calibri" w:hAnsi="Calibri" w:cs="Calibri"/>
          <w:color w:val="000000"/>
        </w:rPr>
      </w:pPr>
    </w:p>
    <w:p w:rsidR="00CF4B40" w:rsidRPr="00A0676D" w:rsidP="004F0E2F" w14:paraId="0C8107A9" w14:textId="77777777">
      <w:pPr>
        <w:numPr>
          <w:ilvl w:val="0"/>
          <w:numId w:val="5"/>
        </w:numPr>
        <w:rPr>
          <w:rFonts w:ascii="Calibri" w:hAnsi="Calibri" w:cs="Calibri"/>
          <w:b/>
          <w:bCs/>
          <w:color w:val="000000"/>
        </w:rPr>
      </w:pPr>
      <w:r w:rsidRPr="00A0676D">
        <w:rPr>
          <w:rFonts w:ascii="Calibri" w:hAnsi="Calibri" w:cs="Calibri"/>
          <w:b/>
          <w:bCs/>
          <w:color w:val="000000"/>
        </w:rPr>
        <w:t xml:space="preserve"> </w:t>
      </w:r>
      <w:r w:rsidRPr="00A0676D" w:rsidR="00D7365A">
        <w:rPr>
          <w:rFonts w:ascii="Calibri" w:hAnsi="Calibri" w:cs="Calibri"/>
          <w:b/>
          <w:bCs/>
          <w:color w:val="000000"/>
        </w:rPr>
        <w:t>Exceptions to the Certification Statement</w:t>
      </w:r>
      <w:r w:rsidRPr="00A0676D" w:rsidR="00986575">
        <w:rPr>
          <w:rFonts w:ascii="Calibri" w:hAnsi="Calibri" w:cs="Calibri"/>
          <w:b/>
          <w:bCs/>
          <w:color w:val="000000"/>
        </w:rPr>
        <w:t xml:space="preserve">. </w:t>
      </w:r>
    </w:p>
    <w:p w:rsidR="00D7365A" w:rsidRPr="00A0676D" w:rsidP="00D7365A" w14:paraId="4D0FA3B4" w14:textId="77777777">
      <w:pPr>
        <w:tabs>
          <w:tab w:val="left" w:pos="1080"/>
        </w:tabs>
        <w:ind w:left="1080"/>
        <w:rPr>
          <w:rFonts w:ascii="Calibri" w:hAnsi="Calibri" w:cs="Calibri"/>
          <w:color w:val="000000"/>
        </w:rPr>
      </w:pPr>
    </w:p>
    <w:p w:rsidR="006B7768" w:rsidRPr="00A0676D" w:rsidP="006B7768" w14:paraId="6C080AE7" w14:textId="77777777">
      <w:pPr>
        <w:widowControl w:val="0"/>
        <w:autoSpaceDE w:val="0"/>
        <w:autoSpaceDN w:val="0"/>
        <w:adjustRightInd w:val="0"/>
        <w:ind w:left="720"/>
        <w:rPr>
          <w:rFonts w:ascii="Calibri" w:hAnsi="Calibri" w:cs="Calibri"/>
        </w:rPr>
      </w:pPr>
      <w:bookmarkStart w:id="7" w:name="_Hlk95714878"/>
      <w:r w:rsidRPr="00A0676D">
        <w:rPr>
          <w:rFonts w:ascii="Calibri" w:hAnsi="Calibri" w:cs="Calibri"/>
        </w:rPr>
        <w:t xml:space="preserve">      There are no exceptions to the certification statement.</w:t>
      </w:r>
    </w:p>
    <w:p w:rsidR="006B7768" w:rsidRPr="00A0676D" w:rsidP="006B7768" w14:paraId="0B9729F2" w14:textId="77777777">
      <w:pPr>
        <w:widowControl w:val="0"/>
        <w:autoSpaceDE w:val="0"/>
        <w:autoSpaceDN w:val="0"/>
        <w:adjustRightInd w:val="0"/>
        <w:ind w:left="720"/>
        <w:rPr>
          <w:rFonts w:ascii="Calibri" w:hAnsi="Calibri" w:cs="Calibri"/>
        </w:rPr>
      </w:pPr>
    </w:p>
    <w:p w:rsidR="006B7768" w:rsidRPr="00A0676D" w:rsidP="00550015" w14:paraId="4130DD4A" w14:textId="03BFB42D">
      <w:pPr>
        <w:widowControl w:val="0"/>
        <w:autoSpaceDE w:val="0"/>
        <w:autoSpaceDN w:val="0"/>
        <w:adjustRightInd w:val="0"/>
        <w:ind w:left="1080"/>
        <w:rPr>
          <w:rFonts w:ascii="Calibri" w:hAnsi="Calibri" w:cs="Calibri"/>
        </w:rPr>
      </w:pPr>
      <w:r w:rsidRPr="00550015">
        <w:rPr>
          <w:rFonts w:ascii="Calibri" w:hAnsi="Calibri" w:cs="Calibri"/>
        </w:rPr>
        <w:t>Note</w:t>
      </w:r>
      <w:r w:rsidRPr="00A0676D">
        <w:rPr>
          <w:rFonts w:ascii="Calibri" w:hAnsi="Calibri" w:cs="Calibri"/>
        </w:rPr>
        <w:t xml:space="preserve">: The following paragraph applies to </w:t>
      </w:r>
      <w:r w:rsidRPr="00A0676D">
        <w:rPr>
          <w:rFonts w:ascii="Calibri" w:hAnsi="Calibri" w:cs="Calibri"/>
        </w:rPr>
        <w:t>all of</w:t>
      </w:r>
      <w:r w:rsidRPr="00A0676D">
        <w:rPr>
          <w:rFonts w:ascii="Calibri" w:hAnsi="Calibri" w:cs="Calibri"/>
        </w:rPr>
        <w:t xml:space="preserve"> the collections of information in this submission:</w:t>
      </w:r>
    </w:p>
    <w:p w:rsidR="006B7768" w:rsidRPr="00A0676D" w:rsidP="00550015" w14:paraId="0AA63874" w14:textId="77777777">
      <w:pPr>
        <w:widowControl w:val="0"/>
        <w:autoSpaceDE w:val="0"/>
        <w:autoSpaceDN w:val="0"/>
        <w:adjustRightInd w:val="0"/>
        <w:ind w:left="1080"/>
        <w:rPr>
          <w:rFonts w:ascii="Calibri" w:hAnsi="Calibri" w:cs="Calibri"/>
        </w:rPr>
      </w:pPr>
    </w:p>
    <w:p w:rsidR="006B7768" w:rsidRPr="00A0676D" w:rsidP="00550015" w14:paraId="25D06214" w14:textId="4ECD3E8C">
      <w:pPr>
        <w:widowControl w:val="0"/>
        <w:autoSpaceDE w:val="0"/>
        <w:autoSpaceDN w:val="0"/>
        <w:adjustRightInd w:val="0"/>
        <w:ind w:left="1080"/>
        <w:rPr>
          <w:rFonts w:ascii="Calibri" w:hAnsi="Calibri" w:cs="Calibri"/>
        </w:rPr>
      </w:pPr>
      <w:r w:rsidRPr="00A0676D">
        <w:rPr>
          <w:rFonts w:ascii="Calibri" w:hAnsi="Calibri" w:cs="Calibri"/>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7"/>
    </w:p>
    <w:p w:rsidR="00EF4136" w:rsidRPr="00A0676D" w:rsidP="00E72C71" w14:paraId="464F6BFD" w14:textId="77777777">
      <w:pPr>
        <w:tabs>
          <w:tab w:val="left" w:pos="1080"/>
        </w:tabs>
        <w:rPr>
          <w:rFonts w:ascii="Calibri" w:hAnsi="Calibri" w:cs="Calibri"/>
          <w:color w:val="000000"/>
        </w:rPr>
      </w:pPr>
    </w:p>
    <w:p w:rsidR="00D7365A" w:rsidRPr="00A0676D" w:rsidP="00E72C71" w14:paraId="6FEE90C4" w14:textId="77777777">
      <w:pPr>
        <w:tabs>
          <w:tab w:val="left" w:pos="1080"/>
        </w:tabs>
        <w:rPr>
          <w:rFonts w:ascii="Calibri" w:hAnsi="Calibri" w:cs="Calibri"/>
          <w:color w:val="000000"/>
        </w:rPr>
      </w:pPr>
    </w:p>
    <w:p w:rsidR="00C43D7E" w:rsidRPr="00986575" w:rsidP="004306FF" w14:paraId="2E349076" w14:textId="77777777">
      <w:pPr>
        <w:tabs>
          <w:tab w:val="left" w:pos="1080"/>
        </w:tabs>
        <w:ind w:left="1080"/>
        <w:rPr>
          <w:color w:val="000000"/>
        </w:rPr>
      </w:pPr>
    </w:p>
    <w:sectPr w:rsidSect="009C5009">
      <w:headerReference w:type="default" r:id="rId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5EA5" w14:paraId="2A33FF52" w14:textId="77777777">
      <w:r>
        <w:separator/>
      </w:r>
    </w:p>
  </w:footnote>
  <w:footnote w:type="continuationSeparator" w:id="1">
    <w:p w:rsidR="00235EA5" w14:paraId="741C10D7" w14:textId="77777777">
      <w:r>
        <w:continuationSeparator/>
      </w:r>
    </w:p>
  </w:footnote>
  <w:footnote w:id="2">
    <w:p w:rsidR="00741ECE" w:rsidP="00741ECE" w14:paraId="1E96F95A" w14:textId="77777777">
      <w:pPr>
        <w:pStyle w:val="FootnoteText"/>
      </w:pPr>
      <w:r>
        <w:rPr>
          <w:rStyle w:val="FootnoteReference"/>
        </w:rPr>
        <w:footnoteRef/>
      </w:r>
      <w:r>
        <w:t xml:space="preserve"> See, for example, “</w:t>
      </w:r>
      <w:r w:rsidRPr="00E31FDD">
        <w:t>Why Americans Don’t Cheat on Their Taxes</w:t>
      </w:r>
      <w:r>
        <w:t xml:space="preserve">”, </w:t>
      </w:r>
      <w:r w:rsidRPr="00E31FDD">
        <w:rPr>
          <w:i/>
        </w:rPr>
        <w:t>The Atlantic</w:t>
      </w:r>
      <w:r>
        <w:t xml:space="preserve">, April 2019, </w:t>
      </w:r>
      <w:r w:rsidRPr="00E31FDD">
        <w:t xml:space="preserve"> </w:t>
      </w:r>
      <w:hyperlink r:id="rId1" w:history="1">
        <w:r w:rsidRPr="004A08DE">
          <w:rPr>
            <w:rStyle w:val="Hyperlink"/>
          </w:rPr>
          <w:t>https://www.theatlantic.com/magazine/archive/2019/04/why-americans-dont-cheat-on-their-taxes/583222/</w:t>
        </w:r>
      </w:hyperlink>
    </w:p>
  </w:footnote>
  <w:footnote w:id="3">
    <w:p w:rsidR="00987114" w:rsidP="00987114" w14:paraId="20E8B967" w14:textId="77777777">
      <w:pPr>
        <w:pStyle w:val="FootnoteText"/>
      </w:pPr>
      <w:r>
        <w:rPr>
          <w:rStyle w:val="FootnoteReference"/>
        </w:rPr>
        <w:footnoteRef/>
      </w:r>
      <w:r>
        <w:t xml:space="preserve"> </w:t>
      </w:r>
      <w:hyperlink r:id="rId2" w:history="1">
        <w:r>
          <w:rPr>
            <w:rStyle w:val="Hyperlink"/>
          </w:rPr>
          <w:t>https://www.bls.gov/oes/current/oes_nat.htm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FFD" w14:paraId="0F7902FF" w14:textId="77777777">
    <w:pPr>
      <w:pStyle w:val="Header"/>
    </w:pPr>
    <w:r>
      <w:t>OMB# 1545-</w:t>
    </w:r>
    <w:r w:rsidR="00896D86">
      <w:t>2288</w:t>
    </w:r>
    <w:r>
      <w:tab/>
    </w:r>
    <w:r>
      <w:tab/>
      <w:t xml:space="preserve">Page </w:t>
    </w:r>
    <w:r>
      <w:fldChar w:fldCharType="begin"/>
    </w:r>
    <w:r>
      <w:instrText xml:space="preserve"> PAGE </w:instrText>
    </w:r>
    <w:r>
      <w:fldChar w:fldCharType="separate"/>
    </w:r>
    <w:r w:rsidR="001775EF">
      <w:rPr>
        <w:noProof/>
      </w:rPr>
      <w:t>1</w:t>
    </w:r>
    <w:r>
      <w:fldChar w:fldCharType="end"/>
    </w:r>
    <w:r>
      <w:t xml:space="preserve"> of </w:t>
    </w:r>
    <w:r w:rsidR="001775EF">
      <w:fldChar w:fldCharType="begin"/>
    </w:r>
    <w:r>
      <w:instrText xml:space="preserve"> NUMPAGES </w:instrText>
    </w:r>
    <w:r w:rsidR="001775EF">
      <w:fldChar w:fldCharType="separate"/>
    </w:r>
    <w:r w:rsidR="001775EF">
      <w:rPr>
        <w:noProof/>
      </w:rPr>
      <w:t>7</w:t>
    </w:r>
    <w:r w:rsidR="001775E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F0C61"/>
    <w:multiLevelType w:val="hybridMultilevel"/>
    <w:tmpl w:val="1EFAE8B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19B0EC7"/>
    <w:multiLevelType w:val="hybridMultilevel"/>
    <w:tmpl w:val="AB0C5A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125F6F3C"/>
    <w:multiLevelType w:val="hybridMultilevel"/>
    <w:tmpl w:val="866EA7AE"/>
    <w:lvl w:ilvl="0">
      <w:start w:val="16"/>
      <w:numFmt w:val="decimal"/>
      <w:lvlText w:val="%1."/>
      <w:lvlJc w:val="left"/>
      <w:pPr>
        <w:tabs>
          <w:tab w:val="num" w:pos="990"/>
        </w:tabs>
        <w:ind w:left="99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143018A3"/>
    <w:multiLevelType w:val="hybridMultilevel"/>
    <w:tmpl w:val="6C0683C0"/>
    <w:lvl w:ilvl="0">
      <w:start w:val="1"/>
      <w:numFmt w:val="upperLetter"/>
      <w:lvlText w:val="%1."/>
      <w:lvlJc w:val="left"/>
      <w:pPr>
        <w:tabs>
          <w:tab w:val="num" w:pos="1080"/>
        </w:tabs>
        <w:ind w:left="1080" w:hanging="720"/>
      </w:pPr>
      <w:rPr>
        <w:rFonts w:ascii="Times New Roman" w:eastAsia="Times New Roman" w:hAnsi="Times New Roman" w:cs="Times New Roman"/>
      </w:rPr>
    </w:lvl>
    <w:lvl w:ilvl="1">
      <w:start w:val="1"/>
      <w:numFmt w:val="decimal"/>
      <w:lvlText w:val="%2."/>
      <w:lvlJc w:val="left"/>
      <w:pPr>
        <w:tabs>
          <w:tab w:val="num" w:pos="990"/>
        </w:tabs>
        <w:ind w:left="99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B4376B"/>
    <w:multiLevelType w:val="singleLevel"/>
    <w:tmpl w:val="8C620E38"/>
    <w:lvl w:ilvl="0">
      <w:start w:val="1"/>
      <w:numFmt w:val="lowerLetter"/>
      <w:lvlJc w:val="left"/>
      <w:pPr>
        <w:tabs>
          <w:tab w:val="num" w:pos="360"/>
        </w:tabs>
        <w:ind w:left="360" w:hanging="360"/>
      </w:pPr>
      <w:rPr>
        <w:rFonts w:ascii="WP MathA" w:hAnsi="WP MathA" w:hint="default"/>
      </w:rPr>
    </w:lvl>
  </w:abstractNum>
  <w:abstractNum w:abstractNumId="5">
    <w:nsid w:val="520146FB"/>
    <w:multiLevelType w:val="hybridMultilevel"/>
    <w:tmpl w:val="BF7C80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731330C"/>
    <w:multiLevelType w:val="hybridMultilevel"/>
    <w:tmpl w:val="1034E66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5E7B5824"/>
    <w:multiLevelType w:val="hybridMultilevel"/>
    <w:tmpl w:val="2FF4254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nsid w:val="68A001CC"/>
    <w:multiLevelType w:val="hybridMultilevel"/>
    <w:tmpl w:val="52480E6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970288015">
    <w:abstractNumId w:val="3"/>
  </w:num>
  <w:num w:numId="2" w16cid:durableId="178786713">
    <w:abstractNumId w:val="8"/>
  </w:num>
  <w:num w:numId="3" w16cid:durableId="1176578341">
    <w:abstractNumId w:val="1"/>
  </w:num>
  <w:num w:numId="4" w16cid:durableId="698162566">
    <w:abstractNumId w:val="4"/>
  </w:num>
  <w:num w:numId="5" w16cid:durableId="1163159090">
    <w:abstractNumId w:val="2"/>
  </w:num>
  <w:num w:numId="6" w16cid:durableId="1494449009">
    <w:abstractNumId w:val="7"/>
  </w:num>
  <w:num w:numId="7" w16cid:durableId="1673609098">
    <w:abstractNumId w:val="0"/>
  </w:num>
  <w:num w:numId="8" w16cid:durableId="1162313440">
    <w:abstractNumId w:val="6"/>
  </w:num>
  <w:num w:numId="9" w16cid:durableId="626818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F9"/>
    <w:rsid w:val="00000C95"/>
    <w:rsid w:val="00001176"/>
    <w:rsid w:val="00002C3C"/>
    <w:rsid w:val="00005648"/>
    <w:rsid w:val="0000579D"/>
    <w:rsid w:val="00007011"/>
    <w:rsid w:val="000110C7"/>
    <w:rsid w:val="00015C0F"/>
    <w:rsid w:val="00022CAF"/>
    <w:rsid w:val="00024D7F"/>
    <w:rsid w:val="00036573"/>
    <w:rsid w:val="000406D6"/>
    <w:rsid w:val="00043708"/>
    <w:rsid w:val="00044FCF"/>
    <w:rsid w:val="0005125F"/>
    <w:rsid w:val="0005346D"/>
    <w:rsid w:val="00054EC5"/>
    <w:rsid w:val="00055AFB"/>
    <w:rsid w:val="00063962"/>
    <w:rsid w:val="00064E15"/>
    <w:rsid w:val="00067368"/>
    <w:rsid w:val="0007113D"/>
    <w:rsid w:val="00071229"/>
    <w:rsid w:val="00076F4C"/>
    <w:rsid w:val="00084B64"/>
    <w:rsid w:val="00086E5A"/>
    <w:rsid w:val="000A3C92"/>
    <w:rsid w:val="000A43B1"/>
    <w:rsid w:val="000A75E3"/>
    <w:rsid w:val="000B3F8C"/>
    <w:rsid w:val="000B4E7A"/>
    <w:rsid w:val="000D1019"/>
    <w:rsid w:val="000D10D3"/>
    <w:rsid w:val="000D7A92"/>
    <w:rsid w:val="000E289E"/>
    <w:rsid w:val="000E394E"/>
    <w:rsid w:val="000E6913"/>
    <w:rsid w:val="000E778A"/>
    <w:rsid w:val="00112496"/>
    <w:rsid w:val="00120B0A"/>
    <w:rsid w:val="001239DA"/>
    <w:rsid w:val="00131F5F"/>
    <w:rsid w:val="001338C7"/>
    <w:rsid w:val="001355AA"/>
    <w:rsid w:val="00135855"/>
    <w:rsid w:val="00147ACB"/>
    <w:rsid w:val="00152D2D"/>
    <w:rsid w:val="00157231"/>
    <w:rsid w:val="00160252"/>
    <w:rsid w:val="00165039"/>
    <w:rsid w:val="00167715"/>
    <w:rsid w:val="001703D8"/>
    <w:rsid w:val="001740B5"/>
    <w:rsid w:val="001775EF"/>
    <w:rsid w:val="00177E74"/>
    <w:rsid w:val="001852A9"/>
    <w:rsid w:val="001921D0"/>
    <w:rsid w:val="00194F23"/>
    <w:rsid w:val="001A0CE1"/>
    <w:rsid w:val="001A26A6"/>
    <w:rsid w:val="001A2E8D"/>
    <w:rsid w:val="001A3E80"/>
    <w:rsid w:val="001A725E"/>
    <w:rsid w:val="001B6B7B"/>
    <w:rsid w:val="001C17F7"/>
    <w:rsid w:val="001C46CE"/>
    <w:rsid w:val="001C5F32"/>
    <w:rsid w:val="001C671E"/>
    <w:rsid w:val="001D01CE"/>
    <w:rsid w:val="001D219E"/>
    <w:rsid w:val="001D792A"/>
    <w:rsid w:val="001E4AC9"/>
    <w:rsid w:val="001E6897"/>
    <w:rsid w:val="001F77F9"/>
    <w:rsid w:val="002025B1"/>
    <w:rsid w:val="00221302"/>
    <w:rsid w:val="00221E2A"/>
    <w:rsid w:val="00221EC2"/>
    <w:rsid w:val="002305C6"/>
    <w:rsid w:val="00235EA5"/>
    <w:rsid w:val="0024054F"/>
    <w:rsid w:val="002471A7"/>
    <w:rsid w:val="00252DC3"/>
    <w:rsid w:val="002561C8"/>
    <w:rsid w:val="002635FB"/>
    <w:rsid w:val="00270D44"/>
    <w:rsid w:val="00275B51"/>
    <w:rsid w:val="00283B6E"/>
    <w:rsid w:val="002843E3"/>
    <w:rsid w:val="002944AE"/>
    <w:rsid w:val="00296539"/>
    <w:rsid w:val="00296F85"/>
    <w:rsid w:val="002A1057"/>
    <w:rsid w:val="002B1A7B"/>
    <w:rsid w:val="002C46DD"/>
    <w:rsid w:val="002C6205"/>
    <w:rsid w:val="002D0761"/>
    <w:rsid w:val="002E3216"/>
    <w:rsid w:val="002F3B00"/>
    <w:rsid w:val="002F6C5F"/>
    <w:rsid w:val="00310ECD"/>
    <w:rsid w:val="00312F28"/>
    <w:rsid w:val="00313279"/>
    <w:rsid w:val="003163AB"/>
    <w:rsid w:val="003246AA"/>
    <w:rsid w:val="003337B9"/>
    <w:rsid w:val="00342F05"/>
    <w:rsid w:val="003460E4"/>
    <w:rsid w:val="00346423"/>
    <w:rsid w:val="00350DC2"/>
    <w:rsid w:val="00354A8E"/>
    <w:rsid w:val="00356D0B"/>
    <w:rsid w:val="00362461"/>
    <w:rsid w:val="00371513"/>
    <w:rsid w:val="00372C66"/>
    <w:rsid w:val="003731A7"/>
    <w:rsid w:val="003766E0"/>
    <w:rsid w:val="00382182"/>
    <w:rsid w:val="00382A6A"/>
    <w:rsid w:val="00387216"/>
    <w:rsid w:val="003A245E"/>
    <w:rsid w:val="003A472E"/>
    <w:rsid w:val="003C2394"/>
    <w:rsid w:val="003C445C"/>
    <w:rsid w:val="003D12AD"/>
    <w:rsid w:val="003D1A99"/>
    <w:rsid w:val="003D5B6B"/>
    <w:rsid w:val="003E3E38"/>
    <w:rsid w:val="003F0DF9"/>
    <w:rsid w:val="003F109C"/>
    <w:rsid w:val="003F1FFD"/>
    <w:rsid w:val="003F3039"/>
    <w:rsid w:val="003F6139"/>
    <w:rsid w:val="003F69E6"/>
    <w:rsid w:val="004019F1"/>
    <w:rsid w:val="00413F79"/>
    <w:rsid w:val="00414C62"/>
    <w:rsid w:val="00422B25"/>
    <w:rsid w:val="00425319"/>
    <w:rsid w:val="004303D4"/>
    <w:rsid w:val="004306FF"/>
    <w:rsid w:val="00430B6F"/>
    <w:rsid w:val="004404F8"/>
    <w:rsid w:val="004442B4"/>
    <w:rsid w:val="00447CF1"/>
    <w:rsid w:val="00463EC9"/>
    <w:rsid w:val="004674E2"/>
    <w:rsid w:val="00467FCA"/>
    <w:rsid w:val="004736F3"/>
    <w:rsid w:val="00482695"/>
    <w:rsid w:val="004844EA"/>
    <w:rsid w:val="00484C92"/>
    <w:rsid w:val="00491A25"/>
    <w:rsid w:val="00493F9A"/>
    <w:rsid w:val="004940B7"/>
    <w:rsid w:val="004A08DE"/>
    <w:rsid w:val="004A2AFA"/>
    <w:rsid w:val="004A6A68"/>
    <w:rsid w:val="004A7DA7"/>
    <w:rsid w:val="004B1B91"/>
    <w:rsid w:val="004C07C5"/>
    <w:rsid w:val="004C10F8"/>
    <w:rsid w:val="004D05E9"/>
    <w:rsid w:val="004E005D"/>
    <w:rsid w:val="004E1BC8"/>
    <w:rsid w:val="004F0E2F"/>
    <w:rsid w:val="00501EE2"/>
    <w:rsid w:val="00504555"/>
    <w:rsid w:val="00505548"/>
    <w:rsid w:val="00517393"/>
    <w:rsid w:val="00521806"/>
    <w:rsid w:val="0054229D"/>
    <w:rsid w:val="00550015"/>
    <w:rsid w:val="005521D6"/>
    <w:rsid w:val="00560EBF"/>
    <w:rsid w:val="00577429"/>
    <w:rsid w:val="00581AAB"/>
    <w:rsid w:val="0058495A"/>
    <w:rsid w:val="00586A1F"/>
    <w:rsid w:val="005A514A"/>
    <w:rsid w:val="005A7EDB"/>
    <w:rsid w:val="005B16A2"/>
    <w:rsid w:val="005C1A5F"/>
    <w:rsid w:val="005C1DCF"/>
    <w:rsid w:val="005C2619"/>
    <w:rsid w:val="005C417F"/>
    <w:rsid w:val="005C6C46"/>
    <w:rsid w:val="005D13BF"/>
    <w:rsid w:val="005E0668"/>
    <w:rsid w:val="005E1EB6"/>
    <w:rsid w:val="005E3386"/>
    <w:rsid w:val="005F5900"/>
    <w:rsid w:val="006062F9"/>
    <w:rsid w:val="00607D8B"/>
    <w:rsid w:val="00614F41"/>
    <w:rsid w:val="00615D18"/>
    <w:rsid w:val="00615D55"/>
    <w:rsid w:val="0062103F"/>
    <w:rsid w:val="006238A9"/>
    <w:rsid w:val="006238D5"/>
    <w:rsid w:val="00627B2D"/>
    <w:rsid w:val="00627CF6"/>
    <w:rsid w:val="006302D6"/>
    <w:rsid w:val="00633B80"/>
    <w:rsid w:val="00643921"/>
    <w:rsid w:val="00652F1A"/>
    <w:rsid w:val="00664877"/>
    <w:rsid w:val="00670B5D"/>
    <w:rsid w:val="006754E9"/>
    <w:rsid w:val="00680B3A"/>
    <w:rsid w:val="00685931"/>
    <w:rsid w:val="00690B66"/>
    <w:rsid w:val="00690C0E"/>
    <w:rsid w:val="00694292"/>
    <w:rsid w:val="006B0D1B"/>
    <w:rsid w:val="006B7768"/>
    <w:rsid w:val="006C2477"/>
    <w:rsid w:val="006C277C"/>
    <w:rsid w:val="006D15EB"/>
    <w:rsid w:val="006D1FBA"/>
    <w:rsid w:val="006D30A2"/>
    <w:rsid w:val="006D3BDB"/>
    <w:rsid w:val="006E158D"/>
    <w:rsid w:val="006E3D73"/>
    <w:rsid w:val="006E4560"/>
    <w:rsid w:val="006E7D57"/>
    <w:rsid w:val="006F286D"/>
    <w:rsid w:val="00707EF9"/>
    <w:rsid w:val="00714459"/>
    <w:rsid w:val="00721F37"/>
    <w:rsid w:val="007226DD"/>
    <w:rsid w:val="007266CA"/>
    <w:rsid w:val="00732FE3"/>
    <w:rsid w:val="0073361E"/>
    <w:rsid w:val="00740C7F"/>
    <w:rsid w:val="00741ECE"/>
    <w:rsid w:val="00746E40"/>
    <w:rsid w:val="007608A1"/>
    <w:rsid w:val="00762F5D"/>
    <w:rsid w:val="00763144"/>
    <w:rsid w:val="007639CD"/>
    <w:rsid w:val="00764B48"/>
    <w:rsid w:val="007667E1"/>
    <w:rsid w:val="00774522"/>
    <w:rsid w:val="00777B81"/>
    <w:rsid w:val="00790385"/>
    <w:rsid w:val="007A1EA4"/>
    <w:rsid w:val="007A1EF5"/>
    <w:rsid w:val="007A71D6"/>
    <w:rsid w:val="007B3B7A"/>
    <w:rsid w:val="007B413C"/>
    <w:rsid w:val="007B4257"/>
    <w:rsid w:val="007C45F6"/>
    <w:rsid w:val="007D79DD"/>
    <w:rsid w:val="0080227D"/>
    <w:rsid w:val="008101BF"/>
    <w:rsid w:val="00817013"/>
    <w:rsid w:val="00822D57"/>
    <w:rsid w:val="00833E53"/>
    <w:rsid w:val="0084004E"/>
    <w:rsid w:val="00844CDC"/>
    <w:rsid w:val="008475F4"/>
    <w:rsid w:val="008642B4"/>
    <w:rsid w:val="00864D43"/>
    <w:rsid w:val="00880775"/>
    <w:rsid w:val="0088346C"/>
    <w:rsid w:val="008854DB"/>
    <w:rsid w:val="008854FB"/>
    <w:rsid w:val="00891016"/>
    <w:rsid w:val="008958A2"/>
    <w:rsid w:val="00896D86"/>
    <w:rsid w:val="008A63B7"/>
    <w:rsid w:val="008B62ED"/>
    <w:rsid w:val="008C1D5B"/>
    <w:rsid w:val="008C1DCE"/>
    <w:rsid w:val="008C2332"/>
    <w:rsid w:val="008C6DEC"/>
    <w:rsid w:val="008E0AF5"/>
    <w:rsid w:val="008E7389"/>
    <w:rsid w:val="008F762C"/>
    <w:rsid w:val="00901682"/>
    <w:rsid w:val="0090704B"/>
    <w:rsid w:val="009165CC"/>
    <w:rsid w:val="00916FDC"/>
    <w:rsid w:val="00917E5F"/>
    <w:rsid w:val="00930CDB"/>
    <w:rsid w:val="009327F3"/>
    <w:rsid w:val="00946B19"/>
    <w:rsid w:val="009562A4"/>
    <w:rsid w:val="00962A63"/>
    <w:rsid w:val="00973873"/>
    <w:rsid w:val="00981B8A"/>
    <w:rsid w:val="00982254"/>
    <w:rsid w:val="0098564A"/>
    <w:rsid w:val="00986575"/>
    <w:rsid w:val="00987114"/>
    <w:rsid w:val="00987FB7"/>
    <w:rsid w:val="00994D3D"/>
    <w:rsid w:val="009A6606"/>
    <w:rsid w:val="009B30CB"/>
    <w:rsid w:val="009B577C"/>
    <w:rsid w:val="009B6D99"/>
    <w:rsid w:val="009B72D6"/>
    <w:rsid w:val="009B732E"/>
    <w:rsid w:val="009B7F12"/>
    <w:rsid w:val="009C5009"/>
    <w:rsid w:val="009C7BB0"/>
    <w:rsid w:val="009D2DE7"/>
    <w:rsid w:val="009D7B3D"/>
    <w:rsid w:val="009E3815"/>
    <w:rsid w:val="009F0ABF"/>
    <w:rsid w:val="009F0BF8"/>
    <w:rsid w:val="009F6BAE"/>
    <w:rsid w:val="00A02C18"/>
    <w:rsid w:val="00A0676D"/>
    <w:rsid w:val="00A11E0F"/>
    <w:rsid w:val="00A12265"/>
    <w:rsid w:val="00A1493D"/>
    <w:rsid w:val="00A15005"/>
    <w:rsid w:val="00A20415"/>
    <w:rsid w:val="00A235D4"/>
    <w:rsid w:val="00A26F16"/>
    <w:rsid w:val="00A30C5C"/>
    <w:rsid w:val="00A35213"/>
    <w:rsid w:val="00A42CBB"/>
    <w:rsid w:val="00A5280F"/>
    <w:rsid w:val="00A54AE2"/>
    <w:rsid w:val="00A55C46"/>
    <w:rsid w:val="00A56DF2"/>
    <w:rsid w:val="00A6560D"/>
    <w:rsid w:val="00A659D6"/>
    <w:rsid w:val="00A72599"/>
    <w:rsid w:val="00A72C6C"/>
    <w:rsid w:val="00A7724A"/>
    <w:rsid w:val="00A77BD7"/>
    <w:rsid w:val="00A80072"/>
    <w:rsid w:val="00A827A9"/>
    <w:rsid w:val="00A91A86"/>
    <w:rsid w:val="00AA08A8"/>
    <w:rsid w:val="00AA2816"/>
    <w:rsid w:val="00AA364B"/>
    <w:rsid w:val="00AB458F"/>
    <w:rsid w:val="00AC0BEE"/>
    <w:rsid w:val="00AC13F0"/>
    <w:rsid w:val="00AC6F7D"/>
    <w:rsid w:val="00AD12E2"/>
    <w:rsid w:val="00AD1B16"/>
    <w:rsid w:val="00AD6DAD"/>
    <w:rsid w:val="00AD7CF6"/>
    <w:rsid w:val="00AE08FA"/>
    <w:rsid w:val="00AE3B44"/>
    <w:rsid w:val="00AE6F0E"/>
    <w:rsid w:val="00AF04C5"/>
    <w:rsid w:val="00AF63B0"/>
    <w:rsid w:val="00B00661"/>
    <w:rsid w:val="00B02229"/>
    <w:rsid w:val="00B02C23"/>
    <w:rsid w:val="00B04466"/>
    <w:rsid w:val="00B07C9D"/>
    <w:rsid w:val="00B100E2"/>
    <w:rsid w:val="00B14720"/>
    <w:rsid w:val="00B300C2"/>
    <w:rsid w:val="00B30B82"/>
    <w:rsid w:val="00B32F6C"/>
    <w:rsid w:val="00B40CDF"/>
    <w:rsid w:val="00B45E4F"/>
    <w:rsid w:val="00B471D1"/>
    <w:rsid w:val="00B6331C"/>
    <w:rsid w:val="00B63B3A"/>
    <w:rsid w:val="00B64BE9"/>
    <w:rsid w:val="00B64FF5"/>
    <w:rsid w:val="00B74821"/>
    <w:rsid w:val="00B8266F"/>
    <w:rsid w:val="00B83379"/>
    <w:rsid w:val="00B83959"/>
    <w:rsid w:val="00BA268C"/>
    <w:rsid w:val="00BC1132"/>
    <w:rsid w:val="00BC26A8"/>
    <w:rsid w:val="00BC2999"/>
    <w:rsid w:val="00BC56FC"/>
    <w:rsid w:val="00BC7F57"/>
    <w:rsid w:val="00BD5629"/>
    <w:rsid w:val="00BD59C6"/>
    <w:rsid w:val="00BD6D1F"/>
    <w:rsid w:val="00BE2171"/>
    <w:rsid w:val="00BE3BA5"/>
    <w:rsid w:val="00BE4650"/>
    <w:rsid w:val="00C062FB"/>
    <w:rsid w:val="00C11556"/>
    <w:rsid w:val="00C13089"/>
    <w:rsid w:val="00C223B7"/>
    <w:rsid w:val="00C2509F"/>
    <w:rsid w:val="00C27B08"/>
    <w:rsid w:val="00C30A70"/>
    <w:rsid w:val="00C35911"/>
    <w:rsid w:val="00C366FB"/>
    <w:rsid w:val="00C43D7E"/>
    <w:rsid w:val="00C61471"/>
    <w:rsid w:val="00C63810"/>
    <w:rsid w:val="00C65D91"/>
    <w:rsid w:val="00C65F7A"/>
    <w:rsid w:val="00C70E5B"/>
    <w:rsid w:val="00C82661"/>
    <w:rsid w:val="00C84988"/>
    <w:rsid w:val="00C87F35"/>
    <w:rsid w:val="00CA4A93"/>
    <w:rsid w:val="00CB6CAC"/>
    <w:rsid w:val="00CC084F"/>
    <w:rsid w:val="00CC0D50"/>
    <w:rsid w:val="00CC34F5"/>
    <w:rsid w:val="00CC46F4"/>
    <w:rsid w:val="00CC4AD1"/>
    <w:rsid w:val="00CC69E3"/>
    <w:rsid w:val="00CD78F9"/>
    <w:rsid w:val="00CE0284"/>
    <w:rsid w:val="00CE42A3"/>
    <w:rsid w:val="00CE4D96"/>
    <w:rsid w:val="00CF427B"/>
    <w:rsid w:val="00CF4B40"/>
    <w:rsid w:val="00D042B9"/>
    <w:rsid w:val="00D047CD"/>
    <w:rsid w:val="00D06142"/>
    <w:rsid w:val="00D06A8F"/>
    <w:rsid w:val="00D126A0"/>
    <w:rsid w:val="00D14513"/>
    <w:rsid w:val="00D16E2D"/>
    <w:rsid w:val="00D24358"/>
    <w:rsid w:val="00D30661"/>
    <w:rsid w:val="00D31D23"/>
    <w:rsid w:val="00D34C62"/>
    <w:rsid w:val="00D4224D"/>
    <w:rsid w:val="00D45306"/>
    <w:rsid w:val="00D47244"/>
    <w:rsid w:val="00D53218"/>
    <w:rsid w:val="00D540AA"/>
    <w:rsid w:val="00D568F2"/>
    <w:rsid w:val="00D717CE"/>
    <w:rsid w:val="00D7365A"/>
    <w:rsid w:val="00D776BB"/>
    <w:rsid w:val="00D96ABF"/>
    <w:rsid w:val="00DA5A4D"/>
    <w:rsid w:val="00DA6912"/>
    <w:rsid w:val="00DB5344"/>
    <w:rsid w:val="00DC116F"/>
    <w:rsid w:val="00DD248F"/>
    <w:rsid w:val="00DD7AA9"/>
    <w:rsid w:val="00DE16D2"/>
    <w:rsid w:val="00DE7B50"/>
    <w:rsid w:val="00DF139D"/>
    <w:rsid w:val="00DF16DD"/>
    <w:rsid w:val="00DF6B5F"/>
    <w:rsid w:val="00E00A7B"/>
    <w:rsid w:val="00E15F39"/>
    <w:rsid w:val="00E17EBF"/>
    <w:rsid w:val="00E21E97"/>
    <w:rsid w:val="00E22DC8"/>
    <w:rsid w:val="00E234FA"/>
    <w:rsid w:val="00E26608"/>
    <w:rsid w:val="00E31B49"/>
    <w:rsid w:val="00E31FDD"/>
    <w:rsid w:val="00E359D3"/>
    <w:rsid w:val="00E36A43"/>
    <w:rsid w:val="00E52B69"/>
    <w:rsid w:val="00E57BA0"/>
    <w:rsid w:val="00E619FB"/>
    <w:rsid w:val="00E66313"/>
    <w:rsid w:val="00E675D7"/>
    <w:rsid w:val="00E72C71"/>
    <w:rsid w:val="00E81C80"/>
    <w:rsid w:val="00E84FC6"/>
    <w:rsid w:val="00E87ED9"/>
    <w:rsid w:val="00E9196F"/>
    <w:rsid w:val="00E9411B"/>
    <w:rsid w:val="00E94A62"/>
    <w:rsid w:val="00E97DA2"/>
    <w:rsid w:val="00EA1343"/>
    <w:rsid w:val="00EB227C"/>
    <w:rsid w:val="00EB239A"/>
    <w:rsid w:val="00EB2F57"/>
    <w:rsid w:val="00EB5594"/>
    <w:rsid w:val="00EB627C"/>
    <w:rsid w:val="00EC6418"/>
    <w:rsid w:val="00ED7ED6"/>
    <w:rsid w:val="00EE6722"/>
    <w:rsid w:val="00EF0438"/>
    <w:rsid w:val="00EF1A4F"/>
    <w:rsid w:val="00EF213F"/>
    <w:rsid w:val="00EF4136"/>
    <w:rsid w:val="00EF575F"/>
    <w:rsid w:val="00EF751D"/>
    <w:rsid w:val="00F040F5"/>
    <w:rsid w:val="00F054EF"/>
    <w:rsid w:val="00F12B33"/>
    <w:rsid w:val="00F12FCD"/>
    <w:rsid w:val="00F14E20"/>
    <w:rsid w:val="00F14E8F"/>
    <w:rsid w:val="00F16540"/>
    <w:rsid w:val="00F170AC"/>
    <w:rsid w:val="00F17F6D"/>
    <w:rsid w:val="00F24893"/>
    <w:rsid w:val="00F24CC4"/>
    <w:rsid w:val="00F4672A"/>
    <w:rsid w:val="00F5778E"/>
    <w:rsid w:val="00F57D85"/>
    <w:rsid w:val="00F6314C"/>
    <w:rsid w:val="00F67229"/>
    <w:rsid w:val="00F7357B"/>
    <w:rsid w:val="00F74663"/>
    <w:rsid w:val="00F76A36"/>
    <w:rsid w:val="00FA0B5B"/>
    <w:rsid w:val="00FA0F7D"/>
    <w:rsid w:val="00FA11D0"/>
    <w:rsid w:val="00FB1F87"/>
    <w:rsid w:val="00FB3901"/>
    <w:rsid w:val="00FC0469"/>
    <w:rsid w:val="00FC0A5A"/>
    <w:rsid w:val="00FD2114"/>
    <w:rsid w:val="00FD4926"/>
    <w:rsid w:val="00FD7E38"/>
    <w:rsid w:val="00FE2EB5"/>
    <w:rsid w:val="00FE64D8"/>
    <w:rsid w:val="00FE71D2"/>
    <w:rsid w:val="00FF03EA"/>
    <w:rsid w:val="00FF57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836C34"/>
  <w15:chartTrackingRefBased/>
  <w15:docId w15:val="{3E5B5F76-CFBD-4049-8537-071B568F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BD59C6"/>
    <w:pPr>
      <w:keepNext/>
      <w:ind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link w:val="BodyTextChar"/>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link w:val="BodyTextIndent2Char"/>
    <w:rsid w:val="00B8266F"/>
    <w:pPr>
      <w:spacing w:after="120" w:line="480" w:lineRule="auto"/>
      <w:ind w:left="360"/>
    </w:pPr>
  </w:style>
  <w:style w:type="character" w:styleId="CommentReference">
    <w:name w:val="annotation reference"/>
    <w:rsid w:val="00B471D1"/>
    <w:rPr>
      <w:sz w:val="16"/>
      <w:szCs w:val="16"/>
    </w:rPr>
  </w:style>
  <w:style w:type="paragraph" w:styleId="CommentText">
    <w:name w:val="annotation text"/>
    <w:basedOn w:val="Normal"/>
    <w:link w:val="CommentTextChar"/>
    <w:rsid w:val="00B471D1"/>
    <w:rPr>
      <w:sz w:val="20"/>
      <w:szCs w:val="20"/>
    </w:rPr>
  </w:style>
  <w:style w:type="character" w:customStyle="1" w:styleId="CommentTextChar">
    <w:name w:val="Comment Text Char"/>
    <w:basedOn w:val="DefaultParagraphFont"/>
    <w:link w:val="CommentText"/>
    <w:rsid w:val="00B471D1"/>
  </w:style>
  <w:style w:type="paragraph" w:styleId="CommentSubject">
    <w:name w:val="annotation subject"/>
    <w:basedOn w:val="CommentText"/>
    <w:next w:val="CommentText"/>
    <w:link w:val="CommentSubjectChar"/>
    <w:rsid w:val="00B471D1"/>
    <w:rPr>
      <w:b/>
      <w:bCs/>
    </w:rPr>
  </w:style>
  <w:style w:type="character" w:customStyle="1" w:styleId="CommentSubjectChar">
    <w:name w:val="Comment Subject Char"/>
    <w:link w:val="CommentSubject"/>
    <w:rsid w:val="00B471D1"/>
    <w:rPr>
      <w:b/>
      <w:bCs/>
    </w:rPr>
  </w:style>
  <w:style w:type="table" w:styleId="TableGrid">
    <w:name w:val="Table Grid"/>
    <w:basedOn w:val="TableNormal"/>
    <w:uiPriority w:val="99"/>
    <w:rsid w:val="0037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87114"/>
    <w:rPr>
      <w:rFonts w:cs="Times New Roman"/>
      <w:color w:val="0000FF"/>
      <w:u w:val="single"/>
    </w:rPr>
  </w:style>
  <w:style w:type="paragraph" w:styleId="FootnoteText">
    <w:name w:val="footnote text"/>
    <w:basedOn w:val="Normal"/>
    <w:link w:val="FootnoteTextChar"/>
    <w:uiPriority w:val="99"/>
    <w:unhideWhenUsed/>
    <w:rsid w:val="00987114"/>
    <w:rPr>
      <w:sz w:val="20"/>
      <w:szCs w:val="20"/>
    </w:rPr>
  </w:style>
  <w:style w:type="character" w:customStyle="1" w:styleId="FootnoteTextChar">
    <w:name w:val="Footnote Text Char"/>
    <w:basedOn w:val="DefaultParagraphFont"/>
    <w:link w:val="FootnoteText"/>
    <w:uiPriority w:val="99"/>
    <w:rsid w:val="00987114"/>
  </w:style>
  <w:style w:type="character" w:styleId="FootnoteReference">
    <w:name w:val="footnote reference"/>
    <w:uiPriority w:val="99"/>
    <w:unhideWhenUsed/>
    <w:rsid w:val="00987114"/>
    <w:rPr>
      <w:vertAlign w:val="superscript"/>
    </w:rPr>
  </w:style>
  <w:style w:type="paragraph" w:styleId="NormalWeb">
    <w:name w:val="Normal (Web)"/>
    <w:basedOn w:val="Normal"/>
    <w:uiPriority w:val="99"/>
    <w:unhideWhenUsed/>
    <w:rsid w:val="00313279"/>
    <w:pPr>
      <w:spacing w:before="100" w:beforeAutospacing="1" w:after="100" w:afterAutospacing="1"/>
    </w:pPr>
  </w:style>
  <w:style w:type="paragraph" w:styleId="BodyTextFirstIndent">
    <w:name w:val="Body Text First Indent"/>
    <w:basedOn w:val="BodyText"/>
    <w:link w:val="BodyTextFirstIndentChar"/>
    <w:rsid w:val="00F14E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jc w:val="left"/>
    </w:pPr>
    <w:rPr>
      <w:rFonts w:ascii="Times New Roman" w:hAnsi="Times New Roman"/>
      <w:b w:val="0"/>
      <w:snapToGrid/>
      <w:szCs w:val="24"/>
    </w:rPr>
  </w:style>
  <w:style w:type="character" w:customStyle="1" w:styleId="BodyTextChar">
    <w:name w:val="Body Text Char"/>
    <w:link w:val="BodyText"/>
    <w:rsid w:val="00F14E20"/>
    <w:rPr>
      <w:rFonts w:ascii="CG Times" w:hAnsi="CG Times"/>
      <w:b/>
      <w:snapToGrid w:val="0"/>
      <w:sz w:val="24"/>
    </w:rPr>
  </w:style>
  <w:style w:type="character" w:customStyle="1" w:styleId="BodyTextFirstIndentChar">
    <w:name w:val="Body Text First Indent Char"/>
    <w:link w:val="BodyTextFirstIndent"/>
    <w:rsid w:val="00F14E20"/>
    <w:rPr>
      <w:rFonts w:ascii="CG Times" w:hAnsi="CG Times"/>
      <w:b w:val="0"/>
      <w:snapToGrid/>
      <w:sz w:val="24"/>
      <w:szCs w:val="24"/>
    </w:rPr>
  </w:style>
  <w:style w:type="character" w:customStyle="1" w:styleId="Heading1Char">
    <w:name w:val="Heading 1 Char"/>
    <w:link w:val="Heading1"/>
    <w:uiPriority w:val="99"/>
    <w:rsid w:val="00BD59C6"/>
    <w:rPr>
      <w:b/>
      <w:bCs/>
      <w:sz w:val="24"/>
      <w:szCs w:val="24"/>
    </w:rPr>
  </w:style>
  <w:style w:type="paragraph" w:styleId="ListParagraph">
    <w:name w:val="List Paragraph"/>
    <w:basedOn w:val="Normal"/>
    <w:uiPriority w:val="34"/>
    <w:qFormat/>
    <w:rsid w:val="00064E15"/>
    <w:pPr>
      <w:ind w:left="720"/>
      <w:contextualSpacing/>
    </w:pPr>
  </w:style>
  <w:style w:type="paragraph" w:customStyle="1" w:styleId="listparagraph0">
    <w:name w:val="listparagraph"/>
    <w:basedOn w:val="Normal"/>
    <w:uiPriority w:val="99"/>
    <w:rsid w:val="003A472E"/>
    <w:pPr>
      <w:spacing w:after="200" w:line="276" w:lineRule="auto"/>
      <w:ind w:left="720"/>
    </w:pPr>
    <w:rPr>
      <w:rFonts w:ascii="Calibri" w:hAnsi="Calibri"/>
      <w:sz w:val="22"/>
      <w:szCs w:val="22"/>
    </w:rPr>
  </w:style>
  <w:style w:type="paragraph" w:styleId="Revision">
    <w:name w:val="Revision"/>
    <w:hidden/>
    <w:uiPriority w:val="99"/>
    <w:semiHidden/>
    <w:rsid w:val="00E234FA"/>
    <w:rPr>
      <w:sz w:val="24"/>
      <w:szCs w:val="24"/>
    </w:rPr>
  </w:style>
  <w:style w:type="character" w:styleId="FollowedHyperlink">
    <w:name w:val="FollowedHyperlink"/>
    <w:rsid w:val="006D1FBA"/>
    <w:rPr>
      <w:color w:val="954F72"/>
      <w:u w:val="single"/>
    </w:rPr>
  </w:style>
  <w:style w:type="character" w:customStyle="1" w:styleId="BodyTextIndent2Char">
    <w:name w:val="Body Text Indent 2 Char"/>
    <w:link w:val="BodyTextIndent2"/>
    <w:rsid w:val="00382A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theatlantic.com/magazine/archive/2019/04/why-americans-dont-cheat-on-their-taxes/583222/"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3341</Words>
  <Characters>18711</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Covington Sara L</cp:lastModifiedBy>
  <cp:revision>2</cp:revision>
  <cp:lastPrinted>2023-04-04T17:15:00Z</cp:lastPrinted>
  <dcterms:created xsi:type="dcterms:W3CDTF">2023-08-28T15:28:00Z</dcterms:created>
  <dcterms:modified xsi:type="dcterms:W3CDTF">2023-08-28T15:28:00Z</dcterms:modified>
</cp:coreProperties>
</file>