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25D" w:rsidRPr="00D064B6" w14:paraId="39C7AFEB" w14:textId="77777777">
      <w:pPr>
        <w:pStyle w:val="TxBrc2"/>
        <w:spacing w:line="240" w:lineRule="auto"/>
        <w:rPr>
          <w:rFonts w:ascii="Arial" w:hAnsi="Arial"/>
          <w:b/>
          <w:szCs w:val="24"/>
        </w:rPr>
      </w:pPr>
      <w:r w:rsidRPr="00D064B6">
        <w:rPr>
          <w:rFonts w:ascii="Arial" w:hAnsi="Arial"/>
          <w:b/>
          <w:szCs w:val="24"/>
        </w:rPr>
        <w:t>Supporting Statement</w:t>
      </w:r>
    </w:p>
    <w:p w:rsidR="0023625D" w:rsidRPr="00D064B6" w14:paraId="3CB4ADA7" w14:textId="77777777">
      <w:pPr>
        <w:pStyle w:val="TxBrc2"/>
        <w:spacing w:line="240" w:lineRule="auto"/>
        <w:rPr>
          <w:rFonts w:ascii="Arial" w:hAnsi="Arial"/>
          <w:b/>
          <w:szCs w:val="24"/>
        </w:rPr>
      </w:pPr>
      <w:r w:rsidRPr="00D064B6">
        <w:rPr>
          <w:rFonts w:ascii="Arial" w:hAnsi="Arial"/>
          <w:b/>
          <w:szCs w:val="24"/>
        </w:rPr>
        <w:t>for</w:t>
      </w:r>
    </w:p>
    <w:p w:rsidR="008B30F0" w:rsidRPr="00D064B6" w14:paraId="7A76ACFE" w14:textId="77777777">
      <w:pPr>
        <w:pStyle w:val="TxBrc2"/>
        <w:spacing w:line="240" w:lineRule="auto"/>
        <w:rPr>
          <w:rFonts w:ascii="Arial" w:hAnsi="Arial"/>
          <w:b/>
          <w:szCs w:val="24"/>
        </w:rPr>
      </w:pPr>
      <w:r w:rsidRPr="00D064B6">
        <w:rPr>
          <w:rFonts w:ascii="Arial" w:hAnsi="Arial"/>
          <w:b/>
          <w:szCs w:val="24"/>
        </w:rPr>
        <w:t xml:space="preserve">Report of </w:t>
      </w:r>
      <w:r w:rsidRPr="00D064B6" w:rsidR="0023625D">
        <w:rPr>
          <w:rFonts w:ascii="Arial" w:hAnsi="Arial"/>
          <w:b/>
          <w:szCs w:val="24"/>
        </w:rPr>
        <w:t>Marine Casualt</w:t>
      </w:r>
      <w:r w:rsidR="00AF29A1">
        <w:rPr>
          <w:rFonts w:ascii="Arial" w:hAnsi="Arial"/>
          <w:b/>
          <w:szCs w:val="24"/>
        </w:rPr>
        <w:t>y</w:t>
      </w:r>
      <w:r w:rsidRPr="00D064B6" w:rsidR="0023625D">
        <w:rPr>
          <w:rFonts w:ascii="Arial" w:hAnsi="Arial"/>
          <w:b/>
          <w:szCs w:val="24"/>
        </w:rPr>
        <w:t xml:space="preserve"> &amp;</w:t>
      </w:r>
      <w:r w:rsidRPr="00D064B6" w:rsidR="00D064B6">
        <w:rPr>
          <w:rFonts w:ascii="Arial" w:hAnsi="Arial"/>
          <w:b/>
          <w:szCs w:val="24"/>
        </w:rPr>
        <w:t xml:space="preserve"> </w:t>
      </w:r>
      <w:r w:rsidRPr="00D064B6" w:rsidR="0023625D">
        <w:rPr>
          <w:rFonts w:ascii="Arial" w:hAnsi="Arial"/>
          <w:b/>
          <w:szCs w:val="24"/>
        </w:rPr>
        <w:t>Chemical Testing</w:t>
      </w:r>
    </w:p>
    <w:p w:rsidR="0023625D" w:rsidRPr="00D064B6" w14:paraId="35D7777F" w14:textId="77777777">
      <w:pPr>
        <w:pStyle w:val="TxBrc2"/>
        <w:spacing w:line="240" w:lineRule="auto"/>
        <w:rPr>
          <w:rFonts w:ascii="Arial" w:hAnsi="Arial"/>
          <w:b/>
          <w:szCs w:val="24"/>
        </w:rPr>
      </w:pPr>
      <w:r w:rsidRPr="00D064B6">
        <w:rPr>
          <w:rFonts w:ascii="Arial" w:hAnsi="Arial"/>
          <w:b/>
          <w:szCs w:val="24"/>
        </w:rPr>
        <w:t>of Commercial Vessel Personnel</w:t>
      </w:r>
    </w:p>
    <w:p w:rsidR="00F13551" w14:paraId="1C7EFB1A" w14:textId="0D4C2815">
      <w:pPr>
        <w:pStyle w:val="TxBrc2"/>
        <w:spacing w:line="240" w:lineRule="auto"/>
        <w:rPr>
          <w:rFonts w:ascii="Arial" w:hAnsi="Arial"/>
          <w:sz w:val="16"/>
          <w:szCs w:val="16"/>
        </w:rPr>
      </w:pPr>
    </w:p>
    <w:p w:rsidR="004D131D" w:rsidRPr="007D6270" w14:paraId="3DAA6214" w14:textId="72859E74">
      <w:pPr>
        <w:pStyle w:val="TxBrc2"/>
        <w:spacing w:line="240" w:lineRule="auto"/>
        <w:rPr>
          <w:rFonts w:ascii="Arial" w:hAnsi="Arial"/>
          <w:sz w:val="20"/>
        </w:rPr>
      </w:pPr>
      <w:r>
        <w:rPr>
          <w:rFonts w:ascii="Arial" w:hAnsi="Arial"/>
          <w:sz w:val="20"/>
        </w:rPr>
        <w:t>[</w:t>
      </w:r>
      <w:r w:rsidR="005E182F">
        <w:rPr>
          <w:rFonts w:ascii="Arial" w:hAnsi="Arial"/>
          <w:sz w:val="20"/>
        </w:rPr>
        <w:t xml:space="preserve">w/ proposed changes </w:t>
      </w:r>
      <w:r w:rsidR="00781083">
        <w:rPr>
          <w:rFonts w:ascii="Arial" w:hAnsi="Arial"/>
          <w:sz w:val="20"/>
        </w:rPr>
        <w:t>by</w:t>
      </w:r>
      <w:r w:rsidR="005E182F">
        <w:rPr>
          <w:rFonts w:ascii="Arial" w:hAnsi="Arial"/>
          <w:sz w:val="20"/>
        </w:rPr>
        <w:t xml:space="preserve"> USCG-</w:t>
      </w:r>
      <w:r w:rsidR="00FF4C66">
        <w:rPr>
          <w:rFonts w:ascii="Arial" w:hAnsi="Arial"/>
          <w:sz w:val="20"/>
        </w:rPr>
        <w:t>2013-1057; RIN 1625-AB99]</w:t>
      </w:r>
    </w:p>
    <w:p w:rsidR="004D131D" w:rsidRPr="004D162F" w14:paraId="2D2D419F" w14:textId="77777777">
      <w:pPr>
        <w:pStyle w:val="TxBrc2"/>
        <w:spacing w:line="240" w:lineRule="auto"/>
        <w:rPr>
          <w:rFonts w:ascii="Arial" w:hAnsi="Arial"/>
          <w:sz w:val="16"/>
          <w:szCs w:val="16"/>
        </w:rPr>
      </w:pPr>
    </w:p>
    <w:p w:rsidR="008B30F0" w:rsidRPr="00B63712" w:rsidP="008B30F0" w14:paraId="4E73D52F" w14:textId="77777777">
      <w:pPr>
        <w:pStyle w:val="TxBrc2"/>
        <w:rPr>
          <w:rFonts w:ascii="Arial" w:hAnsi="Arial"/>
          <w:sz w:val="20"/>
        </w:rPr>
      </w:pPr>
      <w:r w:rsidRPr="00B63712">
        <w:rPr>
          <w:rFonts w:ascii="Arial" w:hAnsi="Arial"/>
          <w:sz w:val="20"/>
        </w:rPr>
        <w:t xml:space="preserve">OMB No.: </w:t>
      </w:r>
      <w:r w:rsidRPr="00B63712" w:rsidR="00B63712">
        <w:rPr>
          <w:rFonts w:ascii="Arial" w:hAnsi="Arial"/>
          <w:sz w:val="20"/>
        </w:rPr>
        <w:t xml:space="preserve"> </w:t>
      </w:r>
      <w:r w:rsidRPr="00B63712">
        <w:rPr>
          <w:rFonts w:ascii="Arial" w:hAnsi="Arial"/>
          <w:sz w:val="20"/>
        </w:rPr>
        <w:t>1625-0001</w:t>
      </w:r>
    </w:p>
    <w:p w:rsidR="008B30F0" w:rsidRPr="00B63712" w:rsidP="008B30F0" w14:paraId="4CC64384" w14:textId="77777777">
      <w:pPr>
        <w:pStyle w:val="TxBrc2"/>
        <w:spacing w:line="240" w:lineRule="auto"/>
        <w:rPr>
          <w:rFonts w:ascii="Arial" w:hAnsi="Arial"/>
          <w:sz w:val="20"/>
        </w:rPr>
      </w:pPr>
      <w:r w:rsidRPr="00B63712">
        <w:rPr>
          <w:rFonts w:ascii="Arial" w:hAnsi="Arial"/>
          <w:sz w:val="20"/>
        </w:rPr>
        <w:t>COLLECTION INSTRUMENTS:  CG-2692, CG-2692A</w:t>
      </w:r>
      <w:r w:rsidRPr="00B63712" w:rsidR="00D064B6">
        <w:rPr>
          <w:rFonts w:ascii="Arial" w:hAnsi="Arial"/>
          <w:sz w:val="20"/>
        </w:rPr>
        <w:t>,</w:t>
      </w:r>
      <w:r w:rsidRPr="00B63712">
        <w:rPr>
          <w:rFonts w:ascii="Arial" w:hAnsi="Arial"/>
          <w:sz w:val="20"/>
        </w:rPr>
        <w:t xml:space="preserve"> CG-2692B</w:t>
      </w:r>
      <w:r w:rsidRPr="00B63712" w:rsidR="00D064B6">
        <w:rPr>
          <w:rFonts w:ascii="Arial" w:hAnsi="Arial"/>
          <w:sz w:val="20"/>
        </w:rPr>
        <w:t xml:space="preserve">, </w:t>
      </w:r>
      <w:r w:rsidRPr="00B63712" w:rsidR="00D064B6">
        <w:rPr>
          <w:rFonts w:ascii="Arial" w:hAnsi="Arial"/>
          <w:sz w:val="20"/>
        </w:rPr>
        <w:br/>
        <w:t>CG-2692C, CG-2692D &amp; Instruction</w:t>
      </w:r>
    </w:p>
    <w:p w:rsidR="0023625D" w:rsidRPr="004106B6" w14:paraId="6D18F7D1" w14:textId="77777777">
      <w:pPr>
        <w:pStyle w:val="TxBrp3"/>
        <w:spacing w:line="240" w:lineRule="auto"/>
        <w:rPr>
          <w:rFonts w:ascii="Arial" w:hAnsi="Arial"/>
          <w:b/>
          <w:sz w:val="20"/>
        </w:rPr>
      </w:pPr>
      <w:r w:rsidRPr="004106B6">
        <w:rPr>
          <w:rFonts w:ascii="Arial" w:hAnsi="Arial"/>
          <w:b/>
          <w:sz w:val="20"/>
        </w:rPr>
        <w:t xml:space="preserve">A.  </w:t>
      </w:r>
      <w:r w:rsidRPr="00D064B6">
        <w:rPr>
          <w:rFonts w:ascii="Arial" w:hAnsi="Arial"/>
          <w:b/>
          <w:sz w:val="20"/>
        </w:rPr>
        <w:t>Justification</w:t>
      </w:r>
    </w:p>
    <w:p w:rsidR="0023625D" w:rsidRPr="00D064B6" w14:paraId="71E7F719" w14:textId="77777777">
      <w:pPr>
        <w:tabs>
          <w:tab w:val="left" w:pos="204"/>
        </w:tabs>
        <w:rPr>
          <w:rFonts w:ascii="Arial" w:hAnsi="Arial"/>
          <w:sz w:val="20"/>
        </w:rPr>
      </w:pPr>
    </w:p>
    <w:p w:rsidR="0023625D" w:rsidRPr="00D064B6" w14:paraId="6AFF62C1" w14:textId="77777777">
      <w:pPr>
        <w:pStyle w:val="TxBrp4"/>
        <w:spacing w:line="240" w:lineRule="auto"/>
        <w:rPr>
          <w:rFonts w:ascii="Arial" w:hAnsi="Arial"/>
          <w:sz w:val="20"/>
        </w:rPr>
      </w:pPr>
      <w:r w:rsidRPr="00D064B6">
        <w:rPr>
          <w:rFonts w:ascii="Arial" w:hAnsi="Arial"/>
          <w:sz w:val="20"/>
        </w:rPr>
        <w:t xml:space="preserve">1)  </w:t>
      </w:r>
      <w:r w:rsidRPr="00D064B6">
        <w:rPr>
          <w:rFonts w:ascii="Arial" w:hAnsi="Arial"/>
          <w:sz w:val="20"/>
          <w:u w:val="single"/>
        </w:rPr>
        <w:t>Circumstances that make the collection necessary</w:t>
      </w:r>
      <w:r w:rsidRPr="00D064B6">
        <w:rPr>
          <w:rFonts w:ascii="Arial" w:hAnsi="Arial"/>
          <w:sz w:val="20"/>
        </w:rPr>
        <w:t>.</w:t>
      </w:r>
      <w:r w:rsidRPr="00D064B6" w:rsidR="00D064B6">
        <w:rPr>
          <w:rFonts w:ascii="Arial" w:hAnsi="Arial"/>
          <w:sz w:val="20"/>
        </w:rPr>
        <w:t xml:space="preserve">  </w:t>
      </w:r>
    </w:p>
    <w:p w:rsidR="0023625D" w:rsidRPr="004106B6" w14:paraId="627C7CDF" w14:textId="77777777">
      <w:pPr>
        <w:tabs>
          <w:tab w:val="left" w:pos="583"/>
        </w:tabs>
        <w:rPr>
          <w:rFonts w:ascii="Arial" w:hAnsi="Arial"/>
          <w:sz w:val="20"/>
        </w:rPr>
      </w:pPr>
    </w:p>
    <w:p w:rsidR="0023625D" w:rsidRPr="004106B6" w14:paraId="5CCF7377" w14:textId="77777777">
      <w:pPr>
        <w:pStyle w:val="TxBrp6"/>
        <w:spacing w:line="240" w:lineRule="auto"/>
        <w:rPr>
          <w:rFonts w:ascii="Arial" w:hAnsi="Arial"/>
          <w:bCs/>
          <w:i/>
          <w:iCs/>
          <w:sz w:val="20"/>
        </w:rPr>
      </w:pPr>
      <w:r w:rsidRPr="004106B6">
        <w:rPr>
          <w:rFonts w:ascii="Arial" w:hAnsi="Arial"/>
          <w:bCs/>
          <w:i/>
          <w:iCs/>
          <w:sz w:val="20"/>
        </w:rPr>
        <w:t xml:space="preserve">I.  </w:t>
      </w:r>
      <w:r w:rsidRPr="004106B6" w:rsidR="00D46241">
        <w:rPr>
          <w:rFonts w:ascii="Arial" w:hAnsi="Arial"/>
          <w:bCs/>
          <w:i/>
          <w:iCs/>
          <w:sz w:val="20"/>
        </w:rPr>
        <w:t xml:space="preserve">Report of </w:t>
      </w:r>
      <w:r w:rsidRPr="004106B6">
        <w:rPr>
          <w:rFonts w:ascii="Arial" w:hAnsi="Arial"/>
          <w:bCs/>
          <w:i/>
          <w:iCs/>
          <w:sz w:val="20"/>
        </w:rPr>
        <w:t>Marine Casualt</w:t>
      </w:r>
      <w:r w:rsidR="009F6F87">
        <w:rPr>
          <w:rFonts w:ascii="Arial" w:hAnsi="Arial"/>
          <w:bCs/>
          <w:i/>
          <w:iCs/>
          <w:sz w:val="20"/>
        </w:rPr>
        <w:t>y</w:t>
      </w:r>
    </w:p>
    <w:p w:rsidR="0023625D" w14:paraId="1D8D911F" w14:textId="71076C3F">
      <w:pPr>
        <w:pStyle w:val="TxBrp5"/>
        <w:spacing w:line="240" w:lineRule="auto"/>
        <w:ind w:firstLine="0"/>
        <w:rPr>
          <w:rFonts w:ascii="Arial" w:hAnsi="Arial"/>
          <w:sz w:val="20"/>
        </w:rPr>
      </w:pPr>
      <w:r w:rsidRPr="00834AC0">
        <w:rPr>
          <w:rFonts w:ascii="Arial" w:hAnsi="Arial"/>
          <w:sz w:val="20"/>
        </w:rPr>
        <w:t>Title 46 U</w:t>
      </w:r>
      <w:r w:rsidR="00C61757">
        <w:rPr>
          <w:rFonts w:ascii="Arial" w:hAnsi="Arial"/>
          <w:sz w:val="20"/>
        </w:rPr>
        <w:t>.</w:t>
      </w:r>
      <w:r w:rsidRPr="00834AC0">
        <w:rPr>
          <w:rFonts w:ascii="Arial" w:hAnsi="Arial"/>
          <w:sz w:val="20"/>
        </w:rPr>
        <w:t>S</w:t>
      </w:r>
      <w:r w:rsidR="00C61757">
        <w:rPr>
          <w:rFonts w:ascii="Arial" w:hAnsi="Arial"/>
          <w:sz w:val="20"/>
        </w:rPr>
        <w:t>.</w:t>
      </w:r>
      <w:r w:rsidR="00521679">
        <w:rPr>
          <w:rFonts w:ascii="Arial" w:hAnsi="Arial"/>
          <w:sz w:val="20"/>
        </w:rPr>
        <w:t xml:space="preserve"> </w:t>
      </w:r>
      <w:r w:rsidRPr="00834AC0">
        <w:rPr>
          <w:rFonts w:ascii="Arial" w:hAnsi="Arial"/>
          <w:sz w:val="20"/>
        </w:rPr>
        <w:t>C</w:t>
      </w:r>
      <w:r w:rsidR="00521679">
        <w:rPr>
          <w:rFonts w:ascii="Arial" w:hAnsi="Arial"/>
          <w:sz w:val="20"/>
        </w:rPr>
        <w:t>ode (U.S.C.)</w:t>
      </w:r>
      <w:r w:rsidRPr="00834AC0">
        <w:rPr>
          <w:rFonts w:ascii="Arial" w:hAnsi="Arial"/>
          <w:sz w:val="20"/>
        </w:rPr>
        <w:t xml:space="preserve"> 6101 authorizes the Coast Guard to prescribe regulations for the reporting of marine casualties involving death, serious injury, material loss of property, material damage affecting the seaworthiness of a vessel, or significant harm to the environment.  It also requires that information on the use of alcohol be included in a marine casualty report.  These reporting requirements permit the Coast Guard to initiate the immediate investigation of marine casualties as required by 46 U</w:t>
      </w:r>
      <w:r w:rsidR="00C61757">
        <w:rPr>
          <w:rFonts w:ascii="Arial" w:hAnsi="Arial"/>
          <w:sz w:val="20"/>
        </w:rPr>
        <w:t>.</w:t>
      </w:r>
      <w:r w:rsidRPr="00834AC0">
        <w:rPr>
          <w:rFonts w:ascii="Arial" w:hAnsi="Arial"/>
          <w:sz w:val="20"/>
        </w:rPr>
        <w:t>S</w:t>
      </w:r>
      <w:r w:rsidR="00C61757">
        <w:rPr>
          <w:rFonts w:ascii="Arial" w:hAnsi="Arial"/>
          <w:sz w:val="20"/>
        </w:rPr>
        <w:t>.</w:t>
      </w:r>
      <w:r w:rsidRPr="00834AC0">
        <w:rPr>
          <w:rFonts w:ascii="Arial" w:hAnsi="Arial"/>
          <w:sz w:val="20"/>
        </w:rPr>
        <w:t>C</w:t>
      </w:r>
      <w:r w:rsidR="00C61757">
        <w:rPr>
          <w:rFonts w:ascii="Arial" w:hAnsi="Arial"/>
          <w:sz w:val="20"/>
        </w:rPr>
        <w:t>.</w:t>
      </w:r>
      <w:r w:rsidRPr="00834AC0">
        <w:rPr>
          <w:rFonts w:ascii="Arial" w:hAnsi="Arial"/>
          <w:sz w:val="20"/>
        </w:rPr>
        <w:t xml:space="preserve"> 6301,</w:t>
      </w:r>
      <w:r w:rsidRPr="004106B6">
        <w:rPr>
          <w:rFonts w:ascii="Arial" w:hAnsi="Arial"/>
          <w:sz w:val="20"/>
        </w:rPr>
        <w:t xml:space="preserve"> in order to: (a) determine the causes of casualties, </w:t>
      </w:r>
      <w:r w:rsidRPr="004106B6">
        <w:rPr>
          <w:rFonts w:ascii="Arial" w:hAnsi="Arial"/>
          <w:sz w:val="20"/>
        </w:rPr>
        <w:t>and,</w:t>
      </w:r>
      <w:r w:rsidRPr="004106B6">
        <w:rPr>
          <w:rFonts w:ascii="Arial" w:hAnsi="Arial"/>
          <w:sz w:val="20"/>
        </w:rPr>
        <w:t xml:space="preserve"> (b) whether existing safety standards are adequate or whether new laws or regulations need to be developed.  The overall goal of investigations therefore is to identify pertinent safety lessons and to initiate appropriate steps for reducing the likelihood of similar accidents in the future.  Regulations implementing reporting requirements and investigative procedures are contained in 46 CFR Part 4.  The table below identifies which part of the CFR corresponds to the subject.</w:t>
      </w:r>
      <w:r w:rsidR="00F13551">
        <w:rPr>
          <w:rFonts w:ascii="Arial" w:hAnsi="Arial"/>
          <w:sz w:val="20"/>
        </w:rPr>
        <w:t xml:space="preserve">  </w:t>
      </w:r>
    </w:p>
    <w:p w:rsidR="0023625D" w:rsidRPr="004106B6" w14:paraId="5B051386" w14:textId="77777777">
      <w:pPr>
        <w:pStyle w:val="TxBrp5"/>
        <w:spacing w:line="240" w:lineRule="auto"/>
        <w:ind w:firstLine="0"/>
        <w:jc w:val="center"/>
        <w:rPr>
          <w:rFonts w:ascii="Arial" w:hAnsi="Arial"/>
          <w:b/>
          <w:sz w:val="20"/>
        </w:rPr>
      </w:pPr>
      <w:r w:rsidRPr="004106B6">
        <w:rPr>
          <w:rFonts w:ascii="Arial" w:hAnsi="Arial"/>
          <w:b/>
          <w:sz w:val="20"/>
        </w:rPr>
        <w:t>Table 1</w:t>
      </w:r>
    </w:p>
    <w:p w:rsidR="0023625D" w:rsidRPr="004106B6" w14:paraId="6CCADD89" w14:textId="77777777">
      <w:pPr>
        <w:pStyle w:val="TxBrp5"/>
        <w:spacing w:line="240" w:lineRule="auto"/>
        <w:ind w:firstLine="0"/>
        <w:jc w:val="center"/>
        <w:rPr>
          <w:rFonts w:ascii="Arial" w:hAnsi="Arial"/>
          <w:b/>
          <w:sz w:val="20"/>
        </w:rPr>
      </w:pPr>
      <w:r w:rsidRPr="004106B6">
        <w:rPr>
          <w:rFonts w:ascii="Arial" w:hAnsi="Arial"/>
          <w:b/>
          <w:sz w:val="20"/>
        </w:rPr>
        <w:t xml:space="preserve">Report of </w:t>
      </w:r>
      <w:r w:rsidRPr="004106B6">
        <w:rPr>
          <w:rFonts w:ascii="Arial" w:hAnsi="Arial"/>
          <w:b/>
          <w:sz w:val="20"/>
        </w:rPr>
        <w:t>Marine Casualt</w:t>
      </w:r>
      <w:r w:rsidR="009F6F87">
        <w:rPr>
          <w:rFonts w:ascii="Arial" w:hAnsi="Arial"/>
          <w:b/>
          <w:sz w:val="20"/>
        </w:rPr>
        <w:t>y</w:t>
      </w:r>
      <w:r w:rsidRPr="004106B6">
        <w:rPr>
          <w:rFonts w:ascii="Arial" w:hAnsi="Arial"/>
          <w:b/>
          <w:sz w:val="20"/>
        </w:rPr>
        <w:t>: CFR, Subject and Affected Population</w:t>
      </w:r>
    </w:p>
    <w:p w:rsidR="0023625D" w:rsidRPr="004106B6" w14:paraId="3DA1B327" w14:textId="77777777">
      <w:pPr>
        <w:pStyle w:val="TxBrp5"/>
        <w:spacing w:line="240" w:lineRule="auto"/>
        <w:ind w:firstLine="0"/>
        <w:jc w:val="center"/>
        <w:rPr>
          <w:rFonts w:ascii="Arial" w:hAnsi="Arial"/>
          <w:b/>
          <w:sz w:val="2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7830"/>
      </w:tblGrid>
      <w:tr w14:paraId="2C7591A8" w14:textId="77777777" w:rsidTr="00D427AF">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620" w:type="dxa"/>
          </w:tcPr>
          <w:p w:rsidR="0023625D" w:rsidRPr="004106B6" w14:paraId="7F62A5AC" w14:textId="77777777">
            <w:pPr>
              <w:pStyle w:val="TxBrp5"/>
              <w:tabs>
                <w:tab w:val="left" w:pos="1183"/>
              </w:tabs>
              <w:spacing w:line="240" w:lineRule="auto"/>
              <w:ind w:firstLine="0"/>
              <w:rPr>
                <w:rFonts w:ascii="Arial" w:hAnsi="Arial"/>
                <w:b/>
                <w:sz w:val="20"/>
              </w:rPr>
            </w:pPr>
            <w:r w:rsidRPr="004106B6">
              <w:rPr>
                <w:rFonts w:ascii="Arial" w:hAnsi="Arial"/>
                <w:b/>
                <w:sz w:val="20"/>
              </w:rPr>
              <w:t>46 CFR</w:t>
            </w:r>
            <w:r w:rsidRPr="004106B6">
              <w:rPr>
                <w:rFonts w:ascii="Arial" w:hAnsi="Arial"/>
                <w:b/>
                <w:sz w:val="20"/>
              </w:rPr>
              <w:tab/>
            </w:r>
          </w:p>
        </w:tc>
        <w:tc>
          <w:tcPr>
            <w:tcW w:w="7830" w:type="dxa"/>
          </w:tcPr>
          <w:p w:rsidR="0023625D" w:rsidRPr="004106B6" w14:paraId="067AB4C5" w14:textId="77777777">
            <w:pPr>
              <w:pStyle w:val="TxBrp5"/>
              <w:spacing w:line="240" w:lineRule="auto"/>
              <w:ind w:firstLine="0"/>
              <w:rPr>
                <w:rFonts w:ascii="Arial" w:hAnsi="Arial"/>
                <w:b/>
                <w:sz w:val="20"/>
              </w:rPr>
            </w:pPr>
            <w:r w:rsidRPr="004106B6">
              <w:rPr>
                <w:rFonts w:ascii="Arial" w:hAnsi="Arial"/>
                <w:b/>
                <w:sz w:val="20"/>
              </w:rPr>
              <w:t>Subject and Affected Population</w:t>
            </w:r>
          </w:p>
        </w:tc>
      </w:tr>
      <w:tr w14:paraId="7DE91196" w14:textId="77777777" w:rsidTr="00D427AF">
        <w:tblPrEx>
          <w:tblW w:w="9450" w:type="dxa"/>
          <w:tblInd w:w="108" w:type="dxa"/>
          <w:tblLayout w:type="fixed"/>
          <w:tblLook w:val="0000"/>
        </w:tblPrEx>
        <w:tc>
          <w:tcPr>
            <w:tcW w:w="1620" w:type="dxa"/>
          </w:tcPr>
          <w:p w:rsidR="0023625D" w:rsidRPr="00834AC0" w14:paraId="35619454" w14:textId="77777777">
            <w:pPr>
              <w:pStyle w:val="TxBrp5"/>
              <w:spacing w:line="240" w:lineRule="auto"/>
              <w:ind w:firstLine="0"/>
              <w:rPr>
                <w:rFonts w:ascii="Arial" w:hAnsi="Arial"/>
                <w:sz w:val="20"/>
              </w:rPr>
            </w:pPr>
            <w:r w:rsidRPr="00834AC0">
              <w:rPr>
                <w:rFonts w:ascii="Arial" w:hAnsi="Arial"/>
                <w:sz w:val="20"/>
              </w:rPr>
              <w:t>4.05-10</w:t>
            </w:r>
          </w:p>
        </w:tc>
        <w:tc>
          <w:tcPr>
            <w:tcW w:w="7830" w:type="dxa"/>
          </w:tcPr>
          <w:p w:rsidR="0023625D" w:rsidRPr="004106B6" w14:paraId="7B841A20" w14:textId="77777777">
            <w:pPr>
              <w:pStyle w:val="TxBrp5"/>
              <w:spacing w:line="240" w:lineRule="auto"/>
              <w:ind w:firstLine="0"/>
              <w:rPr>
                <w:rFonts w:ascii="Arial" w:hAnsi="Arial"/>
                <w:sz w:val="20"/>
              </w:rPr>
            </w:pPr>
            <w:r w:rsidRPr="004106B6">
              <w:rPr>
                <w:rFonts w:ascii="Arial" w:hAnsi="Arial"/>
                <w:b/>
                <w:sz w:val="20"/>
              </w:rPr>
              <w:t>Written report of marine casualty.</w:t>
            </w:r>
          </w:p>
          <w:p w:rsidR="0023625D" w:rsidRPr="004106B6" w:rsidP="00C61757" w14:paraId="15EB45FF" w14:textId="77777777">
            <w:pPr>
              <w:pStyle w:val="TxBrp5"/>
              <w:numPr>
                <w:ilvl w:val="0"/>
                <w:numId w:val="9"/>
              </w:numPr>
              <w:tabs>
                <w:tab w:val="num" w:pos="420"/>
              </w:tabs>
              <w:spacing w:line="240" w:lineRule="auto"/>
              <w:ind w:left="420"/>
              <w:rPr>
                <w:rFonts w:ascii="Arial" w:hAnsi="Arial"/>
                <w:sz w:val="20"/>
              </w:rPr>
            </w:pPr>
            <w:r w:rsidRPr="004106B6">
              <w:rPr>
                <w:rFonts w:ascii="Arial" w:hAnsi="Arial"/>
                <w:sz w:val="20"/>
              </w:rPr>
              <w:t>Owners, agents, masters, operators, or persons in charge are required to submit a written report with details about the casualty (CG-2692, supplemented as necessary by CG-2692A</w:t>
            </w:r>
            <w:r w:rsidR="00C61757">
              <w:rPr>
                <w:rFonts w:ascii="Arial" w:hAnsi="Arial"/>
                <w:sz w:val="20"/>
              </w:rPr>
              <w:t>,</w:t>
            </w:r>
            <w:r w:rsidRPr="004106B6">
              <w:rPr>
                <w:rFonts w:ascii="Arial" w:hAnsi="Arial"/>
                <w:sz w:val="20"/>
              </w:rPr>
              <w:t xml:space="preserve"> CG-2692B</w:t>
            </w:r>
            <w:r w:rsidR="00C61757">
              <w:rPr>
                <w:rFonts w:ascii="Arial" w:hAnsi="Arial"/>
                <w:sz w:val="20"/>
              </w:rPr>
              <w:t xml:space="preserve"> CG-2692C and CG-2692D</w:t>
            </w:r>
            <w:r w:rsidRPr="004106B6">
              <w:rPr>
                <w:rFonts w:ascii="Arial" w:hAnsi="Arial"/>
                <w:sz w:val="20"/>
              </w:rPr>
              <w:t>).</w:t>
            </w:r>
          </w:p>
        </w:tc>
      </w:tr>
      <w:tr w14:paraId="73BE12B9" w14:textId="77777777" w:rsidTr="00D427AF">
        <w:tblPrEx>
          <w:tblW w:w="9450" w:type="dxa"/>
          <w:tblInd w:w="108" w:type="dxa"/>
          <w:tblLayout w:type="fixed"/>
          <w:tblLook w:val="0000"/>
        </w:tblPrEx>
        <w:tc>
          <w:tcPr>
            <w:tcW w:w="1620" w:type="dxa"/>
          </w:tcPr>
          <w:p w:rsidR="0023625D" w:rsidRPr="00834AC0" w14:paraId="7154B268" w14:textId="77777777">
            <w:pPr>
              <w:pStyle w:val="TxBrp5"/>
              <w:spacing w:line="240" w:lineRule="auto"/>
              <w:ind w:firstLine="0"/>
              <w:rPr>
                <w:rFonts w:ascii="Arial" w:hAnsi="Arial"/>
                <w:sz w:val="20"/>
              </w:rPr>
            </w:pPr>
            <w:r w:rsidRPr="00834AC0">
              <w:rPr>
                <w:rFonts w:ascii="Arial" w:hAnsi="Arial"/>
                <w:sz w:val="20"/>
              </w:rPr>
              <w:t>4.05-12</w:t>
            </w:r>
          </w:p>
        </w:tc>
        <w:tc>
          <w:tcPr>
            <w:tcW w:w="7830" w:type="dxa"/>
          </w:tcPr>
          <w:p w:rsidR="0023625D" w:rsidRPr="004106B6" w14:paraId="594D36FE" w14:textId="77777777">
            <w:pPr>
              <w:pStyle w:val="TxBrp5"/>
              <w:spacing w:line="240" w:lineRule="auto"/>
              <w:ind w:firstLine="0"/>
              <w:rPr>
                <w:rFonts w:ascii="Arial" w:hAnsi="Arial"/>
                <w:b/>
                <w:sz w:val="20"/>
              </w:rPr>
            </w:pPr>
            <w:r w:rsidRPr="004106B6">
              <w:rPr>
                <w:rFonts w:ascii="Arial" w:hAnsi="Arial"/>
                <w:b/>
                <w:sz w:val="20"/>
              </w:rPr>
              <w:t>Alcohol or drug use by individuals directly involved in casualties.</w:t>
            </w:r>
          </w:p>
          <w:p w:rsidR="0023625D" w:rsidRPr="004106B6" w14:paraId="024387D1" w14:textId="77777777">
            <w:pPr>
              <w:pStyle w:val="TxBrp5"/>
              <w:numPr>
                <w:ilvl w:val="0"/>
                <w:numId w:val="10"/>
              </w:numPr>
              <w:tabs>
                <w:tab w:val="left" w:pos="432"/>
                <w:tab w:val="clear" w:pos="583"/>
                <w:tab w:val="clear" w:pos="720"/>
              </w:tabs>
              <w:spacing w:line="240" w:lineRule="auto"/>
              <w:ind w:left="432"/>
              <w:rPr>
                <w:rFonts w:ascii="Arial" w:hAnsi="Arial"/>
                <w:sz w:val="20"/>
              </w:rPr>
            </w:pPr>
            <w:r w:rsidRPr="004106B6">
              <w:rPr>
                <w:rFonts w:ascii="Arial" w:hAnsi="Arial"/>
                <w:sz w:val="20"/>
              </w:rPr>
              <w:t xml:space="preserve">On form CG-2692 the marine employer is required to identify those individuals for whom evidence of intoxication has been obtained; and specifies the method used to determine whether there is any evidence of alcohol or drug use by individuals directly involved in the casualty. </w:t>
            </w:r>
          </w:p>
        </w:tc>
      </w:tr>
      <w:tr w14:paraId="0B6434AA" w14:textId="77777777" w:rsidTr="00D427AF">
        <w:tblPrEx>
          <w:tblW w:w="9450" w:type="dxa"/>
          <w:tblInd w:w="108" w:type="dxa"/>
          <w:tblLayout w:type="fixed"/>
          <w:tblLook w:val="0000"/>
        </w:tblPrEx>
        <w:tc>
          <w:tcPr>
            <w:tcW w:w="1620" w:type="dxa"/>
          </w:tcPr>
          <w:p w:rsidR="0023625D" w:rsidRPr="00834AC0" w14:paraId="5DE12D15" w14:textId="77777777">
            <w:pPr>
              <w:pStyle w:val="TxBrp5"/>
              <w:spacing w:line="240" w:lineRule="auto"/>
              <w:ind w:firstLine="0"/>
              <w:rPr>
                <w:rFonts w:ascii="Arial" w:hAnsi="Arial"/>
                <w:sz w:val="20"/>
              </w:rPr>
            </w:pPr>
            <w:r w:rsidRPr="00834AC0">
              <w:rPr>
                <w:rFonts w:ascii="Arial" w:hAnsi="Arial"/>
                <w:sz w:val="20"/>
              </w:rPr>
              <w:t>4.06-5(b)</w:t>
            </w:r>
          </w:p>
        </w:tc>
        <w:tc>
          <w:tcPr>
            <w:tcW w:w="7830" w:type="dxa"/>
          </w:tcPr>
          <w:p w:rsidR="0023625D" w:rsidRPr="004106B6" w14:paraId="228B625C" w14:textId="77777777">
            <w:pPr>
              <w:pStyle w:val="TxBrp5"/>
              <w:spacing w:line="240" w:lineRule="auto"/>
              <w:ind w:firstLine="0"/>
              <w:rPr>
                <w:rFonts w:ascii="Arial" w:hAnsi="Arial"/>
                <w:sz w:val="20"/>
              </w:rPr>
            </w:pPr>
            <w:r w:rsidRPr="004106B6">
              <w:rPr>
                <w:rFonts w:ascii="Arial" w:hAnsi="Arial"/>
                <w:b/>
                <w:sz w:val="20"/>
              </w:rPr>
              <w:t>Refusal to provide blood, breath or urine specimens for chemical tests.</w:t>
            </w:r>
          </w:p>
          <w:p w:rsidR="0023625D" w:rsidRPr="004106B6" w14:paraId="58493432" w14:textId="77777777">
            <w:pPr>
              <w:pStyle w:val="TxBrp5"/>
              <w:numPr>
                <w:ilvl w:val="0"/>
                <w:numId w:val="9"/>
              </w:numPr>
              <w:tabs>
                <w:tab w:val="num" w:pos="420"/>
              </w:tabs>
              <w:spacing w:line="240" w:lineRule="auto"/>
              <w:ind w:left="420"/>
              <w:rPr>
                <w:rFonts w:ascii="Arial" w:hAnsi="Arial"/>
                <w:sz w:val="20"/>
              </w:rPr>
            </w:pPr>
            <w:r w:rsidRPr="004106B6">
              <w:rPr>
                <w:rFonts w:ascii="Arial" w:hAnsi="Arial"/>
                <w:sz w:val="20"/>
              </w:rPr>
              <w:t xml:space="preserve">The marine employer is required to document such refusal on the form CG-2692B and in the logbook if the vessel involved is required to have one. </w:t>
            </w:r>
          </w:p>
        </w:tc>
      </w:tr>
      <w:tr w14:paraId="57C0A119" w14:textId="77777777" w:rsidTr="00D427AF">
        <w:tblPrEx>
          <w:tblW w:w="9450" w:type="dxa"/>
          <w:tblInd w:w="108" w:type="dxa"/>
          <w:tblLayout w:type="fixed"/>
          <w:tblLook w:val="0000"/>
        </w:tblPrEx>
        <w:tc>
          <w:tcPr>
            <w:tcW w:w="1620" w:type="dxa"/>
          </w:tcPr>
          <w:p w:rsidR="0023625D" w:rsidRPr="00834AC0" w14:paraId="1E4510B6" w14:textId="44D097A9">
            <w:pPr>
              <w:pStyle w:val="TxBrp5"/>
              <w:spacing w:line="240" w:lineRule="auto"/>
              <w:ind w:firstLine="0"/>
              <w:rPr>
                <w:rFonts w:ascii="Arial" w:hAnsi="Arial"/>
                <w:sz w:val="20"/>
              </w:rPr>
            </w:pPr>
            <w:r w:rsidRPr="00834AC0">
              <w:rPr>
                <w:rFonts w:ascii="Arial" w:hAnsi="Arial"/>
                <w:sz w:val="20"/>
              </w:rPr>
              <w:t>4.06-60(a) – (d)</w:t>
            </w:r>
          </w:p>
        </w:tc>
        <w:tc>
          <w:tcPr>
            <w:tcW w:w="7830" w:type="dxa"/>
          </w:tcPr>
          <w:p w:rsidR="0023625D" w:rsidRPr="004106B6" w14:paraId="5A9EDD5F" w14:textId="77777777">
            <w:pPr>
              <w:pStyle w:val="TxBrp5"/>
              <w:spacing w:line="240" w:lineRule="auto"/>
              <w:ind w:firstLine="0"/>
              <w:rPr>
                <w:rFonts w:ascii="Arial" w:hAnsi="Arial"/>
                <w:b/>
                <w:sz w:val="20"/>
              </w:rPr>
            </w:pPr>
            <w:r w:rsidRPr="004106B6">
              <w:rPr>
                <w:rFonts w:ascii="Arial" w:hAnsi="Arial"/>
                <w:b/>
                <w:sz w:val="20"/>
              </w:rPr>
              <w:t>Submission of reports and test results.</w:t>
            </w:r>
          </w:p>
          <w:p w:rsidR="0023625D" w:rsidRPr="004106B6" w14:paraId="1B9F7BC0" w14:textId="77777777">
            <w:pPr>
              <w:pStyle w:val="TxBrp5"/>
              <w:numPr>
                <w:ilvl w:val="0"/>
                <w:numId w:val="9"/>
              </w:numPr>
              <w:tabs>
                <w:tab w:val="num" w:pos="432"/>
                <w:tab w:val="clear" w:pos="720"/>
              </w:tabs>
              <w:spacing w:line="240" w:lineRule="auto"/>
              <w:ind w:left="432"/>
              <w:rPr>
                <w:rFonts w:ascii="Arial" w:hAnsi="Arial"/>
                <w:sz w:val="20"/>
              </w:rPr>
            </w:pPr>
            <w:r w:rsidRPr="004106B6">
              <w:rPr>
                <w:rFonts w:ascii="Arial" w:hAnsi="Arial"/>
                <w:sz w:val="20"/>
              </w:rPr>
              <w:t xml:space="preserve">The marine employer is required to complete and submit form CG-2692B after a serious marine incident occurs. </w:t>
            </w:r>
          </w:p>
          <w:p w:rsidR="0023625D" w:rsidRPr="004106B6" w:rsidP="00C61757" w14:paraId="505B405A" w14:textId="77777777">
            <w:pPr>
              <w:pStyle w:val="TxBrp5"/>
              <w:numPr>
                <w:ilvl w:val="0"/>
                <w:numId w:val="9"/>
              </w:numPr>
              <w:tabs>
                <w:tab w:val="num" w:pos="432"/>
                <w:tab w:val="clear" w:pos="720"/>
              </w:tabs>
              <w:spacing w:line="240" w:lineRule="auto"/>
              <w:ind w:left="432"/>
              <w:rPr>
                <w:rFonts w:ascii="Arial" w:hAnsi="Arial"/>
                <w:sz w:val="20"/>
              </w:rPr>
            </w:pPr>
            <w:r w:rsidRPr="004106B6">
              <w:rPr>
                <w:rFonts w:ascii="Arial" w:hAnsi="Arial"/>
                <w:sz w:val="20"/>
              </w:rPr>
              <w:t>The marine employer is also required to submit the report of chemical test results for each person listed in the CG-2692B</w:t>
            </w:r>
            <w:r w:rsidR="00C61757">
              <w:rPr>
                <w:rFonts w:ascii="Arial" w:hAnsi="Arial"/>
                <w:sz w:val="20"/>
              </w:rPr>
              <w:t>.</w:t>
            </w:r>
            <w:r w:rsidRPr="001A4010" w:rsidR="00C61757">
              <w:rPr>
                <w:rFonts w:ascii="Arial" w:hAnsi="Arial"/>
                <w:b/>
                <w:sz w:val="20"/>
              </w:rPr>
              <w:t>*</w:t>
            </w:r>
            <w:r w:rsidR="00C61757">
              <w:rPr>
                <w:rFonts w:ascii="Arial" w:hAnsi="Arial"/>
                <w:sz w:val="20"/>
              </w:rPr>
              <w:t xml:space="preserve">  </w:t>
            </w:r>
          </w:p>
        </w:tc>
      </w:tr>
    </w:tbl>
    <w:p w:rsidR="0023625D" w:rsidRPr="004106B6" w14:paraId="13F12536" w14:textId="77777777">
      <w:pPr>
        <w:pStyle w:val="TxBrp6"/>
        <w:spacing w:line="240" w:lineRule="auto"/>
        <w:rPr>
          <w:rFonts w:ascii="Arial" w:hAnsi="Arial" w:cs="Arial"/>
          <w:bCs/>
          <w:sz w:val="16"/>
          <w:szCs w:val="16"/>
        </w:rPr>
      </w:pPr>
      <w:r w:rsidRPr="00C61757">
        <w:rPr>
          <w:rFonts w:ascii="Arial" w:hAnsi="Arial" w:cs="Arial"/>
          <w:bCs/>
          <w:sz w:val="16"/>
          <w:szCs w:val="16"/>
        </w:rPr>
        <w:t xml:space="preserve">  </w:t>
      </w:r>
      <w:r w:rsidRPr="00C61757">
        <w:rPr>
          <w:rFonts w:ascii="Arial" w:hAnsi="Arial" w:cs="Arial"/>
          <w:b/>
          <w:bCs/>
          <w:sz w:val="16"/>
          <w:szCs w:val="16"/>
        </w:rPr>
        <w:t>*</w:t>
      </w:r>
      <w:r w:rsidRPr="00C61757">
        <w:rPr>
          <w:rFonts w:ascii="Arial" w:hAnsi="Arial" w:cs="Arial"/>
          <w:bCs/>
          <w:sz w:val="16"/>
          <w:szCs w:val="16"/>
        </w:rPr>
        <w:t xml:space="preserve">  </w:t>
      </w:r>
      <w:r w:rsidRPr="004106B6">
        <w:rPr>
          <w:rFonts w:ascii="Arial" w:hAnsi="Arial" w:cs="Arial"/>
          <w:bCs/>
          <w:sz w:val="16"/>
          <w:szCs w:val="16"/>
        </w:rPr>
        <w:t xml:space="preserve">The regulation specifies that all chemical testing results be submitted to the Coast Guard.  In The Department of Transportation’s (DOT) Paperwork Reduction Act submission titled </w:t>
      </w:r>
      <w:r w:rsidRPr="004106B6">
        <w:rPr>
          <w:rFonts w:ascii="Arial" w:hAnsi="Arial" w:cs="Arial"/>
          <w:bCs/>
          <w:i/>
          <w:iCs/>
          <w:sz w:val="16"/>
          <w:szCs w:val="16"/>
        </w:rPr>
        <w:t>Procedures for Transportation Drug and Alcohol Testing Program</w:t>
      </w:r>
      <w:r w:rsidRPr="004106B6" w:rsidR="002F5552">
        <w:rPr>
          <w:rFonts w:ascii="Arial" w:hAnsi="Arial" w:cs="Arial"/>
          <w:bCs/>
          <w:sz w:val="16"/>
          <w:szCs w:val="16"/>
        </w:rPr>
        <w:t>, OMB # 2105-0529</w:t>
      </w:r>
      <w:r w:rsidRPr="004106B6">
        <w:rPr>
          <w:rFonts w:ascii="Arial" w:hAnsi="Arial" w:cs="Arial"/>
          <w:bCs/>
          <w:sz w:val="16"/>
          <w:szCs w:val="16"/>
        </w:rPr>
        <w:t>, DOT has taken the responsibility of the burden posed by reporting the result of drug tests.  The Coast Guard is the only transportation mode that requires alcohol testing results; therefore, only the burden of reporting alcohol testing results is accounted in this submission.</w:t>
      </w:r>
      <w:r w:rsidR="00F13551">
        <w:rPr>
          <w:rFonts w:ascii="Arial" w:hAnsi="Arial" w:cs="Arial"/>
          <w:bCs/>
          <w:sz w:val="16"/>
          <w:szCs w:val="16"/>
        </w:rPr>
        <w:t xml:space="preserve">  </w:t>
      </w:r>
    </w:p>
    <w:p w:rsidR="0023625D" w:rsidRPr="004106B6" w14:paraId="252D3607" w14:textId="77777777">
      <w:pPr>
        <w:pStyle w:val="TxBrp6"/>
        <w:spacing w:line="240" w:lineRule="auto"/>
        <w:rPr>
          <w:rFonts w:ascii="Arial" w:hAnsi="Arial" w:cs="Arial"/>
          <w:b/>
          <w:sz w:val="20"/>
        </w:rPr>
      </w:pPr>
    </w:p>
    <w:p w:rsidR="0023625D" w:rsidRPr="00AA2595" w14:paraId="527E60DD" w14:textId="77777777">
      <w:pPr>
        <w:pStyle w:val="TxBrp6"/>
        <w:spacing w:line="240" w:lineRule="auto"/>
        <w:jc w:val="left"/>
        <w:rPr>
          <w:rFonts w:ascii="Arial" w:hAnsi="Arial" w:cs="Arial"/>
          <w:bCs/>
          <w:i/>
          <w:iCs/>
          <w:sz w:val="20"/>
        </w:rPr>
      </w:pPr>
      <w:r w:rsidRPr="004106B6">
        <w:rPr>
          <w:rFonts w:ascii="Arial" w:hAnsi="Arial" w:cs="Arial"/>
          <w:bCs/>
          <w:i/>
          <w:iCs/>
          <w:sz w:val="20"/>
        </w:rPr>
        <w:t xml:space="preserve">II.  Chemical </w:t>
      </w:r>
      <w:r w:rsidRPr="00AA2595">
        <w:rPr>
          <w:rFonts w:ascii="Arial" w:hAnsi="Arial" w:cs="Arial"/>
          <w:bCs/>
          <w:i/>
          <w:iCs/>
          <w:sz w:val="20"/>
        </w:rPr>
        <w:t>Testing</w:t>
      </w:r>
      <w:r w:rsidRPr="00AA2595" w:rsidR="00CD64F3">
        <w:rPr>
          <w:rFonts w:ascii="Arial" w:hAnsi="Arial" w:cs="Arial"/>
          <w:bCs/>
          <w:i/>
          <w:iCs/>
          <w:sz w:val="20"/>
        </w:rPr>
        <w:t xml:space="preserve">  </w:t>
      </w:r>
    </w:p>
    <w:p w:rsidR="0023625D" w:rsidRPr="004106B6" w14:paraId="5556F293" w14:textId="77777777">
      <w:pPr>
        <w:pStyle w:val="TxBrp5"/>
        <w:spacing w:line="240" w:lineRule="auto"/>
        <w:ind w:firstLine="0"/>
        <w:rPr>
          <w:rFonts w:ascii="Arial" w:hAnsi="Arial" w:cs="Arial"/>
          <w:sz w:val="20"/>
        </w:rPr>
      </w:pPr>
      <w:r w:rsidRPr="00AA2595">
        <w:rPr>
          <w:rFonts w:ascii="Arial" w:hAnsi="Arial" w:cs="Arial"/>
          <w:sz w:val="20"/>
        </w:rPr>
        <w:t>Title 46 U</w:t>
      </w:r>
      <w:r w:rsidRPr="00AA2595" w:rsidR="00C61757">
        <w:rPr>
          <w:rFonts w:ascii="Arial" w:hAnsi="Arial" w:cs="Arial"/>
          <w:sz w:val="20"/>
        </w:rPr>
        <w:t>.</w:t>
      </w:r>
      <w:r w:rsidRPr="00AA2595">
        <w:rPr>
          <w:rFonts w:ascii="Arial" w:hAnsi="Arial" w:cs="Arial"/>
          <w:sz w:val="20"/>
        </w:rPr>
        <w:t>S</w:t>
      </w:r>
      <w:r w:rsidRPr="00AA2595" w:rsidR="00C61757">
        <w:rPr>
          <w:rFonts w:ascii="Arial" w:hAnsi="Arial" w:cs="Arial"/>
          <w:sz w:val="20"/>
        </w:rPr>
        <w:t>.</w:t>
      </w:r>
      <w:r w:rsidRPr="00AA2595">
        <w:rPr>
          <w:rFonts w:ascii="Arial" w:hAnsi="Arial" w:cs="Arial"/>
          <w:sz w:val="20"/>
        </w:rPr>
        <w:t>C</w:t>
      </w:r>
      <w:r w:rsidRPr="00AA2595" w:rsidR="00C61757">
        <w:rPr>
          <w:rFonts w:ascii="Arial" w:hAnsi="Arial" w:cs="Arial"/>
          <w:sz w:val="20"/>
        </w:rPr>
        <w:t>.</w:t>
      </w:r>
      <w:r w:rsidRPr="00AA2595">
        <w:rPr>
          <w:rFonts w:ascii="Arial" w:hAnsi="Arial" w:cs="Arial"/>
          <w:sz w:val="20"/>
        </w:rPr>
        <w:t xml:space="preserve"> 7503 requires the Coast Guard to deny the issuance of licenses, certificates of registry, and merchant mariner’s documents (seaman’s papers) to users of dangerous drugs.  Similarly, 46 U</w:t>
      </w:r>
      <w:r w:rsidRPr="00AA2595" w:rsidR="00C61757">
        <w:rPr>
          <w:rFonts w:ascii="Arial" w:hAnsi="Arial" w:cs="Arial"/>
          <w:sz w:val="20"/>
        </w:rPr>
        <w:t>.</w:t>
      </w:r>
      <w:r w:rsidRPr="00AA2595">
        <w:rPr>
          <w:rFonts w:ascii="Arial" w:hAnsi="Arial" w:cs="Arial"/>
          <w:sz w:val="20"/>
        </w:rPr>
        <w:t>S</w:t>
      </w:r>
      <w:r w:rsidRPr="00AA2595" w:rsidR="00C61757">
        <w:rPr>
          <w:rFonts w:ascii="Arial" w:hAnsi="Arial" w:cs="Arial"/>
          <w:sz w:val="20"/>
        </w:rPr>
        <w:t>.</w:t>
      </w:r>
      <w:r w:rsidRPr="00AA2595">
        <w:rPr>
          <w:rFonts w:ascii="Arial" w:hAnsi="Arial" w:cs="Arial"/>
          <w:sz w:val="20"/>
        </w:rPr>
        <w:t>C</w:t>
      </w:r>
      <w:r w:rsidRPr="00AA2595" w:rsidR="00C61757">
        <w:rPr>
          <w:rFonts w:ascii="Arial" w:hAnsi="Arial" w:cs="Arial"/>
          <w:sz w:val="20"/>
        </w:rPr>
        <w:t>.</w:t>
      </w:r>
      <w:r w:rsidRPr="00AA2595">
        <w:rPr>
          <w:rFonts w:ascii="Arial" w:hAnsi="Arial" w:cs="Arial"/>
          <w:sz w:val="20"/>
        </w:rPr>
        <w:t xml:space="preserve"> </w:t>
      </w:r>
      <w:r w:rsidRPr="00AA2595">
        <w:rPr>
          <w:rFonts w:ascii="Arial" w:hAnsi="Arial" w:cs="Arial"/>
          <w:sz w:val="20"/>
        </w:rPr>
        <w:t>7704 requires the Coast Guard to revoke such papers when a holder of the same has been shown to be a drug user.  Congress has shown increased interest in this problem by enacting 46 U</w:t>
      </w:r>
      <w:r w:rsidRPr="00AA2595" w:rsidR="00C61757">
        <w:rPr>
          <w:rFonts w:ascii="Arial" w:hAnsi="Arial" w:cs="Arial"/>
          <w:sz w:val="20"/>
        </w:rPr>
        <w:t>.</w:t>
      </w:r>
      <w:r w:rsidRPr="00AA2595">
        <w:rPr>
          <w:rFonts w:ascii="Arial" w:hAnsi="Arial" w:cs="Arial"/>
          <w:sz w:val="20"/>
        </w:rPr>
        <w:t>S</w:t>
      </w:r>
      <w:r w:rsidRPr="00AA2595" w:rsidR="00C61757">
        <w:rPr>
          <w:rFonts w:ascii="Arial" w:hAnsi="Arial" w:cs="Arial"/>
          <w:sz w:val="20"/>
        </w:rPr>
        <w:t>.</w:t>
      </w:r>
      <w:r w:rsidRPr="00AA2595">
        <w:rPr>
          <w:rFonts w:ascii="Arial" w:hAnsi="Arial" w:cs="Arial"/>
          <w:sz w:val="20"/>
        </w:rPr>
        <w:t>C</w:t>
      </w:r>
      <w:r w:rsidRPr="00AA2595" w:rsidR="00C61757">
        <w:rPr>
          <w:rFonts w:ascii="Arial" w:hAnsi="Arial" w:cs="Arial"/>
          <w:sz w:val="20"/>
        </w:rPr>
        <w:t>.</w:t>
      </w:r>
      <w:r w:rsidRPr="00AA2595">
        <w:rPr>
          <w:rFonts w:ascii="Arial" w:hAnsi="Arial" w:cs="Arial"/>
          <w:sz w:val="20"/>
        </w:rPr>
        <w:t xml:space="preserve"> 2302 and </w:t>
      </w:r>
      <w:r w:rsidRPr="00AA2595" w:rsidR="00C61757">
        <w:rPr>
          <w:rFonts w:ascii="Arial" w:hAnsi="Arial" w:cs="Arial"/>
          <w:sz w:val="20"/>
        </w:rPr>
        <w:t>18 </w:t>
      </w:r>
      <w:r w:rsidRPr="00AA2595">
        <w:rPr>
          <w:rFonts w:ascii="Arial" w:hAnsi="Arial" w:cs="Arial"/>
          <w:sz w:val="20"/>
        </w:rPr>
        <w:t>U</w:t>
      </w:r>
      <w:r w:rsidRPr="00AA2595" w:rsidR="00C61757">
        <w:rPr>
          <w:rFonts w:ascii="Arial" w:hAnsi="Arial" w:cs="Arial"/>
          <w:sz w:val="20"/>
        </w:rPr>
        <w:t>.</w:t>
      </w:r>
      <w:r w:rsidRPr="00AA2595">
        <w:rPr>
          <w:rFonts w:ascii="Arial" w:hAnsi="Arial" w:cs="Arial"/>
          <w:sz w:val="20"/>
        </w:rPr>
        <w:t>S</w:t>
      </w:r>
      <w:r w:rsidRPr="00AA2595" w:rsidR="00C61757">
        <w:rPr>
          <w:rFonts w:ascii="Arial" w:hAnsi="Arial" w:cs="Arial"/>
          <w:sz w:val="20"/>
        </w:rPr>
        <w:t>.</w:t>
      </w:r>
      <w:r w:rsidRPr="00AA2595">
        <w:rPr>
          <w:rFonts w:ascii="Arial" w:hAnsi="Arial" w:cs="Arial"/>
          <w:sz w:val="20"/>
        </w:rPr>
        <w:t>C</w:t>
      </w:r>
      <w:r w:rsidRPr="00AA2595" w:rsidR="00C61757">
        <w:rPr>
          <w:rFonts w:ascii="Arial" w:hAnsi="Arial" w:cs="Arial"/>
          <w:sz w:val="20"/>
        </w:rPr>
        <w:t>.</w:t>
      </w:r>
      <w:r w:rsidRPr="00AA2595">
        <w:rPr>
          <w:rFonts w:ascii="Arial" w:hAnsi="Arial" w:cs="Arial"/>
          <w:sz w:val="20"/>
        </w:rPr>
        <w:t xml:space="preserve"> Chapter 17A, which prohibit an individual from operating a vessel while intoxicated by any drug or alcohol.  Until 1988, the primary</w:t>
      </w:r>
      <w:r w:rsidRPr="004106B6">
        <w:rPr>
          <w:rFonts w:ascii="Arial" w:hAnsi="Arial" w:cs="Arial"/>
          <w:sz w:val="20"/>
        </w:rPr>
        <w:t xml:space="preserve"> means of detecting drug use has been through examination of criminal conviction records of applicants and holders of seaman’s papers.  This results in a narrowly focused method.  It does not identify drug users in a timely manner.  </w:t>
      </w:r>
    </w:p>
    <w:p w:rsidR="0023625D" w:rsidRPr="004106B6" w14:paraId="03A4C7A6" w14:textId="77777777">
      <w:pPr>
        <w:pStyle w:val="TxBrp6"/>
        <w:spacing w:line="240" w:lineRule="auto"/>
        <w:rPr>
          <w:rFonts w:ascii="Arial" w:hAnsi="Arial" w:cs="Arial"/>
          <w:b/>
          <w:sz w:val="20"/>
        </w:rPr>
      </w:pPr>
    </w:p>
    <w:p w:rsidR="0023625D" w:rsidRPr="004106B6" w14:paraId="638BE167" w14:textId="77777777">
      <w:pPr>
        <w:pStyle w:val="TxBrp5"/>
        <w:spacing w:line="240" w:lineRule="auto"/>
        <w:ind w:firstLine="0"/>
        <w:rPr>
          <w:rFonts w:ascii="Arial" w:hAnsi="Arial"/>
          <w:sz w:val="20"/>
        </w:rPr>
      </w:pPr>
      <w:r w:rsidRPr="004106B6">
        <w:rPr>
          <w:rFonts w:ascii="Arial" w:hAnsi="Arial" w:cs="Arial"/>
          <w:sz w:val="20"/>
        </w:rPr>
        <w:t>With advances in the reliability and accessibility of chemical testing methods, the Coast Guard developed drug and alcohol testing requirements that provide meaningful enforcement of existing statutory prohibitions.</w:t>
      </w:r>
      <w:r w:rsidRPr="004106B6">
        <w:rPr>
          <w:rFonts w:ascii="Arial" w:hAnsi="Arial"/>
          <w:sz w:val="20"/>
        </w:rPr>
        <w:t xml:space="preserve">  These requirements are part of a DOT-wide initiative for reducing and deterring substance abuse in all modes of commercial transportation and are consistent with regulations issued by other regulatory agencies.</w:t>
      </w:r>
      <w:r w:rsidR="00F13551">
        <w:rPr>
          <w:rFonts w:ascii="Arial" w:hAnsi="Arial"/>
          <w:sz w:val="20"/>
        </w:rPr>
        <w:t xml:space="preserve">  </w:t>
      </w:r>
    </w:p>
    <w:p w:rsidR="0023625D" w:rsidRPr="004106B6" w14:paraId="08530BCE" w14:textId="77777777">
      <w:pPr>
        <w:pStyle w:val="TxBrp5"/>
        <w:spacing w:line="240" w:lineRule="auto"/>
        <w:ind w:firstLine="0"/>
        <w:rPr>
          <w:rFonts w:ascii="Arial" w:hAnsi="Arial"/>
          <w:sz w:val="20"/>
        </w:rPr>
      </w:pPr>
    </w:p>
    <w:p w:rsidR="0023625D" w:rsidRPr="004106B6" w14:paraId="74F89A13" w14:textId="77777777">
      <w:pPr>
        <w:pStyle w:val="TxBrp5"/>
        <w:spacing w:line="240" w:lineRule="auto"/>
        <w:ind w:firstLine="0"/>
        <w:rPr>
          <w:rFonts w:ascii="Arial" w:hAnsi="Arial"/>
          <w:sz w:val="20"/>
        </w:rPr>
      </w:pPr>
      <w:r w:rsidRPr="004106B6">
        <w:rPr>
          <w:rFonts w:ascii="Arial" w:hAnsi="Arial"/>
          <w:sz w:val="20"/>
        </w:rPr>
        <w:t xml:space="preserve">Coast Guard regulations implementing chemical testing requirements are contained in 46 CFR Part 16.  DOT implemented its own drug and alcohol testing requirements, contained in 49 CFR Part 40, some of which overlapped with the Coast Guard’s regulatory requirements in this area.  </w:t>
      </w:r>
      <w:r w:rsidRPr="004106B6">
        <w:rPr>
          <w:rFonts w:ascii="Arial" w:hAnsi="Arial"/>
          <w:sz w:val="20"/>
        </w:rPr>
        <w:t>Therefore</w:t>
      </w:r>
      <w:r w:rsidRPr="004106B6">
        <w:rPr>
          <w:rFonts w:ascii="Arial" w:hAnsi="Arial"/>
          <w:sz w:val="20"/>
        </w:rPr>
        <w:t xml:space="preserve"> the burdens associated with the overlapping regulatory requirements that were calculated in the previous Collection of Information renewal have now been moved over to DOT.  The details associated with this burden can be found in DOT Collection of Information titled </w:t>
      </w:r>
      <w:r w:rsidRPr="004106B6">
        <w:rPr>
          <w:rFonts w:ascii="Arial" w:hAnsi="Arial"/>
          <w:i/>
          <w:iCs/>
          <w:sz w:val="20"/>
        </w:rPr>
        <w:t>Procedures for Transportation Drug and Alcohol Testing Program</w:t>
      </w:r>
      <w:r w:rsidRPr="004106B6">
        <w:rPr>
          <w:rFonts w:ascii="Arial" w:hAnsi="Arial"/>
          <w:sz w:val="20"/>
        </w:rPr>
        <w:t>, OMB # 2105-0529</w:t>
      </w:r>
      <w:r w:rsidRPr="004106B6" w:rsidR="003613DB">
        <w:rPr>
          <w:rFonts w:ascii="Arial" w:hAnsi="Arial"/>
          <w:sz w:val="20"/>
        </w:rPr>
        <w:t xml:space="preserve">. </w:t>
      </w:r>
      <w:r w:rsidR="00F13551">
        <w:rPr>
          <w:rFonts w:ascii="Arial" w:hAnsi="Arial"/>
          <w:sz w:val="20"/>
        </w:rPr>
        <w:t xml:space="preserve"> </w:t>
      </w:r>
    </w:p>
    <w:p w:rsidR="0023625D" w:rsidRPr="004106B6" w14:paraId="003BCC9C" w14:textId="77777777">
      <w:pPr>
        <w:pStyle w:val="TxBrp5"/>
        <w:spacing w:line="240" w:lineRule="auto"/>
        <w:ind w:firstLine="0"/>
        <w:rPr>
          <w:rFonts w:ascii="Arial" w:hAnsi="Arial"/>
          <w:sz w:val="20"/>
        </w:rPr>
      </w:pPr>
    </w:p>
    <w:p w:rsidR="0023625D" w:rsidRPr="004106B6" w14:paraId="112519F9" w14:textId="77777777">
      <w:pPr>
        <w:pStyle w:val="TxBrp5"/>
        <w:spacing w:line="240" w:lineRule="auto"/>
        <w:ind w:firstLine="0"/>
        <w:rPr>
          <w:rFonts w:ascii="Arial" w:hAnsi="Arial"/>
          <w:sz w:val="20"/>
        </w:rPr>
      </w:pPr>
      <w:r w:rsidRPr="004106B6">
        <w:rPr>
          <w:rFonts w:ascii="Arial" w:hAnsi="Arial"/>
          <w:sz w:val="20"/>
        </w:rPr>
        <w:t xml:space="preserve">The table below identifies the parts of the CFR that the Coast Guard is now responsible </w:t>
      </w:r>
      <w:r w:rsidRPr="004106B6">
        <w:rPr>
          <w:rFonts w:ascii="Arial" w:hAnsi="Arial"/>
          <w:sz w:val="20"/>
        </w:rPr>
        <w:t>for, and</w:t>
      </w:r>
      <w:r w:rsidRPr="004106B6">
        <w:rPr>
          <w:rFonts w:ascii="Arial" w:hAnsi="Arial"/>
          <w:sz w:val="20"/>
        </w:rPr>
        <w:t xml:space="preserve"> shows the populations that correspond to the applicable area of regulation.</w:t>
      </w:r>
      <w:r w:rsidR="00F13551">
        <w:rPr>
          <w:rFonts w:ascii="Arial" w:hAnsi="Arial"/>
          <w:sz w:val="20"/>
        </w:rPr>
        <w:t xml:space="preserve">  </w:t>
      </w:r>
    </w:p>
    <w:p w:rsidR="0023625D" w:rsidRPr="004106B6" w14:paraId="576219C2" w14:textId="77777777">
      <w:pPr>
        <w:pStyle w:val="TxBrp5"/>
        <w:spacing w:line="240" w:lineRule="auto"/>
        <w:ind w:firstLine="0"/>
        <w:rPr>
          <w:rFonts w:ascii="Arial" w:hAnsi="Arial"/>
          <w:sz w:val="20"/>
        </w:rPr>
      </w:pPr>
    </w:p>
    <w:p w:rsidR="0023625D" w:rsidRPr="004106B6" w:rsidP="008B30F0" w14:paraId="69830770" w14:textId="77777777">
      <w:pPr>
        <w:jc w:val="center"/>
        <w:rPr>
          <w:rFonts w:ascii="Arial" w:hAnsi="Arial" w:cs="Arial"/>
          <w:b/>
          <w:sz w:val="20"/>
        </w:rPr>
      </w:pPr>
      <w:r w:rsidRPr="004106B6">
        <w:rPr>
          <w:rFonts w:ascii="Arial" w:hAnsi="Arial" w:cs="Arial"/>
          <w:b/>
          <w:sz w:val="20"/>
        </w:rPr>
        <w:t>Table 2</w:t>
      </w:r>
    </w:p>
    <w:p w:rsidR="0023625D" w:rsidRPr="004106B6" w:rsidP="008B30F0" w14:paraId="62C14F8B" w14:textId="77777777">
      <w:pPr>
        <w:jc w:val="center"/>
        <w:rPr>
          <w:rFonts w:ascii="Arial" w:hAnsi="Arial" w:cs="Arial"/>
          <w:b/>
          <w:sz w:val="20"/>
        </w:rPr>
      </w:pPr>
      <w:r w:rsidRPr="004106B6">
        <w:rPr>
          <w:rFonts w:ascii="Arial" w:hAnsi="Arial" w:cs="Arial"/>
          <w:b/>
          <w:sz w:val="20"/>
        </w:rPr>
        <w:t>Chemical Testing: CFR, Subject and Affected Population</w:t>
      </w:r>
    </w:p>
    <w:p w:rsidR="0023625D" w:rsidRPr="004106B6" w:rsidP="008B30F0" w14:paraId="2D156B01" w14:textId="77777777">
      <w:pPr>
        <w:jc w:val="center"/>
        <w:rPr>
          <w:rFonts w:ascii="Arial" w:hAnsi="Arial" w:cs="Arial"/>
          <w:b/>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8010"/>
      </w:tblGrid>
      <w:tr w14:paraId="56F9BC70" w14:textId="7777777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350" w:type="dxa"/>
          </w:tcPr>
          <w:p w:rsidR="0023625D" w:rsidRPr="004106B6" w14:paraId="29B6C13C" w14:textId="77777777">
            <w:pPr>
              <w:pStyle w:val="TxBrp5"/>
              <w:keepNext/>
              <w:keepLines/>
              <w:widowControl/>
              <w:spacing w:line="240" w:lineRule="auto"/>
              <w:ind w:firstLine="0"/>
              <w:rPr>
                <w:rFonts w:ascii="Arial" w:hAnsi="Arial"/>
                <w:b/>
                <w:sz w:val="20"/>
              </w:rPr>
            </w:pPr>
            <w:r w:rsidRPr="004106B6">
              <w:rPr>
                <w:rFonts w:ascii="Arial" w:hAnsi="Arial"/>
                <w:b/>
                <w:sz w:val="20"/>
              </w:rPr>
              <w:t>46 CFR</w:t>
            </w:r>
          </w:p>
        </w:tc>
        <w:tc>
          <w:tcPr>
            <w:tcW w:w="8010" w:type="dxa"/>
          </w:tcPr>
          <w:p w:rsidR="0023625D" w:rsidRPr="004106B6" w14:paraId="631FD34A" w14:textId="77777777">
            <w:pPr>
              <w:pStyle w:val="TxBrp5"/>
              <w:keepNext/>
              <w:keepLines/>
              <w:widowControl/>
              <w:spacing w:line="240" w:lineRule="auto"/>
              <w:ind w:firstLine="0"/>
              <w:rPr>
                <w:rFonts w:ascii="Arial" w:hAnsi="Arial"/>
                <w:b/>
                <w:sz w:val="20"/>
              </w:rPr>
            </w:pPr>
            <w:r w:rsidRPr="004106B6">
              <w:rPr>
                <w:rFonts w:ascii="Arial" w:hAnsi="Arial"/>
                <w:b/>
                <w:sz w:val="20"/>
              </w:rPr>
              <w:t>Subject and Affected Population</w:t>
            </w:r>
          </w:p>
        </w:tc>
      </w:tr>
      <w:tr w14:paraId="69A0D68A" w14:textId="77777777">
        <w:tblPrEx>
          <w:tblW w:w="9360" w:type="dxa"/>
          <w:tblInd w:w="108" w:type="dxa"/>
          <w:tblLayout w:type="fixed"/>
          <w:tblLook w:val="0000"/>
        </w:tblPrEx>
        <w:tc>
          <w:tcPr>
            <w:tcW w:w="1350" w:type="dxa"/>
          </w:tcPr>
          <w:p w:rsidR="0023625D" w:rsidRPr="004106B6" w14:paraId="45BEE682" w14:textId="11571905">
            <w:pPr>
              <w:pStyle w:val="TxBrp5"/>
              <w:keepNext/>
              <w:keepLines/>
              <w:widowControl/>
              <w:spacing w:line="240" w:lineRule="auto"/>
              <w:ind w:firstLine="0"/>
              <w:rPr>
                <w:rFonts w:ascii="Arial" w:hAnsi="Arial"/>
                <w:sz w:val="20"/>
              </w:rPr>
            </w:pPr>
            <w:r w:rsidRPr="004106B6">
              <w:rPr>
                <w:rFonts w:ascii="Arial" w:hAnsi="Arial"/>
                <w:sz w:val="20"/>
              </w:rPr>
              <w:t>16.201(c)</w:t>
            </w:r>
          </w:p>
        </w:tc>
        <w:tc>
          <w:tcPr>
            <w:tcW w:w="8010" w:type="dxa"/>
          </w:tcPr>
          <w:p w:rsidR="0023625D" w:rsidRPr="004106B6" w14:paraId="479DF08D" w14:textId="77777777">
            <w:pPr>
              <w:pStyle w:val="TxBrp5"/>
              <w:keepNext/>
              <w:keepLines/>
              <w:widowControl/>
              <w:spacing w:line="240" w:lineRule="auto"/>
              <w:ind w:firstLine="0"/>
              <w:rPr>
                <w:rFonts w:ascii="Arial" w:hAnsi="Arial"/>
                <w:b/>
                <w:sz w:val="20"/>
              </w:rPr>
            </w:pPr>
            <w:r w:rsidRPr="004106B6">
              <w:rPr>
                <w:rFonts w:ascii="Arial" w:hAnsi="Arial"/>
                <w:b/>
                <w:sz w:val="20"/>
              </w:rPr>
              <w:t>Positive drug/alcohol test report.</w:t>
            </w:r>
          </w:p>
          <w:p w:rsidR="0023625D" w:rsidRPr="004106B6" w14:paraId="11223D92" w14:textId="55679A80">
            <w:pPr>
              <w:pStyle w:val="TxBrp5"/>
              <w:keepNext/>
              <w:keepLines/>
              <w:widowControl/>
              <w:numPr>
                <w:ilvl w:val="0"/>
                <w:numId w:val="10"/>
              </w:numPr>
              <w:tabs>
                <w:tab w:val="num" w:pos="432"/>
                <w:tab w:val="clear" w:pos="720"/>
              </w:tabs>
              <w:spacing w:line="240" w:lineRule="auto"/>
              <w:ind w:left="432"/>
              <w:rPr>
                <w:rFonts w:ascii="Arial" w:hAnsi="Arial"/>
                <w:b/>
                <w:sz w:val="20"/>
              </w:rPr>
            </w:pPr>
            <w:r w:rsidRPr="004106B6">
              <w:rPr>
                <w:rFonts w:ascii="Arial" w:hAnsi="Arial"/>
                <w:bCs/>
                <w:sz w:val="20"/>
              </w:rPr>
              <w:t>Employers are required to report positive results to the OCMI</w:t>
            </w:r>
            <w:r w:rsidRPr="004106B6" w:rsidR="00F9267D">
              <w:rPr>
                <w:rFonts w:ascii="Arial" w:hAnsi="Arial"/>
                <w:bCs/>
                <w:sz w:val="20"/>
              </w:rPr>
              <w:t>.</w:t>
            </w:r>
          </w:p>
        </w:tc>
      </w:tr>
      <w:tr w14:paraId="012820B6" w14:textId="77777777">
        <w:tblPrEx>
          <w:tblW w:w="9360" w:type="dxa"/>
          <w:tblInd w:w="108" w:type="dxa"/>
          <w:tblLayout w:type="fixed"/>
          <w:tblLook w:val="0000"/>
        </w:tblPrEx>
        <w:tc>
          <w:tcPr>
            <w:tcW w:w="1350" w:type="dxa"/>
          </w:tcPr>
          <w:p w:rsidR="0023625D" w:rsidRPr="004106B6" w14:paraId="5A53576E" w14:textId="77777777">
            <w:pPr>
              <w:pStyle w:val="TxBrp5"/>
              <w:keepNext/>
              <w:keepLines/>
              <w:widowControl/>
              <w:spacing w:line="240" w:lineRule="auto"/>
              <w:ind w:firstLine="0"/>
              <w:rPr>
                <w:rFonts w:ascii="Arial" w:hAnsi="Arial"/>
                <w:sz w:val="20"/>
              </w:rPr>
            </w:pPr>
            <w:r w:rsidRPr="004106B6">
              <w:rPr>
                <w:rFonts w:ascii="Arial" w:hAnsi="Arial"/>
                <w:sz w:val="20"/>
              </w:rPr>
              <w:t>16.207</w:t>
            </w:r>
          </w:p>
        </w:tc>
        <w:tc>
          <w:tcPr>
            <w:tcW w:w="8010" w:type="dxa"/>
          </w:tcPr>
          <w:p w:rsidR="0023625D" w:rsidRPr="004106B6" w14:paraId="4A4DF4FF" w14:textId="77777777">
            <w:pPr>
              <w:pStyle w:val="TxBrp5"/>
              <w:keepNext/>
              <w:keepLines/>
              <w:widowControl/>
              <w:spacing w:line="240" w:lineRule="auto"/>
              <w:ind w:firstLine="0"/>
              <w:rPr>
                <w:rFonts w:ascii="Arial" w:hAnsi="Arial"/>
                <w:b/>
                <w:sz w:val="20"/>
              </w:rPr>
            </w:pPr>
            <w:r w:rsidRPr="004106B6">
              <w:rPr>
                <w:rFonts w:ascii="Arial" w:hAnsi="Arial"/>
                <w:b/>
                <w:sz w:val="20"/>
              </w:rPr>
              <w:t xml:space="preserve">Foreign Laws Exemption Program. </w:t>
            </w:r>
          </w:p>
          <w:p w:rsidR="0023625D" w:rsidRPr="004106B6" w14:paraId="2BBCB2E7" w14:textId="77777777">
            <w:pPr>
              <w:pStyle w:val="TxBrp5"/>
              <w:keepNext/>
              <w:keepLines/>
              <w:widowControl/>
              <w:numPr>
                <w:ilvl w:val="0"/>
                <w:numId w:val="10"/>
              </w:numPr>
              <w:tabs>
                <w:tab w:val="num" w:pos="432"/>
                <w:tab w:val="clear" w:pos="720"/>
              </w:tabs>
              <w:spacing w:line="240" w:lineRule="auto"/>
              <w:ind w:left="432"/>
              <w:rPr>
                <w:rFonts w:ascii="Arial" w:hAnsi="Arial"/>
                <w:bCs/>
                <w:sz w:val="20"/>
              </w:rPr>
            </w:pPr>
            <w:r w:rsidRPr="004106B6">
              <w:rPr>
                <w:rFonts w:ascii="Arial" w:hAnsi="Arial"/>
                <w:bCs/>
                <w:sz w:val="20"/>
              </w:rPr>
              <w:t xml:space="preserve">Employers of U.S. citizens operating in foreign waters may, under certain circumstances, request exemption from these drug-testing requirements. </w:t>
            </w:r>
          </w:p>
        </w:tc>
      </w:tr>
      <w:tr w14:paraId="25DEB0DF" w14:textId="77777777">
        <w:tblPrEx>
          <w:tblW w:w="9360" w:type="dxa"/>
          <w:tblInd w:w="108" w:type="dxa"/>
          <w:tblLayout w:type="fixed"/>
          <w:tblLook w:val="0000"/>
        </w:tblPrEx>
        <w:tc>
          <w:tcPr>
            <w:tcW w:w="1350" w:type="dxa"/>
          </w:tcPr>
          <w:p w:rsidR="0023625D" w:rsidRPr="004106B6" w14:paraId="7B7BA2F5" w14:textId="77777777">
            <w:pPr>
              <w:pStyle w:val="TxBrp5"/>
              <w:keepNext/>
              <w:keepLines/>
              <w:widowControl/>
              <w:spacing w:line="240" w:lineRule="auto"/>
              <w:ind w:firstLine="0"/>
              <w:rPr>
                <w:rFonts w:ascii="Arial" w:hAnsi="Arial"/>
                <w:sz w:val="20"/>
              </w:rPr>
            </w:pPr>
            <w:r w:rsidRPr="004106B6">
              <w:rPr>
                <w:rFonts w:ascii="Arial" w:hAnsi="Arial"/>
                <w:sz w:val="20"/>
              </w:rPr>
              <w:t>16.220</w:t>
            </w:r>
          </w:p>
        </w:tc>
        <w:tc>
          <w:tcPr>
            <w:tcW w:w="8010" w:type="dxa"/>
          </w:tcPr>
          <w:p w:rsidR="0023625D" w:rsidRPr="004106B6" w14:paraId="51277DBA" w14:textId="77777777">
            <w:pPr>
              <w:pStyle w:val="TxBrp5"/>
              <w:keepNext/>
              <w:keepLines/>
              <w:widowControl/>
              <w:spacing w:line="240" w:lineRule="auto"/>
              <w:ind w:firstLine="0"/>
              <w:rPr>
                <w:rFonts w:ascii="Arial" w:hAnsi="Arial"/>
                <w:b/>
                <w:sz w:val="20"/>
              </w:rPr>
            </w:pPr>
            <w:r w:rsidRPr="004106B6">
              <w:rPr>
                <w:rFonts w:ascii="Arial" w:hAnsi="Arial"/>
                <w:b/>
                <w:sz w:val="20"/>
              </w:rPr>
              <w:t>Periodic testing requirements.</w:t>
            </w:r>
          </w:p>
          <w:p w:rsidR="0023625D" w:rsidRPr="004106B6" w14:paraId="730F1D29"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All applicants for original issuance or a renewal of a license, a certificate of registry, or a merchant mariner’s document, are required to provide results of a chemical test or evidence of participation in a random testing program.</w:t>
            </w:r>
          </w:p>
        </w:tc>
      </w:tr>
      <w:tr w14:paraId="40116081" w14:textId="77777777">
        <w:tblPrEx>
          <w:tblW w:w="9360" w:type="dxa"/>
          <w:tblInd w:w="108" w:type="dxa"/>
          <w:tblLayout w:type="fixed"/>
          <w:tblLook w:val="0000"/>
        </w:tblPrEx>
        <w:tc>
          <w:tcPr>
            <w:tcW w:w="1350" w:type="dxa"/>
          </w:tcPr>
          <w:p w:rsidR="0023625D" w:rsidRPr="004106B6" w14:paraId="6B3421F7" w14:textId="029EF77F">
            <w:pPr>
              <w:pStyle w:val="TxBrp5"/>
              <w:keepNext/>
              <w:keepLines/>
              <w:widowControl/>
              <w:spacing w:line="240" w:lineRule="auto"/>
              <w:ind w:firstLine="0"/>
              <w:rPr>
                <w:rFonts w:ascii="Arial" w:hAnsi="Arial"/>
                <w:sz w:val="20"/>
              </w:rPr>
            </w:pPr>
            <w:r w:rsidRPr="004106B6">
              <w:rPr>
                <w:rFonts w:ascii="Arial" w:hAnsi="Arial"/>
                <w:sz w:val="20"/>
              </w:rPr>
              <w:t>16.250(c) and (d)</w:t>
            </w:r>
          </w:p>
        </w:tc>
        <w:tc>
          <w:tcPr>
            <w:tcW w:w="8010" w:type="dxa"/>
          </w:tcPr>
          <w:p w:rsidR="0023625D" w:rsidRPr="004106B6" w14:paraId="4A080175" w14:textId="77777777">
            <w:pPr>
              <w:pStyle w:val="TxBrp5"/>
              <w:keepNext/>
              <w:keepLines/>
              <w:widowControl/>
              <w:spacing w:line="240" w:lineRule="auto"/>
              <w:ind w:firstLine="0"/>
              <w:rPr>
                <w:rFonts w:ascii="Arial" w:hAnsi="Arial"/>
                <w:b/>
                <w:sz w:val="20"/>
              </w:rPr>
            </w:pPr>
            <w:r w:rsidRPr="004106B6">
              <w:rPr>
                <w:rFonts w:ascii="Arial" w:hAnsi="Arial"/>
                <w:b/>
                <w:sz w:val="20"/>
              </w:rPr>
              <w:t>Reasonable cause testing requirement.</w:t>
            </w:r>
          </w:p>
          <w:p w:rsidR="0023625D" w:rsidRPr="004106B6" w14:paraId="302CC1BE"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 xml:space="preserve">When the marine employer requires testing of an individual based upon a reasonable suspicion of drug or alcohol use, the individual must be informed of that fact and directed to provide a urine specimen.  This fact shall be entered in the vessel’s official logbook, if one is required.  If an individual involved in a </w:t>
            </w:r>
            <w:r w:rsidRPr="004106B6">
              <w:rPr>
                <w:rFonts w:ascii="Arial" w:hAnsi="Arial"/>
                <w:sz w:val="20"/>
              </w:rPr>
              <w:t>SMI refuses</w:t>
            </w:r>
            <w:r w:rsidRPr="004106B6">
              <w:rPr>
                <w:rFonts w:ascii="Arial" w:hAnsi="Arial"/>
                <w:sz w:val="20"/>
              </w:rPr>
              <w:t xml:space="preserve"> to provide a urine specimen when directed to do so by the employer, this fact shall be entered in the vessel’s official logbook if one is required.</w:t>
            </w:r>
          </w:p>
        </w:tc>
      </w:tr>
      <w:tr w14:paraId="38226481" w14:textId="77777777">
        <w:tblPrEx>
          <w:tblW w:w="9360" w:type="dxa"/>
          <w:tblInd w:w="108" w:type="dxa"/>
          <w:tblLayout w:type="fixed"/>
          <w:tblLook w:val="0000"/>
        </w:tblPrEx>
        <w:tc>
          <w:tcPr>
            <w:tcW w:w="1350" w:type="dxa"/>
          </w:tcPr>
          <w:p w:rsidR="0023625D" w:rsidRPr="004106B6" w14:paraId="75AFFD77" w14:textId="77777777">
            <w:pPr>
              <w:pStyle w:val="TxBrp5"/>
              <w:keepNext/>
              <w:keepLines/>
              <w:widowControl/>
              <w:spacing w:line="240" w:lineRule="auto"/>
              <w:ind w:firstLine="0"/>
              <w:rPr>
                <w:rFonts w:ascii="Arial" w:hAnsi="Arial"/>
                <w:sz w:val="20"/>
              </w:rPr>
            </w:pPr>
            <w:r w:rsidRPr="004106B6">
              <w:rPr>
                <w:rFonts w:ascii="Arial" w:hAnsi="Arial"/>
                <w:sz w:val="20"/>
              </w:rPr>
              <w:t>16.401(a) and (b)</w:t>
            </w:r>
          </w:p>
        </w:tc>
        <w:tc>
          <w:tcPr>
            <w:tcW w:w="8010" w:type="dxa"/>
          </w:tcPr>
          <w:p w:rsidR="0023625D" w:rsidRPr="004106B6" w14:paraId="7B9BBECE" w14:textId="77777777">
            <w:pPr>
              <w:pStyle w:val="TxBrp5"/>
              <w:keepNext/>
              <w:keepLines/>
              <w:widowControl/>
              <w:spacing w:line="240" w:lineRule="auto"/>
              <w:ind w:firstLine="0"/>
              <w:rPr>
                <w:rFonts w:ascii="Arial" w:hAnsi="Arial"/>
                <w:b/>
                <w:sz w:val="20"/>
              </w:rPr>
            </w:pPr>
            <w:r w:rsidRPr="004106B6">
              <w:rPr>
                <w:rFonts w:ascii="Arial" w:hAnsi="Arial"/>
                <w:b/>
                <w:sz w:val="20"/>
              </w:rPr>
              <w:t>Employee assistance program education and training.</w:t>
            </w:r>
          </w:p>
          <w:p w:rsidR="0023625D" w:rsidRPr="004106B6" w14:paraId="20F3D95A"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 xml:space="preserve">All employers are required to provide an Employee Assistance Program.  </w:t>
            </w:r>
          </w:p>
          <w:p w:rsidR="0023625D" w:rsidRPr="004106B6" w14:paraId="45E6168E"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In the program, the displaying and distribution of informational material is required.</w:t>
            </w:r>
          </w:p>
          <w:p w:rsidR="0023625D" w:rsidRPr="004106B6" w14:paraId="26FC1CA8"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The documentation of training given to crewmembers and the employer’s supervisor personnel is required.</w:t>
            </w:r>
          </w:p>
          <w:p w:rsidR="0023625D" w:rsidRPr="004106B6" w14:paraId="30E40F0E" w14:textId="77777777">
            <w:pPr>
              <w:pStyle w:val="TxBrp5"/>
              <w:keepNext/>
              <w:keepLines/>
              <w:widowControl/>
              <w:numPr>
                <w:ilvl w:val="0"/>
                <w:numId w:val="12"/>
              </w:numPr>
              <w:spacing w:line="240" w:lineRule="auto"/>
              <w:rPr>
                <w:rFonts w:ascii="Arial" w:hAnsi="Arial"/>
                <w:sz w:val="20"/>
              </w:rPr>
            </w:pPr>
            <w:r w:rsidRPr="004106B6">
              <w:rPr>
                <w:rFonts w:ascii="Arial" w:hAnsi="Arial"/>
                <w:sz w:val="20"/>
              </w:rPr>
              <w:t>The documentation that supervisory personnel received 60 minutes of training is also required.</w:t>
            </w:r>
          </w:p>
        </w:tc>
      </w:tr>
    </w:tbl>
    <w:p w:rsidR="0023625D" w:rsidRPr="003019EE" w14:paraId="1A76693B" w14:textId="77777777">
      <w:pPr>
        <w:pStyle w:val="TxBrp5"/>
        <w:spacing w:line="240" w:lineRule="auto"/>
        <w:ind w:firstLine="0"/>
        <w:rPr>
          <w:rFonts w:ascii="Arial" w:hAnsi="Arial"/>
          <w:bCs/>
          <w:iCs/>
          <w:sz w:val="20"/>
        </w:rPr>
      </w:pPr>
    </w:p>
    <w:p w:rsidR="00521679" w:rsidRPr="003019EE" w14:paraId="4BAFB108" w14:textId="60CA3100">
      <w:pPr>
        <w:pStyle w:val="TxBrp5"/>
        <w:spacing w:line="240" w:lineRule="auto"/>
        <w:ind w:firstLine="0"/>
        <w:rPr>
          <w:rFonts w:ascii="Arial" w:hAnsi="Arial"/>
          <w:bCs/>
          <w:iCs/>
          <w:sz w:val="20"/>
        </w:rPr>
      </w:pPr>
      <w:r w:rsidRPr="003019EE">
        <w:rPr>
          <w:rFonts w:ascii="Arial" w:hAnsi="Arial"/>
          <w:bCs/>
          <w:iCs/>
          <w:sz w:val="20"/>
        </w:rPr>
        <w:t xml:space="preserve">The statutory authority for the requirements is </w:t>
      </w:r>
      <w:r w:rsidRPr="00471CDC">
        <w:rPr>
          <w:rFonts w:ascii="Arial" w:hAnsi="Arial"/>
          <w:bCs/>
          <w:iCs/>
          <w:sz w:val="20"/>
        </w:rPr>
        <w:t>18 U.S</w:t>
      </w:r>
      <w:r w:rsidR="00AA2595">
        <w:rPr>
          <w:rFonts w:ascii="Arial" w:hAnsi="Arial"/>
          <w:bCs/>
          <w:iCs/>
          <w:sz w:val="20"/>
        </w:rPr>
        <w:t>.</w:t>
      </w:r>
      <w:r w:rsidRPr="00471CDC">
        <w:rPr>
          <w:rFonts w:ascii="Arial" w:hAnsi="Arial"/>
          <w:bCs/>
          <w:iCs/>
          <w:sz w:val="20"/>
        </w:rPr>
        <w:t>C</w:t>
      </w:r>
      <w:r w:rsidRPr="00472FBB" w:rsidR="00CD64F3">
        <w:rPr>
          <w:rFonts w:ascii="Arial" w:hAnsi="Arial"/>
          <w:bCs/>
          <w:iCs/>
          <w:sz w:val="20"/>
        </w:rPr>
        <w:t>.</w:t>
      </w:r>
      <w:r w:rsidRPr="00472FBB">
        <w:rPr>
          <w:rFonts w:ascii="Arial" w:hAnsi="Arial"/>
          <w:bCs/>
          <w:iCs/>
          <w:sz w:val="20"/>
        </w:rPr>
        <w:t xml:space="preserve"> </w:t>
      </w:r>
      <w:r w:rsidRPr="003019EE">
        <w:rPr>
          <w:rFonts w:ascii="Arial" w:hAnsi="Arial"/>
          <w:bCs/>
          <w:iCs/>
          <w:sz w:val="20"/>
        </w:rPr>
        <w:t>Chapter 17A</w:t>
      </w:r>
      <w:r w:rsidRPr="00472FBB">
        <w:rPr>
          <w:rFonts w:ascii="Arial" w:hAnsi="Arial"/>
          <w:bCs/>
          <w:iCs/>
          <w:sz w:val="20"/>
        </w:rPr>
        <w:t xml:space="preserve">, </w:t>
      </w:r>
      <w:r w:rsidRPr="003019EE" w:rsidR="00471CDC">
        <w:rPr>
          <w:rFonts w:ascii="Arial" w:hAnsi="Arial"/>
          <w:bCs/>
          <w:iCs/>
          <w:sz w:val="20"/>
        </w:rPr>
        <w:t xml:space="preserve">43 U.S.C. 1333, </w:t>
      </w:r>
      <w:r w:rsidRPr="00472FBB">
        <w:rPr>
          <w:rFonts w:ascii="Arial" w:hAnsi="Arial"/>
          <w:bCs/>
          <w:iCs/>
          <w:sz w:val="20"/>
        </w:rPr>
        <w:t xml:space="preserve">46 U.S.C. </w:t>
      </w:r>
      <w:r w:rsidRPr="003019EE" w:rsidR="00471CDC">
        <w:rPr>
          <w:rFonts w:ascii="Arial" w:hAnsi="Arial"/>
          <w:bCs/>
          <w:iCs/>
          <w:sz w:val="20"/>
        </w:rPr>
        <w:t xml:space="preserve">2103, </w:t>
      </w:r>
      <w:r w:rsidRPr="00472FBB">
        <w:rPr>
          <w:rFonts w:ascii="Arial" w:hAnsi="Arial"/>
          <w:bCs/>
          <w:iCs/>
          <w:sz w:val="20"/>
        </w:rPr>
        <w:t xml:space="preserve">2302, </w:t>
      </w:r>
      <w:r w:rsidRPr="00472FBB" w:rsidR="00471CDC">
        <w:rPr>
          <w:rFonts w:ascii="Arial" w:hAnsi="Arial"/>
          <w:bCs/>
          <w:iCs/>
          <w:sz w:val="20"/>
        </w:rPr>
        <w:t>2303a, 2306</w:t>
      </w:r>
      <w:r w:rsidRPr="003019EE" w:rsidR="00471CDC">
        <w:rPr>
          <w:rFonts w:ascii="Arial" w:hAnsi="Arial"/>
          <w:bCs/>
          <w:iCs/>
          <w:sz w:val="20"/>
        </w:rPr>
        <w:t xml:space="preserve">, </w:t>
      </w:r>
      <w:r w:rsidRPr="003019EE" w:rsidR="00684803">
        <w:rPr>
          <w:rFonts w:ascii="Arial" w:hAnsi="Arial"/>
          <w:bCs/>
          <w:iCs/>
          <w:sz w:val="20"/>
        </w:rPr>
        <w:t xml:space="preserve">3306, </w:t>
      </w:r>
      <w:r w:rsidRPr="00472FBB">
        <w:rPr>
          <w:rFonts w:ascii="Arial" w:hAnsi="Arial"/>
          <w:bCs/>
          <w:iCs/>
          <w:sz w:val="20"/>
        </w:rPr>
        <w:t xml:space="preserve">6101, 6301, </w:t>
      </w:r>
      <w:r w:rsidRPr="00472FBB" w:rsidR="001B78B6">
        <w:rPr>
          <w:rFonts w:ascii="Arial" w:hAnsi="Arial"/>
          <w:bCs/>
          <w:iCs/>
          <w:sz w:val="20"/>
        </w:rPr>
        <w:t xml:space="preserve">6305, </w:t>
      </w:r>
      <w:r w:rsidRPr="003019EE" w:rsidR="00684803">
        <w:rPr>
          <w:rFonts w:ascii="Arial" w:hAnsi="Arial"/>
          <w:bCs/>
          <w:iCs/>
          <w:sz w:val="20"/>
        </w:rPr>
        <w:t xml:space="preserve">7101, 7301, </w:t>
      </w:r>
      <w:r w:rsidRPr="00472FBB">
        <w:rPr>
          <w:rFonts w:ascii="Arial" w:hAnsi="Arial"/>
          <w:bCs/>
          <w:iCs/>
          <w:sz w:val="20"/>
        </w:rPr>
        <w:t>7503</w:t>
      </w:r>
      <w:r w:rsidRPr="00472FBB" w:rsidR="00471CDC">
        <w:rPr>
          <w:rFonts w:ascii="Arial" w:hAnsi="Arial"/>
          <w:bCs/>
          <w:iCs/>
          <w:sz w:val="20"/>
        </w:rPr>
        <w:t>,</w:t>
      </w:r>
      <w:r w:rsidRPr="003019EE">
        <w:rPr>
          <w:rFonts w:ascii="Arial" w:hAnsi="Arial"/>
          <w:bCs/>
          <w:iCs/>
          <w:sz w:val="20"/>
        </w:rPr>
        <w:t xml:space="preserve"> </w:t>
      </w:r>
      <w:r w:rsidRPr="003019EE" w:rsidR="00684803">
        <w:rPr>
          <w:rFonts w:ascii="Arial" w:hAnsi="Arial"/>
          <w:bCs/>
          <w:iCs/>
          <w:sz w:val="20"/>
        </w:rPr>
        <w:t xml:space="preserve">7701, </w:t>
      </w:r>
      <w:r w:rsidRPr="00472FBB">
        <w:rPr>
          <w:rFonts w:ascii="Arial" w:hAnsi="Arial"/>
          <w:bCs/>
          <w:iCs/>
          <w:sz w:val="20"/>
        </w:rPr>
        <w:t>7704</w:t>
      </w:r>
      <w:r w:rsidRPr="00472FBB" w:rsidR="00471CDC">
        <w:rPr>
          <w:rFonts w:ascii="Arial" w:hAnsi="Arial"/>
          <w:bCs/>
          <w:iCs/>
          <w:sz w:val="20"/>
        </w:rPr>
        <w:t>, 56311 and 70034</w:t>
      </w:r>
      <w:r w:rsidRPr="00684803">
        <w:rPr>
          <w:rFonts w:ascii="Arial" w:hAnsi="Arial"/>
          <w:bCs/>
          <w:iCs/>
          <w:sz w:val="20"/>
        </w:rPr>
        <w:t>.</w:t>
      </w:r>
      <w:r>
        <w:rPr>
          <w:rFonts w:ascii="Arial" w:hAnsi="Arial"/>
          <w:bCs/>
          <w:iCs/>
          <w:sz w:val="20"/>
        </w:rPr>
        <w:t xml:space="preserve">  </w:t>
      </w:r>
    </w:p>
    <w:p w:rsidR="00521679" w:rsidRPr="003019EE" w14:paraId="2E276D61" w14:textId="77777777">
      <w:pPr>
        <w:pStyle w:val="TxBrp5"/>
        <w:spacing w:line="240" w:lineRule="auto"/>
        <w:ind w:firstLine="0"/>
        <w:rPr>
          <w:rFonts w:ascii="Arial" w:hAnsi="Arial"/>
          <w:bCs/>
          <w:iCs/>
          <w:sz w:val="20"/>
        </w:rPr>
      </w:pPr>
    </w:p>
    <w:p w:rsidR="0023625D" w:rsidRPr="00D064B6" w14:paraId="2C5FD87B" w14:textId="77777777">
      <w:pPr>
        <w:pStyle w:val="TxBrp4"/>
        <w:spacing w:line="240" w:lineRule="auto"/>
        <w:rPr>
          <w:rFonts w:ascii="Arial" w:hAnsi="Arial"/>
          <w:sz w:val="20"/>
        </w:rPr>
      </w:pPr>
      <w:r w:rsidRPr="00D064B6">
        <w:rPr>
          <w:rFonts w:ascii="Arial" w:hAnsi="Arial"/>
          <w:sz w:val="20"/>
        </w:rPr>
        <w:t xml:space="preserve">2)  </w:t>
      </w:r>
      <w:r w:rsidRPr="00D064B6">
        <w:rPr>
          <w:rFonts w:ascii="Arial" w:hAnsi="Arial"/>
          <w:sz w:val="20"/>
          <w:u w:val="single"/>
        </w:rPr>
        <w:t>Purpose of the information collection</w:t>
      </w:r>
      <w:r w:rsidRPr="00D064B6">
        <w:rPr>
          <w:rFonts w:ascii="Arial" w:hAnsi="Arial"/>
          <w:sz w:val="20"/>
        </w:rPr>
        <w:t>.</w:t>
      </w:r>
      <w:r w:rsidR="00D064B6">
        <w:rPr>
          <w:rFonts w:ascii="Arial" w:hAnsi="Arial"/>
          <w:sz w:val="20"/>
        </w:rPr>
        <w:t xml:space="preserve">  </w:t>
      </w:r>
    </w:p>
    <w:p w:rsidR="0023625D" w:rsidRPr="004106B6" w14:paraId="7400B9B4" w14:textId="77777777">
      <w:pPr>
        <w:tabs>
          <w:tab w:val="left" w:pos="583"/>
        </w:tabs>
        <w:rPr>
          <w:rFonts w:ascii="Arial" w:hAnsi="Arial"/>
          <w:sz w:val="20"/>
        </w:rPr>
      </w:pPr>
    </w:p>
    <w:p w:rsidR="0023625D" w:rsidRPr="004106B6" w14:paraId="5AE1121E" w14:textId="77777777">
      <w:pPr>
        <w:pStyle w:val="TxBrp6"/>
        <w:spacing w:line="240" w:lineRule="auto"/>
        <w:rPr>
          <w:rFonts w:ascii="Arial" w:hAnsi="Arial"/>
          <w:bCs/>
          <w:i/>
          <w:iCs/>
          <w:sz w:val="20"/>
        </w:rPr>
      </w:pPr>
      <w:r w:rsidRPr="004106B6">
        <w:rPr>
          <w:rFonts w:ascii="Arial" w:hAnsi="Arial"/>
          <w:bCs/>
          <w:i/>
          <w:iCs/>
          <w:sz w:val="20"/>
        </w:rPr>
        <w:t xml:space="preserve">I.  </w:t>
      </w:r>
      <w:r w:rsidRPr="004106B6" w:rsidR="00D46241">
        <w:rPr>
          <w:rFonts w:ascii="Arial" w:hAnsi="Arial"/>
          <w:bCs/>
          <w:i/>
          <w:iCs/>
          <w:sz w:val="20"/>
        </w:rPr>
        <w:t xml:space="preserve">Report of </w:t>
      </w:r>
      <w:r w:rsidRPr="004106B6">
        <w:rPr>
          <w:rFonts w:ascii="Arial" w:hAnsi="Arial"/>
          <w:bCs/>
          <w:i/>
          <w:iCs/>
          <w:sz w:val="20"/>
        </w:rPr>
        <w:t>Marine Casualt</w:t>
      </w:r>
      <w:r w:rsidR="009F6F87">
        <w:rPr>
          <w:rFonts w:ascii="Arial" w:hAnsi="Arial"/>
          <w:bCs/>
          <w:i/>
          <w:iCs/>
          <w:sz w:val="20"/>
        </w:rPr>
        <w:t>y</w:t>
      </w:r>
    </w:p>
    <w:p w:rsidR="0023625D" w:rsidRPr="004106B6" w14:paraId="0781001D" w14:textId="50F56DB7">
      <w:pPr>
        <w:pStyle w:val="TxBrp5"/>
        <w:spacing w:line="240" w:lineRule="auto"/>
        <w:ind w:firstLine="0"/>
        <w:rPr>
          <w:rFonts w:ascii="Arial" w:hAnsi="Arial"/>
          <w:sz w:val="20"/>
        </w:rPr>
      </w:pPr>
      <w:r w:rsidRPr="004106B6">
        <w:rPr>
          <w:rFonts w:ascii="Arial" w:hAnsi="Arial" w:cs="Arial"/>
          <w:sz w:val="20"/>
        </w:rPr>
        <w:t xml:space="preserve">Title </w:t>
      </w:r>
      <w:r w:rsidRPr="004106B6" w:rsidR="000752FF">
        <w:rPr>
          <w:rFonts w:ascii="Arial" w:hAnsi="Arial" w:cs="Arial"/>
          <w:sz w:val="20"/>
        </w:rPr>
        <w:t xml:space="preserve">46 CFR 4.05.1 requires that "the owner, agent, master, operator, or person in charge, shall notify the nearest Sector Office, Marine Inspection Office or Coast Guard Group Office whenever a vessel is involved in a marine casualty.  </w:t>
      </w:r>
      <w:r w:rsidRPr="004106B6">
        <w:rPr>
          <w:rFonts w:ascii="Arial" w:hAnsi="Arial"/>
          <w:sz w:val="20"/>
        </w:rPr>
        <w:t>Receipt of a marine casualty report (CG-2692) is often the only way in which the Coast Guard becomes aware of a marine accident.  It is therefore a necessary first step that provides the Coast Guard with the opportunity to determine the extent to which a casualty will be investigated.  In the short term, the information provided in the report may also trigger: (a) corrective safety actions addressing immediate hazards or defective conditions; (b) further investigations of mariners’ conduct or professional competence; and/or, (c) civil or criminal enforcement actions by the Coast Guard, other Federal agencies, or state and local authorities.</w:t>
      </w:r>
      <w:r w:rsidR="001D5E9B">
        <w:rPr>
          <w:rFonts w:ascii="Arial" w:hAnsi="Arial"/>
          <w:sz w:val="20"/>
        </w:rPr>
        <w:t xml:space="preserve">  For a marine casualty involving multiple barges, a form CG-2692A (Barge Addendum) may be used to report data for barges causing or sustaining damage in the accident described on form CG-2692.  This form may only be used in addition to form CG-2692, never alone.  </w:t>
      </w:r>
      <w:r w:rsidR="00B63712">
        <w:rPr>
          <w:rFonts w:ascii="Arial" w:hAnsi="Arial"/>
          <w:sz w:val="20"/>
        </w:rPr>
        <w:t>F</w:t>
      </w:r>
      <w:r w:rsidR="00363747">
        <w:rPr>
          <w:rFonts w:ascii="Arial" w:hAnsi="Arial"/>
          <w:sz w:val="20"/>
        </w:rPr>
        <w:t xml:space="preserve">orms CG-2692C (Personnel Casualty </w:t>
      </w:r>
      <w:r w:rsidR="000D3595">
        <w:rPr>
          <w:rFonts w:ascii="Arial" w:hAnsi="Arial"/>
          <w:sz w:val="20"/>
        </w:rPr>
        <w:t>Addendum</w:t>
      </w:r>
      <w:r w:rsidR="00363747">
        <w:rPr>
          <w:rFonts w:ascii="Arial" w:hAnsi="Arial"/>
          <w:sz w:val="20"/>
        </w:rPr>
        <w:t xml:space="preserve">) and CG-2692D (Involved Person and Witnesses Addendum) may also be used in conjunction with form CG-2692 as needed.  </w:t>
      </w:r>
    </w:p>
    <w:p w:rsidR="0023625D" w:rsidRPr="004106B6" w14:paraId="7AEE0BA2" w14:textId="77777777">
      <w:pPr>
        <w:pStyle w:val="TxBrp5"/>
        <w:spacing w:line="240" w:lineRule="auto"/>
        <w:ind w:firstLine="0"/>
        <w:rPr>
          <w:rFonts w:ascii="Arial" w:hAnsi="Arial"/>
          <w:sz w:val="20"/>
        </w:rPr>
      </w:pPr>
    </w:p>
    <w:p w:rsidR="0023625D" w:rsidRPr="004106B6" w14:paraId="19414169" w14:textId="77777777">
      <w:pPr>
        <w:pStyle w:val="TxBrp5"/>
        <w:spacing w:line="240" w:lineRule="auto"/>
        <w:ind w:firstLine="0"/>
        <w:rPr>
          <w:rFonts w:ascii="Arial" w:hAnsi="Arial"/>
          <w:sz w:val="20"/>
        </w:rPr>
      </w:pPr>
      <w:r w:rsidRPr="004106B6">
        <w:rPr>
          <w:rFonts w:ascii="Arial" w:hAnsi="Arial"/>
          <w:sz w:val="20"/>
        </w:rPr>
        <w:t xml:space="preserve">Form CG-2692B </w:t>
      </w:r>
      <w:r w:rsidRPr="004106B6">
        <w:rPr>
          <w:rFonts w:ascii="Arial" w:hAnsi="Arial"/>
          <w:sz w:val="20"/>
        </w:rPr>
        <w:t>in particular will</w:t>
      </w:r>
      <w:r w:rsidRPr="004106B6">
        <w:rPr>
          <w:rFonts w:ascii="Arial" w:hAnsi="Arial"/>
          <w:sz w:val="20"/>
        </w:rPr>
        <w:t xml:space="preserve"> be utilized for reporting chemical testing following serious marine incidents.  The </w:t>
      </w:r>
      <w:r w:rsidRPr="004106B6" w:rsidR="00924925">
        <w:rPr>
          <w:rFonts w:ascii="Arial" w:hAnsi="Arial"/>
          <w:sz w:val="20"/>
        </w:rPr>
        <w:t>two</w:t>
      </w:r>
      <w:r w:rsidRPr="004106B6">
        <w:rPr>
          <w:rFonts w:ascii="Arial" w:hAnsi="Arial"/>
          <w:sz w:val="20"/>
        </w:rPr>
        <w:t xml:space="preserve">-page form will capture elementary information on the incident category, names of individuals directly involved, whether urine, blood, or breath samples were obtained, and where the samples have been sent for analysis.  The Coast Guard can use this critical information to: (a) initiate administrative action against a commercial mariner’s right to continue holding seaman’s papers, (b) initiate civil or criminal penalty action when an individual has been found to be operating a vessel while intoxicated, </w:t>
      </w:r>
      <w:r w:rsidRPr="004106B6">
        <w:rPr>
          <w:rFonts w:ascii="Arial" w:hAnsi="Arial"/>
          <w:sz w:val="20"/>
        </w:rPr>
        <w:t>and,</w:t>
      </w:r>
      <w:r w:rsidRPr="004106B6">
        <w:rPr>
          <w:rFonts w:ascii="Arial" w:hAnsi="Arial"/>
          <w:sz w:val="20"/>
        </w:rPr>
        <w:t xml:space="preserve"> (c) assess the impact of drug or alcohol use in serious marine incidents.</w:t>
      </w:r>
      <w:r w:rsidR="00F13551">
        <w:rPr>
          <w:rFonts w:ascii="Arial" w:hAnsi="Arial"/>
          <w:sz w:val="20"/>
        </w:rPr>
        <w:t xml:space="preserve">  </w:t>
      </w:r>
    </w:p>
    <w:p w:rsidR="0023625D" w:rsidRPr="004106B6" w14:paraId="777720D9" w14:textId="77777777">
      <w:pPr>
        <w:pStyle w:val="TxBrp5"/>
        <w:spacing w:line="240" w:lineRule="auto"/>
        <w:ind w:firstLine="0"/>
        <w:rPr>
          <w:rFonts w:ascii="Arial" w:hAnsi="Arial"/>
          <w:sz w:val="20"/>
        </w:rPr>
      </w:pPr>
    </w:p>
    <w:p w:rsidR="0023625D" w:rsidRPr="004106B6" w14:paraId="30341E84" w14:textId="334C24E8">
      <w:pPr>
        <w:pStyle w:val="TxBrp5"/>
        <w:spacing w:line="240" w:lineRule="auto"/>
        <w:ind w:firstLine="0"/>
        <w:rPr>
          <w:rFonts w:ascii="Arial" w:hAnsi="Arial"/>
          <w:sz w:val="20"/>
        </w:rPr>
      </w:pPr>
      <w:r w:rsidRPr="004106B6">
        <w:rPr>
          <w:rFonts w:ascii="Arial" w:hAnsi="Arial"/>
          <w:sz w:val="20"/>
        </w:rPr>
        <w:t>In the long term, information contained in the report becomes part of a comprehensive marine casualty database at Coast Guard Headquarters.  This database i</w:t>
      </w:r>
      <w:r w:rsidRPr="004106B6" w:rsidR="007224F9">
        <w:rPr>
          <w:rFonts w:ascii="Arial" w:hAnsi="Arial"/>
          <w:sz w:val="20"/>
        </w:rPr>
        <w:t>s</w:t>
      </w:r>
      <w:r w:rsidRPr="004106B6">
        <w:rPr>
          <w:rFonts w:ascii="Arial" w:hAnsi="Arial"/>
          <w:sz w:val="20"/>
        </w:rPr>
        <w:t xml:space="preserve"> utilized extensively by the Coast Guard for: (a</w:t>
      </w:r>
      <w:r w:rsidRPr="004106B6" w:rsidR="00F13551">
        <w:rPr>
          <w:rFonts w:ascii="Arial" w:hAnsi="Arial"/>
          <w:sz w:val="20"/>
        </w:rPr>
        <w:t>)</w:t>
      </w:r>
      <w:r w:rsidR="00F13551">
        <w:rPr>
          <w:rFonts w:ascii="Arial" w:hAnsi="Arial"/>
          <w:sz w:val="20"/>
        </w:rPr>
        <w:t> </w:t>
      </w:r>
      <w:r w:rsidRPr="004106B6">
        <w:rPr>
          <w:rFonts w:ascii="Arial" w:hAnsi="Arial"/>
          <w:sz w:val="20"/>
        </w:rPr>
        <w:t xml:space="preserve">identifying specific safety problems and analyzing longer-term trends, (b) publishing casualty summaries and annual statistics for public use, (c) supporting the need for additional safety oversight or regulation, (d) measuring the </w:t>
      </w:r>
      <w:r w:rsidRPr="004106B6">
        <w:rPr>
          <w:rFonts w:ascii="Arial" w:hAnsi="Arial"/>
          <w:sz w:val="20"/>
        </w:rPr>
        <w:t>effectiveness  of</w:t>
      </w:r>
      <w:r w:rsidRPr="004106B6">
        <w:rPr>
          <w:rFonts w:ascii="Arial" w:hAnsi="Arial"/>
          <w:sz w:val="20"/>
        </w:rPr>
        <w:t xml:space="preserve"> existing safety regulatory programs, and, (e) better focusing of limited Coast Guard marine safety resources.  This database is also continually in use by other Federal and state government agencies, marine industry researchers, international groups or foreign government representatives involved in marine safety issues, and the public.</w:t>
      </w:r>
      <w:r w:rsidR="00F13551">
        <w:rPr>
          <w:rFonts w:ascii="Arial" w:hAnsi="Arial"/>
          <w:sz w:val="20"/>
        </w:rPr>
        <w:t xml:space="preserve">  </w:t>
      </w:r>
    </w:p>
    <w:p w:rsidR="0023625D" w:rsidRPr="004106B6" w14:paraId="5A838731" w14:textId="77777777">
      <w:pPr>
        <w:pStyle w:val="TxBrp5"/>
        <w:spacing w:line="240" w:lineRule="auto"/>
        <w:ind w:firstLine="0"/>
        <w:rPr>
          <w:rFonts w:ascii="Arial" w:hAnsi="Arial"/>
          <w:sz w:val="20"/>
        </w:rPr>
      </w:pPr>
    </w:p>
    <w:p w:rsidR="0023625D" w:rsidRPr="004106B6" w14:paraId="02E64975" w14:textId="77777777">
      <w:pPr>
        <w:pStyle w:val="TxBrp6"/>
        <w:spacing w:line="240" w:lineRule="auto"/>
        <w:rPr>
          <w:rFonts w:ascii="Arial" w:hAnsi="Arial"/>
          <w:bCs/>
          <w:i/>
          <w:iCs/>
          <w:sz w:val="20"/>
        </w:rPr>
      </w:pPr>
      <w:r w:rsidRPr="004106B6">
        <w:rPr>
          <w:rFonts w:ascii="Arial" w:hAnsi="Arial"/>
          <w:bCs/>
          <w:i/>
          <w:iCs/>
          <w:sz w:val="20"/>
        </w:rPr>
        <w:t>II.  Chemical Testing</w:t>
      </w:r>
      <w:r w:rsidR="0008696A">
        <w:rPr>
          <w:rFonts w:ascii="Arial" w:hAnsi="Arial"/>
          <w:bCs/>
          <w:i/>
          <w:iCs/>
          <w:sz w:val="20"/>
        </w:rPr>
        <w:t xml:space="preserve">  </w:t>
      </w:r>
    </w:p>
    <w:p w:rsidR="0023625D" w:rsidRPr="004106B6" w14:paraId="579CBB22" w14:textId="0B30A3D0">
      <w:pPr>
        <w:pStyle w:val="TxBrp5"/>
        <w:spacing w:line="240" w:lineRule="auto"/>
        <w:ind w:firstLine="0"/>
        <w:rPr>
          <w:rFonts w:ascii="Arial" w:hAnsi="Arial"/>
          <w:sz w:val="20"/>
        </w:rPr>
      </w:pPr>
      <w:r w:rsidRPr="004106B6">
        <w:rPr>
          <w:rFonts w:ascii="Arial" w:hAnsi="Arial"/>
          <w:sz w:val="20"/>
        </w:rPr>
        <w:t xml:space="preserve">Reasonable cause </w:t>
      </w:r>
      <w:r w:rsidRPr="004106B6" w:rsidR="00CD7A40">
        <w:rPr>
          <w:rFonts w:ascii="Arial" w:hAnsi="Arial"/>
          <w:sz w:val="20"/>
        </w:rPr>
        <w:t xml:space="preserve">and periodic </w:t>
      </w:r>
      <w:r w:rsidRPr="004106B6">
        <w:rPr>
          <w:rFonts w:ascii="Arial" w:hAnsi="Arial"/>
          <w:sz w:val="20"/>
        </w:rPr>
        <w:t xml:space="preserve">testing requirements outlined in 46 CFR 16 are designed for marine employers to identify users of dangerous drugs and/or alcohol. </w:t>
      </w:r>
      <w:r w:rsidRPr="004106B6" w:rsidR="0030689C">
        <w:rPr>
          <w:rFonts w:ascii="Arial" w:hAnsi="Arial"/>
          <w:sz w:val="20"/>
        </w:rPr>
        <w:t xml:space="preserve"> As required by 46 CFR 16.201 (C), the marine employer must notify the nearest OCMI</w:t>
      </w:r>
      <w:r w:rsidRPr="004106B6" w:rsidR="0009619B">
        <w:rPr>
          <w:rFonts w:ascii="Arial" w:hAnsi="Arial"/>
          <w:sz w:val="20"/>
        </w:rPr>
        <w:t xml:space="preserve"> in writing </w:t>
      </w:r>
      <w:r w:rsidRPr="004106B6" w:rsidR="0030689C">
        <w:rPr>
          <w:rFonts w:ascii="Arial" w:hAnsi="Arial"/>
          <w:sz w:val="20"/>
        </w:rPr>
        <w:t>when a</w:t>
      </w:r>
      <w:r w:rsidR="004207B0">
        <w:rPr>
          <w:rFonts w:ascii="Arial" w:hAnsi="Arial"/>
          <w:sz w:val="20"/>
        </w:rPr>
        <w:t>n</w:t>
      </w:r>
      <w:r w:rsidRPr="004106B6" w:rsidR="0030689C">
        <w:rPr>
          <w:rFonts w:ascii="Arial" w:hAnsi="Arial"/>
          <w:sz w:val="20"/>
        </w:rPr>
        <w:t xml:space="preserve"> individual holding a Coast Guard credential fails a chemical test for dangerous drugs.</w:t>
      </w:r>
      <w:r w:rsidRPr="004106B6" w:rsidR="0009619B">
        <w:rPr>
          <w:rFonts w:ascii="Arial" w:hAnsi="Arial"/>
          <w:sz w:val="20"/>
        </w:rPr>
        <w:t xml:space="preserve"> </w:t>
      </w:r>
      <w:r w:rsidRPr="004106B6" w:rsidR="00974232">
        <w:rPr>
          <w:rFonts w:ascii="Arial" w:hAnsi="Arial"/>
          <w:sz w:val="20"/>
        </w:rPr>
        <w:t xml:space="preserve"> </w:t>
      </w:r>
      <w:r w:rsidRPr="004106B6" w:rsidR="0009619B">
        <w:rPr>
          <w:rFonts w:ascii="Arial" w:hAnsi="Arial"/>
          <w:sz w:val="20"/>
        </w:rPr>
        <w:t xml:space="preserve">The individual testing positive must be denied employment and is subject to suspension and revocation proceedings against their credential under </w:t>
      </w:r>
      <w:r w:rsidRPr="004106B6" w:rsidR="000D3595">
        <w:rPr>
          <w:rFonts w:ascii="Arial" w:hAnsi="Arial"/>
          <w:sz w:val="20"/>
        </w:rPr>
        <w:t>46</w:t>
      </w:r>
      <w:r w:rsidR="000D3595">
        <w:rPr>
          <w:rFonts w:ascii="Arial" w:hAnsi="Arial"/>
          <w:sz w:val="20"/>
        </w:rPr>
        <w:t> </w:t>
      </w:r>
      <w:r w:rsidRPr="004106B6" w:rsidR="0009619B">
        <w:rPr>
          <w:rFonts w:ascii="Arial" w:hAnsi="Arial"/>
          <w:sz w:val="20"/>
        </w:rPr>
        <w:t>CFR Part 5.</w:t>
      </w:r>
      <w:r w:rsidR="00F13551">
        <w:rPr>
          <w:rFonts w:ascii="Arial" w:hAnsi="Arial"/>
          <w:sz w:val="20"/>
        </w:rPr>
        <w:t xml:space="preserve">  </w:t>
      </w:r>
    </w:p>
    <w:p w:rsidR="0023625D" w:rsidRPr="004106B6" w14:paraId="32C3F8F2" w14:textId="77777777">
      <w:pPr>
        <w:pStyle w:val="TxBrp5"/>
        <w:spacing w:line="240" w:lineRule="auto"/>
        <w:ind w:firstLine="0"/>
        <w:rPr>
          <w:rFonts w:ascii="Arial" w:hAnsi="Arial"/>
          <w:sz w:val="20"/>
        </w:rPr>
      </w:pPr>
    </w:p>
    <w:p w:rsidR="0023625D" w:rsidRPr="00D064B6" w14:paraId="2332347B" w14:textId="77777777">
      <w:pPr>
        <w:ind w:left="360" w:hanging="360"/>
        <w:rPr>
          <w:rFonts w:ascii="Arial" w:hAnsi="Arial"/>
          <w:sz w:val="20"/>
        </w:rPr>
      </w:pPr>
      <w:r w:rsidRPr="00D064B6">
        <w:rPr>
          <w:rFonts w:ascii="Arial" w:hAnsi="Arial"/>
          <w:sz w:val="20"/>
        </w:rPr>
        <w:t xml:space="preserve">3)  </w:t>
      </w:r>
      <w:r w:rsidRPr="00D064B6">
        <w:rPr>
          <w:rFonts w:ascii="Arial" w:hAnsi="Arial"/>
          <w:sz w:val="20"/>
          <w:u w:val="single"/>
        </w:rPr>
        <w:t>Considerations of the use of improved information technology</w:t>
      </w:r>
      <w:r w:rsidRPr="00D064B6">
        <w:rPr>
          <w:rFonts w:ascii="Arial" w:hAnsi="Arial"/>
          <w:sz w:val="20"/>
        </w:rPr>
        <w:t>.</w:t>
      </w:r>
      <w:r w:rsidR="00D064B6">
        <w:rPr>
          <w:rFonts w:ascii="Arial" w:hAnsi="Arial"/>
          <w:sz w:val="20"/>
        </w:rPr>
        <w:t xml:space="preserve">  </w:t>
      </w:r>
    </w:p>
    <w:p w:rsidR="0023625D" w:rsidRPr="00D064B6" w14:paraId="581420FC" w14:textId="77777777">
      <w:pPr>
        <w:pStyle w:val="TxBrp6"/>
        <w:spacing w:line="240" w:lineRule="auto"/>
        <w:rPr>
          <w:rFonts w:ascii="Arial" w:hAnsi="Arial"/>
          <w:sz w:val="20"/>
        </w:rPr>
      </w:pPr>
    </w:p>
    <w:p w:rsidR="0023625D" w:rsidRPr="004106B6" w14:paraId="17423645" w14:textId="640919A2">
      <w:pPr>
        <w:pStyle w:val="TxBrp6"/>
        <w:spacing w:line="240" w:lineRule="auto"/>
        <w:jc w:val="left"/>
        <w:rPr>
          <w:rFonts w:ascii="Arial" w:hAnsi="Arial"/>
          <w:bCs/>
          <w:sz w:val="20"/>
        </w:rPr>
      </w:pPr>
      <w:r w:rsidRPr="004106B6">
        <w:rPr>
          <w:rFonts w:ascii="Arial" w:hAnsi="Arial"/>
          <w:bCs/>
          <w:sz w:val="20"/>
        </w:rPr>
        <w:t>The information may be submitted in writing or electronically via facsimile or e-</w:t>
      </w:r>
      <w:r w:rsidRPr="00037404">
        <w:rPr>
          <w:rFonts w:ascii="Arial" w:hAnsi="Arial"/>
          <w:bCs/>
          <w:sz w:val="20"/>
        </w:rPr>
        <w:t xml:space="preserve">mail.  </w:t>
      </w:r>
      <w:r w:rsidRPr="00037404">
        <w:rPr>
          <w:rFonts w:ascii="Arial" w:hAnsi="Arial"/>
          <w:bCs/>
          <w:sz w:val="20"/>
        </w:rPr>
        <w:t xml:space="preserve">All forms used for this collection </w:t>
      </w:r>
      <w:r w:rsidRPr="003B13B4" w:rsidR="00ED2F7D">
        <w:rPr>
          <w:rFonts w:ascii="Arial" w:hAnsi="Arial"/>
          <w:bCs/>
          <w:sz w:val="20"/>
        </w:rPr>
        <w:t>are</w:t>
      </w:r>
      <w:r w:rsidRPr="00037404">
        <w:rPr>
          <w:rFonts w:ascii="Arial" w:hAnsi="Arial"/>
          <w:bCs/>
          <w:sz w:val="20"/>
        </w:rPr>
        <w:t xml:space="preserve"> on the Coast Guard’s Marine Safety</w:t>
      </w:r>
      <w:r w:rsidRPr="00037404" w:rsidR="00D76EA6">
        <w:rPr>
          <w:rFonts w:ascii="Arial" w:hAnsi="Arial"/>
          <w:bCs/>
          <w:sz w:val="20"/>
        </w:rPr>
        <w:t xml:space="preserve">, Security </w:t>
      </w:r>
      <w:r w:rsidRPr="00037404">
        <w:rPr>
          <w:rFonts w:ascii="Arial" w:hAnsi="Arial"/>
          <w:bCs/>
          <w:sz w:val="20"/>
        </w:rPr>
        <w:t xml:space="preserve">and </w:t>
      </w:r>
      <w:r w:rsidRPr="003B13B4" w:rsidR="00210FB9">
        <w:rPr>
          <w:rFonts w:ascii="Arial" w:hAnsi="Arial"/>
          <w:bCs/>
          <w:sz w:val="20"/>
        </w:rPr>
        <w:t xml:space="preserve">Stewardship </w:t>
      </w:r>
      <w:r w:rsidRPr="003B13B4">
        <w:rPr>
          <w:rFonts w:ascii="Arial" w:hAnsi="Arial"/>
          <w:bCs/>
          <w:sz w:val="20"/>
        </w:rPr>
        <w:t>Web site at</w:t>
      </w:r>
      <w:r w:rsidRPr="003B13B4" w:rsidR="00ED2F7D">
        <w:rPr>
          <w:rFonts w:ascii="Arial" w:hAnsi="Arial"/>
          <w:bCs/>
          <w:sz w:val="20"/>
        </w:rPr>
        <w:t xml:space="preserve"> this </w:t>
      </w:r>
      <w:hyperlink r:id="rId10" w:history="1">
        <w:r w:rsidRPr="003B13B4" w:rsidR="00ED2F7D">
          <w:rPr>
            <w:rStyle w:val="Hyperlink"/>
            <w:rFonts w:ascii="Arial" w:hAnsi="Arial"/>
            <w:bCs/>
            <w:sz w:val="20"/>
          </w:rPr>
          <w:t>LINK</w:t>
        </w:r>
      </w:hyperlink>
      <w:r w:rsidRPr="00037404">
        <w:rPr>
          <w:rFonts w:ascii="Arial" w:hAnsi="Arial"/>
          <w:bCs/>
          <w:sz w:val="20"/>
        </w:rPr>
        <w:t xml:space="preserve">.  </w:t>
      </w:r>
      <w:r w:rsidRPr="00037404" w:rsidR="00210FB9">
        <w:rPr>
          <w:rFonts w:ascii="Arial" w:hAnsi="Arial"/>
          <w:bCs/>
          <w:sz w:val="20"/>
        </w:rPr>
        <w:t>We estimate that 100% of the reporting and recordkeeping requirements can be done</w:t>
      </w:r>
      <w:r w:rsidRPr="004106B6" w:rsidR="00210FB9">
        <w:rPr>
          <w:rFonts w:ascii="Arial" w:hAnsi="Arial"/>
          <w:bCs/>
          <w:sz w:val="20"/>
        </w:rPr>
        <w:t xml:space="preserve"> electronically.  At this time, we estimate that </w:t>
      </w:r>
      <w:r w:rsidRPr="003019EE" w:rsidR="00E86205">
        <w:rPr>
          <w:rFonts w:ascii="Arial" w:hAnsi="Arial"/>
          <w:bCs/>
          <w:sz w:val="20"/>
        </w:rPr>
        <w:t>8</w:t>
      </w:r>
      <w:r w:rsidRPr="00E86205" w:rsidR="00E86205">
        <w:rPr>
          <w:rFonts w:ascii="Arial" w:hAnsi="Arial"/>
          <w:bCs/>
          <w:sz w:val="20"/>
        </w:rPr>
        <w:t>0</w:t>
      </w:r>
      <w:r w:rsidRPr="004106B6" w:rsidR="00210FB9">
        <w:rPr>
          <w:rFonts w:ascii="Arial" w:hAnsi="Arial"/>
          <w:bCs/>
          <w:sz w:val="20"/>
        </w:rPr>
        <w:t>% are done electronically.</w:t>
      </w:r>
      <w:r w:rsidRPr="004106B6">
        <w:rPr>
          <w:rFonts w:ascii="Arial" w:hAnsi="Arial"/>
          <w:bCs/>
          <w:sz w:val="20"/>
        </w:rPr>
        <w:t xml:space="preserve">  </w:t>
      </w:r>
    </w:p>
    <w:p w:rsidR="0023625D" w:rsidRPr="004106B6" w14:paraId="6228BCEC" w14:textId="77777777">
      <w:pPr>
        <w:pStyle w:val="TxBrp6"/>
        <w:spacing w:line="240" w:lineRule="auto"/>
        <w:rPr>
          <w:rFonts w:ascii="Arial" w:hAnsi="Arial"/>
          <w:b/>
          <w:sz w:val="20"/>
          <w:highlight w:val="yellow"/>
        </w:rPr>
      </w:pPr>
    </w:p>
    <w:p w:rsidR="0023625D" w:rsidRPr="004106B6" w14:paraId="4FE48AFE" w14:textId="77777777">
      <w:pPr>
        <w:pStyle w:val="TxBrp6"/>
        <w:spacing w:line="240" w:lineRule="auto"/>
        <w:rPr>
          <w:rFonts w:ascii="Arial" w:hAnsi="Arial"/>
          <w:bCs/>
          <w:i/>
          <w:iCs/>
          <w:sz w:val="20"/>
        </w:rPr>
      </w:pPr>
      <w:r w:rsidRPr="004106B6">
        <w:rPr>
          <w:rFonts w:ascii="Arial" w:hAnsi="Arial"/>
          <w:bCs/>
          <w:i/>
          <w:iCs/>
          <w:sz w:val="20"/>
        </w:rPr>
        <w:t xml:space="preserve">I.  </w:t>
      </w:r>
      <w:r w:rsidRPr="004106B6" w:rsidR="00D46241">
        <w:rPr>
          <w:rFonts w:ascii="Arial" w:hAnsi="Arial"/>
          <w:bCs/>
          <w:i/>
          <w:iCs/>
          <w:sz w:val="20"/>
        </w:rPr>
        <w:t xml:space="preserve">Report of </w:t>
      </w:r>
      <w:r w:rsidRPr="004106B6">
        <w:rPr>
          <w:rFonts w:ascii="Arial" w:hAnsi="Arial"/>
          <w:bCs/>
          <w:i/>
          <w:iCs/>
          <w:sz w:val="20"/>
        </w:rPr>
        <w:t>Marine Casualt</w:t>
      </w:r>
      <w:r w:rsidR="009F6F87">
        <w:rPr>
          <w:rFonts w:ascii="Arial" w:hAnsi="Arial"/>
          <w:bCs/>
          <w:i/>
          <w:iCs/>
          <w:sz w:val="20"/>
        </w:rPr>
        <w:t xml:space="preserve">y </w:t>
      </w:r>
      <w:r w:rsidR="00CB5900">
        <w:rPr>
          <w:rFonts w:ascii="Arial" w:hAnsi="Arial"/>
          <w:bCs/>
          <w:i/>
          <w:iCs/>
          <w:sz w:val="20"/>
        </w:rPr>
        <w:t xml:space="preserve"> </w:t>
      </w:r>
    </w:p>
    <w:p w:rsidR="0023625D" w:rsidRPr="004106B6" w14:paraId="0DB50346" w14:textId="77777777">
      <w:pPr>
        <w:pStyle w:val="TxBrp5"/>
        <w:spacing w:line="240" w:lineRule="auto"/>
        <w:ind w:firstLine="0"/>
        <w:rPr>
          <w:rFonts w:ascii="Arial" w:hAnsi="Arial"/>
          <w:sz w:val="20"/>
        </w:rPr>
      </w:pPr>
      <w:r w:rsidRPr="004106B6">
        <w:rPr>
          <w:rFonts w:ascii="Arial" w:hAnsi="Arial"/>
          <w:sz w:val="20"/>
        </w:rPr>
        <w:t xml:space="preserve">Marine casualty reports </w:t>
      </w:r>
      <w:r w:rsidRPr="004106B6" w:rsidR="00210FB9">
        <w:rPr>
          <w:rFonts w:ascii="Arial" w:hAnsi="Arial"/>
          <w:bCs/>
          <w:sz w:val="20"/>
        </w:rPr>
        <w:t xml:space="preserve">forms may be downloaded, filled out and submitted </w:t>
      </w:r>
      <w:r w:rsidRPr="004106B6" w:rsidR="001D41E2">
        <w:rPr>
          <w:rFonts w:ascii="Arial" w:hAnsi="Arial"/>
          <w:bCs/>
          <w:sz w:val="20"/>
        </w:rPr>
        <w:t>in writing</w:t>
      </w:r>
      <w:r w:rsidRPr="004106B6" w:rsidR="006D7407">
        <w:rPr>
          <w:rFonts w:ascii="Arial" w:hAnsi="Arial"/>
          <w:bCs/>
          <w:sz w:val="20"/>
        </w:rPr>
        <w:t xml:space="preserve">, </w:t>
      </w:r>
      <w:r w:rsidRPr="004106B6" w:rsidR="00210FB9">
        <w:rPr>
          <w:rFonts w:ascii="Arial" w:hAnsi="Arial"/>
          <w:bCs/>
          <w:sz w:val="20"/>
        </w:rPr>
        <w:t>electronically via e-mail</w:t>
      </w:r>
      <w:r w:rsidRPr="004106B6" w:rsidR="006D7407">
        <w:rPr>
          <w:rFonts w:ascii="Arial" w:hAnsi="Arial"/>
          <w:bCs/>
          <w:sz w:val="20"/>
        </w:rPr>
        <w:t>, or by facsimile equipment.</w:t>
      </w:r>
      <w:r w:rsidR="00F13551">
        <w:rPr>
          <w:rFonts w:ascii="Arial" w:hAnsi="Arial"/>
          <w:bCs/>
          <w:sz w:val="20"/>
        </w:rPr>
        <w:t xml:space="preserve">  </w:t>
      </w:r>
    </w:p>
    <w:p w:rsidR="0023625D" w:rsidRPr="004106B6" w14:paraId="744B5577" w14:textId="77777777">
      <w:pPr>
        <w:pStyle w:val="TxBrp5"/>
        <w:spacing w:line="240" w:lineRule="auto"/>
        <w:ind w:firstLine="0"/>
        <w:rPr>
          <w:rFonts w:ascii="Arial" w:hAnsi="Arial"/>
          <w:sz w:val="20"/>
          <w:highlight w:val="yellow"/>
        </w:rPr>
      </w:pPr>
    </w:p>
    <w:p w:rsidR="0023625D" w:rsidRPr="004106B6" w14:paraId="091AA98C" w14:textId="77777777">
      <w:pPr>
        <w:pStyle w:val="TxBrp6"/>
        <w:spacing w:line="240" w:lineRule="auto"/>
        <w:rPr>
          <w:rFonts w:ascii="Arial" w:hAnsi="Arial"/>
          <w:bCs/>
          <w:i/>
          <w:iCs/>
          <w:sz w:val="20"/>
        </w:rPr>
      </w:pPr>
      <w:r w:rsidRPr="004106B6">
        <w:rPr>
          <w:rFonts w:ascii="Arial" w:hAnsi="Arial"/>
          <w:bCs/>
          <w:i/>
          <w:iCs/>
          <w:sz w:val="20"/>
        </w:rPr>
        <w:t>II.  Chemical</w:t>
      </w:r>
      <w:r w:rsidRPr="004106B6" w:rsidR="001E5B9C">
        <w:rPr>
          <w:rFonts w:ascii="Arial" w:hAnsi="Arial"/>
          <w:bCs/>
          <w:i/>
          <w:iCs/>
          <w:sz w:val="20"/>
        </w:rPr>
        <w:t xml:space="preserve"> </w:t>
      </w:r>
      <w:r w:rsidRPr="004106B6">
        <w:rPr>
          <w:rFonts w:ascii="Arial" w:hAnsi="Arial"/>
          <w:bCs/>
          <w:i/>
          <w:iCs/>
          <w:sz w:val="20"/>
        </w:rPr>
        <w:t>Testing</w:t>
      </w:r>
      <w:r w:rsidR="00CD64F3">
        <w:rPr>
          <w:rFonts w:ascii="Arial" w:hAnsi="Arial"/>
          <w:bCs/>
          <w:i/>
          <w:iCs/>
          <w:sz w:val="20"/>
        </w:rPr>
        <w:t xml:space="preserve">  </w:t>
      </w:r>
    </w:p>
    <w:p w:rsidR="0023625D" w:rsidRPr="004106B6" w14:paraId="5EE72850" w14:textId="77777777">
      <w:pPr>
        <w:pStyle w:val="TxBrp5"/>
        <w:spacing w:line="240" w:lineRule="auto"/>
        <w:ind w:firstLine="0"/>
        <w:rPr>
          <w:rFonts w:ascii="Arial" w:hAnsi="Arial"/>
          <w:sz w:val="20"/>
        </w:rPr>
      </w:pPr>
      <w:r w:rsidRPr="004106B6">
        <w:rPr>
          <w:rFonts w:ascii="Arial" w:hAnsi="Arial"/>
          <w:sz w:val="20"/>
        </w:rPr>
        <w:t xml:space="preserve">Marine </w:t>
      </w:r>
      <w:r w:rsidRPr="004106B6" w:rsidR="006D7407">
        <w:rPr>
          <w:rFonts w:ascii="Arial" w:hAnsi="Arial"/>
          <w:sz w:val="20"/>
        </w:rPr>
        <w:t>e</w:t>
      </w:r>
      <w:r w:rsidRPr="004106B6">
        <w:rPr>
          <w:rFonts w:ascii="Arial" w:hAnsi="Arial"/>
          <w:sz w:val="20"/>
        </w:rPr>
        <w:t>mployer records, when required, may be submitted electronically via e-mail, or by</w:t>
      </w:r>
      <w:r w:rsidRPr="004106B6">
        <w:rPr>
          <w:rFonts w:ascii="Arial" w:hAnsi="Arial"/>
          <w:sz w:val="20"/>
        </w:rPr>
        <w:t xml:space="preserve"> facsimile </w:t>
      </w:r>
      <w:r w:rsidRPr="004106B6">
        <w:rPr>
          <w:rFonts w:ascii="Arial" w:hAnsi="Arial"/>
          <w:sz w:val="20"/>
        </w:rPr>
        <w:t>equipment</w:t>
      </w:r>
      <w:r w:rsidRPr="004106B6">
        <w:rPr>
          <w:rFonts w:ascii="Arial" w:hAnsi="Arial"/>
          <w:sz w:val="20"/>
        </w:rPr>
        <w:t>.</w:t>
      </w:r>
      <w:r w:rsidR="00F13551">
        <w:rPr>
          <w:rFonts w:ascii="Arial" w:hAnsi="Arial"/>
          <w:sz w:val="20"/>
        </w:rPr>
        <w:t xml:space="preserve">  </w:t>
      </w:r>
    </w:p>
    <w:p w:rsidR="0023625D" w:rsidRPr="004106B6" w14:paraId="650277B3" w14:textId="77777777">
      <w:pPr>
        <w:pStyle w:val="TxBrp6"/>
        <w:spacing w:line="240" w:lineRule="auto"/>
        <w:rPr>
          <w:rFonts w:ascii="Arial" w:hAnsi="Arial"/>
          <w:bCs/>
          <w:sz w:val="20"/>
        </w:rPr>
      </w:pPr>
    </w:p>
    <w:p w:rsidR="0023625D" w:rsidRPr="00D064B6" w14:paraId="2AB70AC9" w14:textId="77777777">
      <w:pPr>
        <w:pStyle w:val="TxBrp4"/>
        <w:spacing w:line="240" w:lineRule="auto"/>
        <w:ind w:left="360" w:hanging="360"/>
        <w:rPr>
          <w:rFonts w:ascii="Arial" w:hAnsi="Arial"/>
          <w:sz w:val="20"/>
          <w:u w:val="single"/>
        </w:rPr>
      </w:pPr>
      <w:r w:rsidRPr="00D064B6">
        <w:rPr>
          <w:rFonts w:ascii="Arial" w:hAnsi="Arial"/>
          <w:sz w:val="20"/>
        </w:rPr>
        <w:t xml:space="preserve">4)  </w:t>
      </w:r>
      <w:r w:rsidRPr="00D064B6">
        <w:rPr>
          <w:rFonts w:ascii="Arial" w:hAnsi="Arial"/>
          <w:sz w:val="20"/>
          <w:u w:val="single"/>
        </w:rPr>
        <w:t>Efforts to identify duplication</w:t>
      </w:r>
      <w:r w:rsidRPr="00D064B6">
        <w:rPr>
          <w:rFonts w:ascii="Arial" w:hAnsi="Arial"/>
          <w:sz w:val="20"/>
        </w:rPr>
        <w:t xml:space="preserve">.  </w:t>
      </w:r>
    </w:p>
    <w:p w:rsidR="0023625D" w:rsidRPr="00D064B6" w14:paraId="4B25850E" w14:textId="77777777">
      <w:pPr>
        <w:tabs>
          <w:tab w:val="left" w:pos="583"/>
        </w:tabs>
        <w:rPr>
          <w:rFonts w:ascii="Arial" w:hAnsi="Arial"/>
          <w:sz w:val="20"/>
        </w:rPr>
      </w:pPr>
    </w:p>
    <w:p w:rsidR="0023625D" w:rsidRPr="004106B6" w14:paraId="796E4139" w14:textId="77777777">
      <w:pPr>
        <w:pStyle w:val="TxBrp5"/>
        <w:spacing w:line="240" w:lineRule="auto"/>
        <w:ind w:firstLine="0"/>
        <w:rPr>
          <w:rFonts w:ascii="Arial" w:hAnsi="Arial"/>
          <w:sz w:val="20"/>
        </w:rPr>
      </w:pPr>
      <w:r w:rsidRPr="004106B6">
        <w:rPr>
          <w:rFonts w:ascii="Arial" w:hAnsi="Arial"/>
          <w:sz w:val="20"/>
        </w:rPr>
        <w:t>There is no duplication of this information at the Federal level.  The Coast Guard is the only Federal agency that collects this information from the marine industry and the public.</w:t>
      </w:r>
      <w:r w:rsidR="00F13551">
        <w:rPr>
          <w:rFonts w:ascii="Arial" w:hAnsi="Arial"/>
          <w:sz w:val="20"/>
        </w:rPr>
        <w:t xml:space="preserve">  </w:t>
      </w:r>
    </w:p>
    <w:p w:rsidR="0023625D" w:rsidRPr="004106B6" w14:paraId="15C9316E" w14:textId="77777777">
      <w:pPr>
        <w:tabs>
          <w:tab w:val="left" w:pos="583"/>
        </w:tabs>
        <w:rPr>
          <w:rFonts w:ascii="Arial" w:hAnsi="Arial"/>
          <w:sz w:val="20"/>
          <w:u w:val="single"/>
        </w:rPr>
      </w:pPr>
    </w:p>
    <w:p w:rsidR="0023625D" w:rsidRPr="00D064B6" w14:paraId="6279F70A" w14:textId="77777777">
      <w:pPr>
        <w:pStyle w:val="TxBrp4"/>
        <w:spacing w:line="240" w:lineRule="auto"/>
        <w:rPr>
          <w:rFonts w:ascii="Arial" w:hAnsi="Arial"/>
          <w:sz w:val="20"/>
        </w:rPr>
      </w:pPr>
      <w:r w:rsidRPr="00D064B6">
        <w:rPr>
          <w:rFonts w:ascii="Arial" w:hAnsi="Arial"/>
          <w:sz w:val="20"/>
        </w:rPr>
        <w:t xml:space="preserve">5)  </w:t>
      </w:r>
      <w:r w:rsidRPr="00D064B6">
        <w:rPr>
          <w:rFonts w:ascii="Arial" w:hAnsi="Arial"/>
          <w:sz w:val="20"/>
          <w:u w:val="single"/>
        </w:rPr>
        <w:t>Methods used to minimize the burden to small businesses if involved</w:t>
      </w:r>
      <w:r w:rsidRPr="00D064B6">
        <w:rPr>
          <w:rFonts w:ascii="Arial" w:hAnsi="Arial"/>
          <w:sz w:val="20"/>
        </w:rPr>
        <w:t>.</w:t>
      </w:r>
      <w:r w:rsidR="00D064B6">
        <w:rPr>
          <w:rFonts w:ascii="Arial" w:hAnsi="Arial"/>
          <w:sz w:val="20"/>
        </w:rPr>
        <w:t xml:space="preserve">  </w:t>
      </w:r>
    </w:p>
    <w:p w:rsidR="0023625D" w:rsidRPr="00D064B6" w14:paraId="7C072FAB" w14:textId="77777777">
      <w:pPr>
        <w:pStyle w:val="TxBrp6"/>
        <w:spacing w:line="240" w:lineRule="auto"/>
        <w:rPr>
          <w:rFonts w:ascii="Arial" w:hAnsi="Arial"/>
          <w:sz w:val="20"/>
        </w:rPr>
      </w:pPr>
    </w:p>
    <w:p w:rsidR="0023625D" w:rsidRPr="004106B6" w14:paraId="3ABCA8AF" w14:textId="77777777">
      <w:pPr>
        <w:tabs>
          <w:tab w:val="left" w:pos="-180"/>
          <w:tab w:val="left" w:pos="720"/>
        </w:tabs>
        <w:rPr>
          <w:rFonts w:ascii="Arial" w:hAnsi="Arial" w:cs="Arial"/>
          <w:sz w:val="20"/>
        </w:rPr>
      </w:pPr>
      <w:r w:rsidRPr="004106B6">
        <w:rPr>
          <w:rFonts w:ascii="Arial" w:hAnsi="Arial"/>
          <w:bCs/>
          <w:iCs/>
          <w:sz w:val="20"/>
        </w:rPr>
        <w:t>This information collection does not have an impact on small businesses or other small entities.</w:t>
      </w:r>
      <w:r w:rsidR="00F13551">
        <w:rPr>
          <w:rFonts w:ascii="Arial" w:hAnsi="Arial"/>
          <w:bCs/>
          <w:iCs/>
          <w:sz w:val="20"/>
        </w:rPr>
        <w:t xml:space="preserve">  </w:t>
      </w:r>
    </w:p>
    <w:p w:rsidR="0023625D" w:rsidRPr="004106B6" w14:paraId="72A01B43" w14:textId="77777777">
      <w:pPr>
        <w:pStyle w:val="TxBrp5"/>
        <w:spacing w:line="240" w:lineRule="auto"/>
        <w:ind w:firstLine="0"/>
        <w:rPr>
          <w:rFonts w:ascii="Arial" w:hAnsi="Arial"/>
          <w:sz w:val="20"/>
        </w:rPr>
      </w:pPr>
    </w:p>
    <w:p w:rsidR="0023625D" w:rsidRPr="00D064B6" w14:paraId="0342C371" w14:textId="77777777">
      <w:pPr>
        <w:tabs>
          <w:tab w:val="left" w:pos="583"/>
        </w:tabs>
        <w:ind w:left="360" w:hanging="360"/>
        <w:rPr>
          <w:rFonts w:ascii="Arial" w:hAnsi="Arial"/>
          <w:sz w:val="20"/>
        </w:rPr>
      </w:pPr>
      <w:r w:rsidRPr="00D064B6">
        <w:rPr>
          <w:rFonts w:ascii="Arial" w:hAnsi="Arial"/>
          <w:sz w:val="20"/>
        </w:rPr>
        <w:t xml:space="preserve">6)  </w:t>
      </w:r>
      <w:r w:rsidRPr="00D064B6">
        <w:rPr>
          <w:rFonts w:ascii="Arial" w:hAnsi="Arial"/>
          <w:sz w:val="20"/>
          <w:u w:val="single"/>
        </w:rPr>
        <w:t>Consequences to the Federal program if collection were conducted less frequently</w:t>
      </w:r>
      <w:r w:rsidRPr="00D064B6">
        <w:rPr>
          <w:rFonts w:ascii="Arial" w:hAnsi="Arial"/>
          <w:sz w:val="20"/>
        </w:rPr>
        <w:t>.</w:t>
      </w:r>
      <w:r w:rsidR="00D064B6">
        <w:rPr>
          <w:rFonts w:ascii="Arial" w:hAnsi="Arial"/>
          <w:sz w:val="20"/>
        </w:rPr>
        <w:t xml:space="preserve">  </w:t>
      </w:r>
    </w:p>
    <w:p w:rsidR="0023625D" w:rsidRPr="004106B6" w14:paraId="33508152" w14:textId="77777777">
      <w:pPr>
        <w:pStyle w:val="TxBrp6"/>
        <w:spacing w:line="240" w:lineRule="auto"/>
        <w:rPr>
          <w:rFonts w:ascii="Arial" w:hAnsi="Arial"/>
          <w:b/>
          <w:sz w:val="20"/>
        </w:rPr>
      </w:pPr>
    </w:p>
    <w:p w:rsidR="0023625D" w:rsidRPr="004106B6" w14:paraId="327DF445" w14:textId="77777777">
      <w:pPr>
        <w:pStyle w:val="TxBrp6"/>
        <w:spacing w:line="240" w:lineRule="auto"/>
        <w:rPr>
          <w:rFonts w:ascii="Arial" w:hAnsi="Arial"/>
          <w:bCs/>
          <w:i/>
          <w:iCs/>
          <w:sz w:val="20"/>
        </w:rPr>
      </w:pPr>
      <w:r w:rsidRPr="004106B6">
        <w:rPr>
          <w:rFonts w:ascii="Arial" w:hAnsi="Arial"/>
          <w:bCs/>
          <w:i/>
          <w:iCs/>
          <w:sz w:val="20"/>
        </w:rPr>
        <w:t xml:space="preserve">I.  </w:t>
      </w:r>
      <w:r w:rsidRPr="004106B6" w:rsidR="00D46241">
        <w:rPr>
          <w:rFonts w:ascii="Arial" w:hAnsi="Arial"/>
          <w:bCs/>
          <w:i/>
          <w:iCs/>
          <w:sz w:val="20"/>
        </w:rPr>
        <w:t xml:space="preserve">Report of </w:t>
      </w:r>
      <w:r w:rsidRPr="004106B6">
        <w:rPr>
          <w:rFonts w:ascii="Arial" w:hAnsi="Arial"/>
          <w:bCs/>
          <w:i/>
          <w:iCs/>
          <w:sz w:val="20"/>
        </w:rPr>
        <w:t>Marine Casualt</w:t>
      </w:r>
      <w:r w:rsidR="009F6F87">
        <w:rPr>
          <w:rFonts w:ascii="Arial" w:hAnsi="Arial"/>
          <w:bCs/>
          <w:i/>
          <w:iCs/>
          <w:sz w:val="20"/>
        </w:rPr>
        <w:t>y</w:t>
      </w:r>
      <w:r w:rsidR="00F13551">
        <w:rPr>
          <w:rFonts w:ascii="Arial" w:hAnsi="Arial"/>
          <w:bCs/>
          <w:i/>
          <w:iCs/>
          <w:sz w:val="20"/>
        </w:rPr>
        <w:t xml:space="preserve"> </w:t>
      </w:r>
      <w:r w:rsidR="009F6F87">
        <w:rPr>
          <w:rFonts w:ascii="Arial" w:hAnsi="Arial"/>
          <w:bCs/>
          <w:i/>
          <w:iCs/>
          <w:sz w:val="20"/>
        </w:rPr>
        <w:t xml:space="preserve"> </w:t>
      </w:r>
    </w:p>
    <w:p w:rsidR="0023625D" w:rsidRPr="004106B6" w14:paraId="2510BE81" w14:textId="77777777">
      <w:pPr>
        <w:pStyle w:val="BodyText"/>
        <w:rPr>
          <w:sz w:val="20"/>
        </w:rPr>
      </w:pPr>
      <w:r w:rsidRPr="004106B6">
        <w:rPr>
          <w:sz w:val="20"/>
        </w:rPr>
        <w:t>Information is collected only upon occurrence of a reportable marine casualty.  Less frequent collection of such information would directly conflict with a well-established statutory mandate, would lead to inconsistencies with data already collected, and would severely diminish the capability to identify specific safety hazards and accurately analyze unsafe trends in the commercial marine industry.  This in turn would have a highly negative impact on the Coast Guard's continuing efforts to reduce the incidence of marine casualties.</w:t>
      </w:r>
      <w:r w:rsidR="00F13551">
        <w:rPr>
          <w:sz w:val="20"/>
        </w:rPr>
        <w:t xml:space="preserve">  </w:t>
      </w:r>
    </w:p>
    <w:p w:rsidR="0023625D" w:rsidRPr="004106B6" w14:paraId="0E6920A0" w14:textId="77777777">
      <w:pPr>
        <w:pStyle w:val="TxBrp5"/>
        <w:spacing w:line="240" w:lineRule="auto"/>
        <w:ind w:firstLine="0"/>
        <w:rPr>
          <w:rFonts w:ascii="Arial" w:hAnsi="Arial"/>
          <w:sz w:val="20"/>
        </w:rPr>
      </w:pPr>
    </w:p>
    <w:p w:rsidR="0023625D" w:rsidRPr="004106B6" w14:paraId="721551B8" w14:textId="77777777">
      <w:pPr>
        <w:pStyle w:val="TxBrp6"/>
        <w:spacing w:line="240" w:lineRule="auto"/>
        <w:rPr>
          <w:rFonts w:ascii="Arial" w:hAnsi="Arial"/>
          <w:bCs/>
          <w:i/>
          <w:iCs/>
          <w:sz w:val="20"/>
        </w:rPr>
      </w:pPr>
      <w:r w:rsidRPr="004106B6">
        <w:rPr>
          <w:rFonts w:ascii="Arial" w:hAnsi="Arial"/>
          <w:bCs/>
          <w:i/>
          <w:iCs/>
          <w:sz w:val="20"/>
        </w:rPr>
        <w:t>II.</w:t>
      </w:r>
      <w:r w:rsidRPr="004106B6" w:rsidR="004E42AA">
        <w:rPr>
          <w:rFonts w:ascii="Arial" w:hAnsi="Arial"/>
          <w:bCs/>
          <w:i/>
          <w:iCs/>
          <w:sz w:val="20"/>
        </w:rPr>
        <w:t xml:space="preserve"> </w:t>
      </w:r>
      <w:r w:rsidRPr="004106B6" w:rsidR="002C49E4">
        <w:rPr>
          <w:rFonts w:ascii="Arial" w:hAnsi="Arial"/>
          <w:bCs/>
          <w:i/>
          <w:iCs/>
          <w:sz w:val="20"/>
        </w:rPr>
        <w:t xml:space="preserve"> </w:t>
      </w:r>
      <w:r w:rsidRPr="004106B6">
        <w:rPr>
          <w:rFonts w:ascii="Arial" w:hAnsi="Arial"/>
          <w:bCs/>
          <w:i/>
          <w:iCs/>
          <w:sz w:val="20"/>
        </w:rPr>
        <w:t>Chemical Testing</w:t>
      </w:r>
      <w:r w:rsidR="00F13551">
        <w:rPr>
          <w:rFonts w:ascii="Arial" w:hAnsi="Arial"/>
          <w:bCs/>
          <w:i/>
          <w:iCs/>
          <w:sz w:val="20"/>
        </w:rPr>
        <w:t xml:space="preserve">  </w:t>
      </w:r>
    </w:p>
    <w:p w:rsidR="0023625D" w:rsidRPr="004106B6" w14:paraId="36ECF781" w14:textId="77777777">
      <w:pPr>
        <w:pStyle w:val="BodyTextIndent3"/>
        <w:tabs>
          <w:tab w:val="left" w:pos="-180"/>
          <w:tab w:val="clear" w:pos="144"/>
        </w:tabs>
        <w:ind w:firstLine="0"/>
      </w:pPr>
      <w:r w:rsidRPr="004106B6">
        <w:t>Circumstances requiring p</w:t>
      </w:r>
      <w:r w:rsidRPr="004106B6" w:rsidR="007164BD">
        <w:t>eriodic</w:t>
      </w:r>
      <w:r w:rsidRPr="004106B6" w:rsidR="00974232">
        <w:t xml:space="preserve"> </w:t>
      </w:r>
      <w:r w:rsidRPr="004106B6" w:rsidR="007164BD">
        <w:t xml:space="preserve">testing </w:t>
      </w:r>
      <w:r w:rsidRPr="004106B6">
        <w:t>are identified in</w:t>
      </w:r>
      <w:r w:rsidRPr="004106B6" w:rsidR="007164BD">
        <w:t xml:space="preserve"> 46 CFR 16.220</w:t>
      </w:r>
      <w:r w:rsidRPr="004106B6">
        <w:t xml:space="preserve">. </w:t>
      </w:r>
      <w:r w:rsidRPr="004106B6" w:rsidR="002C49E4">
        <w:t xml:space="preserve"> </w:t>
      </w:r>
      <w:r w:rsidRPr="004106B6" w:rsidR="005B27A0">
        <w:t>T</w:t>
      </w:r>
      <w:r w:rsidRPr="004106B6" w:rsidR="002C49E4">
        <w:t xml:space="preserve">esting </w:t>
      </w:r>
      <w:r w:rsidRPr="004106B6" w:rsidR="00154A2F">
        <w:t>is required for an original issuance/renewal of a CG credential, a raise in grade, and certain first endorsements,</w:t>
      </w:r>
      <w:r>
        <w:rPr>
          <w:rStyle w:val="FootnoteReference"/>
        </w:rPr>
        <w:footnoteReference w:id="2"/>
      </w:r>
      <w:r w:rsidRPr="004106B6">
        <w:t xml:space="preserve"> </w:t>
      </w:r>
      <w:r w:rsidR="00CD64F3">
        <w:t xml:space="preserve"> </w:t>
      </w:r>
      <w:r w:rsidRPr="004106B6">
        <w:t>Less frequent collection will reduce marine employer</w:t>
      </w:r>
      <w:r w:rsidRPr="004106B6" w:rsidR="00C24B9B">
        <w:t>’</w:t>
      </w:r>
      <w:r w:rsidRPr="004106B6">
        <w:t xml:space="preserve">s’ capability to identify drug users and </w:t>
      </w:r>
      <w:r w:rsidRPr="004106B6" w:rsidR="00C24B9B">
        <w:t xml:space="preserve">the Coast Guard’s ability to </w:t>
      </w:r>
      <w:r w:rsidRPr="004106B6">
        <w:t>take enforcement action concerning drug or alcohol use by commercial mariners.  This reduced capability would have obvious negative consequences on marine safety.</w:t>
      </w:r>
      <w:r w:rsidR="00F13551">
        <w:t xml:space="preserve">  </w:t>
      </w:r>
    </w:p>
    <w:p w:rsidR="0023625D" w:rsidRPr="004106B6" w14:paraId="3BDFECDA" w14:textId="77777777">
      <w:pPr>
        <w:pStyle w:val="TxBrp5"/>
        <w:spacing w:line="240" w:lineRule="auto"/>
        <w:ind w:firstLine="0"/>
        <w:rPr>
          <w:rFonts w:ascii="Arial" w:hAnsi="Arial"/>
          <w:sz w:val="20"/>
        </w:rPr>
      </w:pPr>
    </w:p>
    <w:p w:rsidR="0023625D" w:rsidRPr="00D064B6" w14:paraId="188E2AA2" w14:textId="77777777">
      <w:pPr>
        <w:pStyle w:val="TxBrp4"/>
        <w:spacing w:line="240" w:lineRule="auto"/>
        <w:ind w:left="360" w:hanging="360"/>
        <w:rPr>
          <w:rFonts w:ascii="Arial" w:hAnsi="Arial"/>
          <w:sz w:val="20"/>
        </w:rPr>
      </w:pPr>
      <w:r w:rsidRPr="00D064B6">
        <w:rPr>
          <w:rFonts w:ascii="Arial" w:hAnsi="Arial"/>
          <w:sz w:val="20"/>
        </w:rPr>
        <w:t xml:space="preserve">7)  </w:t>
      </w:r>
      <w:r w:rsidRPr="00D064B6">
        <w:rPr>
          <w:rFonts w:ascii="Arial" w:hAnsi="Arial"/>
          <w:sz w:val="20"/>
          <w:u w:val="single"/>
        </w:rPr>
        <w:t>Special c</w:t>
      </w:r>
      <w:r w:rsidR="00D064B6">
        <w:rPr>
          <w:rFonts w:ascii="Arial" w:hAnsi="Arial"/>
          <w:sz w:val="20"/>
          <w:u w:val="single"/>
        </w:rPr>
        <w:t>ollection c</w:t>
      </w:r>
      <w:r w:rsidRPr="00D064B6">
        <w:rPr>
          <w:rFonts w:ascii="Arial" w:hAnsi="Arial"/>
          <w:sz w:val="20"/>
          <w:u w:val="single"/>
        </w:rPr>
        <w:t>ircumstances</w:t>
      </w:r>
      <w:r w:rsidRPr="00D064B6">
        <w:rPr>
          <w:rFonts w:ascii="Arial" w:hAnsi="Arial"/>
          <w:sz w:val="20"/>
        </w:rPr>
        <w:t>.</w:t>
      </w:r>
      <w:r w:rsidR="00D064B6">
        <w:rPr>
          <w:rFonts w:ascii="Arial" w:hAnsi="Arial"/>
          <w:sz w:val="20"/>
        </w:rPr>
        <w:t xml:space="preserve">  </w:t>
      </w:r>
    </w:p>
    <w:p w:rsidR="0023625D" w:rsidRPr="00D064B6" w14:paraId="21064E9D" w14:textId="77777777">
      <w:pPr>
        <w:pStyle w:val="BodyTextIndent3"/>
        <w:ind w:firstLine="0"/>
      </w:pPr>
    </w:p>
    <w:p w:rsidR="0023625D" w:rsidRPr="004106B6" w14:paraId="0A0294A3" w14:textId="77777777">
      <w:pPr>
        <w:tabs>
          <w:tab w:val="left" w:pos="1830"/>
        </w:tabs>
        <w:rPr>
          <w:rFonts w:ascii="Arial" w:hAnsi="Arial" w:cs="Arial"/>
          <w:snapToGrid/>
          <w:sz w:val="20"/>
        </w:rPr>
      </w:pPr>
      <w:r w:rsidRPr="004106B6">
        <w:rPr>
          <w:rFonts w:ascii="Arial" w:hAnsi="Arial" w:cs="Arial"/>
          <w:snapToGrid/>
          <w:sz w:val="20"/>
        </w:rPr>
        <w:t>This information collection is conducted in manner consistent with the guidelines in 5 CFR 1320.5(d)(2)</w:t>
      </w:r>
      <w:r w:rsidRPr="004106B6">
        <w:rPr>
          <w:rFonts w:ascii="Arial" w:hAnsi="Arial" w:cs="Arial"/>
          <w:snapToGrid/>
          <w:sz w:val="20"/>
        </w:rPr>
        <w:t>.</w:t>
      </w:r>
      <w:r w:rsidR="00F13551">
        <w:rPr>
          <w:rFonts w:ascii="Arial" w:hAnsi="Arial" w:cs="Arial"/>
          <w:snapToGrid/>
          <w:sz w:val="20"/>
        </w:rPr>
        <w:t xml:space="preserve">  </w:t>
      </w:r>
    </w:p>
    <w:p w:rsidR="0023625D" w:rsidRPr="004106B6" w14:paraId="200CDC27" w14:textId="77777777">
      <w:pPr>
        <w:tabs>
          <w:tab w:val="left" w:pos="1830"/>
        </w:tabs>
        <w:rPr>
          <w:rFonts w:ascii="Arial" w:hAnsi="Arial" w:cs="Arial"/>
          <w:sz w:val="20"/>
        </w:rPr>
      </w:pPr>
    </w:p>
    <w:p w:rsidR="0023625D" w:rsidRPr="00D064B6" w14:paraId="28667AB8" w14:textId="77777777">
      <w:pPr>
        <w:tabs>
          <w:tab w:val="left" w:pos="144"/>
          <w:tab w:val="left" w:pos="720"/>
        </w:tabs>
        <w:rPr>
          <w:rFonts w:ascii="Arial" w:hAnsi="Arial" w:cs="Arial"/>
          <w:bCs/>
          <w:iCs/>
          <w:sz w:val="20"/>
        </w:rPr>
      </w:pPr>
      <w:r w:rsidRPr="00D064B6">
        <w:rPr>
          <w:rFonts w:ascii="Arial" w:hAnsi="Arial" w:cs="Arial"/>
          <w:bCs/>
          <w:iCs/>
          <w:sz w:val="20"/>
        </w:rPr>
        <w:t xml:space="preserve">8)  </w:t>
      </w:r>
      <w:r w:rsidRPr="00ED2F7D" w:rsidR="00D064B6">
        <w:rPr>
          <w:rFonts w:ascii="Arial" w:hAnsi="Arial" w:cs="Arial"/>
          <w:bCs/>
          <w:iCs/>
          <w:sz w:val="20"/>
          <w:u w:val="single"/>
        </w:rPr>
        <w:t>Consultation</w:t>
      </w:r>
      <w:r w:rsidRPr="00ED2F7D">
        <w:rPr>
          <w:rFonts w:ascii="Arial" w:hAnsi="Arial" w:cs="Arial"/>
          <w:bCs/>
          <w:iCs/>
          <w:sz w:val="20"/>
        </w:rPr>
        <w:t>.</w:t>
      </w:r>
      <w:r w:rsidR="00D064B6">
        <w:rPr>
          <w:rFonts w:ascii="Arial" w:hAnsi="Arial" w:cs="Arial"/>
          <w:bCs/>
          <w:iCs/>
          <w:sz w:val="20"/>
        </w:rPr>
        <w:t xml:space="preserve">  </w:t>
      </w:r>
    </w:p>
    <w:p w:rsidR="0023625D" w14:paraId="7E7EA14F" w14:textId="77777777">
      <w:pPr>
        <w:pStyle w:val="Footer"/>
        <w:tabs>
          <w:tab w:val="left" w:pos="576"/>
          <w:tab w:val="clear" w:pos="4320"/>
          <w:tab w:val="clear" w:pos="8640"/>
        </w:tabs>
        <w:rPr>
          <w:rFonts w:ascii="Arial" w:hAnsi="Arial" w:cs="Arial"/>
          <w:iCs/>
          <w:sz w:val="20"/>
        </w:rPr>
      </w:pPr>
    </w:p>
    <w:p w:rsidR="00B11DFC" w:rsidP="00B11DFC" w14:paraId="115993B0" w14:textId="0E54B5E2">
      <w:pPr>
        <w:rPr>
          <w:rFonts w:ascii="Arial" w:hAnsi="Arial" w:cs="Arial"/>
          <w:sz w:val="20"/>
        </w:rPr>
      </w:pPr>
      <w:r w:rsidRPr="004106B6">
        <w:rPr>
          <w:rFonts w:ascii="Arial" w:hAnsi="Arial" w:cs="Arial"/>
          <w:sz w:val="20"/>
        </w:rPr>
        <w:t xml:space="preserve">The Coast Guard published on </w:t>
      </w:r>
      <w:r w:rsidR="00BB4B6B">
        <w:rPr>
          <w:rFonts w:ascii="Arial" w:hAnsi="Arial" w:cs="Arial"/>
          <w:sz w:val="20"/>
        </w:rPr>
        <w:t>June 14</w:t>
      </w:r>
      <w:r>
        <w:rPr>
          <w:rFonts w:ascii="Arial" w:hAnsi="Arial" w:cs="Arial"/>
          <w:sz w:val="20"/>
        </w:rPr>
        <w:t>,</w:t>
      </w:r>
      <w:r w:rsidR="009D196C">
        <w:rPr>
          <w:rFonts w:ascii="Arial" w:hAnsi="Arial" w:cs="Arial"/>
          <w:sz w:val="20"/>
        </w:rPr>
        <w:t xml:space="preserve"> </w:t>
      </w:r>
      <w:r>
        <w:rPr>
          <w:rFonts w:ascii="Arial" w:hAnsi="Arial" w:cs="Arial"/>
          <w:sz w:val="20"/>
        </w:rPr>
        <w:t>2023</w:t>
      </w:r>
      <w:r w:rsidRPr="004106B6">
        <w:rPr>
          <w:rFonts w:ascii="Arial" w:hAnsi="Arial" w:cs="Arial"/>
          <w:sz w:val="20"/>
        </w:rPr>
        <w:t>,</w:t>
      </w:r>
      <w:r w:rsidRPr="004106B6">
        <w:rPr>
          <w:rFonts w:ascii="Arial" w:hAnsi="Arial" w:cs="Arial"/>
          <w:sz w:val="20"/>
        </w:rPr>
        <w:t xml:space="preserve"> a </w:t>
      </w:r>
      <w:r>
        <w:rPr>
          <w:rFonts w:ascii="Arial" w:hAnsi="Arial" w:cs="Arial"/>
          <w:sz w:val="20"/>
        </w:rPr>
        <w:t xml:space="preserve">Supplemental </w:t>
      </w:r>
      <w:r w:rsidRPr="004106B6">
        <w:rPr>
          <w:rFonts w:ascii="Arial" w:hAnsi="Arial" w:cs="Arial"/>
          <w:sz w:val="20"/>
        </w:rPr>
        <w:t>Notice of Proposed Rulemaking (</w:t>
      </w:r>
      <w:r>
        <w:rPr>
          <w:rFonts w:ascii="Arial" w:hAnsi="Arial" w:cs="Arial"/>
          <w:sz w:val="20"/>
        </w:rPr>
        <w:t>S</w:t>
      </w:r>
      <w:r w:rsidRPr="004106B6">
        <w:rPr>
          <w:rFonts w:ascii="Arial" w:hAnsi="Arial" w:cs="Arial"/>
          <w:sz w:val="20"/>
        </w:rPr>
        <w:t xml:space="preserve">NPRM) titled “Marine Casualty Reporting on the Outer Continental Shelf” [USCG-2013-1057; RIN 1625-AB99; </w:t>
      </w:r>
      <w:r w:rsidR="00F40D64">
        <w:rPr>
          <w:rFonts w:ascii="Arial" w:hAnsi="Arial" w:cs="Arial"/>
          <w:sz w:val="20"/>
        </w:rPr>
        <w:t>88</w:t>
      </w:r>
      <w:r w:rsidRPr="004106B6">
        <w:rPr>
          <w:rFonts w:ascii="Arial" w:hAnsi="Arial" w:cs="Arial"/>
          <w:sz w:val="20"/>
        </w:rPr>
        <w:t xml:space="preserve"> FR </w:t>
      </w:r>
      <w:r w:rsidR="00F40D64">
        <w:rPr>
          <w:rFonts w:ascii="Arial" w:hAnsi="Arial" w:cs="Arial"/>
          <w:sz w:val="20"/>
        </w:rPr>
        <w:t>38765</w:t>
      </w:r>
      <w:r w:rsidRPr="004106B6">
        <w:rPr>
          <w:rFonts w:ascii="Arial" w:hAnsi="Arial" w:cs="Arial"/>
          <w:sz w:val="20"/>
        </w:rPr>
        <w:t>].  The rulemaking proposes—</w:t>
      </w:r>
    </w:p>
    <w:p w:rsidR="005C7B96" w:rsidRPr="007D6270" w:rsidP="007D6270" w14:paraId="5A66DADE" w14:textId="12285552">
      <w:pPr>
        <w:pStyle w:val="ListParagraph"/>
        <w:numPr>
          <w:ilvl w:val="0"/>
          <w:numId w:val="42"/>
        </w:numPr>
        <w:rPr>
          <w:rFonts w:ascii="Arial" w:hAnsi="Arial" w:cs="Arial"/>
        </w:rPr>
      </w:pPr>
      <w:r w:rsidRPr="007D6270">
        <w:rPr>
          <w:rFonts w:ascii="Arial" w:hAnsi="Arial" w:cs="Arial"/>
        </w:rPr>
        <w:t xml:space="preserve">changing the reporting criteria for certain casualties that occur on foreign floating outer continental shelf (OCS) facilities (FOFs), mobile offshore drilling units (MODUs), and vessels engaged in OCS activities.  In this supplemental notice of proposed rulemaking (SNPRM), the Coast Guard revises the approach described in the notice of proposed rulemaking (NPRM) published in 2014 and responds to public comments about the NPRM.  The Coast Guard proposes this action to harmonize the casualty-reporting regimes that apply to </w:t>
      </w:r>
      <w:r w:rsidRPr="007D6270">
        <w:rPr>
          <w:rFonts w:ascii="Arial" w:hAnsi="Arial" w:cs="Arial"/>
        </w:rPr>
        <w:t>foreign</w:t>
      </w:r>
      <w:r w:rsidRPr="007D6270">
        <w:rPr>
          <w:rFonts w:ascii="Arial" w:hAnsi="Arial" w:cs="Arial"/>
        </w:rPr>
        <w:t xml:space="preserve"> and U.S. FOFs, MODUs, and vessels engaged in OCS activities and to account for the changes in technology on the OCS, since the casualty-reporting regulations were originally published in 1982.  In addition, in response to public comment on the 2014 NPRM, the Coast Guard proposes to raise the property damage dollar threshold that triggers a casualty report from $25,000 to $75,000 for fixed facilities on the OCS because the original regulation setting the property damage threshold amount was issued in the 1980s and has not since been updated.  Through this </w:t>
      </w:r>
      <w:r w:rsidRPr="00CB39DC">
        <w:rPr>
          <w:rFonts w:ascii="Arial" w:hAnsi="Arial" w:cs="Arial"/>
        </w:rPr>
        <w:t>SNPRM</w:t>
      </w:r>
      <w:r w:rsidRPr="007D6270">
        <w:rPr>
          <w:rFonts w:ascii="Arial" w:hAnsi="Arial" w:cs="Arial"/>
        </w:rPr>
        <w:t>, the Coast Guard would update Coast Guard regulations to keep up with technology, improve awareness of accident trends on the OCS, improve safety on the OCS, and reduce the regulatory burden on operators of fixed OCS platforms.</w:t>
      </w:r>
    </w:p>
    <w:p w:rsidR="00DD5CAD" w:rsidP="005C7B96" w14:paraId="247ED6CE" w14:textId="26C3B875">
      <w:pPr>
        <w:rPr>
          <w:rFonts w:ascii="Arial" w:hAnsi="Arial" w:cs="Arial"/>
          <w:sz w:val="20"/>
        </w:rPr>
      </w:pPr>
    </w:p>
    <w:p w:rsidR="00DD5CAD" w:rsidRPr="0016532A" w:rsidP="005C7B96" w14:paraId="3D88230A" w14:textId="62D260E1">
      <w:pPr>
        <w:rPr>
          <w:rFonts w:ascii="Arial" w:hAnsi="Arial" w:cs="Arial"/>
          <w:sz w:val="20"/>
        </w:rPr>
      </w:pPr>
      <w:r w:rsidRPr="00DD5CAD">
        <w:rPr>
          <w:rFonts w:ascii="Arial" w:hAnsi="Arial" w:cs="Arial"/>
          <w:sz w:val="20"/>
        </w:rPr>
        <w:t xml:space="preserve">The </w:t>
      </w:r>
      <w:r>
        <w:rPr>
          <w:rFonts w:ascii="Arial" w:hAnsi="Arial" w:cs="Arial"/>
          <w:sz w:val="20"/>
        </w:rPr>
        <w:t>S</w:t>
      </w:r>
      <w:r w:rsidRPr="00DD5CAD">
        <w:rPr>
          <w:rFonts w:ascii="Arial" w:hAnsi="Arial" w:cs="Arial"/>
          <w:sz w:val="20"/>
        </w:rPr>
        <w:t xml:space="preserve">NPRM 90-day comment period closes on </w:t>
      </w:r>
      <w:r w:rsidR="00F40D64">
        <w:rPr>
          <w:rFonts w:ascii="Arial" w:hAnsi="Arial" w:cs="Arial"/>
          <w:sz w:val="20"/>
        </w:rPr>
        <w:t>September</w:t>
      </w:r>
      <w:r w:rsidR="009D0BE4">
        <w:rPr>
          <w:rFonts w:ascii="Arial" w:hAnsi="Arial" w:cs="Arial"/>
          <w:sz w:val="20"/>
        </w:rPr>
        <w:t xml:space="preserve"> 12</w:t>
      </w:r>
      <w:r w:rsidRPr="00DD5CAD">
        <w:rPr>
          <w:rFonts w:ascii="Arial" w:hAnsi="Arial" w:cs="Arial"/>
          <w:sz w:val="20"/>
        </w:rPr>
        <w:t>, 20</w:t>
      </w:r>
      <w:r>
        <w:rPr>
          <w:rFonts w:ascii="Arial" w:hAnsi="Arial" w:cs="Arial"/>
          <w:sz w:val="20"/>
        </w:rPr>
        <w:t>23</w:t>
      </w:r>
      <w:r w:rsidRPr="00DD5CAD">
        <w:rPr>
          <w:rFonts w:ascii="Arial" w:hAnsi="Arial" w:cs="Arial"/>
          <w:sz w:val="20"/>
        </w:rPr>
        <w:t>.</w:t>
      </w:r>
    </w:p>
    <w:p w:rsidR="00E26E0E" w:rsidRPr="00D064B6" w:rsidP="007D6270" w14:paraId="25079D47" w14:textId="77777777">
      <w:pPr>
        <w:rPr>
          <w:rFonts w:ascii="Arial" w:hAnsi="Arial" w:cs="Arial"/>
          <w:iCs/>
          <w:sz w:val="20"/>
        </w:rPr>
      </w:pPr>
    </w:p>
    <w:p w:rsidR="0023625D" w:rsidRPr="00D064B6" w14:paraId="30296FB5" w14:textId="77777777">
      <w:pPr>
        <w:tabs>
          <w:tab w:val="left" w:pos="576"/>
        </w:tabs>
        <w:rPr>
          <w:rFonts w:ascii="Arial" w:hAnsi="Arial" w:cs="Arial"/>
          <w:bCs/>
          <w:sz w:val="20"/>
        </w:rPr>
      </w:pPr>
      <w:r w:rsidRPr="00D064B6">
        <w:rPr>
          <w:rFonts w:ascii="Arial" w:hAnsi="Arial" w:cs="Arial"/>
          <w:bCs/>
          <w:sz w:val="20"/>
        </w:rPr>
        <w:t xml:space="preserve">9)  </w:t>
      </w:r>
      <w:r w:rsidRPr="00D064B6">
        <w:rPr>
          <w:rFonts w:ascii="Arial" w:hAnsi="Arial"/>
          <w:sz w:val="20"/>
          <w:u w:val="single"/>
        </w:rPr>
        <w:t>Provide any payment or gift to respondents</w:t>
      </w:r>
      <w:r w:rsidRPr="00D064B6">
        <w:rPr>
          <w:rFonts w:ascii="Arial" w:hAnsi="Arial" w:cs="Arial"/>
          <w:bCs/>
          <w:sz w:val="20"/>
        </w:rPr>
        <w:t>.</w:t>
      </w:r>
      <w:r w:rsidR="00D064B6">
        <w:rPr>
          <w:rFonts w:ascii="Arial" w:hAnsi="Arial" w:cs="Arial"/>
          <w:bCs/>
          <w:sz w:val="20"/>
        </w:rPr>
        <w:t xml:space="preserve">  </w:t>
      </w:r>
    </w:p>
    <w:p w:rsidR="0023625D" w:rsidRPr="00D064B6" w14:paraId="40AF2E19" w14:textId="77777777">
      <w:pPr>
        <w:tabs>
          <w:tab w:val="left" w:pos="576"/>
        </w:tabs>
        <w:rPr>
          <w:rFonts w:ascii="Arial" w:hAnsi="Arial" w:cs="Arial"/>
          <w:sz w:val="20"/>
        </w:rPr>
      </w:pPr>
    </w:p>
    <w:p w:rsidR="0023625D" w:rsidRPr="004106B6" w14:paraId="1B884987" w14:textId="77777777">
      <w:pPr>
        <w:tabs>
          <w:tab w:val="left" w:pos="576"/>
        </w:tabs>
        <w:rPr>
          <w:rFonts w:ascii="Arial" w:hAnsi="Arial" w:cs="Arial"/>
          <w:sz w:val="20"/>
        </w:rPr>
      </w:pPr>
      <w:r w:rsidRPr="004106B6">
        <w:rPr>
          <w:rFonts w:ascii="Arial" w:hAnsi="Arial" w:cs="Arial"/>
          <w:sz w:val="20"/>
        </w:rPr>
        <w:t>There is no offer of monetary or material value for this information collection</w:t>
      </w:r>
      <w:r w:rsidRPr="004106B6">
        <w:rPr>
          <w:rFonts w:ascii="Arial" w:hAnsi="Arial" w:cs="Arial"/>
          <w:sz w:val="20"/>
        </w:rPr>
        <w:t>.</w:t>
      </w:r>
      <w:r w:rsidR="00F13551">
        <w:rPr>
          <w:rFonts w:ascii="Arial" w:hAnsi="Arial" w:cs="Arial"/>
          <w:sz w:val="20"/>
        </w:rPr>
        <w:t xml:space="preserve">  </w:t>
      </w:r>
    </w:p>
    <w:p w:rsidR="0023625D" w:rsidRPr="004106B6" w14:paraId="56798EB7" w14:textId="77777777">
      <w:pPr>
        <w:tabs>
          <w:tab w:val="left" w:pos="576"/>
        </w:tabs>
        <w:rPr>
          <w:rFonts w:ascii="Arial" w:hAnsi="Arial" w:cs="Arial"/>
          <w:b/>
          <w:bCs/>
          <w:iCs/>
          <w:sz w:val="20"/>
        </w:rPr>
      </w:pPr>
    </w:p>
    <w:p w:rsidR="0023625D" w:rsidRPr="00D064B6" w14:paraId="1064F80C" w14:textId="77777777">
      <w:pPr>
        <w:tabs>
          <w:tab w:val="left" w:pos="576"/>
        </w:tabs>
        <w:rPr>
          <w:rFonts w:ascii="Arial" w:hAnsi="Arial" w:cs="Arial"/>
          <w:bCs/>
          <w:iCs/>
          <w:sz w:val="20"/>
        </w:rPr>
      </w:pPr>
      <w:r w:rsidRPr="00D064B6">
        <w:rPr>
          <w:rFonts w:ascii="Arial" w:hAnsi="Arial" w:cs="Arial"/>
          <w:bCs/>
          <w:iCs/>
          <w:sz w:val="20"/>
        </w:rPr>
        <w:t xml:space="preserve">10)  </w:t>
      </w:r>
      <w:r w:rsidRPr="00D064B6">
        <w:rPr>
          <w:rFonts w:ascii="Arial" w:hAnsi="Arial"/>
          <w:sz w:val="20"/>
          <w:u w:val="single"/>
        </w:rPr>
        <w:t>Assurances of confidentiality provided to respondents</w:t>
      </w:r>
      <w:r w:rsidRPr="00D064B6">
        <w:rPr>
          <w:rFonts w:ascii="Arial" w:hAnsi="Arial" w:cs="Arial"/>
          <w:bCs/>
          <w:iCs/>
          <w:sz w:val="20"/>
        </w:rPr>
        <w:t>.</w:t>
      </w:r>
      <w:r w:rsidRPr="00D064B6" w:rsidR="00D064B6">
        <w:rPr>
          <w:rFonts w:ascii="Arial" w:hAnsi="Arial" w:cs="Arial"/>
          <w:bCs/>
          <w:iCs/>
          <w:sz w:val="20"/>
        </w:rPr>
        <w:t xml:space="preserve">  </w:t>
      </w:r>
    </w:p>
    <w:p w:rsidR="0023625D" w:rsidRPr="00D064B6" w14:paraId="0C8C979D" w14:textId="77777777">
      <w:pPr>
        <w:tabs>
          <w:tab w:val="left" w:pos="576"/>
        </w:tabs>
        <w:rPr>
          <w:rFonts w:ascii="Arial" w:hAnsi="Arial" w:cs="Arial"/>
          <w:sz w:val="20"/>
        </w:rPr>
      </w:pPr>
    </w:p>
    <w:p w:rsidR="00ED2F7D" w:rsidRPr="00B63D72" w:rsidP="00ED2F7D" w14:paraId="08A11ECE" w14:textId="77777777">
      <w:pPr>
        <w:pStyle w:val="BodyText"/>
        <w:rPr>
          <w:sz w:val="20"/>
        </w:rPr>
      </w:pPr>
      <w:r w:rsidRPr="001D5E9B">
        <w:rPr>
          <w:iCs/>
          <w:sz w:val="20"/>
        </w:rPr>
        <w:t>There are no assurances of confidentiality provided to the respondents for this information collection.</w:t>
      </w:r>
      <w:r>
        <w:rPr>
          <w:iCs/>
          <w:sz w:val="20"/>
        </w:rPr>
        <w:t xml:space="preserve">  </w:t>
      </w:r>
      <w:r w:rsidRPr="00B63D72">
        <w:rPr>
          <w:sz w:val="20"/>
        </w:rPr>
        <w:t>This information collection request is covered by the Marine Information for Safety and Law Enforcement (MISLE) Privacy Impact Assessment (PIA) and System of Records Notice (SORN).  Links to the MISLE PIA and SORN are provided below:</w:t>
      </w:r>
      <w:r w:rsidR="00F13551">
        <w:rPr>
          <w:sz w:val="20"/>
        </w:rPr>
        <w:t xml:space="preserve">  </w:t>
      </w:r>
    </w:p>
    <w:p w:rsidR="00ED2F7D" w:rsidRPr="00B63D72" w:rsidP="003019EE" w14:paraId="2827843A" w14:textId="77777777">
      <w:pPr>
        <w:pStyle w:val="BodyText"/>
        <w:numPr>
          <w:ilvl w:val="0"/>
          <w:numId w:val="40"/>
        </w:numPr>
        <w:tabs>
          <w:tab w:val="clear" w:pos="-180"/>
          <w:tab w:val="clear" w:pos="720"/>
        </w:tabs>
        <w:rPr>
          <w:sz w:val="20"/>
        </w:rPr>
      </w:pPr>
      <w:hyperlink r:id="rId11" w:history="1">
        <w:r w:rsidRPr="00B63D72">
          <w:rPr>
            <w:rStyle w:val="Hyperlink"/>
            <w:sz w:val="20"/>
          </w:rPr>
          <w:t>https://www.dhs.gov/sites/default/files/publications/privacy_pia_uscg_misle.pdf</w:t>
        </w:r>
      </w:hyperlink>
      <w:r w:rsidRPr="00B63D72">
        <w:rPr>
          <w:sz w:val="20"/>
        </w:rPr>
        <w:t xml:space="preserve">  </w:t>
      </w:r>
    </w:p>
    <w:p w:rsidR="00ED2F7D" w:rsidRPr="00B63D72" w:rsidP="003019EE" w14:paraId="0F08722D" w14:textId="7448A3E8">
      <w:pPr>
        <w:pStyle w:val="BodyText"/>
        <w:numPr>
          <w:ilvl w:val="0"/>
          <w:numId w:val="40"/>
        </w:numPr>
        <w:tabs>
          <w:tab w:val="clear" w:pos="-180"/>
          <w:tab w:val="left" w:pos="360"/>
          <w:tab w:val="clear" w:pos="720"/>
          <w:tab w:val="left" w:pos="748"/>
        </w:tabs>
        <w:autoSpaceDE w:val="0"/>
        <w:autoSpaceDN w:val="0"/>
        <w:adjustRightInd w:val="0"/>
        <w:spacing w:line="238" w:lineRule="exact"/>
        <w:rPr>
          <w:sz w:val="20"/>
        </w:rPr>
      </w:pPr>
      <w:hyperlink r:id="rId12" w:history="1">
        <w:r w:rsidRPr="00FE2101" w:rsidR="00AF0134">
          <w:rPr>
            <w:rStyle w:val="Hyperlink"/>
            <w:sz w:val="20"/>
          </w:rPr>
          <w:t>https://www.gpo.gov/fdsys/pkg/FR-2009-06-25/html/E9-14906.htm</w:t>
        </w:r>
      </w:hyperlink>
      <w:r w:rsidRPr="00FE2101" w:rsidR="00AF0134">
        <w:rPr>
          <w:sz w:val="20"/>
        </w:rPr>
        <w:t xml:space="preserve"> </w:t>
      </w:r>
      <w:r w:rsidRPr="00B63D72">
        <w:rPr>
          <w:sz w:val="20"/>
        </w:rPr>
        <w:t xml:space="preserve">  </w:t>
      </w:r>
    </w:p>
    <w:p w:rsidR="00ED2F7D" w:rsidRPr="00D92227" w:rsidP="00ED2F7D" w14:paraId="5210D84D" w14:textId="77777777">
      <w:pPr>
        <w:tabs>
          <w:tab w:val="left" w:pos="748"/>
        </w:tabs>
        <w:spacing w:line="238" w:lineRule="exact"/>
        <w:rPr>
          <w:rFonts w:ascii="Arial" w:hAnsi="Arial" w:cs="Arial"/>
          <w:sz w:val="20"/>
        </w:rPr>
      </w:pPr>
    </w:p>
    <w:p w:rsidR="0023625D" w:rsidRPr="00D064B6" w14:paraId="6B46E566" w14:textId="77777777">
      <w:pPr>
        <w:tabs>
          <w:tab w:val="left" w:pos="576"/>
        </w:tabs>
        <w:rPr>
          <w:rFonts w:ascii="Arial" w:hAnsi="Arial" w:cs="Arial"/>
          <w:bCs/>
          <w:sz w:val="20"/>
        </w:rPr>
      </w:pPr>
      <w:r w:rsidRPr="00D064B6">
        <w:rPr>
          <w:rFonts w:ascii="Arial" w:hAnsi="Arial" w:cs="Arial"/>
          <w:bCs/>
          <w:iCs/>
          <w:sz w:val="20"/>
        </w:rPr>
        <w:t xml:space="preserve">11)  </w:t>
      </w:r>
      <w:r w:rsidRPr="00D064B6">
        <w:rPr>
          <w:rFonts w:ascii="Arial" w:hAnsi="Arial"/>
          <w:sz w:val="20"/>
          <w:u w:val="single"/>
        </w:rPr>
        <w:t>Additional justification for any questions of a sensitive nature</w:t>
      </w:r>
      <w:r w:rsidRPr="00D064B6">
        <w:rPr>
          <w:rFonts w:ascii="Arial" w:hAnsi="Arial" w:cs="Arial"/>
          <w:bCs/>
          <w:iCs/>
          <w:sz w:val="20"/>
        </w:rPr>
        <w:t>.</w:t>
      </w:r>
      <w:r w:rsidR="00D064B6">
        <w:rPr>
          <w:rFonts w:ascii="Arial" w:hAnsi="Arial" w:cs="Arial"/>
          <w:bCs/>
          <w:iCs/>
          <w:sz w:val="20"/>
        </w:rPr>
        <w:t xml:space="preserve">  </w:t>
      </w:r>
    </w:p>
    <w:p w:rsidR="0023625D" w:rsidRPr="00D064B6" w14:paraId="19DB7BAF" w14:textId="77777777">
      <w:pPr>
        <w:tabs>
          <w:tab w:val="left" w:pos="576"/>
        </w:tabs>
        <w:rPr>
          <w:rFonts w:ascii="Arial" w:hAnsi="Arial" w:cs="Arial"/>
          <w:sz w:val="20"/>
        </w:rPr>
      </w:pPr>
    </w:p>
    <w:p w:rsidR="00FF189E" w:rsidRPr="004106B6" w14:paraId="1424A558" w14:textId="21C4EA41">
      <w:pPr>
        <w:tabs>
          <w:tab w:val="left" w:pos="576"/>
        </w:tabs>
        <w:rPr>
          <w:rFonts w:ascii="Arial" w:hAnsi="Arial" w:cs="Arial"/>
          <w:iCs/>
          <w:sz w:val="20"/>
        </w:rPr>
      </w:pPr>
      <w:r w:rsidRPr="004106B6">
        <w:rPr>
          <w:rFonts w:ascii="Arial" w:hAnsi="Arial" w:cs="Arial"/>
          <w:iCs/>
          <w:sz w:val="20"/>
        </w:rPr>
        <w:t>The</w:t>
      </w:r>
      <w:r w:rsidRPr="004106B6">
        <w:rPr>
          <w:rFonts w:ascii="Arial" w:hAnsi="Arial" w:cs="Arial"/>
          <w:iCs/>
          <w:sz w:val="20"/>
        </w:rPr>
        <w:t xml:space="preserve"> Coast </w:t>
      </w:r>
      <w:r w:rsidRPr="004106B6" w:rsidR="00011131">
        <w:rPr>
          <w:rFonts w:ascii="Arial" w:hAnsi="Arial" w:cs="Arial"/>
          <w:iCs/>
          <w:sz w:val="20"/>
        </w:rPr>
        <w:t>Guard’s</w:t>
      </w:r>
      <w:r w:rsidRPr="004106B6">
        <w:rPr>
          <w:rFonts w:ascii="Arial" w:hAnsi="Arial" w:cs="Arial"/>
          <w:iCs/>
          <w:sz w:val="20"/>
        </w:rPr>
        <w:t xml:space="preserve"> authority and need for collecting </w:t>
      </w:r>
      <w:r w:rsidRPr="004106B6" w:rsidR="00011131">
        <w:rPr>
          <w:rFonts w:ascii="Arial" w:hAnsi="Arial" w:cs="Arial"/>
          <w:iCs/>
          <w:sz w:val="20"/>
        </w:rPr>
        <w:t>information, including</w:t>
      </w:r>
      <w:r w:rsidRPr="004106B6">
        <w:rPr>
          <w:rFonts w:ascii="Arial" w:hAnsi="Arial" w:cs="Arial"/>
          <w:iCs/>
          <w:sz w:val="20"/>
        </w:rPr>
        <w:t xml:space="preserve"> sensitive </w:t>
      </w:r>
      <w:r w:rsidRPr="004106B6">
        <w:rPr>
          <w:rFonts w:ascii="Arial" w:hAnsi="Arial" w:cs="Arial"/>
          <w:iCs/>
          <w:sz w:val="20"/>
        </w:rPr>
        <w:t>information</w:t>
      </w:r>
      <w:r w:rsidRPr="004106B6" w:rsidR="00011131">
        <w:rPr>
          <w:rFonts w:ascii="Arial" w:hAnsi="Arial" w:cs="Arial"/>
          <w:iCs/>
          <w:sz w:val="20"/>
        </w:rPr>
        <w:t>,</w:t>
      </w:r>
      <w:r w:rsidRPr="004106B6">
        <w:rPr>
          <w:rFonts w:ascii="Arial" w:hAnsi="Arial" w:cs="Arial"/>
          <w:iCs/>
          <w:sz w:val="20"/>
        </w:rPr>
        <w:t xml:space="preserve"> is stated on </w:t>
      </w:r>
      <w:r w:rsidRPr="004106B6" w:rsidR="00011131">
        <w:rPr>
          <w:rFonts w:ascii="Arial" w:hAnsi="Arial" w:cs="Arial"/>
          <w:iCs/>
          <w:sz w:val="20"/>
        </w:rPr>
        <w:t>f</w:t>
      </w:r>
      <w:r w:rsidRPr="004106B6">
        <w:rPr>
          <w:rFonts w:ascii="Arial" w:hAnsi="Arial" w:cs="Arial"/>
          <w:iCs/>
          <w:sz w:val="20"/>
        </w:rPr>
        <w:t>orm CG-2692.  In part</w:t>
      </w:r>
      <w:r w:rsidRPr="004106B6" w:rsidR="00011131">
        <w:rPr>
          <w:rFonts w:ascii="Arial" w:hAnsi="Arial" w:cs="Arial"/>
          <w:iCs/>
          <w:sz w:val="20"/>
        </w:rPr>
        <w:t>,</w:t>
      </w:r>
      <w:r w:rsidRPr="004106B6">
        <w:rPr>
          <w:rFonts w:ascii="Arial" w:hAnsi="Arial" w:cs="Arial"/>
          <w:iCs/>
          <w:sz w:val="20"/>
        </w:rPr>
        <w:t xml:space="preserve"> it states—46 U.S.C. 6301 and 46 CFR Part 4 authorizes the collection of this information.</w:t>
      </w:r>
      <w:r w:rsidRPr="004106B6" w:rsidR="00011131">
        <w:rPr>
          <w:rFonts w:ascii="Arial" w:hAnsi="Arial" w:cs="Arial"/>
          <w:iCs/>
          <w:sz w:val="20"/>
        </w:rPr>
        <w:t xml:space="preserve">  Reportable marine casualty information is needed for Coast Guard investigations of vessel casualties involving death, vessel damage, </w:t>
      </w:r>
      <w:r w:rsidRPr="004106B6" w:rsidR="00541330">
        <w:rPr>
          <w:rFonts w:ascii="Arial" w:hAnsi="Arial" w:cs="Arial"/>
          <w:iCs/>
          <w:sz w:val="20"/>
        </w:rPr>
        <w:t>and property</w:t>
      </w:r>
      <w:r w:rsidRPr="004106B6" w:rsidR="00011131">
        <w:rPr>
          <w:rFonts w:ascii="Arial" w:hAnsi="Arial" w:cs="Arial"/>
          <w:iCs/>
          <w:sz w:val="20"/>
        </w:rPr>
        <w:t xml:space="preserve"> loss and data reports mandated by Congress.  Information gathered is also used to determine whether new or revised safety initiatives are necessary.  Additionally, chemical testing information is needed to improve Coast Guard detection and reduction of drug use by mariners.</w:t>
      </w:r>
      <w:r w:rsidR="00CB5900">
        <w:rPr>
          <w:rFonts w:ascii="Arial" w:hAnsi="Arial" w:cs="Arial"/>
          <w:iCs/>
          <w:sz w:val="20"/>
        </w:rPr>
        <w:t xml:space="preserve">  </w:t>
      </w:r>
    </w:p>
    <w:p w:rsidR="0023625D" w:rsidRPr="004106B6" w14:paraId="5CE7E05B" w14:textId="77777777">
      <w:pPr>
        <w:tabs>
          <w:tab w:val="left" w:pos="576"/>
        </w:tabs>
        <w:rPr>
          <w:rFonts w:ascii="Arial" w:hAnsi="Arial" w:cs="Arial"/>
          <w:sz w:val="20"/>
        </w:rPr>
      </w:pPr>
    </w:p>
    <w:p w:rsidR="0023625D" w:rsidRPr="00C80AD4" w14:paraId="4696F686" w14:textId="77777777">
      <w:pPr>
        <w:pStyle w:val="TxBrp9"/>
        <w:spacing w:line="240" w:lineRule="auto"/>
        <w:rPr>
          <w:rFonts w:ascii="Arial" w:hAnsi="Arial"/>
          <w:sz w:val="20"/>
        </w:rPr>
      </w:pPr>
      <w:r w:rsidRPr="00C80AD4">
        <w:rPr>
          <w:rFonts w:ascii="Arial" w:hAnsi="Arial"/>
          <w:sz w:val="20"/>
        </w:rPr>
        <w:t xml:space="preserve">12)  </w:t>
      </w:r>
      <w:r w:rsidRPr="00C80AD4">
        <w:rPr>
          <w:rFonts w:ascii="Arial" w:hAnsi="Arial"/>
          <w:sz w:val="20"/>
          <w:u w:val="single"/>
        </w:rPr>
        <w:t>Estimate of annual hour and cost burden</w:t>
      </w:r>
      <w:r w:rsidRPr="00C80AD4">
        <w:rPr>
          <w:rFonts w:ascii="Arial" w:hAnsi="Arial"/>
          <w:sz w:val="20"/>
        </w:rPr>
        <w:t>.</w:t>
      </w:r>
      <w:r w:rsidR="00C80AD4">
        <w:rPr>
          <w:rFonts w:ascii="Arial" w:hAnsi="Arial"/>
          <w:sz w:val="20"/>
        </w:rPr>
        <w:t xml:space="preserve">  </w:t>
      </w:r>
    </w:p>
    <w:p w:rsidR="0023625D" w:rsidRPr="00C80AD4" w14:paraId="287C4900" w14:textId="77777777">
      <w:pPr>
        <w:tabs>
          <w:tab w:val="left" w:pos="204"/>
        </w:tabs>
        <w:rPr>
          <w:rFonts w:ascii="Arial" w:hAnsi="Arial"/>
          <w:sz w:val="20"/>
        </w:rPr>
      </w:pPr>
    </w:p>
    <w:p w:rsidR="00C80AD4" w:rsidRPr="006F023A" w:rsidP="00C80AD4" w14:paraId="43094211" w14:textId="5EDCE3E4">
      <w:pPr>
        <w:numPr>
          <w:ilvl w:val="0"/>
          <w:numId w:val="33"/>
        </w:numPr>
        <w:rPr>
          <w:rFonts w:ascii="Arial" w:hAnsi="Arial" w:cs="Arial"/>
          <w:sz w:val="20"/>
        </w:rPr>
      </w:pPr>
      <w:r w:rsidRPr="006F023A">
        <w:rPr>
          <w:rFonts w:ascii="Arial" w:hAnsi="Arial" w:cs="Arial"/>
          <w:sz w:val="20"/>
        </w:rPr>
        <w:t xml:space="preserve">The estimated annual number of respondents is </w:t>
      </w:r>
      <w:r w:rsidRPr="006F023A" w:rsidR="00B853A6">
        <w:rPr>
          <w:rFonts w:ascii="Arial" w:hAnsi="Arial" w:cs="Arial"/>
          <w:sz w:val="20"/>
        </w:rPr>
        <w:t>3</w:t>
      </w:r>
      <w:r w:rsidR="008F1783">
        <w:rPr>
          <w:rFonts w:ascii="Arial" w:hAnsi="Arial" w:cs="Arial"/>
          <w:sz w:val="20"/>
        </w:rPr>
        <w:t>1,7</w:t>
      </w:r>
      <w:r w:rsidR="006409C6">
        <w:rPr>
          <w:rFonts w:ascii="Arial" w:hAnsi="Arial" w:cs="Arial"/>
          <w:sz w:val="20"/>
        </w:rPr>
        <w:t>776</w:t>
      </w:r>
      <w:r w:rsidRPr="006F023A" w:rsidR="00B853A6">
        <w:rPr>
          <w:rFonts w:ascii="Arial" w:hAnsi="Arial" w:cs="Arial"/>
          <w:sz w:val="20"/>
        </w:rPr>
        <w:t>.</w:t>
      </w:r>
      <w:r w:rsidRPr="006F023A" w:rsidR="001822D8">
        <w:rPr>
          <w:rFonts w:ascii="Arial" w:hAnsi="Arial" w:cs="Arial"/>
          <w:sz w:val="20"/>
        </w:rPr>
        <w:t xml:space="preserve">  </w:t>
      </w:r>
    </w:p>
    <w:p w:rsidR="00C80AD4" w:rsidRPr="006F023A" w:rsidP="00C80AD4" w14:paraId="55386170" w14:textId="5B1F85EE">
      <w:pPr>
        <w:numPr>
          <w:ilvl w:val="0"/>
          <w:numId w:val="33"/>
        </w:numPr>
        <w:rPr>
          <w:rFonts w:ascii="Arial" w:hAnsi="Arial" w:cs="Arial"/>
          <w:sz w:val="20"/>
        </w:rPr>
      </w:pPr>
      <w:r w:rsidRPr="006F023A">
        <w:rPr>
          <w:rFonts w:ascii="Arial" w:hAnsi="Arial" w:cs="Arial"/>
          <w:sz w:val="20"/>
        </w:rPr>
        <w:t xml:space="preserve">The estimated annual number of responses is </w:t>
      </w:r>
      <w:r w:rsidRPr="006F023A" w:rsidR="00B853A6">
        <w:rPr>
          <w:rFonts w:ascii="Arial" w:hAnsi="Arial" w:cs="Arial"/>
          <w:sz w:val="20"/>
        </w:rPr>
        <w:t>1</w:t>
      </w:r>
      <w:r w:rsidR="008F1783">
        <w:rPr>
          <w:rFonts w:ascii="Arial" w:hAnsi="Arial" w:cs="Arial"/>
          <w:sz w:val="20"/>
        </w:rPr>
        <w:t>79,6</w:t>
      </w:r>
      <w:r w:rsidR="006409C6">
        <w:rPr>
          <w:rFonts w:ascii="Arial" w:hAnsi="Arial" w:cs="Arial"/>
          <w:sz w:val="20"/>
        </w:rPr>
        <w:t>76</w:t>
      </w:r>
      <w:r w:rsidRPr="006F023A">
        <w:rPr>
          <w:rFonts w:ascii="Arial" w:hAnsi="Arial" w:cs="Arial"/>
          <w:sz w:val="20"/>
        </w:rPr>
        <w:t>.</w:t>
      </w:r>
      <w:r w:rsidRPr="006F023A" w:rsidR="001822D8">
        <w:rPr>
          <w:rFonts w:ascii="Arial" w:hAnsi="Arial" w:cs="Arial"/>
          <w:sz w:val="20"/>
        </w:rPr>
        <w:t xml:space="preserve">  </w:t>
      </w:r>
    </w:p>
    <w:p w:rsidR="00C80AD4" w:rsidRPr="006F023A" w:rsidP="00C80AD4" w14:paraId="6EFEE8AA" w14:textId="6361EF13">
      <w:pPr>
        <w:numPr>
          <w:ilvl w:val="0"/>
          <w:numId w:val="33"/>
        </w:numPr>
        <w:rPr>
          <w:rFonts w:ascii="Arial" w:hAnsi="Arial" w:cs="Arial"/>
          <w:sz w:val="20"/>
        </w:rPr>
      </w:pPr>
      <w:r w:rsidRPr="006F023A">
        <w:rPr>
          <w:rFonts w:ascii="Arial" w:hAnsi="Arial" w:cs="Arial"/>
          <w:sz w:val="20"/>
        </w:rPr>
        <w:t xml:space="preserve">The estimated annual hour burden is </w:t>
      </w:r>
      <w:r w:rsidRPr="006F023A" w:rsidR="00B853A6">
        <w:rPr>
          <w:rFonts w:ascii="Arial" w:hAnsi="Arial" w:cs="Arial"/>
          <w:sz w:val="20"/>
        </w:rPr>
        <w:t>2</w:t>
      </w:r>
      <w:r w:rsidR="008F1783">
        <w:rPr>
          <w:rFonts w:ascii="Arial" w:hAnsi="Arial" w:cs="Arial"/>
          <w:sz w:val="20"/>
        </w:rPr>
        <w:t>1,5</w:t>
      </w:r>
      <w:r w:rsidR="006409C6">
        <w:rPr>
          <w:rFonts w:ascii="Arial" w:hAnsi="Arial" w:cs="Arial"/>
          <w:sz w:val="20"/>
        </w:rPr>
        <w:t>92</w:t>
      </w:r>
      <w:r w:rsidRPr="006F023A">
        <w:rPr>
          <w:rFonts w:ascii="Arial" w:hAnsi="Arial" w:cs="Arial"/>
          <w:sz w:val="20"/>
        </w:rPr>
        <w:t xml:space="preserve"> hours.</w:t>
      </w:r>
      <w:r w:rsidRPr="006F023A" w:rsidR="001822D8">
        <w:rPr>
          <w:rFonts w:ascii="Arial" w:hAnsi="Arial" w:cs="Arial"/>
          <w:sz w:val="20"/>
        </w:rPr>
        <w:t xml:space="preserve">  </w:t>
      </w:r>
    </w:p>
    <w:p w:rsidR="00C80AD4" w:rsidRPr="006F023A" w:rsidP="00C80AD4" w14:paraId="4430BFF0" w14:textId="0E7FEFAE">
      <w:pPr>
        <w:numPr>
          <w:ilvl w:val="0"/>
          <w:numId w:val="33"/>
        </w:numPr>
        <w:rPr>
          <w:rFonts w:ascii="Arial" w:hAnsi="Arial" w:cs="Arial"/>
          <w:sz w:val="20"/>
        </w:rPr>
      </w:pPr>
      <w:r w:rsidRPr="006F023A">
        <w:rPr>
          <w:rFonts w:ascii="Arial" w:hAnsi="Arial" w:cs="Arial"/>
          <w:sz w:val="20"/>
        </w:rPr>
        <w:t xml:space="preserve">The estimated annual cost burden is </w:t>
      </w:r>
      <w:r w:rsidRPr="006F023A">
        <w:rPr>
          <w:rFonts w:ascii="Arial" w:hAnsi="Arial" w:cs="Arial"/>
          <w:bCs/>
          <w:sz w:val="20"/>
        </w:rPr>
        <w:t>$</w:t>
      </w:r>
      <w:r w:rsidRPr="006F023A" w:rsidR="00B853A6">
        <w:rPr>
          <w:rFonts w:ascii="Arial" w:hAnsi="Arial" w:cs="Arial"/>
          <w:bCs/>
          <w:sz w:val="20"/>
        </w:rPr>
        <w:t>1,</w:t>
      </w:r>
      <w:r w:rsidR="00A300F7">
        <w:rPr>
          <w:rFonts w:ascii="Arial" w:hAnsi="Arial" w:cs="Arial"/>
          <w:bCs/>
          <w:sz w:val="20"/>
        </w:rPr>
        <w:t>345,950</w:t>
      </w:r>
      <w:r w:rsidRPr="006F023A">
        <w:rPr>
          <w:rFonts w:ascii="Arial" w:hAnsi="Arial" w:cs="Arial"/>
          <w:sz w:val="20"/>
        </w:rPr>
        <w:t>.</w:t>
      </w:r>
      <w:r w:rsidRPr="006F023A" w:rsidR="001822D8">
        <w:rPr>
          <w:rFonts w:ascii="Arial" w:hAnsi="Arial" w:cs="Arial"/>
          <w:sz w:val="20"/>
        </w:rPr>
        <w:t xml:space="preserve">  </w:t>
      </w:r>
    </w:p>
    <w:p w:rsidR="00C80AD4" w:rsidRPr="003B13B4" w:rsidP="00C80AD4" w14:paraId="1D402F89" w14:textId="77777777">
      <w:pPr>
        <w:rPr>
          <w:rFonts w:ascii="Arial" w:hAnsi="Arial" w:cs="Arial"/>
          <w:sz w:val="20"/>
        </w:rPr>
      </w:pPr>
    </w:p>
    <w:p w:rsidR="00C80AD4" w:rsidRPr="008629B3" w14:paraId="426C49F9" w14:textId="7C76FF1D">
      <w:pPr>
        <w:pStyle w:val="TxBrp13"/>
        <w:spacing w:line="240" w:lineRule="auto"/>
        <w:ind w:firstLine="0"/>
        <w:rPr>
          <w:rFonts w:ascii="Arial" w:hAnsi="Arial" w:cs="Arial"/>
          <w:sz w:val="20"/>
        </w:rPr>
      </w:pPr>
      <w:r w:rsidRPr="003B13B4">
        <w:rPr>
          <w:rFonts w:ascii="Arial" w:hAnsi="Arial" w:cs="Arial"/>
          <w:sz w:val="20"/>
        </w:rPr>
        <w:t xml:space="preserve">The burden to respondents is provided in Appendix A.  </w:t>
      </w:r>
    </w:p>
    <w:p w:rsidR="00C80AD4" w:rsidRPr="00C80AD4" w14:paraId="4F5EBFEE" w14:textId="77777777">
      <w:pPr>
        <w:pStyle w:val="TxBrp13"/>
        <w:spacing w:line="240" w:lineRule="auto"/>
        <w:ind w:firstLine="0"/>
        <w:rPr>
          <w:rFonts w:ascii="Arial" w:hAnsi="Arial" w:cs="Arial"/>
          <w:sz w:val="20"/>
        </w:rPr>
      </w:pPr>
    </w:p>
    <w:p w:rsidR="0023625D" w:rsidRPr="008629B3" w14:paraId="00F5EB93" w14:textId="77777777">
      <w:pPr>
        <w:pStyle w:val="TxBrp6"/>
        <w:spacing w:line="240" w:lineRule="auto"/>
        <w:rPr>
          <w:rFonts w:ascii="Arial" w:hAnsi="Arial" w:cs="Arial"/>
          <w:bCs/>
          <w:i/>
          <w:iCs/>
          <w:sz w:val="20"/>
        </w:rPr>
      </w:pPr>
      <w:r w:rsidRPr="008629B3">
        <w:rPr>
          <w:rFonts w:ascii="Arial" w:hAnsi="Arial" w:cs="Arial"/>
          <w:bCs/>
          <w:i/>
          <w:iCs/>
          <w:sz w:val="20"/>
        </w:rPr>
        <w:t xml:space="preserve">I.  </w:t>
      </w:r>
      <w:r w:rsidRPr="008629B3" w:rsidR="00D46241">
        <w:rPr>
          <w:rFonts w:ascii="Arial" w:hAnsi="Arial" w:cs="Arial"/>
          <w:bCs/>
          <w:i/>
          <w:iCs/>
          <w:sz w:val="20"/>
        </w:rPr>
        <w:t xml:space="preserve">Report of </w:t>
      </w:r>
      <w:r w:rsidRPr="008629B3">
        <w:rPr>
          <w:rFonts w:ascii="Arial" w:hAnsi="Arial" w:cs="Arial"/>
          <w:bCs/>
          <w:i/>
          <w:iCs/>
          <w:sz w:val="20"/>
        </w:rPr>
        <w:t>Marine Casualt</w:t>
      </w:r>
      <w:r w:rsidR="009F6F87">
        <w:rPr>
          <w:rFonts w:ascii="Arial" w:hAnsi="Arial" w:cs="Arial"/>
          <w:bCs/>
          <w:i/>
          <w:iCs/>
          <w:sz w:val="20"/>
        </w:rPr>
        <w:t xml:space="preserve">y </w:t>
      </w:r>
    </w:p>
    <w:p w:rsidR="00875387" w:rsidRPr="008629B3" w14:paraId="755B1F45" w14:textId="610DE088">
      <w:pPr>
        <w:pStyle w:val="TxBrp5"/>
        <w:spacing w:line="240" w:lineRule="auto"/>
        <w:ind w:firstLine="0"/>
        <w:rPr>
          <w:rFonts w:ascii="Arial" w:hAnsi="Arial" w:cs="Arial"/>
          <w:sz w:val="20"/>
        </w:rPr>
      </w:pPr>
      <w:r w:rsidRPr="008629B3">
        <w:rPr>
          <w:rFonts w:ascii="Arial" w:hAnsi="Arial" w:cs="Arial"/>
          <w:sz w:val="20"/>
        </w:rPr>
        <w:t xml:space="preserve">We </w:t>
      </w:r>
      <w:r w:rsidRPr="008629B3" w:rsidR="004A6D87">
        <w:rPr>
          <w:rFonts w:ascii="Arial" w:hAnsi="Arial" w:cs="Arial"/>
          <w:sz w:val="20"/>
        </w:rPr>
        <w:t xml:space="preserve">estimate </w:t>
      </w:r>
      <w:r w:rsidRPr="008629B3">
        <w:rPr>
          <w:rFonts w:ascii="Arial" w:hAnsi="Arial" w:cs="Arial"/>
          <w:sz w:val="20"/>
        </w:rPr>
        <w:t>that it takes a</w:t>
      </w:r>
      <w:r w:rsidR="00363747">
        <w:rPr>
          <w:rFonts w:ascii="Arial" w:hAnsi="Arial" w:cs="Arial"/>
          <w:sz w:val="20"/>
        </w:rPr>
        <w:t>bout</w:t>
      </w:r>
      <w:r w:rsidRPr="008629B3">
        <w:rPr>
          <w:rFonts w:ascii="Arial" w:hAnsi="Arial" w:cs="Arial"/>
          <w:sz w:val="20"/>
        </w:rPr>
        <w:t xml:space="preserve"> 1 hour </w:t>
      </w:r>
      <w:r w:rsidR="008629B3">
        <w:rPr>
          <w:rFonts w:ascii="Arial" w:hAnsi="Arial" w:cs="Arial"/>
          <w:sz w:val="20"/>
        </w:rPr>
        <w:t xml:space="preserve">for a </w:t>
      </w:r>
      <w:r w:rsidR="0037656A">
        <w:rPr>
          <w:rFonts w:ascii="Arial" w:hAnsi="Arial" w:cs="Arial"/>
          <w:sz w:val="20"/>
        </w:rPr>
        <w:t xml:space="preserve">senior </w:t>
      </w:r>
      <w:r w:rsidR="008629B3">
        <w:rPr>
          <w:rFonts w:ascii="Arial" w:hAnsi="Arial" w:cs="Arial"/>
          <w:sz w:val="20"/>
        </w:rPr>
        <w:t xml:space="preserve">vessel crewmember </w:t>
      </w:r>
      <w:r w:rsidRPr="008629B3">
        <w:rPr>
          <w:rFonts w:ascii="Arial" w:hAnsi="Arial" w:cs="Arial"/>
          <w:sz w:val="20"/>
        </w:rPr>
        <w:t xml:space="preserve">to </w:t>
      </w:r>
      <w:r w:rsidRPr="0037656A">
        <w:rPr>
          <w:rFonts w:ascii="Arial" w:hAnsi="Arial" w:cs="Arial"/>
          <w:sz w:val="20"/>
        </w:rPr>
        <w:t>complete all parts of the form (CG-2692, with CG-2692A</w:t>
      </w:r>
      <w:r w:rsidRPr="0037656A" w:rsidR="008629B3">
        <w:rPr>
          <w:rFonts w:ascii="Arial" w:hAnsi="Arial" w:cs="Arial"/>
          <w:sz w:val="20"/>
        </w:rPr>
        <w:t>,</w:t>
      </w:r>
      <w:r w:rsidRPr="0037656A">
        <w:rPr>
          <w:rFonts w:ascii="Arial" w:hAnsi="Arial" w:cs="Arial"/>
          <w:sz w:val="20"/>
        </w:rPr>
        <w:t xml:space="preserve"> CG-2692B</w:t>
      </w:r>
      <w:r w:rsidRPr="0037656A" w:rsidR="008629B3">
        <w:rPr>
          <w:rFonts w:ascii="Arial" w:hAnsi="Arial" w:cs="Arial"/>
          <w:sz w:val="20"/>
        </w:rPr>
        <w:t>, CG-2692C &amp; CG-2692D</w:t>
      </w:r>
      <w:r w:rsidRPr="0037656A">
        <w:rPr>
          <w:rFonts w:ascii="Arial" w:hAnsi="Arial" w:cs="Arial"/>
          <w:sz w:val="20"/>
        </w:rPr>
        <w:t xml:space="preserve"> when necessary). </w:t>
      </w:r>
      <w:r w:rsidRPr="0037656A" w:rsidR="008629B3">
        <w:rPr>
          <w:rFonts w:ascii="Arial" w:hAnsi="Arial" w:cs="Arial"/>
          <w:sz w:val="20"/>
        </w:rPr>
        <w:t xml:space="preserve"> </w:t>
      </w:r>
      <w:r w:rsidRPr="003019EE" w:rsidR="0037656A">
        <w:rPr>
          <w:rFonts w:ascii="Arial" w:hAnsi="Arial" w:cs="Arial"/>
          <w:sz w:val="20"/>
        </w:rPr>
        <w:t xml:space="preserve">For the wage rate, we used the Bureau of Labor Statistics (BLS) wage rate for </w:t>
      </w:r>
      <w:r w:rsidR="0037656A">
        <w:rPr>
          <w:rFonts w:ascii="Arial" w:hAnsi="Arial" w:cs="Arial"/>
          <w:sz w:val="20"/>
        </w:rPr>
        <w:t>Captains, Mates, and Pilots of Water Vessels</w:t>
      </w:r>
      <w:r w:rsidRPr="003019EE" w:rsidR="0037656A">
        <w:rPr>
          <w:rFonts w:ascii="Arial" w:hAnsi="Arial" w:cs="Arial"/>
          <w:sz w:val="20"/>
        </w:rPr>
        <w:t xml:space="preserve"> (</w:t>
      </w:r>
      <w:r w:rsidR="0037656A">
        <w:rPr>
          <w:rFonts w:ascii="Arial" w:hAnsi="Arial" w:cs="Arial"/>
          <w:sz w:val="20"/>
        </w:rPr>
        <w:t>53-5021</w:t>
      </w:r>
      <w:r w:rsidRPr="003019EE" w:rsidR="0037656A">
        <w:rPr>
          <w:rFonts w:ascii="Arial" w:hAnsi="Arial" w:cs="Arial"/>
          <w:sz w:val="20"/>
        </w:rPr>
        <w:t>) [May 20</w:t>
      </w:r>
      <w:r w:rsidR="008F1783">
        <w:rPr>
          <w:rFonts w:ascii="Arial" w:hAnsi="Arial" w:cs="Arial"/>
          <w:sz w:val="20"/>
        </w:rPr>
        <w:t>2</w:t>
      </w:r>
      <w:r w:rsidR="00A300F7">
        <w:rPr>
          <w:rFonts w:ascii="Arial" w:hAnsi="Arial" w:cs="Arial"/>
          <w:sz w:val="20"/>
        </w:rPr>
        <w:t>2</w:t>
      </w:r>
      <w:r w:rsidRPr="003019EE" w:rsidR="0037656A">
        <w:rPr>
          <w:rFonts w:ascii="Arial" w:hAnsi="Arial" w:cs="Arial"/>
          <w:sz w:val="20"/>
        </w:rPr>
        <w:t>, mean hourly wage, loaded 50%, and rounded]</w:t>
      </w:r>
      <w:r w:rsidR="00BA3BE2">
        <w:rPr>
          <w:rFonts w:ascii="Arial" w:hAnsi="Arial" w:cs="Arial"/>
          <w:sz w:val="20"/>
        </w:rPr>
        <w:t>.</w:t>
      </w:r>
      <w:r>
        <w:rPr>
          <w:rStyle w:val="FootnoteReference"/>
          <w:rFonts w:ascii="Arial" w:hAnsi="Arial" w:cs="Arial"/>
          <w:sz w:val="20"/>
        </w:rPr>
        <w:footnoteReference w:id="3"/>
      </w:r>
      <w:r w:rsidRPr="003019EE" w:rsidR="0037656A">
        <w:rPr>
          <w:rFonts w:ascii="Arial" w:hAnsi="Arial" w:cs="Arial"/>
          <w:sz w:val="20"/>
        </w:rPr>
        <w:t xml:space="preserve"> </w:t>
      </w:r>
      <w:r w:rsidR="00BA3BE2">
        <w:rPr>
          <w:rFonts w:ascii="Arial" w:hAnsi="Arial" w:cs="Arial"/>
          <w:sz w:val="20"/>
        </w:rPr>
        <w:t xml:space="preserve"> </w:t>
      </w:r>
      <w:r w:rsidRPr="0037656A" w:rsidR="00A70540">
        <w:rPr>
          <w:rFonts w:ascii="Arial" w:hAnsi="Arial" w:cs="Arial"/>
          <w:sz w:val="20"/>
        </w:rPr>
        <w:t xml:space="preserve">In addition, some Report of Marine </w:t>
      </w:r>
      <w:r w:rsidRPr="0037656A" w:rsidR="00541330">
        <w:rPr>
          <w:rFonts w:ascii="Arial" w:hAnsi="Arial" w:cs="Arial"/>
          <w:sz w:val="20"/>
        </w:rPr>
        <w:t xml:space="preserve">Casualty </w:t>
      </w:r>
      <w:r w:rsidRPr="0037656A" w:rsidR="00A70540">
        <w:rPr>
          <w:rFonts w:ascii="Arial" w:hAnsi="Arial" w:cs="Arial"/>
          <w:sz w:val="20"/>
        </w:rPr>
        <w:t>forms may undergo additional processing by respondents</w:t>
      </w:r>
      <w:r w:rsidRPr="008629B3" w:rsidR="00A70540">
        <w:rPr>
          <w:rFonts w:ascii="Arial" w:hAnsi="Arial" w:cs="Arial"/>
          <w:sz w:val="20"/>
        </w:rPr>
        <w:t>.  To account for this additional time, we estimate that up to 10% of the forms submitted may have about 10 hours of additional burden.</w:t>
      </w:r>
      <w:r>
        <w:rPr>
          <w:rStyle w:val="FootnoteReference"/>
          <w:rFonts w:ascii="Arial" w:hAnsi="Arial" w:cs="Arial"/>
          <w:sz w:val="20"/>
        </w:rPr>
        <w:footnoteReference w:id="4"/>
      </w:r>
      <w:r w:rsidRPr="008629B3" w:rsidR="00A70540">
        <w:rPr>
          <w:rFonts w:ascii="Arial" w:hAnsi="Arial" w:cs="Arial"/>
          <w:sz w:val="20"/>
        </w:rPr>
        <w:t xml:space="preserve">  The additional time reflects company internal review by individuals in additional to the person that completed the form.  The additional </w:t>
      </w:r>
      <w:r w:rsidRPr="008629B3" w:rsidR="002B4B4C">
        <w:rPr>
          <w:rFonts w:ascii="Arial" w:hAnsi="Arial" w:cs="Arial"/>
          <w:sz w:val="20"/>
        </w:rPr>
        <w:t>reviewers</w:t>
      </w:r>
      <w:r w:rsidRPr="008629B3" w:rsidR="00A70540">
        <w:rPr>
          <w:rFonts w:ascii="Arial" w:hAnsi="Arial" w:cs="Arial"/>
          <w:sz w:val="20"/>
        </w:rPr>
        <w:t xml:space="preserve"> may be shore-side reps, port engineers, attorneys</w:t>
      </w:r>
      <w:r w:rsidRPr="008629B3" w:rsidR="00C06B2A">
        <w:rPr>
          <w:rFonts w:ascii="Arial" w:hAnsi="Arial" w:cs="Arial"/>
          <w:sz w:val="20"/>
        </w:rPr>
        <w:t>, etc</w:t>
      </w:r>
      <w:r w:rsidRPr="008629B3" w:rsidR="00A70540">
        <w:rPr>
          <w:rFonts w:ascii="Arial" w:hAnsi="Arial" w:cs="Arial"/>
          <w:sz w:val="20"/>
        </w:rPr>
        <w:t xml:space="preserve">.  </w:t>
      </w:r>
      <w:r w:rsidRPr="00B80D13" w:rsidR="00BA3BE2">
        <w:rPr>
          <w:rFonts w:ascii="Arial" w:hAnsi="Arial" w:cs="Arial"/>
          <w:sz w:val="20"/>
        </w:rPr>
        <w:t xml:space="preserve">For the wage rate, we used the BLS wage rate for </w:t>
      </w:r>
      <w:r w:rsidR="00BA3BE2">
        <w:rPr>
          <w:rFonts w:ascii="Arial" w:hAnsi="Arial" w:cs="Arial"/>
          <w:sz w:val="20"/>
        </w:rPr>
        <w:t>Lawyers</w:t>
      </w:r>
      <w:r w:rsidRPr="00B80D13" w:rsidR="00BA3BE2">
        <w:rPr>
          <w:rFonts w:ascii="Arial" w:hAnsi="Arial" w:cs="Arial"/>
          <w:sz w:val="20"/>
        </w:rPr>
        <w:t xml:space="preserve"> (</w:t>
      </w:r>
      <w:r w:rsidR="00BA3BE2">
        <w:rPr>
          <w:rFonts w:ascii="Arial" w:hAnsi="Arial" w:cs="Arial"/>
          <w:sz w:val="20"/>
        </w:rPr>
        <w:t>23-1011</w:t>
      </w:r>
      <w:r w:rsidRPr="00B80D13" w:rsidR="00BA3BE2">
        <w:rPr>
          <w:rFonts w:ascii="Arial" w:hAnsi="Arial" w:cs="Arial"/>
          <w:sz w:val="20"/>
        </w:rPr>
        <w:t>) [May 20</w:t>
      </w:r>
      <w:r w:rsidR="008F1783">
        <w:rPr>
          <w:rFonts w:ascii="Arial" w:hAnsi="Arial" w:cs="Arial"/>
          <w:sz w:val="20"/>
        </w:rPr>
        <w:t>2</w:t>
      </w:r>
      <w:r w:rsidR="00A300F7">
        <w:rPr>
          <w:rFonts w:ascii="Arial" w:hAnsi="Arial" w:cs="Arial"/>
          <w:sz w:val="20"/>
        </w:rPr>
        <w:t>2</w:t>
      </w:r>
      <w:r w:rsidRPr="00B80D13" w:rsidR="00BA3BE2">
        <w:rPr>
          <w:rFonts w:ascii="Arial" w:hAnsi="Arial" w:cs="Arial"/>
          <w:sz w:val="20"/>
        </w:rPr>
        <w:t>, mean hourly wage, loaded 5</w:t>
      </w:r>
      <w:r w:rsidR="00B40B1C">
        <w:rPr>
          <w:rFonts w:ascii="Arial" w:hAnsi="Arial" w:cs="Arial"/>
          <w:sz w:val="20"/>
        </w:rPr>
        <w:t>2.6</w:t>
      </w:r>
      <w:r w:rsidRPr="00B80D13" w:rsidR="00BA3BE2">
        <w:rPr>
          <w:rFonts w:ascii="Arial" w:hAnsi="Arial" w:cs="Arial"/>
          <w:sz w:val="20"/>
        </w:rPr>
        <w:t>%, and rounded]</w:t>
      </w:r>
      <w:r w:rsidR="00BA3BE2">
        <w:rPr>
          <w:rFonts w:ascii="Arial" w:hAnsi="Arial" w:cs="Arial"/>
          <w:sz w:val="20"/>
        </w:rPr>
        <w:t>.</w:t>
      </w:r>
      <w:r>
        <w:rPr>
          <w:rStyle w:val="FootnoteReference"/>
          <w:rFonts w:ascii="Arial" w:hAnsi="Arial" w:cs="Arial"/>
          <w:sz w:val="20"/>
        </w:rPr>
        <w:footnoteReference w:id="5"/>
      </w:r>
      <w:r w:rsidR="00334E05">
        <w:rPr>
          <w:rFonts w:ascii="Arial" w:hAnsi="Arial" w:cs="Arial"/>
          <w:sz w:val="20"/>
        </w:rPr>
        <w:t xml:space="preserve">  </w:t>
      </w:r>
    </w:p>
    <w:p w:rsidR="00901880" w:rsidRPr="008629B3" w14:paraId="43CB951A" w14:textId="77777777">
      <w:pPr>
        <w:pStyle w:val="TxBrp5"/>
        <w:spacing w:line="240" w:lineRule="auto"/>
        <w:ind w:firstLine="0"/>
        <w:rPr>
          <w:rFonts w:ascii="Arial" w:hAnsi="Arial" w:cs="Arial"/>
          <w:sz w:val="20"/>
        </w:rPr>
      </w:pPr>
    </w:p>
    <w:p w:rsidR="0023625D" w:rsidRPr="007A1829" w14:paraId="7423CF33" w14:textId="77777777">
      <w:pPr>
        <w:pStyle w:val="TxBrp6"/>
        <w:spacing w:line="240" w:lineRule="auto"/>
        <w:rPr>
          <w:rFonts w:ascii="Arial" w:hAnsi="Arial" w:cs="Arial"/>
          <w:bCs/>
          <w:iCs/>
          <w:sz w:val="20"/>
        </w:rPr>
      </w:pPr>
      <w:r w:rsidRPr="00363747">
        <w:rPr>
          <w:rFonts w:ascii="Arial" w:hAnsi="Arial" w:cs="Arial"/>
          <w:bCs/>
          <w:i/>
          <w:iCs/>
          <w:sz w:val="20"/>
        </w:rPr>
        <w:t>II.  Chemical Testing</w:t>
      </w:r>
      <w:r w:rsidR="007A1829">
        <w:rPr>
          <w:rFonts w:ascii="Arial" w:hAnsi="Arial" w:cs="Arial"/>
          <w:bCs/>
          <w:i/>
          <w:iCs/>
          <w:sz w:val="20"/>
        </w:rPr>
        <w:t xml:space="preserve">  </w:t>
      </w:r>
    </w:p>
    <w:p w:rsidR="007A1829" w:rsidRPr="00AF4714" w14:paraId="1CD0BFAE" w14:textId="6C6B98EC">
      <w:pPr>
        <w:pStyle w:val="TxBrp5"/>
        <w:spacing w:line="240" w:lineRule="auto"/>
        <w:ind w:firstLine="0"/>
        <w:rPr>
          <w:rFonts w:ascii="Arial" w:hAnsi="Arial" w:cs="Arial"/>
          <w:sz w:val="20"/>
        </w:rPr>
      </w:pPr>
      <w:r w:rsidRPr="00AF4714">
        <w:rPr>
          <w:rFonts w:ascii="Arial" w:hAnsi="Arial" w:cs="Arial"/>
          <w:sz w:val="20"/>
        </w:rPr>
        <w:t xml:space="preserve">Depending on the </w:t>
      </w:r>
      <w:r>
        <w:rPr>
          <w:rFonts w:ascii="Arial" w:hAnsi="Arial" w:cs="Arial"/>
          <w:sz w:val="20"/>
        </w:rPr>
        <w:t>task</w:t>
      </w:r>
      <w:r w:rsidRPr="00AF4714">
        <w:rPr>
          <w:rFonts w:ascii="Arial" w:hAnsi="Arial" w:cs="Arial"/>
          <w:sz w:val="20"/>
        </w:rPr>
        <w:t xml:space="preserve"> (requirement), we estimate that it will take from about 0.065 hours (4 min.) to 2 hours for </w:t>
      </w:r>
      <w:r w:rsidRPr="00AF4714">
        <w:rPr>
          <w:rFonts w:ascii="Arial" w:hAnsi="Arial" w:cs="Arial"/>
          <w:sz w:val="20"/>
        </w:rPr>
        <w:t>a vessel crewmember or shore</w:t>
      </w:r>
      <w:r>
        <w:rPr>
          <w:rFonts w:ascii="Arial" w:hAnsi="Arial" w:cs="Arial"/>
          <w:sz w:val="20"/>
        </w:rPr>
        <w:t>-</w:t>
      </w:r>
      <w:r w:rsidRPr="00AF4714">
        <w:rPr>
          <w:rFonts w:ascii="Arial" w:hAnsi="Arial" w:cs="Arial"/>
          <w:sz w:val="20"/>
        </w:rPr>
        <w:t xml:space="preserve">side </w:t>
      </w:r>
      <w:r w:rsidR="00AA2595">
        <w:rPr>
          <w:rFonts w:ascii="Arial" w:hAnsi="Arial" w:cs="Arial"/>
          <w:sz w:val="20"/>
        </w:rPr>
        <w:t xml:space="preserve">clerical </w:t>
      </w:r>
      <w:r w:rsidRPr="00AF4714">
        <w:rPr>
          <w:rFonts w:ascii="Arial" w:hAnsi="Arial" w:cs="Arial"/>
          <w:sz w:val="20"/>
        </w:rPr>
        <w:t>personnel</w:t>
      </w:r>
      <w:r w:rsidRPr="00AF4714">
        <w:rPr>
          <w:rFonts w:ascii="Arial" w:hAnsi="Arial" w:cs="Arial"/>
          <w:sz w:val="20"/>
        </w:rPr>
        <w:t xml:space="preserve"> to perform the required reporting and recordkeeping </w:t>
      </w:r>
      <w:r>
        <w:rPr>
          <w:rFonts w:ascii="Arial" w:hAnsi="Arial" w:cs="Arial"/>
          <w:sz w:val="20"/>
        </w:rPr>
        <w:t>activity</w:t>
      </w:r>
      <w:r w:rsidRPr="00AF4714">
        <w:rPr>
          <w:rFonts w:ascii="Arial" w:hAnsi="Arial" w:cs="Arial"/>
          <w:sz w:val="20"/>
        </w:rPr>
        <w:t xml:space="preserve">.  See Appendix A for a detailed breakdown of tasks and times.  </w:t>
      </w:r>
      <w:r w:rsidRPr="00B80D13" w:rsidR="00B40B1C">
        <w:rPr>
          <w:rFonts w:ascii="Arial" w:hAnsi="Arial" w:cs="Arial"/>
          <w:sz w:val="20"/>
        </w:rPr>
        <w:t xml:space="preserve">For the wage rate, we used the BLS wage rate for </w:t>
      </w:r>
      <w:r w:rsidR="00B40B1C">
        <w:rPr>
          <w:rFonts w:ascii="Arial" w:hAnsi="Arial" w:cs="Arial"/>
          <w:sz w:val="20"/>
        </w:rPr>
        <w:t>Information and Record Clerks, All Other</w:t>
      </w:r>
      <w:r w:rsidRPr="00B80D13" w:rsidR="00B40B1C">
        <w:rPr>
          <w:rFonts w:ascii="Arial" w:hAnsi="Arial" w:cs="Arial"/>
          <w:sz w:val="20"/>
        </w:rPr>
        <w:t xml:space="preserve"> (</w:t>
      </w:r>
      <w:r w:rsidR="00B40B1C">
        <w:rPr>
          <w:rFonts w:ascii="Arial" w:hAnsi="Arial" w:cs="Arial"/>
          <w:sz w:val="20"/>
        </w:rPr>
        <w:t>43-4199</w:t>
      </w:r>
      <w:r w:rsidRPr="00B80D13" w:rsidR="00B40B1C">
        <w:rPr>
          <w:rFonts w:ascii="Arial" w:hAnsi="Arial" w:cs="Arial"/>
          <w:sz w:val="20"/>
        </w:rPr>
        <w:t>) [May 20</w:t>
      </w:r>
      <w:r w:rsidR="008F1783">
        <w:rPr>
          <w:rFonts w:ascii="Arial" w:hAnsi="Arial" w:cs="Arial"/>
          <w:sz w:val="20"/>
        </w:rPr>
        <w:t>2</w:t>
      </w:r>
      <w:r w:rsidR="00A300F7">
        <w:rPr>
          <w:rFonts w:ascii="Arial" w:hAnsi="Arial" w:cs="Arial"/>
          <w:sz w:val="20"/>
        </w:rPr>
        <w:t>2</w:t>
      </w:r>
      <w:r w:rsidRPr="00B80D13" w:rsidR="00B40B1C">
        <w:rPr>
          <w:rFonts w:ascii="Arial" w:hAnsi="Arial" w:cs="Arial"/>
          <w:sz w:val="20"/>
        </w:rPr>
        <w:t>, mean hourly wage, loaded 5</w:t>
      </w:r>
      <w:r w:rsidR="00B40B1C">
        <w:rPr>
          <w:rFonts w:ascii="Arial" w:hAnsi="Arial" w:cs="Arial"/>
          <w:sz w:val="20"/>
        </w:rPr>
        <w:t>0</w:t>
      </w:r>
      <w:r w:rsidRPr="00B80D13" w:rsidR="00B40B1C">
        <w:rPr>
          <w:rFonts w:ascii="Arial" w:hAnsi="Arial" w:cs="Arial"/>
          <w:sz w:val="20"/>
        </w:rPr>
        <w:t>%, and rounded]</w:t>
      </w:r>
      <w:r w:rsidR="00B40B1C">
        <w:rPr>
          <w:rFonts w:ascii="Arial" w:hAnsi="Arial" w:cs="Arial"/>
          <w:sz w:val="20"/>
        </w:rPr>
        <w:t>.</w:t>
      </w:r>
      <w:r>
        <w:rPr>
          <w:rStyle w:val="FootnoteReference"/>
          <w:rFonts w:ascii="Arial" w:hAnsi="Arial" w:cs="Arial"/>
          <w:sz w:val="20"/>
        </w:rPr>
        <w:footnoteReference w:id="6"/>
      </w:r>
      <w:r w:rsidR="00B40B1C">
        <w:rPr>
          <w:rFonts w:ascii="Arial" w:hAnsi="Arial" w:cs="Arial"/>
          <w:sz w:val="20"/>
        </w:rPr>
        <w:t xml:space="preserve">  </w:t>
      </w:r>
      <w:r w:rsidR="00490FBE">
        <w:rPr>
          <w:rFonts w:ascii="Arial" w:hAnsi="Arial" w:cs="Arial"/>
          <w:sz w:val="20"/>
        </w:rPr>
        <w:t xml:space="preserve">The number of respondents, and responses per respondent, are based on historical estimates.  </w:t>
      </w:r>
    </w:p>
    <w:p w:rsidR="007A1829" w:rsidRPr="00AF4714" w14:paraId="0F563C46" w14:textId="77777777">
      <w:pPr>
        <w:pStyle w:val="TxBrp5"/>
        <w:spacing w:line="240" w:lineRule="auto"/>
        <w:ind w:firstLine="0"/>
        <w:rPr>
          <w:rFonts w:ascii="Arial" w:hAnsi="Arial" w:cs="Arial"/>
          <w:sz w:val="20"/>
        </w:rPr>
      </w:pPr>
    </w:p>
    <w:p w:rsidR="0023625D" w:rsidRPr="00C80AD4" w14:paraId="7A52F689" w14:textId="77777777">
      <w:pPr>
        <w:pStyle w:val="TxBrp29"/>
        <w:spacing w:line="240" w:lineRule="auto"/>
        <w:ind w:left="29" w:firstLine="0"/>
        <w:rPr>
          <w:rFonts w:ascii="Arial" w:hAnsi="Arial"/>
          <w:sz w:val="20"/>
        </w:rPr>
      </w:pPr>
      <w:r w:rsidRPr="00C80AD4">
        <w:rPr>
          <w:rFonts w:ascii="Arial" w:hAnsi="Arial"/>
          <w:sz w:val="20"/>
        </w:rPr>
        <w:t xml:space="preserve">13)  </w:t>
      </w:r>
      <w:r w:rsidRPr="00C80AD4">
        <w:rPr>
          <w:rFonts w:ascii="Arial" w:hAnsi="Arial"/>
          <w:sz w:val="20"/>
          <w:u w:val="single"/>
        </w:rPr>
        <w:t>Estimate of annualized capital and start-up costs</w:t>
      </w:r>
      <w:r w:rsidRPr="00C80AD4">
        <w:rPr>
          <w:rFonts w:ascii="Arial" w:hAnsi="Arial"/>
          <w:sz w:val="20"/>
        </w:rPr>
        <w:t>.</w:t>
      </w:r>
      <w:r w:rsidR="00C80AD4">
        <w:rPr>
          <w:rFonts w:ascii="Arial" w:hAnsi="Arial"/>
          <w:sz w:val="20"/>
        </w:rPr>
        <w:t xml:space="preserve">  </w:t>
      </w:r>
    </w:p>
    <w:p w:rsidR="0023625D" w:rsidRPr="00C80AD4" w14:paraId="5BC8CCF2" w14:textId="77777777">
      <w:pPr>
        <w:pStyle w:val="TxBrp29"/>
        <w:spacing w:line="240" w:lineRule="auto"/>
        <w:ind w:left="0" w:firstLine="29"/>
        <w:rPr>
          <w:rFonts w:ascii="Arial" w:hAnsi="Arial"/>
          <w:sz w:val="20"/>
          <w:u w:val="single"/>
        </w:rPr>
      </w:pPr>
    </w:p>
    <w:p w:rsidR="0023625D" w:rsidRPr="004106B6" w14:paraId="416B3E66" w14:textId="77777777">
      <w:pPr>
        <w:pStyle w:val="TxBrp29"/>
        <w:spacing w:line="240" w:lineRule="auto"/>
        <w:ind w:left="0" w:firstLine="29"/>
        <w:rPr>
          <w:rFonts w:ascii="Arial" w:hAnsi="Arial"/>
          <w:sz w:val="20"/>
        </w:rPr>
      </w:pPr>
      <w:r w:rsidRPr="004106B6">
        <w:rPr>
          <w:rFonts w:ascii="Arial" w:hAnsi="Arial"/>
          <w:sz w:val="20"/>
        </w:rPr>
        <w:t>There are no capital, start-up or maintenance costs associated with this information collection</w:t>
      </w:r>
      <w:r w:rsidRPr="004106B6">
        <w:rPr>
          <w:rFonts w:ascii="Arial" w:hAnsi="Arial"/>
          <w:sz w:val="20"/>
        </w:rPr>
        <w:t>.</w:t>
      </w:r>
      <w:r w:rsidR="00CB5900">
        <w:rPr>
          <w:rFonts w:ascii="Arial" w:hAnsi="Arial"/>
          <w:sz w:val="20"/>
        </w:rPr>
        <w:t xml:space="preserve">  </w:t>
      </w:r>
    </w:p>
    <w:p w:rsidR="0023625D" w:rsidRPr="004106B6" w14:paraId="4A45AAC4" w14:textId="77777777">
      <w:pPr>
        <w:tabs>
          <w:tab w:val="left" w:pos="595"/>
        </w:tabs>
        <w:rPr>
          <w:rFonts w:ascii="Arial" w:hAnsi="Arial"/>
          <w:sz w:val="20"/>
        </w:rPr>
      </w:pPr>
    </w:p>
    <w:p w:rsidR="0023625D" w:rsidRPr="00C80AD4" w14:paraId="6DB507A1" w14:textId="77777777">
      <w:pPr>
        <w:pStyle w:val="TxBrp29"/>
        <w:spacing w:line="240" w:lineRule="auto"/>
        <w:ind w:left="0" w:firstLine="0"/>
        <w:rPr>
          <w:rFonts w:ascii="Arial" w:hAnsi="Arial"/>
          <w:sz w:val="20"/>
        </w:rPr>
      </w:pPr>
      <w:r w:rsidRPr="00C80AD4">
        <w:rPr>
          <w:rFonts w:ascii="Arial" w:hAnsi="Arial"/>
          <w:sz w:val="20"/>
        </w:rPr>
        <w:t xml:space="preserve">14)  </w:t>
      </w:r>
      <w:r w:rsidRPr="00C80AD4">
        <w:rPr>
          <w:rFonts w:ascii="Arial" w:hAnsi="Arial"/>
          <w:sz w:val="20"/>
          <w:u w:val="single"/>
        </w:rPr>
        <w:t>Estimates of annualized cost to the Federal Government</w:t>
      </w:r>
      <w:r w:rsidRPr="00C80AD4">
        <w:rPr>
          <w:rFonts w:ascii="Arial" w:hAnsi="Arial"/>
          <w:sz w:val="20"/>
        </w:rPr>
        <w:t>.</w:t>
      </w:r>
      <w:r w:rsidR="00C80AD4">
        <w:rPr>
          <w:rFonts w:ascii="Arial" w:hAnsi="Arial"/>
          <w:sz w:val="20"/>
        </w:rPr>
        <w:t xml:space="preserve">  </w:t>
      </w:r>
    </w:p>
    <w:p w:rsidR="0023625D" w:rsidRPr="00C80AD4" w14:paraId="54F290F1" w14:textId="77777777">
      <w:pPr>
        <w:pStyle w:val="TxBrp29"/>
        <w:spacing w:line="240" w:lineRule="auto"/>
        <w:ind w:left="0" w:firstLine="0"/>
        <w:rPr>
          <w:rFonts w:ascii="Arial" w:hAnsi="Arial"/>
          <w:sz w:val="20"/>
        </w:rPr>
      </w:pPr>
    </w:p>
    <w:p w:rsidR="0023625D" w:rsidRPr="004106B6" w14:paraId="78AF454A" w14:textId="76D67591">
      <w:pPr>
        <w:pStyle w:val="TxBrp6"/>
        <w:spacing w:line="240" w:lineRule="auto"/>
        <w:rPr>
          <w:rFonts w:ascii="Arial" w:hAnsi="Arial"/>
          <w:bCs/>
          <w:sz w:val="20"/>
        </w:rPr>
      </w:pPr>
      <w:r w:rsidRPr="004106B6">
        <w:rPr>
          <w:rFonts w:ascii="Arial" w:hAnsi="Arial"/>
          <w:bCs/>
          <w:sz w:val="20"/>
        </w:rPr>
        <w:t xml:space="preserve">The </w:t>
      </w:r>
      <w:r w:rsidR="00971ABC">
        <w:rPr>
          <w:rFonts w:ascii="Arial" w:hAnsi="Arial"/>
          <w:bCs/>
          <w:sz w:val="20"/>
        </w:rPr>
        <w:t>estimated</w:t>
      </w:r>
      <w:r w:rsidRPr="004106B6" w:rsidR="00971ABC">
        <w:rPr>
          <w:rFonts w:ascii="Arial" w:hAnsi="Arial"/>
          <w:bCs/>
          <w:sz w:val="20"/>
        </w:rPr>
        <w:t xml:space="preserve"> </w:t>
      </w:r>
      <w:r w:rsidRPr="004106B6">
        <w:rPr>
          <w:rFonts w:ascii="Arial" w:hAnsi="Arial"/>
          <w:bCs/>
          <w:sz w:val="20"/>
        </w:rPr>
        <w:t>annua</w:t>
      </w:r>
      <w:r w:rsidR="00971ABC">
        <w:rPr>
          <w:rFonts w:ascii="Arial" w:hAnsi="Arial"/>
          <w:bCs/>
          <w:sz w:val="20"/>
        </w:rPr>
        <w:t xml:space="preserve">l Federal </w:t>
      </w:r>
      <w:r w:rsidRPr="004106B6">
        <w:rPr>
          <w:rFonts w:ascii="Arial" w:hAnsi="Arial"/>
          <w:bCs/>
          <w:sz w:val="20"/>
        </w:rPr>
        <w:t xml:space="preserve">Government </w:t>
      </w:r>
      <w:r w:rsidR="00971ABC">
        <w:rPr>
          <w:rFonts w:ascii="Arial" w:hAnsi="Arial"/>
          <w:bCs/>
          <w:sz w:val="20"/>
        </w:rPr>
        <w:t xml:space="preserve">cost </w:t>
      </w:r>
      <w:r w:rsidRPr="00971ABC">
        <w:rPr>
          <w:rFonts w:ascii="Arial" w:hAnsi="Arial"/>
          <w:bCs/>
          <w:sz w:val="20"/>
        </w:rPr>
        <w:t xml:space="preserve">is </w:t>
      </w:r>
      <w:r w:rsidRPr="00B853A6">
        <w:rPr>
          <w:rFonts w:ascii="Arial" w:hAnsi="Arial"/>
          <w:bCs/>
          <w:sz w:val="20"/>
        </w:rPr>
        <w:t>$</w:t>
      </w:r>
      <w:r w:rsidR="008F1783">
        <w:rPr>
          <w:rFonts w:ascii="Arial" w:hAnsi="Arial"/>
          <w:bCs/>
          <w:sz w:val="20"/>
        </w:rPr>
        <w:t>4</w:t>
      </w:r>
      <w:r w:rsidR="00115FEF">
        <w:rPr>
          <w:rFonts w:ascii="Arial" w:hAnsi="Arial"/>
          <w:bCs/>
          <w:sz w:val="20"/>
        </w:rPr>
        <w:t>82,400</w:t>
      </w:r>
      <w:r w:rsidRPr="00971ABC" w:rsidR="00971ABC">
        <w:rPr>
          <w:rFonts w:ascii="Arial" w:hAnsi="Arial"/>
          <w:bCs/>
          <w:sz w:val="20"/>
        </w:rPr>
        <w:t xml:space="preserve"> (see Appendix B)</w:t>
      </w:r>
      <w:r w:rsidRPr="00971ABC">
        <w:rPr>
          <w:rFonts w:ascii="Arial" w:hAnsi="Arial"/>
          <w:bCs/>
          <w:sz w:val="20"/>
        </w:rPr>
        <w:t>.</w:t>
      </w:r>
      <w:r w:rsidR="00971ABC">
        <w:rPr>
          <w:rFonts w:ascii="Arial" w:hAnsi="Arial"/>
          <w:bCs/>
          <w:sz w:val="20"/>
        </w:rPr>
        <w:t xml:space="preserve">  </w:t>
      </w:r>
    </w:p>
    <w:p w:rsidR="0023625D" w:rsidRPr="004106B6" w14:paraId="77021C9E" w14:textId="77777777">
      <w:pPr>
        <w:pStyle w:val="TxBrp6"/>
        <w:spacing w:line="240" w:lineRule="auto"/>
        <w:rPr>
          <w:rFonts w:ascii="Arial" w:hAnsi="Arial"/>
          <w:b/>
          <w:sz w:val="20"/>
        </w:rPr>
      </w:pPr>
    </w:p>
    <w:p w:rsidR="0023625D" w:rsidRPr="00971ABC" w14:paraId="2710D99A" w14:textId="77777777">
      <w:pPr>
        <w:pStyle w:val="TxBrp6"/>
        <w:spacing w:line="240" w:lineRule="auto"/>
        <w:rPr>
          <w:rFonts w:ascii="Arial" w:hAnsi="Arial"/>
          <w:bCs/>
          <w:i/>
          <w:iCs/>
          <w:sz w:val="20"/>
        </w:rPr>
      </w:pPr>
      <w:r w:rsidRPr="00971ABC">
        <w:rPr>
          <w:rFonts w:ascii="Arial" w:hAnsi="Arial"/>
          <w:bCs/>
          <w:i/>
          <w:iCs/>
          <w:sz w:val="20"/>
        </w:rPr>
        <w:t xml:space="preserve">I.  </w:t>
      </w:r>
      <w:r w:rsidRPr="00971ABC" w:rsidR="006334CF">
        <w:rPr>
          <w:rFonts w:ascii="Arial" w:hAnsi="Arial"/>
          <w:bCs/>
          <w:i/>
          <w:iCs/>
          <w:sz w:val="20"/>
        </w:rPr>
        <w:t xml:space="preserve">Report of </w:t>
      </w:r>
      <w:r w:rsidRPr="00971ABC">
        <w:rPr>
          <w:rFonts w:ascii="Arial" w:hAnsi="Arial"/>
          <w:bCs/>
          <w:i/>
          <w:iCs/>
          <w:sz w:val="20"/>
        </w:rPr>
        <w:t>Marine Casualt</w:t>
      </w:r>
      <w:r w:rsidR="009F6F87">
        <w:rPr>
          <w:rFonts w:ascii="Arial" w:hAnsi="Arial"/>
          <w:bCs/>
          <w:i/>
          <w:iCs/>
          <w:sz w:val="20"/>
        </w:rPr>
        <w:t xml:space="preserve">y </w:t>
      </w:r>
      <w:r w:rsidR="00CB5900">
        <w:rPr>
          <w:rFonts w:ascii="Arial" w:hAnsi="Arial"/>
          <w:bCs/>
          <w:i/>
          <w:iCs/>
          <w:sz w:val="20"/>
        </w:rPr>
        <w:t xml:space="preserve"> </w:t>
      </w:r>
    </w:p>
    <w:p w:rsidR="0023625D" w:rsidRPr="00971ABC" w14:paraId="4C78BAB1" w14:textId="3715C9AC">
      <w:pPr>
        <w:pStyle w:val="TxBrp5"/>
        <w:spacing w:line="240" w:lineRule="auto"/>
        <w:ind w:firstLine="0"/>
        <w:rPr>
          <w:rFonts w:ascii="Arial" w:hAnsi="Arial"/>
          <w:sz w:val="20"/>
        </w:rPr>
      </w:pPr>
      <w:r w:rsidRPr="00971ABC">
        <w:rPr>
          <w:rFonts w:ascii="Arial" w:hAnsi="Arial"/>
          <w:sz w:val="20"/>
        </w:rPr>
        <w:t xml:space="preserve">We estimate that it takes </w:t>
      </w:r>
      <w:r w:rsidR="001A4010">
        <w:rPr>
          <w:rFonts w:ascii="Arial" w:hAnsi="Arial"/>
          <w:sz w:val="20"/>
        </w:rPr>
        <w:t xml:space="preserve">about </w:t>
      </w:r>
      <w:r w:rsidRPr="00971ABC">
        <w:rPr>
          <w:rFonts w:ascii="Arial" w:hAnsi="Arial"/>
          <w:sz w:val="20"/>
        </w:rPr>
        <w:t xml:space="preserve">1 hour </w:t>
      </w:r>
      <w:r w:rsidRPr="00971ABC">
        <w:rPr>
          <w:rFonts w:ascii="Arial" w:hAnsi="Arial"/>
          <w:sz w:val="20"/>
        </w:rPr>
        <w:t xml:space="preserve">by a Lieutenant Junior Grade (LTJG; O-2) to </w:t>
      </w:r>
      <w:r w:rsidRPr="00971ABC">
        <w:rPr>
          <w:rFonts w:ascii="Arial" w:hAnsi="Arial"/>
          <w:sz w:val="20"/>
        </w:rPr>
        <w:t>process each form CG-2692/CG-2692A/CG-2692B</w:t>
      </w:r>
      <w:r w:rsidR="008629B3">
        <w:rPr>
          <w:rFonts w:ascii="Arial" w:hAnsi="Arial"/>
          <w:sz w:val="20"/>
        </w:rPr>
        <w:t>/</w:t>
      </w:r>
      <w:r w:rsidRPr="00971ABC">
        <w:rPr>
          <w:rFonts w:ascii="Arial" w:hAnsi="Arial"/>
          <w:sz w:val="20"/>
        </w:rPr>
        <w:t>CG-2692C/CG-2692D</w:t>
      </w:r>
      <w:r w:rsidRPr="00971ABC">
        <w:rPr>
          <w:rFonts w:ascii="Arial" w:hAnsi="Arial"/>
          <w:sz w:val="20"/>
        </w:rPr>
        <w:t>, including auditing at a local field investigation office and the ent</w:t>
      </w:r>
      <w:r w:rsidR="008629B3">
        <w:rPr>
          <w:rFonts w:ascii="Arial" w:hAnsi="Arial"/>
          <w:sz w:val="20"/>
        </w:rPr>
        <w:t>ry</w:t>
      </w:r>
      <w:r w:rsidRPr="00971ABC">
        <w:rPr>
          <w:rFonts w:ascii="Arial" w:hAnsi="Arial"/>
          <w:sz w:val="20"/>
        </w:rPr>
        <w:t xml:space="preserve"> of pertinent information into a </w:t>
      </w:r>
      <w:r w:rsidR="005E1EDE">
        <w:rPr>
          <w:rFonts w:ascii="Arial" w:hAnsi="Arial"/>
          <w:sz w:val="20"/>
        </w:rPr>
        <w:t xml:space="preserve">CG </w:t>
      </w:r>
      <w:r w:rsidRPr="00971ABC">
        <w:rPr>
          <w:rFonts w:ascii="Arial" w:hAnsi="Arial"/>
          <w:sz w:val="20"/>
        </w:rPr>
        <w:t xml:space="preserve">database.  </w:t>
      </w:r>
      <w:r w:rsidRPr="005E1EDE" w:rsidR="005E1EDE">
        <w:rPr>
          <w:rFonts w:ascii="Arial" w:hAnsi="Arial"/>
          <w:sz w:val="20"/>
        </w:rPr>
        <w:t xml:space="preserve">For the wage rate, we used the current edition of COMDTINST 7310.1(series) for “In-Government” personnel.  </w:t>
      </w:r>
    </w:p>
    <w:p w:rsidR="0023625D" w:rsidRPr="00C80AD4" w14:paraId="4E9EF8A8" w14:textId="77777777">
      <w:pPr>
        <w:pStyle w:val="TxBrp5"/>
        <w:spacing w:line="240" w:lineRule="auto"/>
        <w:ind w:firstLine="0"/>
        <w:rPr>
          <w:rFonts w:ascii="Arial" w:hAnsi="Arial"/>
          <w:sz w:val="20"/>
          <w:highlight w:val="yellow"/>
        </w:rPr>
      </w:pPr>
    </w:p>
    <w:p w:rsidR="0023625D" w:rsidRPr="008629B3" w14:paraId="43B63580" w14:textId="77777777">
      <w:pPr>
        <w:pStyle w:val="TxBrp6"/>
        <w:spacing w:line="240" w:lineRule="auto"/>
        <w:rPr>
          <w:rFonts w:ascii="Arial" w:hAnsi="Arial"/>
          <w:bCs/>
          <w:i/>
          <w:iCs/>
          <w:sz w:val="20"/>
        </w:rPr>
      </w:pPr>
      <w:r w:rsidRPr="008629B3">
        <w:rPr>
          <w:rFonts w:ascii="Arial" w:hAnsi="Arial"/>
          <w:bCs/>
          <w:i/>
          <w:iCs/>
          <w:sz w:val="20"/>
        </w:rPr>
        <w:t>II.  Chemical Testing</w:t>
      </w:r>
      <w:r w:rsidR="00CB5900">
        <w:rPr>
          <w:rFonts w:ascii="Arial" w:hAnsi="Arial"/>
          <w:bCs/>
          <w:i/>
          <w:iCs/>
          <w:sz w:val="20"/>
        </w:rPr>
        <w:t xml:space="preserve">  </w:t>
      </w:r>
    </w:p>
    <w:p w:rsidR="008629B3" w14:paraId="402F3BA1" w14:textId="59E6AAF1">
      <w:pPr>
        <w:pStyle w:val="TxBrp6"/>
        <w:spacing w:line="240" w:lineRule="auto"/>
        <w:rPr>
          <w:rFonts w:ascii="Arial" w:hAnsi="Arial" w:cs="Arial"/>
          <w:sz w:val="20"/>
          <w:highlight w:val="yellow"/>
        </w:rPr>
      </w:pPr>
      <w:r w:rsidRPr="008629B3">
        <w:rPr>
          <w:rFonts w:ascii="Arial" w:hAnsi="Arial" w:cs="Arial"/>
          <w:sz w:val="20"/>
        </w:rPr>
        <w:t xml:space="preserve">We estimate that it takes </w:t>
      </w:r>
      <w:r w:rsidR="001A4010">
        <w:rPr>
          <w:rFonts w:ascii="Arial" w:hAnsi="Arial" w:cs="Arial"/>
          <w:sz w:val="20"/>
        </w:rPr>
        <w:t xml:space="preserve">about </w:t>
      </w:r>
      <w:r>
        <w:rPr>
          <w:rFonts w:ascii="Arial" w:hAnsi="Arial" w:cs="Arial"/>
          <w:sz w:val="20"/>
        </w:rPr>
        <w:t>0.</w:t>
      </w:r>
      <w:r w:rsidRPr="008629B3">
        <w:rPr>
          <w:rFonts w:ascii="Arial" w:hAnsi="Arial" w:cs="Arial"/>
          <w:sz w:val="20"/>
        </w:rPr>
        <w:t>1 hour</w:t>
      </w:r>
      <w:r w:rsidR="001A4010">
        <w:rPr>
          <w:rFonts w:ascii="Arial" w:hAnsi="Arial" w:cs="Arial"/>
          <w:sz w:val="20"/>
        </w:rPr>
        <w:t>s</w:t>
      </w:r>
      <w:r w:rsidRPr="008629B3">
        <w:rPr>
          <w:rFonts w:ascii="Arial" w:hAnsi="Arial" w:cs="Arial"/>
          <w:sz w:val="20"/>
        </w:rPr>
        <w:t xml:space="preserve"> by a L</w:t>
      </w:r>
      <w:r w:rsidR="001A4010">
        <w:rPr>
          <w:rFonts w:ascii="Arial" w:hAnsi="Arial" w:cs="Arial"/>
          <w:sz w:val="20"/>
        </w:rPr>
        <w:t>TJG</w:t>
      </w:r>
      <w:r w:rsidRPr="008629B3">
        <w:rPr>
          <w:rFonts w:ascii="Arial" w:hAnsi="Arial" w:cs="Arial"/>
          <w:sz w:val="20"/>
        </w:rPr>
        <w:t xml:space="preserve"> to process each </w:t>
      </w:r>
      <w:r>
        <w:rPr>
          <w:rFonts w:ascii="Arial" w:hAnsi="Arial" w:cs="Arial"/>
          <w:sz w:val="20"/>
        </w:rPr>
        <w:t xml:space="preserve">chemical testing report, or review each chemical testing record, including auditing </w:t>
      </w:r>
      <w:r w:rsidRPr="008629B3">
        <w:rPr>
          <w:rFonts w:ascii="Arial" w:hAnsi="Arial" w:cs="Arial"/>
          <w:sz w:val="20"/>
        </w:rPr>
        <w:t xml:space="preserve">at a local field investigation office and the entering of pertinent information into </w:t>
      </w:r>
      <w:r>
        <w:rPr>
          <w:rFonts w:ascii="Arial" w:hAnsi="Arial" w:cs="Arial"/>
          <w:sz w:val="20"/>
        </w:rPr>
        <w:t>our</w:t>
      </w:r>
      <w:r w:rsidRPr="008629B3">
        <w:rPr>
          <w:rFonts w:ascii="Arial" w:hAnsi="Arial" w:cs="Arial"/>
          <w:sz w:val="20"/>
        </w:rPr>
        <w:t xml:space="preserve"> database.  </w:t>
      </w:r>
    </w:p>
    <w:p w:rsidR="008629B3" w14:paraId="6F0F57F1" w14:textId="77777777">
      <w:pPr>
        <w:pStyle w:val="TxBrp6"/>
        <w:spacing w:line="240" w:lineRule="auto"/>
        <w:rPr>
          <w:rFonts w:ascii="Arial" w:hAnsi="Arial" w:cs="Arial"/>
          <w:sz w:val="20"/>
          <w:highlight w:val="yellow"/>
        </w:rPr>
      </w:pPr>
    </w:p>
    <w:p w:rsidR="0023625D" w:rsidRPr="00C80AD4" w14:paraId="3AADAB31" w14:textId="77777777">
      <w:pPr>
        <w:pStyle w:val="TxBrp29"/>
        <w:spacing w:line="240" w:lineRule="auto"/>
        <w:ind w:left="0" w:firstLine="0"/>
        <w:rPr>
          <w:rFonts w:ascii="Arial" w:hAnsi="Arial"/>
          <w:sz w:val="20"/>
        </w:rPr>
      </w:pPr>
      <w:r w:rsidRPr="00C80AD4">
        <w:rPr>
          <w:rFonts w:ascii="Arial" w:hAnsi="Arial"/>
          <w:sz w:val="20"/>
        </w:rPr>
        <w:t>15</w:t>
      </w:r>
      <w:r w:rsidRPr="00ED2F7D">
        <w:rPr>
          <w:rFonts w:ascii="Arial" w:hAnsi="Arial"/>
          <w:sz w:val="20"/>
        </w:rPr>
        <w:t xml:space="preserve">)  </w:t>
      </w:r>
      <w:r w:rsidRPr="00ED2F7D" w:rsidR="00C80AD4">
        <w:rPr>
          <w:rFonts w:ascii="Arial" w:hAnsi="Arial"/>
          <w:sz w:val="20"/>
          <w:u w:val="single"/>
        </w:rPr>
        <w:t>Explain the r</w:t>
      </w:r>
      <w:r w:rsidRPr="00037404">
        <w:rPr>
          <w:rFonts w:ascii="Arial" w:hAnsi="Arial"/>
          <w:sz w:val="20"/>
          <w:u w:val="single"/>
        </w:rPr>
        <w:t>easons for change in burden</w:t>
      </w:r>
      <w:r w:rsidRPr="00037404">
        <w:rPr>
          <w:rFonts w:ascii="Arial" w:hAnsi="Arial"/>
          <w:sz w:val="20"/>
        </w:rPr>
        <w:t>.</w:t>
      </w:r>
      <w:r w:rsidR="00C80AD4">
        <w:rPr>
          <w:rFonts w:ascii="Arial" w:hAnsi="Arial"/>
          <w:sz w:val="20"/>
        </w:rPr>
        <w:t xml:space="preserve">  </w:t>
      </w:r>
    </w:p>
    <w:p w:rsidR="00045708" w:rsidRPr="00C80AD4" w:rsidP="00045708" w14:paraId="338D4D58" w14:textId="77777777">
      <w:pPr>
        <w:pStyle w:val="TxBrp29"/>
        <w:tabs>
          <w:tab w:val="left" w:pos="0"/>
          <w:tab w:val="clear" w:pos="413"/>
        </w:tabs>
        <w:spacing w:line="240" w:lineRule="auto"/>
        <w:ind w:left="0" w:firstLine="0"/>
        <w:rPr>
          <w:rFonts w:ascii="Arial" w:hAnsi="Arial"/>
          <w:sz w:val="20"/>
        </w:rPr>
      </w:pPr>
    </w:p>
    <w:p w:rsidR="00045708" w:rsidRPr="003019EE" w:rsidP="00D83F12" w14:paraId="4EDCFAF1" w14:textId="59765B3A">
      <w:pPr>
        <w:pStyle w:val="TxBrp29"/>
        <w:tabs>
          <w:tab w:val="clear" w:pos="413"/>
        </w:tabs>
        <w:ind w:left="0" w:firstLine="0"/>
        <w:rPr>
          <w:rFonts w:ascii="Arial" w:hAnsi="Arial"/>
          <w:sz w:val="20"/>
        </w:rPr>
      </w:pPr>
      <w:r w:rsidRPr="004106B6">
        <w:rPr>
          <w:rFonts w:ascii="Arial" w:hAnsi="Arial"/>
          <w:sz w:val="20"/>
        </w:rPr>
        <w:t xml:space="preserve">The </w:t>
      </w:r>
      <w:r w:rsidRPr="007F0FEC">
        <w:rPr>
          <w:rFonts w:ascii="Arial" w:hAnsi="Arial"/>
          <w:sz w:val="20"/>
        </w:rPr>
        <w:t>change</w:t>
      </w:r>
      <w:r w:rsidR="00417060">
        <w:rPr>
          <w:rFonts w:ascii="Arial" w:hAnsi="Arial"/>
          <w:sz w:val="20"/>
        </w:rPr>
        <w:t xml:space="preserve"> </w:t>
      </w:r>
      <w:r w:rsidRPr="003019EE" w:rsidR="00417060">
        <w:rPr>
          <w:rFonts w:ascii="Arial" w:hAnsi="Arial" w:cs="Arial"/>
          <w:sz w:val="20"/>
        </w:rPr>
        <w:t xml:space="preserve">(i.e., </w:t>
      </w:r>
      <w:r w:rsidR="00417060">
        <w:rPr>
          <w:rFonts w:ascii="Arial" w:hAnsi="Arial" w:cs="Arial"/>
          <w:sz w:val="20"/>
        </w:rPr>
        <w:t>in</w:t>
      </w:r>
      <w:r w:rsidRPr="003019EE" w:rsidR="00417060">
        <w:rPr>
          <w:rFonts w:ascii="Arial" w:hAnsi="Arial" w:cs="Arial"/>
          <w:sz w:val="20"/>
        </w:rPr>
        <w:t xml:space="preserve">crease) </w:t>
      </w:r>
      <w:r w:rsidRPr="007F0FEC">
        <w:rPr>
          <w:rFonts w:ascii="Arial" w:hAnsi="Arial"/>
          <w:sz w:val="20"/>
        </w:rPr>
        <w:t xml:space="preserve">in burden is </w:t>
      </w:r>
      <w:r w:rsidR="00417060">
        <w:rPr>
          <w:rFonts w:ascii="Arial" w:hAnsi="Arial"/>
          <w:sz w:val="20"/>
        </w:rPr>
        <w:t xml:space="preserve">a PROGRAM CHANGE </w:t>
      </w:r>
      <w:r w:rsidRPr="003019EE" w:rsidR="00557AE2">
        <w:rPr>
          <w:rFonts w:ascii="Arial" w:hAnsi="Arial" w:cs="Arial"/>
          <w:sz w:val="20"/>
        </w:rPr>
        <w:t xml:space="preserve">due to </w:t>
      </w:r>
      <w:r w:rsidR="00291C93">
        <w:rPr>
          <w:rFonts w:ascii="Arial" w:hAnsi="Arial" w:cs="Arial"/>
          <w:sz w:val="20"/>
        </w:rPr>
        <w:t xml:space="preserve">the 1625-AB99 </w:t>
      </w:r>
      <w:r w:rsidRPr="00355DE4" w:rsidR="00355DE4">
        <w:rPr>
          <w:rFonts w:ascii="Arial" w:hAnsi="Arial" w:cs="Arial"/>
          <w:sz w:val="20"/>
        </w:rPr>
        <w:t xml:space="preserve">Marine Casualty Reporting on the Outer Continental Shelf rulemaking.  The rulemaking proposes to broaden the regulatory requirements for reporting marine casualties that occur on the U.S. OCS.  </w:t>
      </w:r>
      <w:r w:rsidR="00355DE4">
        <w:rPr>
          <w:rFonts w:ascii="Arial" w:hAnsi="Arial" w:cs="Arial"/>
          <w:sz w:val="20"/>
        </w:rPr>
        <w:t>T</w:t>
      </w:r>
      <w:r w:rsidRPr="003019EE" w:rsidR="00557AE2">
        <w:rPr>
          <w:rFonts w:ascii="Arial" w:hAnsi="Arial" w:cs="Arial"/>
          <w:sz w:val="20"/>
        </w:rPr>
        <w:t xml:space="preserve">he methodology for calculation burden </w:t>
      </w:r>
      <w:r w:rsidRPr="003019EE" w:rsidR="00557AE2">
        <w:rPr>
          <w:rFonts w:ascii="Arial" w:hAnsi="Arial" w:cs="Arial"/>
          <w:sz w:val="20"/>
        </w:rPr>
        <w:t>remain</w:t>
      </w:r>
      <w:r w:rsidRPr="003019EE" w:rsidR="00557AE2">
        <w:rPr>
          <w:rFonts w:ascii="Arial" w:hAnsi="Arial" w:cs="Arial"/>
          <w:sz w:val="20"/>
        </w:rPr>
        <w:t xml:space="preserve"> unchanged</w:t>
      </w:r>
      <w:r w:rsidRPr="003019EE" w:rsidR="004106B6">
        <w:rPr>
          <w:rFonts w:ascii="Arial" w:hAnsi="Arial"/>
          <w:sz w:val="20"/>
        </w:rPr>
        <w:t xml:space="preserve">. </w:t>
      </w:r>
      <w:r w:rsidRPr="003019EE" w:rsidR="00F64275">
        <w:rPr>
          <w:rFonts w:ascii="Arial" w:hAnsi="Arial"/>
          <w:sz w:val="20"/>
        </w:rPr>
        <w:t xml:space="preserve"> </w:t>
      </w:r>
    </w:p>
    <w:p w:rsidR="007A1829" w:rsidP="00D83F12" w14:paraId="0E93BE74" w14:textId="77777777">
      <w:pPr>
        <w:pStyle w:val="TxBrp29"/>
        <w:tabs>
          <w:tab w:val="clear" w:pos="413"/>
        </w:tabs>
        <w:ind w:left="0" w:firstLine="0"/>
        <w:rPr>
          <w:rFonts w:ascii="Arial" w:hAnsi="Arial"/>
          <w:sz w:val="20"/>
        </w:rPr>
      </w:pPr>
    </w:p>
    <w:p w:rsidR="0023625D" w:rsidRPr="00C80AD4" w14:paraId="54FE25E1" w14:textId="77777777">
      <w:pPr>
        <w:pStyle w:val="TxBrp29"/>
        <w:spacing w:line="240" w:lineRule="auto"/>
        <w:ind w:left="0" w:firstLine="0"/>
        <w:rPr>
          <w:rFonts w:ascii="Arial" w:hAnsi="Arial"/>
          <w:sz w:val="20"/>
        </w:rPr>
      </w:pPr>
      <w:r w:rsidRPr="00C80AD4">
        <w:rPr>
          <w:rFonts w:ascii="Arial" w:hAnsi="Arial"/>
          <w:sz w:val="20"/>
        </w:rPr>
        <w:t xml:space="preserve">16)  </w:t>
      </w:r>
      <w:r w:rsidRPr="00C80AD4">
        <w:rPr>
          <w:rFonts w:ascii="Arial" w:hAnsi="Arial"/>
          <w:sz w:val="20"/>
          <w:u w:val="single"/>
        </w:rPr>
        <w:t>Plans for tabulation, statistical analysis and publication</w:t>
      </w:r>
      <w:r w:rsidRPr="00C80AD4">
        <w:rPr>
          <w:rFonts w:ascii="Arial" w:hAnsi="Arial"/>
          <w:sz w:val="20"/>
        </w:rPr>
        <w:t>.</w:t>
      </w:r>
      <w:r w:rsidR="00C80AD4">
        <w:rPr>
          <w:rFonts w:ascii="Arial" w:hAnsi="Arial"/>
          <w:sz w:val="20"/>
        </w:rPr>
        <w:t xml:space="preserve">  </w:t>
      </w:r>
    </w:p>
    <w:p w:rsidR="0023625D" w:rsidRPr="00C80AD4" w14:paraId="35001C5B" w14:textId="77777777">
      <w:pPr>
        <w:pStyle w:val="TxBrp6"/>
        <w:spacing w:line="240" w:lineRule="auto"/>
        <w:rPr>
          <w:rFonts w:ascii="Arial" w:hAnsi="Arial"/>
          <w:sz w:val="20"/>
        </w:rPr>
      </w:pPr>
    </w:p>
    <w:p w:rsidR="0023625D" w:rsidRPr="004106B6" w14:paraId="604C8CF3" w14:textId="77777777">
      <w:pPr>
        <w:pStyle w:val="TxBrp5"/>
        <w:spacing w:line="240" w:lineRule="auto"/>
        <w:ind w:firstLine="0"/>
        <w:rPr>
          <w:rFonts w:ascii="Arial" w:hAnsi="Arial"/>
          <w:sz w:val="20"/>
        </w:rPr>
      </w:pPr>
      <w:r w:rsidRPr="004106B6">
        <w:rPr>
          <w:rFonts w:ascii="Arial" w:hAnsi="Arial"/>
          <w:bCs/>
          <w:iCs/>
          <w:sz w:val="20"/>
        </w:rPr>
        <w:t xml:space="preserve">This information collection will not be published for statistical purposes.  </w:t>
      </w:r>
    </w:p>
    <w:p w:rsidR="0023625D" w:rsidRPr="004106B6" w14:paraId="73C82176" w14:textId="77777777">
      <w:pPr>
        <w:pStyle w:val="TxBrp5"/>
        <w:spacing w:line="240" w:lineRule="auto"/>
        <w:ind w:firstLine="0"/>
        <w:rPr>
          <w:rFonts w:ascii="Arial" w:hAnsi="Arial"/>
          <w:sz w:val="20"/>
        </w:rPr>
      </w:pPr>
    </w:p>
    <w:p w:rsidR="0023625D" w:rsidRPr="00C80AD4" w14:paraId="5FB8AE3E" w14:textId="77777777">
      <w:pPr>
        <w:pStyle w:val="TxBrp31"/>
        <w:tabs>
          <w:tab w:val="left" w:pos="413"/>
        </w:tabs>
        <w:spacing w:line="240" w:lineRule="auto"/>
        <w:ind w:left="0" w:firstLine="0"/>
        <w:rPr>
          <w:rFonts w:ascii="Arial" w:hAnsi="Arial"/>
          <w:sz w:val="20"/>
        </w:rPr>
      </w:pPr>
      <w:r w:rsidRPr="00C80AD4">
        <w:rPr>
          <w:rFonts w:ascii="Arial" w:hAnsi="Arial"/>
          <w:sz w:val="20"/>
        </w:rPr>
        <w:t xml:space="preserve">17)  </w:t>
      </w:r>
      <w:r w:rsidRPr="00C80AD4">
        <w:rPr>
          <w:rFonts w:ascii="Arial" w:hAnsi="Arial"/>
          <w:sz w:val="20"/>
          <w:u w:val="single"/>
        </w:rPr>
        <w:t>Approval for not explaining the expiration date for OMB approval</w:t>
      </w:r>
      <w:r w:rsidRPr="00C80AD4">
        <w:rPr>
          <w:rFonts w:ascii="Arial" w:hAnsi="Arial"/>
          <w:sz w:val="20"/>
        </w:rPr>
        <w:t>.</w:t>
      </w:r>
      <w:r w:rsidR="00C80AD4">
        <w:rPr>
          <w:rFonts w:ascii="Arial" w:hAnsi="Arial"/>
          <w:sz w:val="20"/>
        </w:rPr>
        <w:t xml:space="preserve">  </w:t>
      </w:r>
    </w:p>
    <w:p w:rsidR="0023625D" w:rsidRPr="00C80AD4" w14:paraId="4B015C76" w14:textId="77777777">
      <w:pPr>
        <w:pStyle w:val="TxBrp31"/>
        <w:tabs>
          <w:tab w:val="left" w:pos="413"/>
        </w:tabs>
        <w:spacing w:line="240" w:lineRule="auto"/>
        <w:ind w:left="0" w:firstLine="0"/>
        <w:rPr>
          <w:rFonts w:ascii="Arial" w:hAnsi="Arial"/>
          <w:sz w:val="20"/>
        </w:rPr>
      </w:pPr>
    </w:p>
    <w:p w:rsidR="0023625D" w:rsidRPr="004106B6" w14:paraId="0E44EFD7" w14:textId="77777777">
      <w:pPr>
        <w:pStyle w:val="TxBrp31"/>
        <w:tabs>
          <w:tab w:val="left" w:pos="413"/>
        </w:tabs>
        <w:spacing w:line="240" w:lineRule="auto"/>
        <w:ind w:left="0" w:hanging="54"/>
        <w:rPr>
          <w:rFonts w:ascii="Arial" w:hAnsi="Arial"/>
          <w:sz w:val="20"/>
        </w:rPr>
      </w:pPr>
      <w:r w:rsidRPr="004106B6">
        <w:rPr>
          <w:rFonts w:ascii="Arial" w:hAnsi="Arial"/>
          <w:sz w:val="20"/>
        </w:rPr>
        <w:t>The Coast Guard will display the expiration date for OMB approval of this information collection</w:t>
      </w:r>
      <w:r w:rsidR="0056133E">
        <w:rPr>
          <w:rFonts w:ascii="Arial" w:hAnsi="Arial"/>
          <w:sz w:val="20"/>
        </w:rPr>
        <w:t xml:space="preserve">.  </w:t>
      </w:r>
    </w:p>
    <w:p w:rsidR="00AC76F8" w:rsidRPr="004106B6" w14:paraId="05B1BDD6" w14:textId="77777777">
      <w:pPr>
        <w:pStyle w:val="TxBrp31"/>
        <w:tabs>
          <w:tab w:val="left" w:pos="413"/>
        </w:tabs>
        <w:spacing w:line="240" w:lineRule="auto"/>
        <w:ind w:left="0" w:hanging="54"/>
        <w:rPr>
          <w:rFonts w:ascii="Arial" w:hAnsi="Arial"/>
          <w:sz w:val="20"/>
        </w:rPr>
      </w:pPr>
    </w:p>
    <w:p w:rsidR="0023625D" w:rsidRPr="00C80AD4" w14:paraId="0ECC6D19" w14:textId="77777777">
      <w:pPr>
        <w:pStyle w:val="TxBrp31"/>
        <w:tabs>
          <w:tab w:val="left" w:pos="413"/>
        </w:tabs>
        <w:spacing w:line="240" w:lineRule="auto"/>
        <w:ind w:left="0" w:hanging="54"/>
        <w:rPr>
          <w:rFonts w:ascii="Arial" w:hAnsi="Arial"/>
          <w:sz w:val="20"/>
        </w:rPr>
      </w:pPr>
      <w:r w:rsidRPr="00C80AD4">
        <w:rPr>
          <w:rFonts w:ascii="Arial" w:hAnsi="Arial"/>
          <w:sz w:val="20"/>
        </w:rPr>
        <w:t xml:space="preserve">18)  </w:t>
      </w:r>
      <w:r w:rsidRPr="00C80AD4">
        <w:rPr>
          <w:rFonts w:ascii="Arial" w:hAnsi="Arial"/>
          <w:sz w:val="20"/>
          <w:u w:val="single"/>
        </w:rPr>
        <w:t>Exception to the certification statement</w:t>
      </w:r>
      <w:r w:rsidRPr="00C80AD4">
        <w:rPr>
          <w:rFonts w:ascii="Arial" w:hAnsi="Arial"/>
          <w:sz w:val="20"/>
        </w:rPr>
        <w:t>.</w:t>
      </w:r>
      <w:r w:rsidR="00C80AD4">
        <w:rPr>
          <w:rFonts w:ascii="Arial" w:hAnsi="Arial"/>
          <w:sz w:val="20"/>
        </w:rPr>
        <w:t xml:space="preserve">  </w:t>
      </w:r>
    </w:p>
    <w:p w:rsidR="00F25504" w:rsidRPr="00C80AD4" w14:paraId="53820DF4" w14:textId="77777777">
      <w:pPr>
        <w:pStyle w:val="TxBrp31"/>
        <w:tabs>
          <w:tab w:val="left" w:pos="413"/>
        </w:tabs>
        <w:spacing w:line="240" w:lineRule="auto"/>
        <w:ind w:left="0" w:hanging="54"/>
        <w:rPr>
          <w:rFonts w:ascii="Arial" w:hAnsi="Arial"/>
          <w:sz w:val="20"/>
        </w:rPr>
      </w:pPr>
    </w:p>
    <w:p w:rsidR="0023625D" w:rsidRPr="004106B6" w14:paraId="3F5E3A7C" w14:textId="2BDECC7A">
      <w:pPr>
        <w:pStyle w:val="TxBrp31"/>
        <w:tabs>
          <w:tab w:val="left" w:pos="413"/>
        </w:tabs>
        <w:spacing w:line="240" w:lineRule="auto"/>
        <w:ind w:left="0" w:hanging="54"/>
        <w:rPr>
          <w:rFonts w:ascii="Arial" w:hAnsi="Arial"/>
          <w:sz w:val="20"/>
        </w:rPr>
      </w:pPr>
      <w:r w:rsidRPr="004106B6">
        <w:rPr>
          <w:rFonts w:ascii="Arial" w:hAnsi="Arial"/>
          <w:sz w:val="20"/>
        </w:rPr>
        <w:t>The Coast Guard does not request an exception to the certification of this information collection</w:t>
      </w:r>
      <w:r w:rsidRPr="004106B6">
        <w:rPr>
          <w:rFonts w:ascii="Arial" w:hAnsi="Arial"/>
          <w:sz w:val="20"/>
        </w:rPr>
        <w:t>.</w:t>
      </w:r>
      <w:r w:rsidR="00557AE2">
        <w:rPr>
          <w:rFonts w:ascii="Arial" w:hAnsi="Arial"/>
          <w:sz w:val="20"/>
        </w:rPr>
        <w:t xml:space="preserve">  </w:t>
      </w:r>
    </w:p>
    <w:p w:rsidR="0023625D" w:rsidRPr="004106B6" w14:paraId="1CF66FA8" w14:textId="16418FD6">
      <w:pPr>
        <w:pStyle w:val="TxBrp31"/>
        <w:tabs>
          <w:tab w:val="left" w:pos="413"/>
        </w:tabs>
        <w:spacing w:line="240" w:lineRule="auto"/>
        <w:ind w:left="0" w:hanging="54"/>
        <w:rPr>
          <w:rFonts w:ascii="Arial" w:hAnsi="Arial"/>
          <w:sz w:val="20"/>
        </w:rPr>
      </w:pPr>
    </w:p>
    <w:p w:rsidR="00013316" w:rsidRPr="004106B6" w14:paraId="352633E2" w14:textId="77777777">
      <w:pPr>
        <w:pStyle w:val="TxBrp31"/>
        <w:tabs>
          <w:tab w:val="left" w:pos="413"/>
        </w:tabs>
        <w:spacing w:line="240" w:lineRule="auto"/>
        <w:ind w:left="0" w:hanging="54"/>
        <w:rPr>
          <w:rFonts w:ascii="Arial" w:hAnsi="Arial"/>
          <w:sz w:val="20"/>
        </w:rPr>
      </w:pPr>
    </w:p>
    <w:p w:rsidR="0023625D" w:rsidRPr="004106B6" w14:paraId="15A13341" w14:textId="77777777">
      <w:pPr>
        <w:pStyle w:val="TxBrp31"/>
        <w:tabs>
          <w:tab w:val="left" w:pos="413"/>
        </w:tabs>
        <w:spacing w:line="240" w:lineRule="auto"/>
        <w:ind w:left="-54" w:firstLine="0"/>
        <w:rPr>
          <w:rFonts w:ascii="Arial" w:hAnsi="Arial"/>
          <w:b/>
          <w:bCs/>
          <w:sz w:val="20"/>
        </w:rPr>
      </w:pPr>
      <w:r w:rsidRPr="004106B6">
        <w:rPr>
          <w:rFonts w:ascii="Arial" w:hAnsi="Arial"/>
          <w:b/>
          <w:bCs/>
          <w:sz w:val="20"/>
        </w:rPr>
        <w:t xml:space="preserve">B.  </w:t>
      </w:r>
      <w:r w:rsidRPr="00C80AD4">
        <w:rPr>
          <w:rFonts w:ascii="Arial" w:hAnsi="Arial"/>
          <w:b/>
          <w:bCs/>
          <w:sz w:val="20"/>
        </w:rPr>
        <w:t>Collection of Information Employing Statistical Methods</w:t>
      </w:r>
      <w:r w:rsidR="00C80AD4">
        <w:rPr>
          <w:rFonts w:ascii="Arial" w:hAnsi="Arial"/>
          <w:b/>
          <w:bCs/>
          <w:sz w:val="20"/>
        </w:rPr>
        <w:t xml:space="preserve">  </w:t>
      </w:r>
    </w:p>
    <w:p w:rsidR="00013316" w:rsidRPr="004106B6" w:rsidP="001822D8" w14:paraId="64380965" w14:textId="77777777">
      <w:pPr>
        <w:pStyle w:val="TxBrp31"/>
        <w:spacing w:line="240" w:lineRule="auto"/>
        <w:ind w:left="0" w:firstLine="0"/>
        <w:rPr>
          <w:rFonts w:ascii="Arial" w:hAnsi="Arial"/>
          <w:sz w:val="20"/>
        </w:rPr>
      </w:pPr>
    </w:p>
    <w:p w:rsidR="0023625D" w:rsidRPr="004106B6" w:rsidP="001822D8" w14:paraId="54CD5E27" w14:textId="3DD8C9BE">
      <w:pPr>
        <w:pStyle w:val="TxBrp31"/>
        <w:spacing w:line="240" w:lineRule="auto"/>
        <w:ind w:left="0" w:firstLine="0"/>
        <w:rPr>
          <w:rFonts w:ascii="Arial" w:hAnsi="Arial" w:cs="Arial"/>
          <w:b/>
          <w:bCs/>
          <w:sz w:val="20"/>
        </w:rPr>
      </w:pPr>
      <w:r w:rsidRPr="004106B6">
        <w:rPr>
          <w:rFonts w:ascii="Arial" w:hAnsi="Arial"/>
          <w:sz w:val="20"/>
        </w:rPr>
        <w:t>This information collection does not employ statistical methods.</w:t>
      </w:r>
      <w:r w:rsidR="00557AE2">
        <w:rPr>
          <w:rFonts w:ascii="Arial" w:hAnsi="Arial"/>
          <w:sz w:val="20"/>
        </w:rPr>
        <w:t xml:space="preserve">  </w:t>
      </w:r>
    </w:p>
    <w:sectPr w:rsidSect="00877DEB">
      <w:headerReference w:type="default" r:id="rId13"/>
      <w:footerReference w:type="even" r:id="rId14"/>
      <w:footerReference w:type="default" r:id="rId15"/>
      <w:pgSz w:w="12240" w:h="15840" w:code="1"/>
      <w:pgMar w:top="1440" w:right="1440" w:bottom="1440" w:left="1440" w:header="720"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714" w14:paraId="4F4DDE9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4714" w14:paraId="79602E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DEB" w:rsidRPr="00877DEB" w14:paraId="256FD58A" w14:textId="4459E55F">
    <w:pPr>
      <w:pStyle w:val="Footer"/>
      <w:jc w:val="center"/>
      <w:rPr>
        <w:rFonts w:ascii="Arial" w:hAnsi="Arial" w:cs="Arial"/>
        <w:sz w:val="20"/>
      </w:rPr>
    </w:pPr>
    <w:r w:rsidRPr="00877DEB">
      <w:rPr>
        <w:rFonts w:ascii="Arial" w:hAnsi="Arial" w:cs="Arial"/>
        <w:sz w:val="20"/>
      </w:rPr>
      <w:fldChar w:fldCharType="begin"/>
    </w:r>
    <w:r w:rsidRPr="00877DEB">
      <w:rPr>
        <w:rFonts w:ascii="Arial" w:hAnsi="Arial" w:cs="Arial"/>
        <w:sz w:val="20"/>
      </w:rPr>
      <w:instrText xml:space="preserve"> PAGE </w:instrText>
    </w:r>
    <w:r w:rsidRPr="00877DEB">
      <w:rPr>
        <w:rFonts w:ascii="Arial" w:hAnsi="Arial" w:cs="Arial"/>
        <w:sz w:val="20"/>
      </w:rPr>
      <w:fldChar w:fldCharType="separate"/>
    </w:r>
    <w:r w:rsidR="003019EE">
      <w:rPr>
        <w:rFonts w:ascii="Arial" w:hAnsi="Arial" w:cs="Arial"/>
        <w:noProof/>
        <w:sz w:val="20"/>
      </w:rPr>
      <w:t>1</w:t>
    </w:r>
    <w:r w:rsidRPr="00877DEB">
      <w:rPr>
        <w:rFonts w:ascii="Arial" w:hAnsi="Arial" w:cs="Arial"/>
        <w:sz w:val="20"/>
      </w:rPr>
      <w:fldChar w:fldCharType="end"/>
    </w:r>
    <w:r w:rsidRPr="00877DEB">
      <w:rPr>
        <w:rFonts w:ascii="Arial" w:hAnsi="Arial" w:cs="Arial"/>
        <w:sz w:val="20"/>
      </w:rPr>
      <w:t xml:space="preserve"> of </w:t>
    </w:r>
    <w:r w:rsidRPr="00877DEB">
      <w:rPr>
        <w:rFonts w:ascii="Arial" w:hAnsi="Arial" w:cs="Arial"/>
        <w:sz w:val="20"/>
      </w:rPr>
      <w:fldChar w:fldCharType="begin"/>
    </w:r>
    <w:r w:rsidRPr="00877DEB">
      <w:rPr>
        <w:rFonts w:ascii="Arial" w:hAnsi="Arial" w:cs="Arial"/>
        <w:sz w:val="20"/>
      </w:rPr>
      <w:instrText xml:space="preserve"> NUMPAGES  </w:instrText>
    </w:r>
    <w:r w:rsidRPr="00877DEB">
      <w:rPr>
        <w:rFonts w:ascii="Arial" w:hAnsi="Arial" w:cs="Arial"/>
        <w:sz w:val="20"/>
      </w:rPr>
      <w:fldChar w:fldCharType="separate"/>
    </w:r>
    <w:r w:rsidR="003019EE">
      <w:rPr>
        <w:rFonts w:ascii="Arial" w:hAnsi="Arial" w:cs="Arial"/>
        <w:noProof/>
        <w:sz w:val="20"/>
      </w:rPr>
      <w:t>6</w:t>
    </w:r>
    <w:r w:rsidRPr="00877DEB">
      <w:rPr>
        <w:rFonts w:ascii="Arial" w:hAnsi="Arial" w:cs="Arial"/>
        <w:sz w:val="20"/>
      </w:rPr>
      <w:fldChar w:fldCharType="end"/>
    </w:r>
  </w:p>
  <w:p w:rsidR="00877DEB" w:rsidP="00877DEB" w14:paraId="4E5FD0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1C66" w14:paraId="33638E30" w14:textId="77777777">
      <w:r>
        <w:separator/>
      </w:r>
    </w:p>
  </w:footnote>
  <w:footnote w:type="continuationSeparator" w:id="1">
    <w:p w:rsidR="00FF1C66" w14:paraId="361331B1" w14:textId="77777777">
      <w:r>
        <w:continuationSeparator/>
      </w:r>
    </w:p>
  </w:footnote>
  <w:footnote w:id="2">
    <w:p w:rsidR="00AF4714" w:rsidP="001E5B9C" w14:paraId="50B4CEC4" w14:textId="35A70692">
      <w:pPr>
        <w:pStyle w:val="CommentText"/>
      </w:pPr>
      <w:r w:rsidRPr="00FF189E">
        <w:rPr>
          <w:rStyle w:val="FootnoteReference"/>
          <w:rFonts w:ascii="Arial" w:hAnsi="Arial" w:cs="Arial"/>
          <w:sz w:val="18"/>
          <w:szCs w:val="18"/>
        </w:rPr>
        <w:footnoteRef/>
      </w:r>
      <w:r w:rsidRPr="00FF189E">
        <w:rPr>
          <w:rFonts w:ascii="Arial" w:hAnsi="Arial" w:cs="Arial"/>
          <w:sz w:val="18"/>
          <w:szCs w:val="18"/>
          <w:lang w:val="en-US"/>
        </w:rPr>
        <w:t xml:space="preserve">  </w:t>
      </w:r>
      <w:r w:rsidRPr="00FF189E">
        <w:rPr>
          <w:rFonts w:ascii="Arial" w:hAnsi="Arial" w:cs="Arial"/>
          <w:sz w:val="18"/>
          <w:szCs w:val="18"/>
        </w:rPr>
        <w:t xml:space="preserve">Generally tests are required on issuance, reissuance, upgrades, annual physicals, raise in grade, etc. of CG </w:t>
      </w:r>
      <w:r w:rsidR="00CD64F3">
        <w:rPr>
          <w:rFonts w:ascii="Arial" w:hAnsi="Arial" w:cs="Arial"/>
          <w:sz w:val="18"/>
          <w:szCs w:val="18"/>
          <w:lang w:val="en-US"/>
        </w:rPr>
        <w:t>Merchant Mariner Credentials (MMC)</w:t>
      </w:r>
      <w:r w:rsidRPr="00FF189E">
        <w:rPr>
          <w:rFonts w:ascii="Arial" w:hAnsi="Arial" w:cs="Arial"/>
          <w:sz w:val="18"/>
          <w:szCs w:val="18"/>
        </w:rPr>
        <w:t>.</w:t>
      </w:r>
    </w:p>
  </w:footnote>
  <w:footnote w:id="3">
    <w:p w:rsidR="0037656A" w:rsidRPr="0081716D" w:rsidP="0037656A" w14:paraId="436D1D6E" w14:textId="5EED7954">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1" w:history="1">
        <w:r w:rsidR="00115FEF">
          <w:rPr>
            <w:rStyle w:val="Hyperlink"/>
            <w:rFonts w:ascii="Arial" w:hAnsi="Arial" w:cs="Arial"/>
            <w:sz w:val="18"/>
            <w:szCs w:val="18"/>
          </w:rPr>
          <w:t>https://www.bls.gov/oes/2022/may/oes535021.htm</w:t>
        </w:r>
      </w:hyperlink>
      <w:r w:rsidRPr="0081716D">
        <w:rPr>
          <w:rStyle w:val="Hyperlink"/>
          <w:rFonts w:ascii="Arial" w:hAnsi="Arial" w:cs="Arial"/>
          <w:sz w:val="18"/>
          <w:szCs w:val="18"/>
        </w:rPr>
        <w:t xml:space="preserve">  </w:t>
      </w:r>
    </w:p>
  </w:footnote>
  <w:footnote w:id="4">
    <w:p w:rsidR="00AF4714" w:rsidRPr="007D6270" w:rsidP="003C1B46" w14:paraId="4C0ED1D6" w14:textId="77777777">
      <w:pPr>
        <w:pStyle w:val="FootnoteText"/>
        <w:rPr>
          <w:rFonts w:ascii="Arial" w:hAnsi="Arial" w:cs="Arial"/>
          <w:sz w:val="18"/>
          <w:szCs w:val="18"/>
        </w:rPr>
      </w:pPr>
      <w:r w:rsidRPr="004106B6">
        <w:rPr>
          <w:rStyle w:val="FootnoteReference"/>
          <w:rFonts w:ascii="Arial" w:hAnsi="Arial" w:cs="Arial"/>
          <w:sz w:val="16"/>
          <w:szCs w:val="16"/>
        </w:rPr>
        <w:footnoteRef/>
      </w:r>
      <w:r w:rsidRPr="004106B6">
        <w:rPr>
          <w:rFonts w:ascii="Arial" w:hAnsi="Arial" w:cs="Arial"/>
          <w:sz w:val="16"/>
          <w:szCs w:val="16"/>
        </w:rPr>
        <w:t xml:space="preserve">  </w:t>
      </w:r>
      <w:r w:rsidRPr="007D6270">
        <w:rPr>
          <w:rFonts w:ascii="Arial" w:hAnsi="Arial" w:cs="Arial"/>
          <w:sz w:val="18"/>
          <w:szCs w:val="18"/>
        </w:rPr>
        <w:t xml:space="preserve">The Coast Guard estimates that it takes up to 1 hour to complete a form CG-2692/A/B/C/D.  However, we received public comments in 2013 stating that some submitters take more time—up to 8-12 hours—to complete the form.  The reason for this difference is that some entities have the form(s) reviewed by shore-side personnel, such as an attorney prior to submission to the CG.  The practice of having a form reviewed by an attorney is not required by CG regulation.  While we believe that this does not typically occur, we adjusted our burden estimate to account for the added review.  </w:t>
      </w:r>
    </w:p>
  </w:footnote>
  <w:footnote w:id="5">
    <w:p w:rsidR="00BA3BE2" w:rsidRPr="0081716D" w:rsidP="00BA3BE2" w14:paraId="6F94E684" w14:textId="2917CCA0">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2" w:history="1">
        <w:r w:rsidR="00115FEF">
          <w:rPr>
            <w:rStyle w:val="Hyperlink"/>
            <w:rFonts w:ascii="Arial" w:hAnsi="Arial" w:cs="Arial"/>
            <w:sz w:val="18"/>
            <w:szCs w:val="18"/>
          </w:rPr>
          <w:t>https://www.bls.gov/oes/2022/may/oes231011.htm</w:t>
        </w:r>
      </w:hyperlink>
      <w:r w:rsidRPr="0081716D">
        <w:rPr>
          <w:rStyle w:val="Hyperlink"/>
          <w:rFonts w:ascii="Arial" w:hAnsi="Arial" w:cs="Arial"/>
          <w:sz w:val="18"/>
          <w:szCs w:val="18"/>
        </w:rPr>
        <w:t xml:space="preserve">  </w:t>
      </w:r>
    </w:p>
  </w:footnote>
  <w:footnote w:id="6">
    <w:p w:rsidR="00B40B1C" w:rsidRPr="0081716D" w:rsidP="00B40B1C" w14:paraId="3E5C45BF" w14:textId="2A6DB699">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3" w:history="1">
        <w:r w:rsidR="00115FEF">
          <w:rPr>
            <w:rStyle w:val="Hyperlink"/>
            <w:rFonts w:ascii="Arial" w:hAnsi="Arial" w:cs="Arial"/>
            <w:sz w:val="18"/>
            <w:szCs w:val="18"/>
          </w:rPr>
          <w:t>https://www.bls.gov/oes/2022/may/oes434199.htm</w:t>
        </w:r>
      </w:hyperlink>
      <w:r w:rsidRPr="0081716D">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DEB" w:rsidRPr="00877DEB" w14:paraId="24A0C8A9" w14:textId="77777777">
    <w:pPr>
      <w:pStyle w:val="Header"/>
      <w:rPr>
        <w:rFonts w:ascii="Arial" w:hAnsi="Arial" w:cs="Arial"/>
        <w:sz w:val="20"/>
      </w:rPr>
    </w:pPr>
    <w:r>
      <w:rPr>
        <w:rFonts w:ascii="Arial" w:hAnsi="Arial" w:cs="Arial"/>
        <w:sz w:val="20"/>
      </w:rPr>
      <w:t>1625-0001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04AA5"/>
    <w:multiLevelType w:val="hybridMultilevel"/>
    <w:tmpl w:val="72DC04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92B9D"/>
    <w:multiLevelType w:val="hybridMultilevel"/>
    <w:tmpl w:val="BDE69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B17D59"/>
    <w:multiLevelType w:val="hybridMultilevel"/>
    <w:tmpl w:val="41D624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F952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nsid w:val="0D007491"/>
    <w:multiLevelType w:val="hybridMultilevel"/>
    <w:tmpl w:val="7BBAEA0C"/>
    <w:lvl w:ilvl="0">
      <w:start w:val="1"/>
      <w:numFmt w:val="bullet"/>
      <w:lvlText w:val=""/>
      <w:lvlJc w:val="left"/>
      <w:pPr>
        <w:tabs>
          <w:tab w:val="num" w:pos="720"/>
        </w:tabs>
        <w:ind w:left="720" w:hanging="50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D842805"/>
    <w:multiLevelType w:val="singleLevel"/>
    <w:tmpl w:val="E28A4572"/>
    <w:lvl w:ilvl="0">
      <w:start w:val="3"/>
      <w:numFmt w:val="decimal"/>
      <w:lvlText w:val="%1)"/>
      <w:lvlJc w:val="left"/>
      <w:pPr>
        <w:tabs>
          <w:tab w:val="num" w:pos="585"/>
        </w:tabs>
        <w:ind w:left="585" w:hanging="585"/>
      </w:pPr>
      <w:rPr>
        <w:rFonts w:hint="default"/>
        <w:u w:val="none"/>
      </w:rPr>
    </w:lvl>
  </w:abstractNum>
  <w:abstractNum w:abstractNumId="6">
    <w:nsid w:val="0EEE042D"/>
    <w:multiLevelType w:val="hybridMultilevel"/>
    <w:tmpl w:val="C62C05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7025B38"/>
    <w:multiLevelType w:val="hybridMultilevel"/>
    <w:tmpl w:val="778005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A962874"/>
    <w:multiLevelType w:val="hybridMultilevel"/>
    <w:tmpl w:val="357890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645713"/>
    <w:multiLevelType w:val="hybridMultilevel"/>
    <w:tmpl w:val="5C2EE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0009F1"/>
    <w:multiLevelType w:val="hybridMultilevel"/>
    <w:tmpl w:val="29D65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A07B7E"/>
    <w:multiLevelType w:val="hybridMultilevel"/>
    <w:tmpl w:val="A90847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9916638"/>
    <w:multiLevelType w:val="hybridMultilevel"/>
    <w:tmpl w:val="95FE96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CC1FA7"/>
    <w:multiLevelType w:val="singleLevel"/>
    <w:tmpl w:val="2068A760"/>
    <w:lvl w:ilvl="0">
      <w:start w:val="3"/>
      <w:numFmt w:val="decimal"/>
      <w:lvlText w:val="%1.)"/>
      <w:lvlJc w:val="left"/>
      <w:pPr>
        <w:tabs>
          <w:tab w:val="num" w:pos="504"/>
        </w:tabs>
        <w:ind w:left="504" w:hanging="360"/>
      </w:pPr>
      <w:rPr>
        <w:rFonts w:hint="default"/>
        <w:u w:val="none"/>
      </w:rPr>
    </w:lvl>
  </w:abstractNum>
  <w:abstractNum w:abstractNumId="16">
    <w:nsid w:val="344A350F"/>
    <w:multiLevelType w:val="hybridMultilevel"/>
    <w:tmpl w:val="84F67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535C92"/>
    <w:multiLevelType w:val="hybridMultilevel"/>
    <w:tmpl w:val="5470E31A"/>
    <w:lvl w:ilvl="0">
      <w:start w:val="2"/>
      <w:numFmt w:val="upperLetter"/>
      <w:lvlText w:val="%1."/>
      <w:lvlJc w:val="left"/>
      <w:pPr>
        <w:tabs>
          <w:tab w:val="num" w:pos="306"/>
        </w:tabs>
        <w:ind w:left="306" w:hanging="360"/>
      </w:pPr>
      <w:rPr>
        <w:rFonts w:hint="default"/>
      </w:rPr>
    </w:lvl>
    <w:lvl w:ilvl="1" w:tentative="1">
      <w:start w:val="1"/>
      <w:numFmt w:val="lowerLetter"/>
      <w:lvlText w:val="%2."/>
      <w:lvlJc w:val="left"/>
      <w:pPr>
        <w:tabs>
          <w:tab w:val="num" w:pos="1026"/>
        </w:tabs>
        <w:ind w:left="1026" w:hanging="360"/>
      </w:pPr>
    </w:lvl>
    <w:lvl w:ilvl="2" w:tentative="1">
      <w:start w:val="1"/>
      <w:numFmt w:val="lowerRoman"/>
      <w:lvlText w:val="%3."/>
      <w:lvlJc w:val="right"/>
      <w:pPr>
        <w:tabs>
          <w:tab w:val="num" w:pos="1746"/>
        </w:tabs>
        <w:ind w:left="1746" w:hanging="180"/>
      </w:pPr>
    </w:lvl>
    <w:lvl w:ilvl="3" w:tentative="1">
      <w:start w:val="1"/>
      <w:numFmt w:val="decimal"/>
      <w:lvlText w:val="%4."/>
      <w:lvlJc w:val="left"/>
      <w:pPr>
        <w:tabs>
          <w:tab w:val="num" w:pos="2466"/>
        </w:tabs>
        <w:ind w:left="2466" w:hanging="360"/>
      </w:pPr>
    </w:lvl>
    <w:lvl w:ilvl="4" w:tentative="1">
      <w:start w:val="1"/>
      <w:numFmt w:val="lowerLetter"/>
      <w:lvlText w:val="%5."/>
      <w:lvlJc w:val="left"/>
      <w:pPr>
        <w:tabs>
          <w:tab w:val="num" w:pos="3186"/>
        </w:tabs>
        <w:ind w:left="3186" w:hanging="360"/>
      </w:pPr>
    </w:lvl>
    <w:lvl w:ilvl="5" w:tentative="1">
      <w:start w:val="1"/>
      <w:numFmt w:val="lowerRoman"/>
      <w:lvlText w:val="%6."/>
      <w:lvlJc w:val="right"/>
      <w:pPr>
        <w:tabs>
          <w:tab w:val="num" w:pos="3906"/>
        </w:tabs>
        <w:ind w:left="3906" w:hanging="180"/>
      </w:pPr>
    </w:lvl>
    <w:lvl w:ilvl="6" w:tentative="1">
      <w:start w:val="1"/>
      <w:numFmt w:val="decimal"/>
      <w:lvlText w:val="%7."/>
      <w:lvlJc w:val="left"/>
      <w:pPr>
        <w:tabs>
          <w:tab w:val="num" w:pos="4626"/>
        </w:tabs>
        <w:ind w:left="4626" w:hanging="360"/>
      </w:pPr>
    </w:lvl>
    <w:lvl w:ilvl="7" w:tentative="1">
      <w:start w:val="1"/>
      <w:numFmt w:val="lowerLetter"/>
      <w:lvlText w:val="%8."/>
      <w:lvlJc w:val="left"/>
      <w:pPr>
        <w:tabs>
          <w:tab w:val="num" w:pos="5346"/>
        </w:tabs>
        <w:ind w:left="5346" w:hanging="360"/>
      </w:pPr>
    </w:lvl>
    <w:lvl w:ilvl="8" w:tentative="1">
      <w:start w:val="1"/>
      <w:numFmt w:val="lowerRoman"/>
      <w:lvlText w:val="%9."/>
      <w:lvlJc w:val="right"/>
      <w:pPr>
        <w:tabs>
          <w:tab w:val="num" w:pos="6066"/>
        </w:tabs>
        <w:ind w:left="6066" w:hanging="180"/>
      </w:pPr>
    </w:lvl>
  </w:abstractNum>
  <w:abstractNum w:abstractNumId="18">
    <w:nsid w:val="372B2AFE"/>
    <w:multiLevelType w:val="hybridMultilevel"/>
    <w:tmpl w:val="668436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796059"/>
    <w:multiLevelType w:val="hybridMultilevel"/>
    <w:tmpl w:val="009CA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227C1D"/>
    <w:multiLevelType w:val="hybridMultilevel"/>
    <w:tmpl w:val="901040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20E5A3D"/>
    <w:multiLevelType w:val="singleLevel"/>
    <w:tmpl w:val="44F4A3B8"/>
    <w:lvl w:ilvl="0">
      <w:start w:val="10"/>
      <w:numFmt w:val="decimal"/>
      <w:lvlText w:val="%1)"/>
      <w:lvlJc w:val="left"/>
      <w:pPr>
        <w:tabs>
          <w:tab w:val="num" w:pos="720"/>
        </w:tabs>
        <w:ind w:left="720" w:hanging="720"/>
      </w:pPr>
      <w:rPr>
        <w:rFonts w:hint="default"/>
        <w:u w:val="none"/>
      </w:rPr>
    </w:lvl>
  </w:abstractNum>
  <w:abstractNum w:abstractNumId="22">
    <w:nsid w:val="4C657B3D"/>
    <w:multiLevelType w:val="hybridMultilevel"/>
    <w:tmpl w:val="FD22A36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0337AF"/>
    <w:multiLevelType w:val="hybridMultilevel"/>
    <w:tmpl w:val="D094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BA1CC6"/>
    <w:multiLevelType w:val="singleLevel"/>
    <w:tmpl w:val="FF7A97FC"/>
    <w:lvl w:ilvl="0">
      <w:start w:val="13"/>
      <w:numFmt w:val="decimal"/>
      <w:lvlText w:val="%1)"/>
      <w:lvlJc w:val="left"/>
      <w:pPr>
        <w:tabs>
          <w:tab w:val="num" w:pos="151"/>
        </w:tabs>
        <w:ind w:left="151" w:hanging="420"/>
      </w:pPr>
      <w:rPr>
        <w:rFonts w:hint="default"/>
      </w:rPr>
    </w:lvl>
  </w:abstractNum>
  <w:abstractNum w:abstractNumId="25">
    <w:nsid w:val="52D32AA4"/>
    <w:multiLevelType w:val="hybridMultilevel"/>
    <w:tmpl w:val="FFF4F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20414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nsid w:val="571165B9"/>
    <w:multiLevelType w:val="hybridMultilevel"/>
    <w:tmpl w:val="50F09F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85F7824"/>
    <w:multiLevelType w:val="hybridMultilevel"/>
    <w:tmpl w:val="5F6C33D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CA24B7"/>
    <w:multiLevelType w:val="hybridMultilevel"/>
    <w:tmpl w:val="911425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54B3A5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67783BB3"/>
    <w:multiLevelType w:val="hybridMultilevel"/>
    <w:tmpl w:val="F782B8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9262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F716E2"/>
    <w:multiLevelType w:val="hybridMultilevel"/>
    <w:tmpl w:val="2A603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325030"/>
    <w:multiLevelType w:val="hybridMultilevel"/>
    <w:tmpl w:val="266C4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6571B3"/>
    <w:multiLevelType w:val="hybridMultilevel"/>
    <w:tmpl w:val="224AC36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8A93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9BB4542"/>
    <w:multiLevelType w:val="hybridMultilevel"/>
    <w:tmpl w:val="5A2CC7D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A1721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05411447">
    <w:abstractNumId w:val="5"/>
  </w:num>
  <w:num w:numId="2" w16cid:durableId="1083260285">
    <w:abstractNumId w:val="21"/>
  </w:num>
  <w:num w:numId="3" w16cid:durableId="1947344303">
    <w:abstractNumId w:val="30"/>
  </w:num>
  <w:num w:numId="4" w16cid:durableId="1164201429">
    <w:abstractNumId w:val="12"/>
  </w:num>
  <w:num w:numId="5" w16cid:durableId="820929918">
    <w:abstractNumId w:val="38"/>
  </w:num>
  <w:num w:numId="6" w16cid:durableId="694383898">
    <w:abstractNumId w:val="13"/>
  </w:num>
  <w:num w:numId="7" w16cid:durableId="2083749219">
    <w:abstractNumId w:val="15"/>
  </w:num>
  <w:num w:numId="8" w16cid:durableId="383988617">
    <w:abstractNumId w:val="24"/>
  </w:num>
  <w:num w:numId="9" w16cid:durableId="502356534">
    <w:abstractNumId w:val="31"/>
  </w:num>
  <w:num w:numId="10" w16cid:durableId="369838499">
    <w:abstractNumId w:val="26"/>
  </w:num>
  <w:num w:numId="11" w16cid:durableId="1648508585">
    <w:abstractNumId w:val="3"/>
  </w:num>
  <w:num w:numId="12" w16cid:durableId="164128958">
    <w:abstractNumId w:val="39"/>
  </w:num>
  <w:num w:numId="13" w16cid:durableId="787549423">
    <w:abstractNumId w:val="41"/>
  </w:num>
  <w:num w:numId="14" w16cid:durableId="1146239362">
    <w:abstractNumId w:val="33"/>
  </w:num>
  <w:num w:numId="15" w16cid:durableId="1716661696">
    <w:abstractNumId w:val="11"/>
  </w:num>
  <w:num w:numId="16" w16cid:durableId="1515652445">
    <w:abstractNumId w:val="32"/>
  </w:num>
  <w:num w:numId="17" w16cid:durableId="1361861947">
    <w:abstractNumId w:val="27"/>
  </w:num>
  <w:num w:numId="18" w16cid:durableId="1336569752">
    <w:abstractNumId w:val="2"/>
  </w:num>
  <w:num w:numId="19" w16cid:durableId="74936112">
    <w:abstractNumId w:val="20"/>
  </w:num>
  <w:num w:numId="20" w16cid:durableId="439224324">
    <w:abstractNumId w:val="14"/>
  </w:num>
  <w:num w:numId="21" w16cid:durableId="801583498">
    <w:abstractNumId w:val="6"/>
  </w:num>
  <w:num w:numId="22" w16cid:durableId="1024406377">
    <w:abstractNumId w:val="8"/>
  </w:num>
  <w:num w:numId="23" w16cid:durableId="416750789">
    <w:abstractNumId w:val="4"/>
  </w:num>
  <w:num w:numId="24" w16cid:durableId="566569774">
    <w:abstractNumId w:val="17"/>
  </w:num>
  <w:num w:numId="25" w16cid:durableId="1190485048">
    <w:abstractNumId w:val="37"/>
  </w:num>
  <w:num w:numId="26" w16cid:durableId="1608004485">
    <w:abstractNumId w:val="29"/>
  </w:num>
  <w:num w:numId="27" w16cid:durableId="888102856">
    <w:abstractNumId w:val="40"/>
  </w:num>
  <w:num w:numId="28" w16cid:durableId="2101485965">
    <w:abstractNumId w:val="7"/>
  </w:num>
  <w:num w:numId="29" w16cid:durableId="1661225756">
    <w:abstractNumId w:val="35"/>
  </w:num>
  <w:num w:numId="30" w16cid:durableId="1470903633">
    <w:abstractNumId w:val="18"/>
  </w:num>
  <w:num w:numId="31" w16cid:durableId="1890267790">
    <w:abstractNumId w:val="22"/>
  </w:num>
  <w:num w:numId="32" w16cid:durableId="209538968">
    <w:abstractNumId w:val="28"/>
  </w:num>
  <w:num w:numId="33" w16cid:durableId="1074744461">
    <w:abstractNumId w:val="36"/>
  </w:num>
  <w:num w:numId="34" w16cid:durableId="351878581">
    <w:abstractNumId w:val="23"/>
  </w:num>
  <w:num w:numId="35" w16cid:durableId="2033417220">
    <w:abstractNumId w:val="0"/>
  </w:num>
  <w:num w:numId="36" w16cid:durableId="1511484076">
    <w:abstractNumId w:val="9"/>
  </w:num>
  <w:num w:numId="37" w16cid:durableId="1793402053">
    <w:abstractNumId w:val="10"/>
  </w:num>
  <w:num w:numId="38" w16cid:durableId="1542551615">
    <w:abstractNumId w:val="25"/>
  </w:num>
  <w:num w:numId="39" w16cid:durableId="1234240861">
    <w:abstractNumId w:val="34"/>
  </w:num>
  <w:num w:numId="40" w16cid:durableId="365909106">
    <w:abstractNumId w:val="19"/>
  </w:num>
  <w:num w:numId="41" w16cid:durableId="269505975">
    <w:abstractNumId w:val="16"/>
  </w:num>
  <w:num w:numId="42" w16cid:durableId="176772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552"/>
    <w:rsid w:val="0000507B"/>
    <w:rsid w:val="00011131"/>
    <w:rsid w:val="00013316"/>
    <w:rsid w:val="00037404"/>
    <w:rsid w:val="00037DEC"/>
    <w:rsid w:val="00041DDA"/>
    <w:rsid w:val="00042FC8"/>
    <w:rsid w:val="00045708"/>
    <w:rsid w:val="000673FE"/>
    <w:rsid w:val="000752FF"/>
    <w:rsid w:val="00081924"/>
    <w:rsid w:val="0008696A"/>
    <w:rsid w:val="0009324D"/>
    <w:rsid w:val="00094CA7"/>
    <w:rsid w:val="0009619B"/>
    <w:rsid w:val="000A19BC"/>
    <w:rsid w:val="000A2108"/>
    <w:rsid w:val="000B286E"/>
    <w:rsid w:val="000C7D70"/>
    <w:rsid w:val="000D3595"/>
    <w:rsid w:val="000D5886"/>
    <w:rsid w:val="000F18B2"/>
    <w:rsid w:val="00107E9C"/>
    <w:rsid w:val="00115D2E"/>
    <w:rsid w:val="00115D83"/>
    <w:rsid w:val="00115FEF"/>
    <w:rsid w:val="0012202D"/>
    <w:rsid w:val="00122B56"/>
    <w:rsid w:val="00136636"/>
    <w:rsid w:val="0014494B"/>
    <w:rsid w:val="00144BD0"/>
    <w:rsid w:val="00147BDF"/>
    <w:rsid w:val="001545DF"/>
    <w:rsid w:val="00154A2F"/>
    <w:rsid w:val="00156651"/>
    <w:rsid w:val="0016532A"/>
    <w:rsid w:val="001822D8"/>
    <w:rsid w:val="0018301A"/>
    <w:rsid w:val="00186145"/>
    <w:rsid w:val="00187651"/>
    <w:rsid w:val="00187B76"/>
    <w:rsid w:val="00194E9E"/>
    <w:rsid w:val="00195E86"/>
    <w:rsid w:val="001A4010"/>
    <w:rsid w:val="001B551C"/>
    <w:rsid w:val="001B78B6"/>
    <w:rsid w:val="001C0BB1"/>
    <w:rsid w:val="001D41E2"/>
    <w:rsid w:val="001D5E9B"/>
    <w:rsid w:val="001E084A"/>
    <w:rsid w:val="001E5B9C"/>
    <w:rsid w:val="00210FB9"/>
    <w:rsid w:val="00210FCB"/>
    <w:rsid w:val="002351D1"/>
    <w:rsid w:val="0023625D"/>
    <w:rsid w:val="002467ED"/>
    <w:rsid w:val="0025258B"/>
    <w:rsid w:val="002814B9"/>
    <w:rsid w:val="00291C93"/>
    <w:rsid w:val="00291F5B"/>
    <w:rsid w:val="00295E9A"/>
    <w:rsid w:val="002A5AF3"/>
    <w:rsid w:val="002B39DB"/>
    <w:rsid w:val="002B41D4"/>
    <w:rsid w:val="002B4B4C"/>
    <w:rsid w:val="002B6CDB"/>
    <w:rsid w:val="002C49E4"/>
    <w:rsid w:val="002C6DF8"/>
    <w:rsid w:val="002F2ACC"/>
    <w:rsid w:val="002F371D"/>
    <w:rsid w:val="002F3997"/>
    <w:rsid w:val="002F5552"/>
    <w:rsid w:val="002F61AF"/>
    <w:rsid w:val="003019EE"/>
    <w:rsid w:val="0030437D"/>
    <w:rsid w:val="0030689C"/>
    <w:rsid w:val="003126C2"/>
    <w:rsid w:val="00320C6A"/>
    <w:rsid w:val="00321635"/>
    <w:rsid w:val="0032201E"/>
    <w:rsid w:val="00325124"/>
    <w:rsid w:val="00332ABB"/>
    <w:rsid w:val="00334E05"/>
    <w:rsid w:val="00336C06"/>
    <w:rsid w:val="00350FA5"/>
    <w:rsid w:val="00355DE4"/>
    <w:rsid w:val="003613DB"/>
    <w:rsid w:val="00363747"/>
    <w:rsid w:val="003637FF"/>
    <w:rsid w:val="0037656A"/>
    <w:rsid w:val="003A79F4"/>
    <w:rsid w:val="003B13B4"/>
    <w:rsid w:val="003B752A"/>
    <w:rsid w:val="003C0BE5"/>
    <w:rsid w:val="003C1B46"/>
    <w:rsid w:val="003C58CA"/>
    <w:rsid w:val="003E1DB5"/>
    <w:rsid w:val="003F115C"/>
    <w:rsid w:val="003F6D50"/>
    <w:rsid w:val="0040504A"/>
    <w:rsid w:val="00405B2D"/>
    <w:rsid w:val="004106B6"/>
    <w:rsid w:val="00415BBE"/>
    <w:rsid w:val="00417060"/>
    <w:rsid w:val="004207B0"/>
    <w:rsid w:val="00440C81"/>
    <w:rsid w:val="004561CC"/>
    <w:rsid w:val="00471CDC"/>
    <w:rsid w:val="00472FBB"/>
    <w:rsid w:val="00482510"/>
    <w:rsid w:val="00484366"/>
    <w:rsid w:val="004848FF"/>
    <w:rsid w:val="00486514"/>
    <w:rsid w:val="00490FBE"/>
    <w:rsid w:val="004943B5"/>
    <w:rsid w:val="004A0C15"/>
    <w:rsid w:val="004A6D87"/>
    <w:rsid w:val="004B5534"/>
    <w:rsid w:val="004C0CF8"/>
    <w:rsid w:val="004C0EC8"/>
    <w:rsid w:val="004C2CDD"/>
    <w:rsid w:val="004C2EA2"/>
    <w:rsid w:val="004C3FCF"/>
    <w:rsid w:val="004C503F"/>
    <w:rsid w:val="004C656E"/>
    <w:rsid w:val="004D05C7"/>
    <w:rsid w:val="004D131D"/>
    <w:rsid w:val="004D162F"/>
    <w:rsid w:val="004E42AA"/>
    <w:rsid w:val="004E4ABE"/>
    <w:rsid w:val="004E5AB9"/>
    <w:rsid w:val="004F2729"/>
    <w:rsid w:val="004F42FF"/>
    <w:rsid w:val="005030F3"/>
    <w:rsid w:val="00505CCF"/>
    <w:rsid w:val="005119DD"/>
    <w:rsid w:val="005122CD"/>
    <w:rsid w:val="00515819"/>
    <w:rsid w:val="0051687A"/>
    <w:rsid w:val="00521679"/>
    <w:rsid w:val="00521C32"/>
    <w:rsid w:val="00523B72"/>
    <w:rsid w:val="0053246F"/>
    <w:rsid w:val="005329F3"/>
    <w:rsid w:val="00541330"/>
    <w:rsid w:val="0054467C"/>
    <w:rsid w:val="0054597B"/>
    <w:rsid w:val="005565FA"/>
    <w:rsid w:val="00557AE2"/>
    <w:rsid w:val="0056133E"/>
    <w:rsid w:val="00564BA5"/>
    <w:rsid w:val="00566005"/>
    <w:rsid w:val="00577B54"/>
    <w:rsid w:val="00590773"/>
    <w:rsid w:val="005908F3"/>
    <w:rsid w:val="0059579F"/>
    <w:rsid w:val="005A3032"/>
    <w:rsid w:val="005B27A0"/>
    <w:rsid w:val="005B283B"/>
    <w:rsid w:val="005B3563"/>
    <w:rsid w:val="005B5A33"/>
    <w:rsid w:val="005C1F63"/>
    <w:rsid w:val="005C3D45"/>
    <w:rsid w:val="005C40C0"/>
    <w:rsid w:val="005C678D"/>
    <w:rsid w:val="005C7B96"/>
    <w:rsid w:val="005D03E2"/>
    <w:rsid w:val="005D157A"/>
    <w:rsid w:val="005D3FD6"/>
    <w:rsid w:val="005D47A1"/>
    <w:rsid w:val="005D7B59"/>
    <w:rsid w:val="005E182F"/>
    <w:rsid w:val="005E1EDE"/>
    <w:rsid w:val="005E52D7"/>
    <w:rsid w:val="005F126E"/>
    <w:rsid w:val="005F48CA"/>
    <w:rsid w:val="00600DDB"/>
    <w:rsid w:val="006069E5"/>
    <w:rsid w:val="00611FD0"/>
    <w:rsid w:val="00616661"/>
    <w:rsid w:val="0062375B"/>
    <w:rsid w:val="00631AD5"/>
    <w:rsid w:val="006334CF"/>
    <w:rsid w:val="006363F4"/>
    <w:rsid w:val="006409C6"/>
    <w:rsid w:val="006410BD"/>
    <w:rsid w:val="006439BA"/>
    <w:rsid w:val="00646A9F"/>
    <w:rsid w:val="00652ABD"/>
    <w:rsid w:val="00664514"/>
    <w:rsid w:val="006822AF"/>
    <w:rsid w:val="00684803"/>
    <w:rsid w:val="00687D75"/>
    <w:rsid w:val="006B11AB"/>
    <w:rsid w:val="006B17D0"/>
    <w:rsid w:val="006B2B94"/>
    <w:rsid w:val="006D7407"/>
    <w:rsid w:val="006D7702"/>
    <w:rsid w:val="006F023A"/>
    <w:rsid w:val="006F1373"/>
    <w:rsid w:val="00702F5A"/>
    <w:rsid w:val="00705D53"/>
    <w:rsid w:val="007164BD"/>
    <w:rsid w:val="007224F9"/>
    <w:rsid w:val="00726508"/>
    <w:rsid w:val="007338DD"/>
    <w:rsid w:val="007551D2"/>
    <w:rsid w:val="00765B68"/>
    <w:rsid w:val="007717CF"/>
    <w:rsid w:val="00774FD9"/>
    <w:rsid w:val="00775E07"/>
    <w:rsid w:val="00781083"/>
    <w:rsid w:val="00787D90"/>
    <w:rsid w:val="007A1829"/>
    <w:rsid w:val="007A3C7A"/>
    <w:rsid w:val="007A7E16"/>
    <w:rsid w:val="007B0731"/>
    <w:rsid w:val="007C0781"/>
    <w:rsid w:val="007D085F"/>
    <w:rsid w:val="007D2208"/>
    <w:rsid w:val="007D29EE"/>
    <w:rsid w:val="007D532C"/>
    <w:rsid w:val="007D6270"/>
    <w:rsid w:val="007D6A56"/>
    <w:rsid w:val="007F0FEC"/>
    <w:rsid w:val="00801F87"/>
    <w:rsid w:val="008022E2"/>
    <w:rsid w:val="008033B4"/>
    <w:rsid w:val="00805FF8"/>
    <w:rsid w:val="008120E0"/>
    <w:rsid w:val="008148F9"/>
    <w:rsid w:val="00815916"/>
    <w:rsid w:val="0081716D"/>
    <w:rsid w:val="00822291"/>
    <w:rsid w:val="00824522"/>
    <w:rsid w:val="00827572"/>
    <w:rsid w:val="00831307"/>
    <w:rsid w:val="0083252A"/>
    <w:rsid w:val="00834AC0"/>
    <w:rsid w:val="008534E5"/>
    <w:rsid w:val="008569DB"/>
    <w:rsid w:val="00856EB5"/>
    <w:rsid w:val="00860296"/>
    <w:rsid w:val="008629B3"/>
    <w:rsid w:val="00873BE7"/>
    <w:rsid w:val="00874A6B"/>
    <w:rsid w:val="00875387"/>
    <w:rsid w:val="00877DEB"/>
    <w:rsid w:val="00893106"/>
    <w:rsid w:val="008A02F0"/>
    <w:rsid w:val="008A1372"/>
    <w:rsid w:val="008A4EEB"/>
    <w:rsid w:val="008B2965"/>
    <w:rsid w:val="008B30F0"/>
    <w:rsid w:val="008C245F"/>
    <w:rsid w:val="008D3199"/>
    <w:rsid w:val="008D493F"/>
    <w:rsid w:val="008D7614"/>
    <w:rsid w:val="008E7F7C"/>
    <w:rsid w:val="008F1783"/>
    <w:rsid w:val="00901880"/>
    <w:rsid w:val="00902040"/>
    <w:rsid w:val="009029A5"/>
    <w:rsid w:val="00924925"/>
    <w:rsid w:val="00925038"/>
    <w:rsid w:val="009265DD"/>
    <w:rsid w:val="00932344"/>
    <w:rsid w:val="00934F6A"/>
    <w:rsid w:val="009373CC"/>
    <w:rsid w:val="00947190"/>
    <w:rsid w:val="0095571C"/>
    <w:rsid w:val="00970D7F"/>
    <w:rsid w:val="00971ABC"/>
    <w:rsid w:val="00973688"/>
    <w:rsid w:val="00974232"/>
    <w:rsid w:val="00980A69"/>
    <w:rsid w:val="00980BC7"/>
    <w:rsid w:val="00992BA3"/>
    <w:rsid w:val="009B7F6C"/>
    <w:rsid w:val="009C79FA"/>
    <w:rsid w:val="009D0BE4"/>
    <w:rsid w:val="009D196C"/>
    <w:rsid w:val="009D2584"/>
    <w:rsid w:val="009E01A0"/>
    <w:rsid w:val="009E417E"/>
    <w:rsid w:val="009E5713"/>
    <w:rsid w:val="009F6F87"/>
    <w:rsid w:val="00A000A6"/>
    <w:rsid w:val="00A11EF0"/>
    <w:rsid w:val="00A300F7"/>
    <w:rsid w:val="00A34A2F"/>
    <w:rsid w:val="00A36EF7"/>
    <w:rsid w:val="00A52796"/>
    <w:rsid w:val="00A556B5"/>
    <w:rsid w:val="00A64793"/>
    <w:rsid w:val="00A70540"/>
    <w:rsid w:val="00A86526"/>
    <w:rsid w:val="00A86F46"/>
    <w:rsid w:val="00A94041"/>
    <w:rsid w:val="00AA1207"/>
    <w:rsid w:val="00AA1663"/>
    <w:rsid w:val="00AA2595"/>
    <w:rsid w:val="00AA4F28"/>
    <w:rsid w:val="00AB78A8"/>
    <w:rsid w:val="00AC318E"/>
    <w:rsid w:val="00AC76F8"/>
    <w:rsid w:val="00AD71D1"/>
    <w:rsid w:val="00AF0134"/>
    <w:rsid w:val="00AF29A1"/>
    <w:rsid w:val="00AF4714"/>
    <w:rsid w:val="00B00CE7"/>
    <w:rsid w:val="00B10393"/>
    <w:rsid w:val="00B11DFC"/>
    <w:rsid w:val="00B25CA2"/>
    <w:rsid w:val="00B40B1C"/>
    <w:rsid w:val="00B51B93"/>
    <w:rsid w:val="00B6329F"/>
    <w:rsid w:val="00B63712"/>
    <w:rsid w:val="00B63D72"/>
    <w:rsid w:val="00B6513F"/>
    <w:rsid w:val="00B719C4"/>
    <w:rsid w:val="00B80D13"/>
    <w:rsid w:val="00B81DB9"/>
    <w:rsid w:val="00B853A6"/>
    <w:rsid w:val="00B85901"/>
    <w:rsid w:val="00BA3BE2"/>
    <w:rsid w:val="00BB045B"/>
    <w:rsid w:val="00BB2617"/>
    <w:rsid w:val="00BB4B6B"/>
    <w:rsid w:val="00BB6769"/>
    <w:rsid w:val="00BE79DC"/>
    <w:rsid w:val="00C00DF3"/>
    <w:rsid w:val="00C00F2A"/>
    <w:rsid w:val="00C06B2A"/>
    <w:rsid w:val="00C161B5"/>
    <w:rsid w:val="00C24B9B"/>
    <w:rsid w:val="00C319A1"/>
    <w:rsid w:val="00C36C37"/>
    <w:rsid w:val="00C375E0"/>
    <w:rsid w:val="00C45F33"/>
    <w:rsid w:val="00C46693"/>
    <w:rsid w:val="00C54524"/>
    <w:rsid w:val="00C61757"/>
    <w:rsid w:val="00C61B0F"/>
    <w:rsid w:val="00C7067F"/>
    <w:rsid w:val="00C724F5"/>
    <w:rsid w:val="00C74C1F"/>
    <w:rsid w:val="00C751C9"/>
    <w:rsid w:val="00C80AD4"/>
    <w:rsid w:val="00C84779"/>
    <w:rsid w:val="00C94022"/>
    <w:rsid w:val="00C9477A"/>
    <w:rsid w:val="00C94AFF"/>
    <w:rsid w:val="00C96CB2"/>
    <w:rsid w:val="00CA19D7"/>
    <w:rsid w:val="00CA2F87"/>
    <w:rsid w:val="00CB39DC"/>
    <w:rsid w:val="00CB5900"/>
    <w:rsid w:val="00CC3CDA"/>
    <w:rsid w:val="00CD64F3"/>
    <w:rsid w:val="00CD7282"/>
    <w:rsid w:val="00CD7323"/>
    <w:rsid w:val="00CD7A40"/>
    <w:rsid w:val="00CE4CD0"/>
    <w:rsid w:val="00CF5199"/>
    <w:rsid w:val="00D011F1"/>
    <w:rsid w:val="00D064B6"/>
    <w:rsid w:val="00D0767C"/>
    <w:rsid w:val="00D25CAA"/>
    <w:rsid w:val="00D3044A"/>
    <w:rsid w:val="00D427AF"/>
    <w:rsid w:val="00D45D7D"/>
    <w:rsid w:val="00D46241"/>
    <w:rsid w:val="00D5177C"/>
    <w:rsid w:val="00D5401F"/>
    <w:rsid w:val="00D767D1"/>
    <w:rsid w:val="00D76EA6"/>
    <w:rsid w:val="00D81C08"/>
    <w:rsid w:val="00D83F12"/>
    <w:rsid w:val="00D856A9"/>
    <w:rsid w:val="00D863CC"/>
    <w:rsid w:val="00D92227"/>
    <w:rsid w:val="00DA641E"/>
    <w:rsid w:val="00DB307B"/>
    <w:rsid w:val="00DB355E"/>
    <w:rsid w:val="00DC222E"/>
    <w:rsid w:val="00DC6D69"/>
    <w:rsid w:val="00DD46B2"/>
    <w:rsid w:val="00DD5CAD"/>
    <w:rsid w:val="00E25358"/>
    <w:rsid w:val="00E26E0E"/>
    <w:rsid w:val="00E3295A"/>
    <w:rsid w:val="00E341BA"/>
    <w:rsid w:val="00E34B9E"/>
    <w:rsid w:val="00E44169"/>
    <w:rsid w:val="00E57D6F"/>
    <w:rsid w:val="00E57FDB"/>
    <w:rsid w:val="00E65355"/>
    <w:rsid w:val="00E7002C"/>
    <w:rsid w:val="00E74781"/>
    <w:rsid w:val="00E7794E"/>
    <w:rsid w:val="00E813CD"/>
    <w:rsid w:val="00E86205"/>
    <w:rsid w:val="00E929A8"/>
    <w:rsid w:val="00EA3A5F"/>
    <w:rsid w:val="00EB41B9"/>
    <w:rsid w:val="00EC2887"/>
    <w:rsid w:val="00ED2F7D"/>
    <w:rsid w:val="00ED4BAC"/>
    <w:rsid w:val="00EE088D"/>
    <w:rsid w:val="00EE4DB3"/>
    <w:rsid w:val="00EE5AEE"/>
    <w:rsid w:val="00EF67EA"/>
    <w:rsid w:val="00F13551"/>
    <w:rsid w:val="00F147F5"/>
    <w:rsid w:val="00F25504"/>
    <w:rsid w:val="00F40D64"/>
    <w:rsid w:val="00F64275"/>
    <w:rsid w:val="00F74A60"/>
    <w:rsid w:val="00F76DAB"/>
    <w:rsid w:val="00F840A0"/>
    <w:rsid w:val="00F9267D"/>
    <w:rsid w:val="00FB03C1"/>
    <w:rsid w:val="00FB7B39"/>
    <w:rsid w:val="00FC7DE7"/>
    <w:rsid w:val="00FD5E76"/>
    <w:rsid w:val="00FE1BA1"/>
    <w:rsid w:val="00FE2101"/>
    <w:rsid w:val="00FE4DC8"/>
    <w:rsid w:val="00FF0997"/>
    <w:rsid w:val="00FF189E"/>
    <w:rsid w:val="00FF1C66"/>
    <w:rsid w:val="00FF1F25"/>
    <w:rsid w:val="00FF4C66"/>
    <w:rsid w:val="00FF554A"/>
    <w:rsid w:val="00FF60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F98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329F"/>
    <w:pPr>
      <w:widowControl w:val="0"/>
    </w:pPr>
    <w:rPr>
      <w:snapToGrid w:val="0"/>
      <w:sz w:val="24"/>
    </w:rPr>
  </w:style>
  <w:style w:type="paragraph" w:styleId="Heading1">
    <w:name w:val="heading 1"/>
    <w:basedOn w:val="Normal"/>
    <w:next w:val="Normal"/>
    <w:qFormat/>
    <w:rsid w:val="00B6329F"/>
    <w:pPr>
      <w:keepNext/>
      <w:widowControl/>
      <w:ind w:left="360"/>
      <w:outlineLvl w:val="0"/>
    </w:pPr>
    <w:rPr>
      <w:snapToGrid/>
    </w:rPr>
  </w:style>
  <w:style w:type="paragraph" w:styleId="Heading2">
    <w:name w:val="heading 2"/>
    <w:basedOn w:val="Normal"/>
    <w:next w:val="Normal"/>
    <w:qFormat/>
    <w:rsid w:val="00B6329F"/>
    <w:pPr>
      <w:keepNext/>
      <w:ind w:left="504"/>
      <w:outlineLvl w:val="1"/>
    </w:pPr>
    <w:rPr>
      <w:u w:val="single"/>
    </w:rPr>
  </w:style>
  <w:style w:type="paragraph" w:styleId="Heading3">
    <w:name w:val="heading 3"/>
    <w:basedOn w:val="Normal"/>
    <w:next w:val="Normal"/>
    <w:qFormat/>
    <w:rsid w:val="00B6329F"/>
    <w:pPr>
      <w:keepNext/>
      <w:tabs>
        <w:tab w:val="left" w:pos="576"/>
      </w:tabs>
      <w:ind w:left="720" w:hanging="720"/>
      <w:outlineLvl w:val="2"/>
    </w:pPr>
    <w:rPr>
      <w:rFonts w:ascii="Arial" w:hAnsi="Arial" w:cs="Arial"/>
      <w:i/>
      <w:iCs/>
      <w:sz w:val="22"/>
    </w:rPr>
  </w:style>
  <w:style w:type="paragraph" w:styleId="Heading4">
    <w:name w:val="heading 4"/>
    <w:basedOn w:val="Normal"/>
    <w:next w:val="Normal"/>
    <w:qFormat/>
    <w:rsid w:val="00B6329F"/>
    <w:pPr>
      <w:keepNext/>
      <w:outlineLvl w:val="3"/>
    </w:pPr>
    <w:rPr>
      <w:rFonts w:ascii="Arial" w:hAnsi="Arial" w:cs="Arial"/>
      <w:b/>
      <w:bCs/>
    </w:rPr>
  </w:style>
  <w:style w:type="paragraph" w:styleId="Heading5">
    <w:name w:val="heading 5"/>
    <w:basedOn w:val="Normal"/>
    <w:next w:val="Normal"/>
    <w:qFormat/>
    <w:rsid w:val="00B6329F"/>
    <w:pPr>
      <w:keepNext/>
      <w:ind w:left="-720"/>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rsid w:val="00B6329F"/>
    <w:pPr>
      <w:tabs>
        <w:tab w:val="left" w:pos="204"/>
      </w:tabs>
      <w:spacing w:line="240" w:lineRule="atLeast"/>
      <w:jc w:val="both"/>
    </w:pPr>
  </w:style>
  <w:style w:type="paragraph" w:customStyle="1" w:styleId="TxBrp1">
    <w:name w:val="TxBr_p1"/>
    <w:basedOn w:val="Normal"/>
    <w:rsid w:val="00B6329F"/>
    <w:pPr>
      <w:tabs>
        <w:tab w:val="left" w:pos="3560"/>
      </w:tabs>
      <w:spacing w:line="240" w:lineRule="atLeast"/>
      <w:ind w:left="2160"/>
    </w:pPr>
  </w:style>
  <w:style w:type="paragraph" w:customStyle="1" w:styleId="TxBrc2">
    <w:name w:val="TxBr_c2"/>
    <w:basedOn w:val="Normal"/>
    <w:rsid w:val="00B6329F"/>
    <w:pPr>
      <w:spacing w:line="240" w:lineRule="atLeast"/>
      <w:jc w:val="center"/>
    </w:pPr>
  </w:style>
  <w:style w:type="paragraph" w:customStyle="1" w:styleId="TxBrp3">
    <w:name w:val="TxBr_p3"/>
    <w:basedOn w:val="Normal"/>
    <w:rsid w:val="00B6329F"/>
    <w:pPr>
      <w:tabs>
        <w:tab w:val="left" w:pos="204"/>
      </w:tabs>
      <w:spacing w:line="240" w:lineRule="atLeast"/>
    </w:pPr>
  </w:style>
  <w:style w:type="paragraph" w:customStyle="1" w:styleId="TxBrp4">
    <w:name w:val="TxBr_p4"/>
    <w:basedOn w:val="Normal"/>
    <w:rsid w:val="00B6329F"/>
    <w:pPr>
      <w:tabs>
        <w:tab w:val="left" w:pos="583"/>
      </w:tabs>
      <w:spacing w:line="289" w:lineRule="atLeast"/>
    </w:pPr>
  </w:style>
  <w:style w:type="paragraph" w:customStyle="1" w:styleId="TxBrp5">
    <w:name w:val="TxBr_p5"/>
    <w:basedOn w:val="Normal"/>
    <w:rsid w:val="00B6329F"/>
    <w:pPr>
      <w:tabs>
        <w:tab w:val="left" w:pos="583"/>
      </w:tabs>
      <w:spacing w:line="289" w:lineRule="atLeast"/>
      <w:ind w:firstLine="584"/>
    </w:pPr>
  </w:style>
  <w:style w:type="paragraph" w:customStyle="1" w:styleId="TxBrp6">
    <w:name w:val="TxBr_p6"/>
    <w:basedOn w:val="Normal"/>
    <w:rsid w:val="00B6329F"/>
    <w:pPr>
      <w:tabs>
        <w:tab w:val="left" w:pos="204"/>
      </w:tabs>
      <w:spacing w:line="289" w:lineRule="atLeast"/>
      <w:jc w:val="both"/>
    </w:pPr>
  </w:style>
  <w:style w:type="paragraph" w:customStyle="1" w:styleId="TxBrp7">
    <w:name w:val="TxBr_p7"/>
    <w:basedOn w:val="Normal"/>
    <w:rsid w:val="00B6329F"/>
    <w:pPr>
      <w:tabs>
        <w:tab w:val="left" w:pos="583"/>
      </w:tabs>
      <w:spacing w:line="289" w:lineRule="atLeast"/>
      <w:ind w:firstLine="584"/>
      <w:jc w:val="both"/>
    </w:pPr>
  </w:style>
  <w:style w:type="paragraph" w:customStyle="1" w:styleId="TxBrp8">
    <w:name w:val="TxBr_p8"/>
    <w:basedOn w:val="Normal"/>
    <w:rsid w:val="00B6329F"/>
    <w:pPr>
      <w:tabs>
        <w:tab w:val="left" w:pos="583"/>
      </w:tabs>
      <w:spacing w:line="289" w:lineRule="atLeast"/>
      <w:jc w:val="both"/>
    </w:pPr>
  </w:style>
  <w:style w:type="paragraph" w:customStyle="1" w:styleId="TxBrp9">
    <w:name w:val="TxBr_p9"/>
    <w:basedOn w:val="Normal"/>
    <w:rsid w:val="00B6329F"/>
    <w:pPr>
      <w:tabs>
        <w:tab w:val="left" w:pos="204"/>
      </w:tabs>
      <w:spacing w:line="289" w:lineRule="atLeast"/>
    </w:pPr>
  </w:style>
  <w:style w:type="paragraph" w:customStyle="1" w:styleId="TxBrp10">
    <w:name w:val="TxBr_p10"/>
    <w:basedOn w:val="Normal"/>
    <w:rsid w:val="00B6329F"/>
    <w:pPr>
      <w:tabs>
        <w:tab w:val="left" w:pos="204"/>
      </w:tabs>
      <w:spacing w:line="289" w:lineRule="atLeast"/>
    </w:pPr>
  </w:style>
  <w:style w:type="paragraph" w:customStyle="1" w:styleId="TxBrp11">
    <w:name w:val="TxBr_p11"/>
    <w:basedOn w:val="Normal"/>
    <w:rsid w:val="00B6329F"/>
    <w:pPr>
      <w:tabs>
        <w:tab w:val="left" w:pos="788"/>
      </w:tabs>
      <w:spacing w:line="240" w:lineRule="atLeast"/>
      <w:ind w:left="612" w:hanging="788"/>
    </w:pPr>
  </w:style>
  <w:style w:type="paragraph" w:customStyle="1" w:styleId="TxBrp12">
    <w:name w:val="TxBr_p12"/>
    <w:basedOn w:val="Normal"/>
    <w:rsid w:val="00B6329F"/>
    <w:pPr>
      <w:spacing w:line="240" w:lineRule="atLeast"/>
      <w:ind w:left="1066" w:hanging="334"/>
    </w:pPr>
  </w:style>
  <w:style w:type="paragraph" w:customStyle="1" w:styleId="TxBrp13">
    <w:name w:val="TxBr_p13"/>
    <w:basedOn w:val="Normal"/>
    <w:rsid w:val="00B6329F"/>
    <w:pPr>
      <w:tabs>
        <w:tab w:val="left" w:pos="595"/>
      </w:tabs>
      <w:spacing w:line="289" w:lineRule="atLeast"/>
      <w:ind w:firstLine="595"/>
    </w:pPr>
  </w:style>
  <w:style w:type="paragraph" w:customStyle="1" w:styleId="TxBrt14">
    <w:name w:val="TxBr_t14"/>
    <w:basedOn w:val="Normal"/>
    <w:rsid w:val="00B6329F"/>
    <w:pPr>
      <w:spacing w:line="240" w:lineRule="atLeast"/>
    </w:pPr>
  </w:style>
  <w:style w:type="paragraph" w:customStyle="1" w:styleId="TxBrt15">
    <w:name w:val="TxBr_t15"/>
    <w:basedOn w:val="Normal"/>
    <w:rsid w:val="00B6329F"/>
    <w:pPr>
      <w:spacing w:line="240" w:lineRule="atLeast"/>
    </w:pPr>
  </w:style>
  <w:style w:type="paragraph" w:customStyle="1" w:styleId="TxBrc16">
    <w:name w:val="TxBr_c16"/>
    <w:basedOn w:val="Normal"/>
    <w:rsid w:val="00B6329F"/>
    <w:pPr>
      <w:spacing w:line="240" w:lineRule="atLeast"/>
      <w:jc w:val="center"/>
    </w:pPr>
  </w:style>
  <w:style w:type="paragraph" w:customStyle="1" w:styleId="TxBrt17">
    <w:name w:val="TxBr_t17"/>
    <w:basedOn w:val="Normal"/>
    <w:rsid w:val="00B6329F"/>
    <w:pPr>
      <w:spacing w:line="240" w:lineRule="atLeast"/>
    </w:pPr>
  </w:style>
  <w:style w:type="paragraph" w:customStyle="1" w:styleId="TxBrt18">
    <w:name w:val="TxBr_t18"/>
    <w:basedOn w:val="Normal"/>
    <w:rsid w:val="00B6329F"/>
    <w:pPr>
      <w:spacing w:line="240" w:lineRule="atLeast"/>
    </w:pPr>
  </w:style>
  <w:style w:type="paragraph" w:customStyle="1" w:styleId="TxBrp19">
    <w:name w:val="TxBr_p19"/>
    <w:basedOn w:val="Normal"/>
    <w:rsid w:val="00B6329F"/>
    <w:pPr>
      <w:tabs>
        <w:tab w:val="left" w:pos="3458"/>
      </w:tabs>
      <w:spacing w:line="240" w:lineRule="atLeast"/>
      <w:ind w:left="2058"/>
    </w:pPr>
  </w:style>
  <w:style w:type="paragraph" w:customStyle="1" w:styleId="TxBrp20">
    <w:name w:val="TxBr_p20"/>
    <w:basedOn w:val="Normal"/>
    <w:rsid w:val="00B6329F"/>
    <w:pPr>
      <w:tabs>
        <w:tab w:val="left" w:pos="2738"/>
      </w:tabs>
      <w:spacing w:line="240" w:lineRule="atLeast"/>
      <w:ind w:left="1338"/>
    </w:pPr>
  </w:style>
  <w:style w:type="paragraph" w:customStyle="1" w:styleId="TxBrt21">
    <w:name w:val="TxBr_t21"/>
    <w:basedOn w:val="Normal"/>
    <w:rsid w:val="00B6329F"/>
    <w:pPr>
      <w:spacing w:line="240" w:lineRule="atLeast"/>
    </w:pPr>
  </w:style>
  <w:style w:type="paragraph" w:customStyle="1" w:styleId="TxBrt22">
    <w:name w:val="TxBr_t22"/>
    <w:basedOn w:val="Normal"/>
    <w:rsid w:val="00B6329F"/>
    <w:pPr>
      <w:spacing w:line="240" w:lineRule="atLeast"/>
    </w:pPr>
  </w:style>
  <w:style w:type="paragraph" w:customStyle="1" w:styleId="TxBrt23">
    <w:name w:val="TxBr_t23"/>
    <w:basedOn w:val="Normal"/>
    <w:rsid w:val="00B6329F"/>
    <w:pPr>
      <w:spacing w:line="289" w:lineRule="atLeast"/>
    </w:pPr>
  </w:style>
  <w:style w:type="paragraph" w:customStyle="1" w:styleId="TxBrt24">
    <w:name w:val="TxBr_t24"/>
    <w:basedOn w:val="Normal"/>
    <w:rsid w:val="00B6329F"/>
    <w:pPr>
      <w:spacing w:line="240" w:lineRule="atLeast"/>
    </w:pPr>
  </w:style>
  <w:style w:type="paragraph" w:customStyle="1" w:styleId="TxBrt25">
    <w:name w:val="TxBr_t25"/>
    <w:basedOn w:val="Normal"/>
    <w:rsid w:val="00B6329F"/>
    <w:pPr>
      <w:spacing w:line="240" w:lineRule="atLeast"/>
    </w:pPr>
  </w:style>
  <w:style w:type="paragraph" w:customStyle="1" w:styleId="TxBrt26">
    <w:name w:val="TxBr_t26"/>
    <w:basedOn w:val="Normal"/>
    <w:rsid w:val="00B6329F"/>
    <w:pPr>
      <w:spacing w:line="240" w:lineRule="atLeast"/>
    </w:pPr>
  </w:style>
  <w:style w:type="paragraph" w:customStyle="1" w:styleId="TxBrt27">
    <w:name w:val="TxBr_t27"/>
    <w:basedOn w:val="Normal"/>
    <w:rsid w:val="00B6329F"/>
    <w:pPr>
      <w:spacing w:line="240" w:lineRule="atLeast"/>
    </w:pPr>
  </w:style>
  <w:style w:type="paragraph" w:customStyle="1" w:styleId="TxBrp28">
    <w:name w:val="TxBr_p28"/>
    <w:basedOn w:val="Normal"/>
    <w:rsid w:val="00B6329F"/>
    <w:pPr>
      <w:tabs>
        <w:tab w:val="left" w:pos="204"/>
      </w:tabs>
      <w:spacing w:line="240" w:lineRule="atLeast"/>
    </w:pPr>
  </w:style>
  <w:style w:type="paragraph" w:customStyle="1" w:styleId="TxBrp29">
    <w:name w:val="TxBr_p29"/>
    <w:basedOn w:val="Normal"/>
    <w:rsid w:val="00B6329F"/>
    <w:pPr>
      <w:tabs>
        <w:tab w:val="left" w:pos="413"/>
      </w:tabs>
      <w:spacing w:line="240" w:lineRule="atLeast"/>
      <w:ind w:left="986" w:hanging="413"/>
    </w:pPr>
  </w:style>
  <w:style w:type="paragraph" w:customStyle="1" w:styleId="TxBrp30">
    <w:name w:val="TxBr_p30"/>
    <w:basedOn w:val="Normal"/>
    <w:rsid w:val="00B6329F"/>
    <w:pPr>
      <w:tabs>
        <w:tab w:val="left" w:pos="595"/>
      </w:tabs>
      <w:spacing w:line="240" w:lineRule="atLeast"/>
      <w:ind w:left="805" w:hanging="595"/>
    </w:pPr>
  </w:style>
  <w:style w:type="paragraph" w:customStyle="1" w:styleId="TxBrp31">
    <w:name w:val="TxBr_p31"/>
    <w:basedOn w:val="Normal"/>
    <w:rsid w:val="00B6329F"/>
    <w:pPr>
      <w:spacing w:line="583" w:lineRule="atLeast"/>
      <w:ind w:left="986" w:hanging="413"/>
    </w:pPr>
  </w:style>
  <w:style w:type="paragraph" w:styleId="Header">
    <w:name w:val="header"/>
    <w:basedOn w:val="Normal"/>
    <w:rsid w:val="00B6329F"/>
    <w:pPr>
      <w:tabs>
        <w:tab w:val="center" w:pos="4320"/>
        <w:tab w:val="right" w:pos="8640"/>
      </w:tabs>
    </w:pPr>
  </w:style>
  <w:style w:type="paragraph" w:styleId="Footer">
    <w:name w:val="footer"/>
    <w:basedOn w:val="Normal"/>
    <w:link w:val="FooterChar"/>
    <w:uiPriority w:val="99"/>
    <w:rsid w:val="00B6329F"/>
    <w:pPr>
      <w:tabs>
        <w:tab w:val="center" w:pos="4320"/>
        <w:tab w:val="right" w:pos="8640"/>
      </w:tabs>
    </w:pPr>
  </w:style>
  <w:style w:type="character" w:styleId="PageNumber">
    <w:name w:val="page number"/>
    <w:basedOn w:val="DefaultParagraphFont"/>
    <w:rsid w:val="00B6329F"/>
  </w:style>
  <w:style w:type="paragraph" w:styleId="BodyTextIndent3">
    <w:name w:val="Body Text Indent 3"/>
    <w:basedOn w:val="Normal"/>
    <w:rsid w:val="00B6329F"/>
    <w:pPr>
      <w:tabs>
        <w:tab w:val="left" w:pos="144"/>
        <w:tab w:val="left" w:pos="720"/>
      </w:tabs>
      <w:ind w:firstLine="720"/>
    </w:pPr>
    <w:rPr>
      <w:rFonts w:ascii="Arial" w:hAnsi="Arial" w:cs="Arial"/>
      <w:snapToGrid/>
      <w:sz w:val="20"/>
    </w:rPr>
  </w:style>
  <w:style w:type="paragraph" w:styleId="BodyText">
    <w:name w:val="Body Text"/>
    <w:basedOn w:val="Normal"/>
    <w:rsid w:val="00B6329F"/>
    <w:pPr>
      <w:tabs>
        <w:tab w:val="left" w:pos="-180"/>
        <w:tab w:val="left" w:pos="720"/>
      </w:tabs>
    </w:pPr>
    <w:rPr>
      <w:rFonts w:ascii="Arial" w:hAnsi="Arial" w:cs="Arial"/>
      <w:sz w:val="22"/>
    </w:rPr>
  </w:style>
  <w:style w:type="paragraph" w:styleId="BodyTextIndent">
    <w:name w:val="Body Text Indent"/>
    <w:basedOn w:val="Normal"/>
    <w:rsid w:val="00B6329F"/>
    <w:pPr>
      <w:tabs>
        <w:tab w:val="left" w:pos="576"/>
      </w:tabs>
      <w:ind w:firstLine="720"/>
    </w:pPr>
    <w:rPr>
      <w:rFonts w:ascii="Arial" w:hAnsi="Arial" w:cs="Arial"/>
    </w:rPr>
  </w:style>
  <w:style w:type="paragraph" w:styleId="FootnoteText">
    <w:name w:val="footnote text"/>
    <w:basedOn w:val="Normal"/>
    <w:semiHidden/>
    <w:rsid w:val="00B6329F"/>
    <w:rPr>
      <w:sz w:val="20"/>
    </w:rPr>
  </w:style>
  <w:style w:type="character" w:styleId="FootnoteReference">
    <w:name w:val="footnote reference"/>
    <w:semiHidden/>
    <w:rsid w:val="00B6329F"/>
    <w:rPr>
      <w:vertAlign w:val="superscript"/>
    </w:rPr>
  </w:style>
  <w:style w:type="paragraph" w:styleId="BodyText2">
    <w:name w:val="Body Text 2"/>
    <w:basedOn w:val="Normal"/>
    <w:rsid w:val="00B6329F"/>
    <w:pPr>
      <w:widowControl/>
      <w:autoSpaceDE w:val="0"/>
      <w:autoSpaceDN w:val="0"/>
      <w:adjustRightInd w:val="0"/>
    </w:pPr>
    <w:rPr>
      <w:rFonts w:ascii="Arial" w:hAnsi="Arial" w:cs="Arial"/>
      <w:snapToGrid/>
      <w:color w:val="000000"/>
      <w:sz w:val="22"/>
    </w:rPr>
  </w:style>
  <w:style w:type="paragraph" w:styleId="BodyText3">
    <w:name w:val="Body Text 3"/>
    <w:basedOn w:val="Normal"/>
    <w:rsid w:val="00B6329F"/>
    <w:pPr>
      <w:tabs>
        <w:tab w:val="left" w:pos="-180"/>
        <w:tab w:val="left" w:pos="720"/>
      </w:tabs>
      <w:spacing w:line="280" w:lineRule="exact"/>
    </w:pPr>
    <w:rPr>
      <w:rFonts w:ascii="Arial" w:hAnsi="Arial" w:cs="Arial"/>
      <w:sz w:val="20"/>
    </w:rPr>
  </w:style>
  <w:style w:type="character" w:styleId="Hyperlink">
    <w:name w:val="Hyperlink"/>
    <w:rsid w:val="00B6329F"/>
    <w:rPr>
      <w:color w:val="0000FF"/>
      <w:u w:val="single"/>
    </w:rPr>
  </w:style>
  <w:style w:type="paragraph" w:styleId="BalloonText">
    <w:name w:val="Balloon Text"/>
    <w:basedOn w:val="Normal"/>
    <w:semiHidden/>
    <w:rsid w:val="008148F9"/>
    <w:rPr>
      <w:rFonts w:ascii="Tahoma" w:hAnsi="Tahoma" w:cs="Tahoma"/>
      <w:sz w:val="16"/>
      <w:szCs w:val="16"/>
    </w:rPr>
  </w:style>
  <w:style w:type="character" w:styleId="FollowedHyperlink">
    <w:name w:val="FollowedHyperlink"/>
    <w:rsid w:val="003637FF"/>
    <w:rPr>
      <w:color w:val="800080"/>
      <w:u w:val="single"/>
    </w:rPr>
  </w:style>
  <w:style w:type="character" w:styleId="CommentReference">
    <w:name w:val="annotation reference"/>
    <w:rsid w:val="004C656E"/>
    <w:rPr>
      <w:sz w:val="16"/>
      <w:szCs w:val="16"/>
    </w:rPr>
  </w:style>
  <w:style w:type="paragraph" w:styleId="CommentText">
    <w:name w:val="annotation text"/>
    <w:basedOn w:val="Normal"/>
    <w:link w:val="CommentTextChar"/>
    <w:rsid w:val="004C656E"/>
    <w:rPr>
      <w:snapToGrid/>
      <w:sz w:val="20"/>
      <w:lang w:val="x-none" w:eastAsia="x-none"/>
    </w:rPr>
  </w:style>
  <w:style w:type="character" w:customStyle="1" w:styleId="CommentTextChar">
    <w:name w:val="Comment Text Char"/>
    <w:link w:val="CommentText"/>
    <w:rsid w:val="004C656E"/>
    <w:rPr>
      <w:snapToGrid/>
    </w:rPr>
  </w:style>
  <w:style w:type="paragraph" w:styleId="CommentSubject">
    <w:name w:val="annotation subject"/>
    <w:basedOn w:val="CommentText"/>
    <w:next w:val="CommentText"/>
    <w:link w:val="CommentSubjectChar"/>
    <w:rsid w:val="004C656E"/>
    <w:rPr>
      <w:b/>
      <w:bCs/>
    </w:rPr>
  </w:style>
  <w:style w:type="character" w:customStyle="1" w:styleId="CommentSubjectChar">
    <w:name w:val="Comment Subject Char"/>
    <w:link w:val="CommentSubject"/>
    <w:rsid w:val="004C656E"/>
    <w:rPr>
      <w:b/>
      <w:bCs/>
      <w:snapToGrid/>
    </w:rPr>
  </w:style>
  <w:style w:type="paragraph" w:styleId="PlainText">
    <w:name w:val="Plain Text"/>
    <w:basedOn w:val="Normal"/>
    <w:link w:val="PlainTextChar"/>
    <w:uiPriority w:val="99"/>
    <w:unhideWhenUsed/>
    <w:rsid w:val="00CC3CDA"/>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CC3CDA"/>
    <w:rPr>
      <w:rFonts w:ascii="Consolas" w:eastAsia="Calibri" w:hAnsi="Consolas"/>
      <w:sz w:val="21"/>
      <w:szCs w:val="21"/>
    </w:rPr>
  </w:style>
  <w:style w:type="paragraph" w:styleId="ListParagraph">
    <w:name w:val="List Paragraph"/>
    <w:basedOn w:val="Normal"/>
    <w:uiPriority w:val="34"/>
    <w:qFormat/>
    <w:rsid w:val="00CC3CDA"/>
    <w:pPr>
      <w:widowControl/>
      <w:overflowPunct w:val="0"/>
      <w:autoSpaceDE w:val="0"/>
      <w:autoSpaceDN w:val="0"/>
      <w:adjustRightInd w:val="0"/>
      <w:ind w:left="720"/>
      <w:textAlignment w:val="baseline"/>
    </w:pPr>
    <w:rPr>
      <w:snapToGrid/>
      <w:sz w:val="20"/>
    </w:rPr>
  </w:style>
  <w:style w:type="paragraph" w:styleId="DocumentMap">
    <w:name w:val="Document Map"/>
    <w:basedOn w:val="Normal"/>
    <w:link w:val="DocumentMapChar"/>
    <w:rsid w:val="00702F5A"/>
    <w:rPr>
      <w:rFonts w:ascii="Tahoma" w:hAnsi="Tahoma"/>
      <w:sz w:val="16"/>
      <w:szCs w:val="16"/>
      <w:lang w:val="x-none" w:eastAsia="x-none"/>
    </w:rPr>
  </w:style>
  <w:style w:type="character" w:customStyle="1" w:styleId="DocumentMapChar">
    <w:name w:val="Document Map Char"/>
    <w:link w:val="DocumentMap"/>
    <w:rsid w:val="00702F5A"/>
    <w:rPr>
      <w:rFonts w:ascii="Tahoma" w:hAnsi="Tahoma" w:cs="Tahoma"/>
      <w:snapToGrid w:val="0"/>
      <w:sz w:val="16"/>
      <w:szCs w:val="16"/>
    </w:rPr>
  </w:style>
  <w:style w:type="table" w:styleId="TableGrid">
    <w:name w:val="Table Grid"/>
    <w:basedOn w:val="TableNormal"/>
    <w:rsid w:val="007A1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77DEB"/>
    <w:rPr>
      <w:snapToGrid w:val="0"/>
      <w:sz w:val="24"/>
    </w:rPr>
  </w:style>
  <w:style w:type="paragraph" w:styleId="Revision">
    <w:name w:val="Revision"/>
    <w:hidden/>
    <w:uiPriority w:val="99"/>
    <w:semiHidden/>
    <w:rsid w:val="00611FD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Our-Organization/Assistant-Commandant-for-Prevention-Policy-CG-5P/Inspections-Compliance-CG-5PC-/Office-of-Investigations-Casualty-Analysis/2692-Reporting-Forms-NVIC-01-15/"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yperlink" Target="https://www.gpo.gov/fdsys/pkg/FR-2009-06-25/html/E9-14906.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535021.htm" TargetMode="External" /><Relationship Id="rId2" Type="http://schemas.openxmlformats.org/officeDocument/2006/relationships/hyperlink" Target="https://www.bls.gov/oes/2022/may/oes231011.htm" TargetMode="External" /><Relationship Id="rId3" Type="http://schemas.openxmlformats.org/officeDocument/2006/relationships/hyperlink" Target="https://www.bls.gov/oes/2022/may/oes434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2" ma:contentTypeDescription="Create a new document." ma:contentTypeScope="" ma:versionID="5bf8d6292d6b67a8a8a0578c8430816a">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6b1229d5d8616a06bedeb04f56b5906b"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6NRRV4S2CX6Q-769511253-89939</_dlc_DocId>
    <_dlc_DocIdUrl xmlns="7ea9c0cb-aa7e-47c6-8965-59e0e5c30e95">
      <Url>https://uscg.sharepoint-mil.us/sites/PWA-DCO-5P/_layouts/15/DocIdRedir.aspx?ID=6NRRV4S2CX6Q-769511253-89939</Url>
      <Description>6NRRV4S2CX6Q-769511253-89939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8A9D57-330A-4EFE-AA11-E11C968E8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519F8-B973-4EC3-8B78-16D6DBDC5CC8}">
  <ds:schemaRefs>
    <ds:schemaRef ds:uri="http://schemas.openxmlformats.org/officeDocument/2006/bibliography"/>
  </ds:schemaRefs>
</ds:datastoreItem>
</file>

<file path=customXml/itemProps3.xml><?xml version="1.0" encoding="utf-8"?>
<ds:datastoreItem xmlns:ds="http://schemas.openxmlformats.org/officeDocument/2006/customXml" ds:itemID="{4A73A1A2-E4E3-407A-BD58-E332B3C11DAE}">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4.xml><?xml version="1.0" encoding="utf-8"?>
<ds:datastoreItem xmlns:ds="http://schemas.openxmlformats.org/officeDocument/2006/customXml" ds:itemID="{7B9F1489-EFF1-46FE-8DF6-3898DBAC5BA8}">
  <ds:schemaRefs>
    <ds:schemaRef ds:uri="http://schemas.microsoft.com/sharepoint/v3/contenttype/forms"/>
  </ds:schemaRefs>
</ds:datastoreItem>
</file>

<file path=customXml/itemProps5.xml><?xml version="1.0" encoding="utf-8"?>
<ds:datastoreItem xmlns:ds="http://schemas.openxmlformats.org/officeDocument/2006/customXml" ds:itemID="{7A6DC4D0-1675-4FFE-B88F-DDE55D7273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2942</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2023-07-05T13:50:00Z</dcterms:created>
  <dcterms:modified xsi:type="dcterms:W3CDTF">2023-07-05T13:50:00Z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_dlc_DocIdItemGuid">
    <vt:lpwstr>b63dfe51-0fc2-4b63-8931-4040f2a52255</vt:lpwstr>
  </property>
</Properties>
</file>