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D9C" w:rsidP="00BB6D9C" w14:paraId="6C549F31" w14:textId="1D7924D4">
      <w:pPr>
        <w:pStyle w:val="Title"/>
        <w:spacing w:line="240" w:lineRule="auto"/>
      </w:pPr>
      <w:r>
        <w:t>SUPPORTING STATEMENT</w:t>
      </w:r>
      <w:r w:rsidR="004D2298">
        <w:rPr>
          <w:noProof/>
          <w:snapToGrid/>
        </w:rPr>
        <mc:AlternateContent>
          <mc:Choice Requires="wps">
            <w:drawing>
              <wp:anchor distT="0" distB="0" distL="114300" distR="114300" simplePos="0" relativeHeight="251658240" behindDoc="1" locked="1" layoutInCell="0" allowOverlap="1">
                <wp:simplePos x="0" y="0"/>
                <wp:positionH relativeFrom="margin">
                  <wp:posOffset>12065</wp:posOffset>
                </wp:positionH>
                <wp:positionV relativeFrom="paragraph">
                  <wp:posOffset>0</wp:posOffset>
                </wp:positionV>
                <wp:extent cx="128270" cy="152400"/>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2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B6D9C" w:rsidP="00BB6D9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10.1pt;height:12pt;margin-top:0;margin-left:0.9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BB6D9C" w:rsidP="00BB6D9C" w14:paraId="13631144" w14:textId="77777777"/>
                  </w:txbxContent>
                </v:textbox>
                <w10:wrap anchorx="margin"/>
                <w10:anchorlock/>
              </v:rect>
            </w:pict>
          </mc:Fallback>
        </mc:AlternateContent>
      </w:r>
    </w:p>
    <w:p w:rsidR="00BB6D9C" w:rsidP="00BB6D9C" w14:paraId="056C1E87" w14:textId="77777777">
      <w:pPr>
        <w:jc w:val="center"/>
        <w:rPr>
          <w:rFonts w:ascii="Arial" w:hAnsi="Arial" w:cs="Arial"/>
          <w:b/>
          <w:sz w:val="28"/>
        </w:rPr>
      </w:pPr>
      <w:bookmarkStart w:id="0" w:name="_Hlk126919536"/>
      <w:r>
        <w:rPr>
          <w:rFonts w:ascii="Arial" w:hAnsi="Arial" w:cs="Arial"/>
          <w:b/>
          <w:sz w:val="28"/>
        </w:rPr>
        <w:t xml:space="preserve">Application to Pay Off or Discharge </w:t>
      </w:r>
      <w:r w:rsidR="009B6682">
        <w:rPr>
          <w:rFonts w:ascii="Arial" w:hAnsi="Arial" w:cs="Arial"/>
          <w:b/>
          <w:sz w:val="28"/>
        </w:rPr>
        <w:t xml:space="preserve">an </w:t>
      </w:r>
      <w:r>
        <w:rPr>
          <w:rFonts w:ascii="Arial" w:hAnsi="Arial" w:cs="Arial"/>
          <w:b/>
          <w:sz w:val="28"/>
        </w:rPr>
        <w:t xml:space="preserve">Alien </w:t>
      </w:r>
      <w:r w:rsidR="008F3A34">
        <w:rPr>
          <w:rFonts w:ascii="Arial" w:hAnsi="Arial" w:cs="Arial"/>
          <w:b/>
          <w:sz w:val="28"/>
        </w:rPr>
        <w:t>Crewman</w:t>
      </w:r>
    </w:p>
    <w:p w:rsidR="00BB6D9C" w:rsidP="00BB6D9C" w14:paraId="1FDBE11C" w14:textId="77777777">
      <w:pPr>
        <w:pBdr>
          <w:top w:val="single" w:sz="6" w:space="0" w:color="FFFFFF"/>
          <w:left w:val="single" w:sz="6" w:space="31" w:color="FFFFFF"/>
          <w:bottom w:val="single" w:sz="6" w:space="0" w:color="FFFFFF"/>
          <w:right w:val="single" w:sz="6" w:space="0" w:color="FFFFFF"/>
        </w:pBdr>
        <w:jc w:val="center"/>
        <w:rPr>
          <w:rFonts w:ascii="Arial" w:hAnsi="Arial" w:cs="Arial"/>
          <w:b/>
          <w:sz w:val="28"/>
        </w:rPr>
      </w:pPr>
      <w:r>
        <w:rPr>
          <w:rFonts w:ascii="Arial" w:hAnsi="Arial" w:cs="Arial"/>
          <w:b/>
          <w:sz w:val="28"/>
        </w:rPr>
        <w:t>Form I-408</w:t>
      </w:r>
    </w:p>
    <w:bookmarkEnd w:id="0"/>
    <w:p w:rsidR="00BB6D9C" w:rsidP="00BB6D9C" w14:paraId="5157AE43" w14:textId="77777777">
      <w:pPr>
        <w:pBdr>
          <w:top w:val="single" w:sz="6" w:space="0" w:color="FFFFFF"/>
          <w:left w:val="single" w:sz="6" w:space="31" w:color="FFFFFF"/>
          <w:bottom w:val="single" w:sz="6" w:space="0" w:color="FFFFFF"/>
          <w:right w:val="single" w:sz="6" w:space="0" w:color="FFFFFF"/>
        </w:pBdr>
        <w:jc w:val="center"/>
        <w:rPr>
          <w:rFonts w:ascii="Arial" w:hAnsi="Arial" w:cs="Arial"/>
          <w:b/>
          <w:sz w:val="28"/>
        </w:rPr>
      </w:pPr>
      <w:r>
        <w:rPr>
          <w:rFonts w:ascii="Arial" w:hAnsi="Arial" w:cs="Arial"/>
          <w:b/>
          <w:sz w:val="28"/>
        </w:rPr>
        <w:t>(OMB No. 1651–0106)</w:t>
      </w:r>
    </w:p>
    <w:p w:rsidR="00BB6D9C" w:rsidP="003A7B34" w14:paraId="2BC517EF" w14:textId="77777777">
      <w:pPr>
        <w:tabs>
          <w:tab w:val="center" w:pos="4824"/>
        </w:tabs>
        <w:rPr>
          <w:rFonts w:ascii="Arial" w:hAnsi="Arial"/>
        </w:rPr>
      </w:pPr>
      <w:r>
        <w:rPr>
          <w:rFonts w:ascii="Arial" w:hAnsi="Arial"/>
        </w:rPr>
        <w:tab/>
      </w:r>
    </w:p>
    <w:p w:rsidR="00BB6D9C" w:rsidP="003A7B34" w14:paraId="4333EC43" w14:textId="77777777">
      <w:pPr>
        <w:tabs>
          <w:tab w:val="center" w:pos="4824"/>
        </w:tabs>
        <w:rPr>
          <w:rFonts w:ascii="Arial" w:hAnsi="Arial"/>
          <w:b/>
          <w:sz w:val="28"/>
        </w:rPr>
      </w:pPr>
      <w:r>
        <w:rPr>
          <w:rFonts w:ascii="Arial" w:hAnsi="Arial"/>
          <w:b/>
          <w:sz w:val="28"/>
        </w:rPr>
        <w:t>A.      Justification</w:t>
      </w:r>
    </w:p>
    <w:p w:rsidR="00BB6D9C" w:rsidP="003A7B34" w14:paraId="39FBA846" w14:textId="77777777">
      <w:pPr>
        <w:tabs>
          <w:tab w:val="center" w:pos="4824"/>
        </w:tabs>
        <w:rPr>
          <w:rFonts w:ascii="Arial" w:hAnsi="Arial"/>
          <w:b/>
          <w:sz w:val="28"/>
        </w:rPr>
      </w:pPr>
    </w:p>
    <w:p w:rsidR="00BB6D9C" w:rsidP="003A7B34" w14:paraId="0673486B" w14:textId="77777777">
      <w:pPr>
        <w:rPr>
          <w:rFonts w:ascii="Arial" w:hAnsi="Arial" w:cs="Arial"/>
          <w:b/>
          <w:bCs/>
          <w:szCs w:val="24"/>
        </w:rPr>
      </w:pPr>
    </w:p>
    <w:p w:rsidR="00BB6D9C" w:rsidRPr="00C47181" w:rsidP="003A7B34" w14:paraId="0FADF330" w14:textId="77777777">
      <w:pPr>
        <w:ind w:left="720" w:hanging="720"/>
        <w:rPr>
          <w:rFonts w:ascii="Arial" w:hAnsi="Arial" w:cs="Arial"/>
          <w:b/>
          <w:bCs/>
          <w:szCs w:val="24"/>
        </w:rPr>
      </w:pPr>
      <w:r>
        <w:rPr>
          <w:rFonts w:ascii="Arial" w:hAnsi="Arial" w:cs="Arial"/>
          <w:b/>
          <w:bCs/>
          <w:szCs w:val="24"/>
        </w:rPr>
        <w:t xml:space="preserve">1.       </w:t>
      </w:r>
      <w:r w:rsidR="008F3A34">
        <w:rPr>
          <w:rFonts w:ascii="Arial" w:hAnsi="Arial" w:cs="Arial"/>
          <w:b/>
          <w:bCs/>
          <w:szCs w:val="24"/>
        </w:rPr>
        <w:tab/>
      </w:r>
      <w:r w:rsidRPr="00100860">
        <w:rPr>
          <w:rFonts w:ascii="Arial" w:hAnsi="Arial" w:cs="Arial"/>
          <w:b/>
          <w:bCs/>
          <w:szCs w:val="24"/>
        </w:rPr>
        <w:t>Explain the circumstances that make the collection of information necessary.</w:t>
      </w:r>
      <w:r w:rsidRPr="00100860" w:rsidR="003A7B34">
        <w:rPr>
          <w:rFonts w:ascii="Arial" w:hAnsi="Arial" w:cs="Arial"/>
          <w:b/>
          <w:bCs/>
          <w:szCs w:val="24"/>
        </w:rPr>
        <w:t xml:space="preserve">  </w:t>
      </w:r>
      <w:r w:rsidRPr="00100860">
        <w:rPr>
          <w:rFonts w:ascii="Arial" w:hAnsi="Arial" w:cs="Arial"/>
          <w:b/>
          <w:bCs/>
          <w:szCs w:val="24"/>
        </w:rPr>
        <w:t xml:space="preserve">Identify any legal or administrative requirements that necessitate the collection. </w:t>
      </w:r>
      <w:r w:rsidRPr="00100860" w:rsidR="003A7B34">
        <w:rPr>
          <w:rFonts w:ascii="Arial" w:hAnsi="Arial" w:cs="Arial"/>
          <w:b/>
          <w:bCs/>
          <w:szCs w:val="24"/>
        </w:rPr>
        <w:t xml:space="preserve"> </w:t>
      </w:r>
      <w:r w:rsidRPr="00100860">
        <w:rPr>
          <w:rFonts w:ascii="Arial" w:hAnsi="Arial" w:cs="Arial"/>
          <w:b/>
          <w:bCs/>
          <w:szCs w:val="24"/>
        </w:rPr>
        <w:t>Attach a copy of the appropriate section of each statu</w:t>
      </w:r>
      <w:r w:rsidRPr="00100860" w:rsidR="00D6552B">
        <w:rPr>
          <w:rFonts w:ascii="Arial" w:hAnsi="Arial" w:cs="Arial"/>
          <w:b/>
          <w:bCs/>
          <w:szCs w:val="24"/>
        </w:rPr>
        <w:t>t</w:t>
      </w:r>
      <w:r w:rsidRPr="00100860">
        <w:rPr>
          <w:rFonts w:ascii="Arial" w:hAnsi="Arial" w:cs="Arial"/>
          <w:b/>
          <w:bCs/>
          <w:szCs w:val="24"/>
        </w:rPr>
        <w:t xml:space="preserve">e and regulation mandating or authorizing the collection of </w:t>
      </w:r>
      <w:r w:rsidRPr="00100860" w:rsidR="003A7B34">
        <w:rPr>
          <w:rFonts w:ascii="Arial" w:hAnsi="Arial" w:cs="Arial"/>
          <w:b/>
          <w:bCs/>
          <w:szCs w:val="24"/>
        </w:rPr>
        <w:t>i</w:t>
      </w:r>
      <w:r w:rsidRPr="00100860">
        <w:rPr>
          <w:rFonts w:ascii="Arial" w:hAnsi="Arial" w:cs="Arial"/>
          <w:b/>
          <w:bCs/>
          <w:szCs w:val="24"/>
        </w:rPr>
        <w:t>nformation.</w:t>
      </w:r>
    </w:p>
    <w:p w:rsidR="004C6890" w:rsidP="003A7B34" w14:paraId="1F572266" w14:textId="77777777">
      <w:pPr>
        <w:pBdr>
          <w:top w:val="single" w:sz="6" w:space="0" w:color="FFFFFF"/>
          <w:left w:val="single" w:sz="6" w:space="31" w:color="FFFFFF"/>
          <w:bottom w:val="single" w:sz="6" w:space="0" w:color="FFFFFF"/>
          <w:right w:val="single" w:sz="6" w:space="0" w:color="FFFFFF"/>
        </w:pBdr>
        <w:ind w:left="720" w:hanging="720"/>
        <w:rPr>
          <w:rFonts w:ascii="Arial" w:hAnsi="Arial"/>
        </w:rPr>
      </w:pPr>
      <w:r>
        <w:rPr>
          <w:rFonts w:ascii="Arial" w:hAnsi="Arial"/>
        </w:rPr>
        <w:tab/>
      </w:r>
    </w:p>
    <w:p w:rsidR="00BB6D9C" w:rsidP="003A7B34" w14:paraId="6CCF721A" w14:textId="77777777">
      <w:pPr>
        <w:pBdr>
          <w:top w:val="single" w:sz="6" w:space="0" w:color="FFFFFF"/>
          <w:left w:val="single" w:sz="6" w:space="31" w:color="FFFFFF"/>
          <w:bottom w:val="single" w:sz="6" w:space="0" w:color="FFFFFF"/>
          <w:right w:val="single" w:sz="6" w:space="0" w:color="FFFFFF"/>
        </w:pBdr>
        <w:ind w:left="720" w:hanging="720"/>
        <w:rPr>
          <w:rFonts w:ascii="Arial" w:hAnsi="Arial" w:cs="Arial"/>
        </w:rPr>
      </w:pPr>
      <w:r>
        <w:rPr>
          <w:rFonts w:ascii="Arial" w:hAnsi="Arial"/>
        </w:rPr>
        <w:tab/>
      </w:r>
      <w:bookmarkStart w:id="1" w:name="_Hlk126919018"/>
      <w:r w:rsidR="00087FA5">
        <w:rPr>
          <w:rFonts w:ascii="Arial" w:hAnsi="Arial"/>
        </w:rPr>
        <w:t>CBP Form I-408</w:t>
      </w:r>
      <w:r w:rsidR="00845835">
        <w:rPr>
          <w:rFonts w:ascii="Arial" w:hAnsi="Arial"/>
        </w:rPr>
        <w:t>, Application to Pay Off or Discharge</w:t>
      </w:r>
      <w:r w:rsidR="00D93418">
        <w:rPr>
          <w:rFonts w:ascii="Arial" w:hAnsi="Arial"/>
        </w:rPr>
        <w:t xml:space="preserve"> </w:t>
      </w:r>
      <w:r w:rsidR="009B6682">
        <w:rPr>
          <w:rFonts w:ascii="Arial" w:hAnsi="Arial"/>
        </w:rPr>
        <w:t xml:space="preserve">an </w:t>
      </w:r>
      <w:r w:rsidR="00845835">
        <w:rPr>
          <w:rFonts w:ascii="Arial" w:hAnsi="Arial"/>
        </w:rPr>
        <w:t xml:space="preserve">Alien </w:t>
      </w:r>
      <w:r w:rsidR="008F3A34">
        <w:rPr>
          <w:rFonts w:ascii="Arial" w:hAnsi="Arial"/>
        </w:rPr>
        <w:t>Crewman</w:t>
      </w:r>
      <w:r w:rsidR="00845835">
        <w:rPr>
          <w:rFonts w:ascii="Arial" w:hAnsi="Arial"/>
        </w:rPr>
        <w:t>,</w:t>
      </w:r>
      <w:r w:rsidR="00087FA5">
        <w:rPr>
          <w:rFonts w:ascii="Arial" w:hAnsi="Arial"/>
        </w:rPr>
        <w:t xml:space="preserve"> is u</w:t>
      </w:r>
      <w:r>
        <w:rPr>
          <w:rFonts w:ascii="Arial" w:hAnsi="Arial" w:cs="Arial"/>
        </w:rPr>
        <w:t>sed as an application by the owner, agent, consignee, charterer, master</w:t>
      </w:r>
      <w:r w:rsidR="00D93418">
        <w:rPr>
          <w:rFonts w:ascii="Arial" w:hAnsi="Arial" w:cs="Arial"/>
        </w:rPr>
        <w:t>,</w:t>
      </w:r>
      <w:r>
        <w:rPr>
          <w:rFonts w:ascii="Arial" w:hAnsi="Arial" w:cs="Arial"/>
        </w:rPr>
        <w:t xml:space="preserve"> or commanding officer of any vessel or aircraft</w:t>
      </w:r>
      <w:r w:rsidR="00B7744A">
        <w:rPr>
          <w:rFonts w:ascii="Arial" w:hAnsi="Arial" w:cs="Arial"/>
        </w:rPr>
        <w:t xml:space="preserve"> arriving in the United States</w:t>
      </w:r>
      <w:r>
        <w:rPr>
          <w:rFonts w:ascii="Arial" w:hAnsi="Arial" w:cs="Arial"/>
        </w:rPr>
        <w:t xml:space="preserve"> to obtain permission from the </w:t>
      </w:r>
      <w:r w:rsidR="00087FA5">
        <w:rPr>
          <w:rFonts w:ascii="Arial" w:hAnsi="Arial" w:cs="Arial"/>
        </w:rPr>
        <w:t>Secretary of the Department of Homeland Security</w:t>
      </w:r>
      <w:r>
        <w:rPr>
          <w:rFonts w:ascii="Arial" w:hAnsi="Arial" w:cs="Arial"/>
        </w:rPr>
        <w:t xml:space="preserve"> to pay off</w:t>
      </w:r>
      <w:r w:rsidR="00087FA5">
        <w:rPr>
          <w:rFonts w:ascii="Arial" w:hAnsi="Arial" w:cs="Arial"/>
        </w:rPr>
        <w:t xml:space="preserve"> </w:t>
      </w:r>
      <w:r>
        <w:rPr>
          <w:rFonts w:ascii="Arial" w:hAnsi="Arial" w:cs="Arial"/>
        </w:rPr>
        <w:t>or discharge alien crewm</w:t>
      </w:r>
      <w:r w:rsidR="00963854">
        <w:rPr>
          <w:rFonts w:ascii="Arial" w:hAnsi="Arial" w:cs="Arial"/>
        </w:rPr>
        <w:t>e</w:t>
      </w:r>
      <w:r>
        <w:rPr>
          <w:rFonts w:ascii="Arial" w:hAnsi="Arial" w:cs="Arial"/>
        </w:rPr>
        <w:t>n.  Th</w:t>
      </w:r>
      <w:r w:rsidR="00103836">
        <w:rPr>
          <w:rFonts w:ascii="Arial" w:hAnsi="Arial" w:cs="Arial"/>
        </w:rPr>
        <w:t xml:space="preserve">is </w:t>
      </w:r>
      <w:r>
        <w:rPr>
          <w:rFonts w:ascii="Arial" w:hAnsi="Arial" w:cs="Arial"/>
        </w:rPr>
        <w:t xml:space="preserve">form is submitted to the CBP </w:t>
      </w:r>
      <w:r w:rsidR="00087FA5">
        <w:rPr>
          <w:rFonts w:ascii="Arial" w:hAnsi="Arial" w:cs="Arial"/>
        </w:rPr>
        <w:t>officer</w:t>
      </w:r>
      <w:r>
        <w:rPr>
          <w:rFonts w:ascii="Arial" w:hAnsi="Arial" w:cs="Arial"/>
        </w:rPr>
        <w:t xml:space="preserve"> having jurisdiction over the area in which the vessel or aircraft is located at the time of application</w:t>
      </w:r>
      <w:r w:rsidR="00087FA5">
        <w:rPr>
          <w:rFonts w:ascii="Arial" w:hAnsi="Arial" w:cs="Arial"/>
        </w:rPr>
        <w:t xml:space="preserve">.  </w:t>
      </w:r>
      <w:r w:rsidR="00103836">
        <w:rPr>
          <w:rFonts w:ascii="Arial" w:hAnsi="Arial" w:cs="Arial"/>
        </w:rPr>
        <w:t xml:space="preserve">CBP Form I-408 </w:t>
      </w:r>
      <w:r w:rsidR="00087FA5">
        <w:rPr>
          <w:rFonts w:ascii="Arial" w:hAnsi="Arial" w:cs="Arial"/>
        </w:rPr>
        <w:t xml:space="preserve">is authorized by </w:t>
      </w:r>
      <w:r>
        <w:rPr>
          <w:rFonts w:ascii="Arial" w:hAnsi="Arial" w:cs="Arial"/>
        </w:rPr>
        <w:t>Section 256 of the Immigration and Nationality Act (8 U.S.C.</w:t>
      </w:r>
      <w:r w:rsidR="00AD7C17">
        <w:rPr>
          <w:rFonts w:ascii="Arial" w:hAnsi="Arial" w:cs="Arial"/>
        </w:rPr>
        <w:t xml:space="preserve"> </w:t>
      </w:r>
      <w:r>
        <w:rPr>
          <w:rFonts w:ascii="Arial" w:hAnsi="Arial" w:cs="Arial"/>
        </w:rPr>
        <w:t xml:space="preserve">1286) </w:t>
      </w:r>
      <w:r w:rsidR="00087FA5">
        <w:rPr>
          <w:rFonts w:ascii="Arial" w:hAnsi="Arial" w:cs="Arial"/>
        </w:rPr>
        <w:t xml:space="preserve">and provided for </w:t>
      </w:r>
      <w:r w:rsidR="006039AC">
        <w:rPr>
          <w:rFonts w:ascii="Arial" w:hAnsi="Arial" w:cs="Arial"/>
        </w:rPr>
        <w:t xml:space="preserve">by </w:t>
      </w:r>
      <w:r>
        <w:rPr>
          <w:rFonts w:ascii="Arial" w:hAnsi="Arial" w:cs="Arial"/>
        </w:rPr>
        <w:t>8 CFR 252.1(h).</w:t>
      </w:r>
      <w:r w:rsidR="00845835">
        <w:rPr>
          <w:rFonts w:ascii="Arial" w:hAnsi="Arial" w:cs="Arial"/>
        </w:rPr>
        <w:t xml:space="preserve"> </w:t>
      </w:r>
      <w:r w:rsidR="00B7744A">
        <w:rPr>
          <w:rFonts w:ascii="Arial" w:hAnsi="Arial" w:cs="Arial"/>
        </w:rPr>
        <w:t xml:space="preserve"> </w:t>
      </w:r>
      <w:r w:rsidR="00103836">
        <w:rPr>
          <w:rFonts w:ascii="Arial" w:hAnsi="Arial" w:cs="Arial"/>
        </w:rPr>
        <w:t xml:space="preserve">This form </w:t>
      </w:r>
      <w:r w:rsidR="00B7744A">
        <w:rPr>
          <w:rFonts w:ascii="Arial" w:hAnsi="Arial" w:cs="Arial"/>
        </w:rPr>
        <w:t>is accessible at</w:t>
      </w:r>
      <w:r w:rsidR="00845835">
        <w:rPr>
          <w:rFonts w:ascii="Arial" w:hAnsi="Arial" w:cs="Arial"/>
        </w:rPr>
        <w:t>:</w:t>
      </w:r>
      <w:r w:rsidR="00B7744A">
        <w:rPr>
          <w:rFonts w:ascii="Arial" w:hAnsi="Arial" w:cs="Arial"/>
        </w:rPr>
        <w:t xml:space="preserve"> </w:t>
      </w:r>
      <w:hyperlink r:id="rId9" w:history="1">
        <w:r w:rsidRPr="00D76CF3" w:rsidR="00D76CF3">
          <w:rPr>
            <w:rStyle w:val="Hyperlink"/>
            <w:rFonts w:ascii="Arial" w:hAnsi="Arial" w:cs="Arial"/>
          </w:rPr>
          <w:t>https://www.cbp.gov/newsroom/publications/forms?title=408&amp;=Apply</w:t>
        </w:r>
      </w:hyperlink>
      <w:r w:rsidR="00D76CF3">
        <w:rPr>
          <w:rFonts w:ascii="Arial" w:hAnsi="Arial" w:cs="Arial"/>
        </w:rPr>
        <w:t xml:space="preserve"> </w:t>
      </w:r>
      <w:bookmarkEnd w:id="1"/>
    </w:p>
    <w:p w:rsidR="00BB6D9C" w:rsidRPr="00BB6D9C" w:rsidP="003A7B34" w14:paraId="6D59417C" w14:textId="77777777">
      <w:pPr>
        <w:pBdr>
          <w:top w:val="single" w:sz="6" w:space="0" w:color="FFFFFF"/>
          <w:left w:val="single" w:sz="6" w:space="31" w:color="FFFFFF"/>
          <w:bottom w:val="single" w:sz="6" w:space="0" w:color="FFFFFF"/>
          <w:right w:val="single" w:sz="6" w:space="0" w:color="FFFFFF"/>
        </w:pBdr>
        <w:ind w:left="720" w:hanging="720"/>
        <w:rPr>
          <w:rFonts w:ascii="Arial" w:hAnsi="Arial"/>
        </w:rPr>
      </w:pPr>
      <w:r>
        <w:rPr>
          <w:rFonts w:ascii="Arial" w:hAnsi="Arial" w:cs="Arial"/>
        </w:rPr>
        <w:tab/>
      </w:r>
      <w:r>
        <w:rPr>
          <w:rFonts w:ascii="Arial" w:hAnsi="Arial"/>
        </w:rPr>
        <w:t xml:space="preserve"> </w:t>
      </w:r>
      <w:r>
        <w:rPr>
          <w:rFonts w:ascii="Arial" w:hAnsi="Arial"/>
          <w:szCs w:val="24"/>
        </w:rPr>
        <w:tab/>
      </w:r>
    </w:p>
    <w:p w:rsidR="00BB6D9C" w:rsidRPr="00C47181" w:rsidP="003A7B34" w14:paraId="14321D92" w14:textId="77777777">
      <w:pPr>
        <w:ind w:left="720" w:hanging="720"/>
        <w:rPr>
          <w:szCs w:val="24"/>
        </w:rPr>
      </w:pPr>
      <w:r w:rsidRPr="00C47181">
        <w:rPr>
          <w:rFonts w:ascii="Arial" w:hAnsi="Arial" w:cs="Arial"/>
          <w:b/>
          <w:bCs/>
          <w:szCs w:val="24"/>
        </w:rPr>
        <w:t>2.</w:t>
      </w:r>
      <w:r w:rsidRPr="00C47181">
        <w:rPr>
          <w:szCs w:val="24"/>
        </w:rPr>
        <w:tab/>
      </w:r>
      <w:r w:rsidRPr="0010086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100860">
        <w:rPr>
          <w:szCs w:val="24"/>
        </w:rPr>
        <w:t>.</w:t>
      </w:r>
    </w:p>
    <w:p w:rsidR="00BB6D9C" w:rsidP="003A7B34" w14:paraId="61A536B0" w14:textId="77777777">
      <w:pPr>
        <w:pBdr>
          <w:top w:val="single" w:sz="6" w:space="0" w:color="FFFFFF"/>
          <w:left w:val="single" w:sz="6" w:space="31" w:color="FFFFFF"/>
          <w:bottom w:val="single" w:sz="6" w:space="0" w:color="FFFFFF"/>
          <w:right w:val="single" w:sz="6" w:space="0" w:color="FFFFFF"/>
        </w:pBdr>
        <w:rPr>
          <w:rFonts w:ascii="Arial" w:hAnsi="Arial"/>
          <w:szCs w:val="24"/>
        </w:rPr>
      </w:pPr>
      <w:r>
        <w:rPr>
          <w:rFonts w:ascii="Arial" w:hAnsi="Arial"/>
          <w:szCs w:val="24"/>
        </w:rPr>
        <w:tab/>
      </w:r>
    </w:p>
    <w:p w:rsidR="00BB6D9C" w:rsidRPr="00BB6D9C" w:rsidP="003A7B34" w14:paraId="1A2FF72D" w14:textId="77777777">
      <w:pPr>
        <w:pBdr>
          <w:top w:val="single" w:sz="6" w:space="0" w:color="FFFFFF"/>
          <w:left w:val="single" w:sz="6" w:space="31" w:color="FFFFFF"/>
          <w:bottom w:val="single" w:sz="6" w:space="0" w:color="FFFFFF"/>
          <w:right w:val="single" w:sz="6" w:space="0" w:color="FFFFFF"/>
        </w:pBdr>
        <w:ind w:left="720"/>
        <w:rPr>
          <w:rFonts w:ascii="Arial" w:hAnsi="Arial" w:cs="Arial"/>
        </w:rPr>
      </w:pPr>
      <w:r>
        <w:rPr>
          <w:rFonts w:ascii="Arial" w:hAnsi="Arial" w:cs="Arial"/>
        </w:rPr>
        <w:t xml:space="preserve">CBP </w:t>
      </w:r>
      <w:r w:rsidR="007A1D2B">
        <w:rPr>
          <w:rFonts w:ascii="Arial" w:hAnsi="Arial" w:cs="Arial"/>
        </w:rPr>
        <w:t>uses</w:t>
      </w:r>
      <w:r>
        <w:rPr>
          <w:rFonts w:ascii="Arial" w:hAnsi="Arial" w:cs="Arial"/>
        </w:rPr>
        <w:t xml:space="preserve"> the information on CBP Form I-408 to </w:t>
      </w:r>
      <w:r>
        <w:rPr>
          <w:rFonts w:ascii="Arial" w:hAnsi="Arial" w:cs="Arial"/>
        </w:rPr>
        <w:t>make a determination</w:t>
      </w:r>
      <w:r>
        <w:rPr>
          <w:rFonts w:ascii="Arial" w:hAnsi="Arial" w:cs="Arial"/>
        </w:rPr>
        <w:t xml:space="preserve"> </w:t>
      </w:r>
      <w:r w:rsidR="00B4574F">
        <w:rPr>
          <w:rFonts w:ascii="Arial" w:hAnsi="Arial" w:cs="Arial"/>
        </w:rPr>
        <w:t>on whether to</w:t>
      </w:r>
      <w:r>
        <w:rPr>
          <w:rFonts w:ascii="Arial" w:hAnsi="Arial" w:cs="Arial"/>
        </w:rPr>
        <w:t xml:space="preserve"> allow the pay off or discharge of alien crewm</w:t>
      </w:r>
      <w:r w:rsidR="00653795">
        <w:rPr>
          <w:rFonts w:ascii="Arial" w:hAnsi="Arial" w:cs="Arial"/>
        </w:rPr>
        <w:t>e</w:t>
      </w:r>
      <w:r>
        <w:rPr>
          <w:rFonts w:ascii="Arial" w:hAnsi="Arial" w:cs="Arial"/>
        </w:rPr>
        <w:t>n.</w:t>
      </w:r>
    </w:p>
    <w:p w:rsidR="00BB6D9C" w:rsidP="003A7B34" w14:paraId="3D2A28C7" w14:textId="77777777">
      <w:pPr>
        <w:rPr>
          <w:rFonts w:ascii="Arial" w:hAnsi="Arial"/>
          <w:b/>
          <w:bCs/>
          <w:szCs w:val="24"/>
        </w:rPr>
      </w:pPr>
      <w:r>
        <w:rPr>
          <w:rFonts w:ascii="Arial" w:hAnsi="Arial"/>
          <w:szCs w:val="24"/>
        </w:rPr>
        <w:tab/>
      </w:r>
      <w:r>
        <w:tab/>
      </w:r>
    </w:p>
    <w:p w:rsidR="00BB6D9C" w:rsidRPr="00C47181" w:rsidP="003A7B34" w14:paraId="156B3350" w14:textId="77777777">
      <w:pPr>
        <w:tabs>
          <w:tab w:val="left" w:pos="-1440"/>
        </w:tabs>
        <w:ind w:left="720" w:hanging="720"/>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10086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100860">
        <w:rPr>
          <w:rFonts w:ascii="Arial" w:hAnsi="Arial" w:cs="Arial"/>
          <w:b/>
          <w:bCs/>
          <w:szCs w:val="24"/>
        </w:rPr>
        <w:t>e.g.</w:t>
      </w:r>
      <w:r w:rsidRPr="00100860">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100860">
        <w:rPr>
          <w:szCs w:val="24"/>
        </w:rPr>
        <w:t xml:space="preserve">. </w:t>
      </w:r>
      <w:r w:rsidRPr="00C47181">
        <w:rPr>
          <w:szCs w:val="24"/>
        </w:rPr>
        <w:t xml:space="preserve"> </w:t>
      </w:r>
    </w:p>
    <w:p w:rsidR="00306E96" w:rsidP="003A7B34" w14:paraId="4C9C2F72" w14:textId="77777777">
      <w:pPr>
        <w:tabs>
          <w:tab w:val="left" w:pos="-1080"/>
          <w:tab w:val="left" w:pos="-720"/>
          <w:tab w:val="left" w:pos="0"/>
          <w:tab w:val="left" w:pos="720"/>
          <w:tab w:val="left" w:pos="1080"/>
        </w:tabs>
        <w:ind w:left="720" w:hanging="720"/>
        <w:rPr>
          <w:rFonts w:ascii="Arial" w:hAnsi="Arial"/>
          <w:szCs w:val="24"/>
        </w:rPr>
      </w:pPr>
      <w:r>
        <w:rPr>
          <w:rFonts w:ascii="Arial" w:hAnsi="Arial"/>
          <w:szCs w:val="24"/>
        </w:rPr>
        <w:tab/>
      </w:r>
    </w:p>
    <w:p w:rsidR="00BB6D9C" w:rsidP="003A7B34" w14:paraId="1ED508C6" w14:textId="6038FC37">
      <w:pPr>
        <w:tabs>
          <w:tab w:val="left" w:pos="-1080"/>
          <w:tab w:val="left" w:pos="-720"/>
          <w:tab w:val="left" w:pos="0"/>
          <w:tab w:val="left" w:pos="720"/>
          <w:tab w:val="left" w:pos="1080"/>
        </w:tabs>
        <w:ind w:left="720" w:hanging="720"/>
        <w:rPr>
          <w:rFonts w:ascii="Arial" w:hAnsi="Arial" w:cs="Arial"/>
        </w:rPr>
      </w:pPr>
      <w:r>
        <w:rPr>
          <w:rFonts w:ascii="Arial" w:hAnsi="Arial"/>
          <w:szCs w:val="24"/>
        </w:rPr>
        <w:tab/>
      </w:r>
      <w:r w:rsidRPr="00DE4B1F">
        <w:rPr>
          <w:rFonts w:ascii="Arial" w:hAnsi="Arial"/>
          <w:szCs w:val="24"/>
        </w:rPr>
        <w:t>C</w:t>
      </w:r>
      <w:r w:rsidRPr="00DE4B1F" w:rsidR="006039AC">
        <w:rPr>
          <w:rFonts w:ascii="Arial" w:hAnsi="Arial" w:cs="Arial"/>
        </w:rPr>
        <w:t xml:space="preserve">BP </w:t>
      </w:r>
      <w:r w:rsidRPr="00DE4B1F" w:rsidR="001617B7">
        <w:rPr>
          <w:rFonts w:ascii="Arial" w:hAnsi="Arial" w:cs="Arial"/>
        </w:rPr>
        <w:t xml:space="preserve">is working on </w:t>
      </w:r>
      <w:r w:rsidRPr="00DE4B1F" w:rsidR="00224471">
        <w:rPr>
          <w:rFonts w:ascii="Arial" w:hAnsi="Arial" w:cs="Arial"/>
        </w:rPr>
        <w:t xml:space="preserve">a project to automate </w:t>
      </w:r>
      <w:r w:rsidR="00A63F9D">
        <w:rPr>
          <w:rFonts w:ascii="Arial" w:hAnsi="Arial" w:cs="Arial"/>
        </w:rPr>
        <w:t xml:space="preserve">various admissibility forms used in the seaport environment.  While </w:t>
      </w:r>
      <w:r w:rsidR="00E26EA6">
        <w:rPr>
          <w:rFonts w:ascii="Arial" w:hAnsi="Arial" w:cs="Arial"/>
        </w:rPr>
        <w:t>consideration was given</w:t>
      </w:r>
      <w:r w:rsidR="00A63F9D">
        <w:rPr>
          <w:rFonts w:ascii="Arial" w:hAnsi="Arial" w:cs="Arial"/>
        </w:rPr>
        <w:t xml:space="preserve"> to automate the</w:t>
      </w:r>
      <w:r w:rsidRPr="00DE4B1F" w:rsidR="001617B7">
        <w:rPr>
          <w:rFonts w:ascii="Arial" w:hAnsi="Arial" w:cs="Arial"/>
        </w:rPr>
        <w:t xml:space="preserve"> </w:t>
      </w:r>
      <w:r w:rsidRPr="00DE4B1F" w:rsidR="00057028">
        <w:rPr>
          <w:rFonts w:ascii="Arial" w:hAnsi="Arial" w:cs="Arial"/>
        </w:rPr>
        <w:t>Form</w:t>
      </w:r>
      <w:r w:rsidRPr="00DE4B1F" w:rsidR="00877B7C">
        <w:rPr>
          <w:rFonts w:ascii="Arial" w:hAnsi="Arial" w:cs="Arial"/>
        </w:rPr>
        <w:t xml:space="preserve"> </w:t>
      </w:r>
      <w:r w:rsidRPr="00DE4B1F">
        <w:rPr>
          <w:rFonts w:ascii="Arial" w:hAnsi="Arial" w:cs="Arial"/>
        </w:rPr>
        <w:t>I-408</w:t>
      </w:r>
      <w:r w:rsidR="00A63F9D">
        <w:rPr>
          <w:rFonts w:ascii="Arial" w:hAnsi="Arial" w:cs="Arial"/>
        </w:rPr>
        <w:t xml:space="preserve">, </w:t>
      </w:r>
      <w:r w:rsidR="00553C3C">
        <w:rPr>
          <w:rFonts w:ascii="Arial" w:hAnsi="Arial" w:cs="Arial"/>
        </w:rPr>
        <w:t>it is not currently a working project.  At this time other forms (the I-95 specifically) are being addressed first.  A timel</w:t>
      </w:r>
      <w:r w:rsidR="002B2181">
        <w:rPr>
          <w:rFonts w:ascii="Arial" w:hAnsi="Arial" w:cs="Arial"/>
        </w:rPr>
        <w:t xml:space="preserve">ine </w:t>
      </w:r>
      <w:r w:rsidR="00553C3C">
        <w:rPr>
          <w:rFonts w:ascii="Arial" w:hAnsi="Arial" w:cs="Arial"/>
        </w:rPr>
        <w:t>to begin working on</w:t>
      </w:r>
      <w:r w:rsidR="007A0375">
        <w:rPr>
          <w:rFonts w:ascii="Arial" w:hAnsi="Arial" w:cs="Arial"/>
        </w:rPr>
        <w:t xml:space="preserve"> automation of</w:t>
      </w:r>
      <w:r w:rsidR="00553C3C">
        <w:rPr>
          <w:rFonts w:ascii="Arial" w:hAnsi="Arial" w:cs="Arial"/>
        </w:rPr>
        <w:t xml:space="preserve"> the I-408 is </w:t>
      </w:r>
      <w:r w:rsidR="002B2181">
        <w:rPr>
          <w:rFonts w:ascii="Arial" w:hAnsi="Arial" w:cs="Arial"/>
        </w:rPr>
        <w:t xml:space="preserve">not known.  In the </w:t>
      </w:r>
      <w:r w:rsidR="00100860">
        <w:rPr>
          <w:rFonts w:ascii="Arial" w:hAnsi="Arial" w:cs="Arial"/>
        </w:rPr>
        <w:t>meantime,</w:t>
      </w:r>
      <w:r w:rsidR="002B2181">
        <w:rPr>
          <w:rFonts w:ascii="Arial" w:hAnsi="Arial" w:cs="Arial"/>
        </w:rPr>
        <w:t xml:space="preserve"> </w:t>
      </w:r>
      <w:r w:rsidR="00A63F9D">
        <w:rPr>
          <w:rFonts w:ascii="Arial" w:hAnsi="Arial" w:cs="Arial"/>
        </w:rPr>
        <w:t>a</w:t>
      </w:r>
      <w:r w:rsidRPr="00DE4B1F" w:rsidR="00877B7C">
        <w:rPr>
          <w:rFonts w:ascii="Arial" w:hAnsi="Arial" w:cs="Arial"/>
        </w:rPr>
        <w:t xml:space="preserve"> fillable version of this form is available on CBP’s website at </w:t>
      </w:r>
      <w:hyperlink r:id="rId9" w:history="1">
        <w:r w:rsidRPr="001308E6" w:rsidR="00DE4B1F">
          <w:rPr>
            <w:rStyle w:val="Hyperlink"/>
            <w:rFonts w:ascii="Arial" w:hAnsi="Arial" w:cs="Arial"/>
          </w:rPr>
          <w:t>https://www.cbp.gov/newsroom/publications/forms?title=408&amp;=Apply</w:t>
        </w:r>
      </w:hyperlink>
      <w:r w:rsidR="00DE4B1F">
        <w:rPr>
          <w:rFonts w:ascii="Arial" w:hAnsi="Arial" w:cs="Arial"/>
        </w:rPr>
        <w:t xml:space="preserve"> </w:t>
      </w:r>
    </w:p>
    <w:p w:rsidR="00AF7535" w:rsidP="003A7B34" w14:paraId="5CE9704E" w14:textId="77777777">
      <w:pPr>
        <w:tabs>
          <w:tab w:val="left" w:pos="-1080"/>
          <w:tab w:val="left" w:pos="-720"/>
          <w:tab w:val="left" w:pos="0"/>
          <w:tab w:val="left" w:pos="720"/>
          <w:tab w:val="left" w:pos="1080"/>
        </w:tabs>
        <w:ind w:left="720" w:hanging="720"/>
        <w:rPr>
          <w:rFonts w:ascii="Arial" w:hAnsi="Arial" w:cs="Arial"/>
          <w:color w:val="FF0000"/>
        </w:rPr>
      </w:pPr>
    </w:p>
    <w:p w:rsidR="00AF7535" w:rsidRPr="00AF7535" w:rsidP="00AF7535" w14:paraId="62E8323B" w14:textId="77777777">
      <w:pPr>
        <w:tabs>
          <w:tab w:val="left" w:pos="-1080"/>
          <w:tab w:val="left" w:pos="-720"/>
          <w:tab w:val="left" w:pos="0"/>
          <w:tab w:val="left" w:pos="720"/>
          <w:tab w:val="left" w:pos="1080"/>
        </w:tabs>
        <w:ind w:left="720"/>
        <w:rPr>
          <w:rFonts w:ascii="Arial" w:hAnsi="Arial" w:cs="Arial"/>
        </w:rPr>
      </w:pPr>
      <w:r w:rsidRPr="00AF7535">
        <w:rPr>
          <w:rFonts w:ascii="Arial" w:hAnsi="Arial" w:cs="Arial"/>
        </w:rPr>
        <w:t xml:space="preserve">Pursuant to 8 CFR 252.1(h), application to payoff/discharge an alien crewmembers shall be made by the owner, agent, consignee, charterer, master, or commanding officer of the vessel or aircraft on which the alien crewman arrived on Form I–408 is filed with the immigration officer having jurisdiction over the area in which the vessel or aircraft is located at the time of application.  This submission is made in person to CBP with both the crewmember and the vessel agent (or employee/representative and or master of the vessel) present.  During this submission the CBP Officer reviews the information provided and asks questions to verify the information. </w:t>
      </w:r>
      <w:r w:rsidRPr="00AF7535">
        <w:rPr>
          <w:rFonts w:ascii="Arial" w:hAnsi="Arial" w:cs="Arial"/>
        </w:rPr>
        <w:t>At this time</w:t>
      </w:r>
      <w:r w:rsidRPr="00AF7535">
        <w:rPr>
          <w:rFonts w:ascii="Arial" w:hAnsi="Arial" w:cs="Arial"/>
        </w:rPr>
        <w:t>, the agent (or other vessel representative) has an opportunity to discuss, with CBP, the submission and any questions or concerns regarding the information collection.</w:t>
      </w:r>
    </w:p>
    <w:p w:rsidR="00AF7535" w:rsidRPr="00FC650B" w:rsidP="00AF7535" w14:paraId="7202870F" w14:textId="77777777">
      <w:pPr>
        <w:tabs>
          <w:tab w:val="left" w:pos="-1080"/>
          <w:tab w:val="left" w:pos="-720"/>
          <w:tab w:val="left" w:pos="0"/>
          <w:tab w:val="left" w:pos="720"/>
          <w:tab w:val="left" w:pos="1080"/>
        </w:tabs>
        <w:ind w:left="1440" w:hanging="720"/>
        <w:rPr>
          <w:rFonts w:ascii="Arial" w:hAnsi="Arial" w:cs="Arial"/>
          <w:color w:val="FF0000"/>
        </w:rPr>
      </w:pPr>
    </w:p>
    <w:p w:rsidR="00A13BEA" w:rsidP="003A7B34" w14:paraId="6DBE5E08" w14:textId="77777777">
      <w:pPr>
        <w:tabs>
          <w:tab w:val="left" w:pos="-1440"/>
        </w:tabs>
        <w:ind w:left="720" w:hanging="720"/>
        <w:rPr>
          <w:rFonts w:ascii="Arial" w:hAnsi="Arial"/>
          <w:b/>
          <w:bCs/>
          <w:szCs w:val="24"/>
        </w:rPr>
      </w:pPr>
    </w:p>
    <w:p w:rsidR="00BB6D9C" w:rsidRPr="00C47181" w:rsidP="003A7B34" w14:paraId="3B2A4B66" w14:textId="77777777">
      <w:pPr>
        <w:tabs>
          <w:tab w:val="left" w:pos="-1440"/>
        </w:tabs>
        <w:ind w:left="720" w:hanging="72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BB6D9C" w:rsidRPr="00C47181" w:rsidP="003A7B34" w14:paraId="609B5082" w14:textId="77777777">
      <w:pPr>
        <w:tabs>
          <w:tab w:val="left" w:pos="-1440"/>
        </w:tabs>
        <w:ind w:left="720" w:hanging="720"/>
        <w:rPr>
          <w:rFonts w:ascii="Arial" w:hAnsi="Arial"/>
          <w:szCs w:val="24"/>
        </w:rPr>
      </w:pPr>
    </w:p>
    <w:p w:rsidR="00BB6D9C" w:rsidRPr="00C47181" w:rsidP="003A7B34" w14:paraId="416C7DDE" w14:textId="77777777">
      <w:pPr>
        <w:tabs>
          <w:tab w:val="left" w:pos="-1440"/>
        </w:tabs>
        <w:ind w:left="720" w:hanging="720"/>
        <w:rPr>
          <w:rFonts w:ascii="Arial" w:hAnsi="Arial"/>
          <w:szCs w:val="24"/>
        </w:rPr>
      </w:pPr>
      <w:r w:rsidRPr="00C47181">
        <w:rPr>
          <w:rFonts w:ascii="Arial" w:hAnsi="Arial"/>
          <w:szCs w:val="24"/>
        </w:rPr>
        <w:tab/>
        <w:t>This information is not duplicated in any other place or any other form.</w:t>
      </w:r>
    </w:p>
    <w:p w:rsidR="00BB6D9C" w:rsidP="003A7B34" w14:paraId="7A25840A" w14:textId="77777777">
      <w:pPr>
        <w:ind w:left="720" w:hanging="720"/>
        <w:rPr>
          <w:rFonts w:ascii="Arial" w:hAnsi="Arial"/>
          <w:b/>
          <w:bCs/>
          <w:szCs w:val="24"/>
        </w:rPr>
      </w:pPr>
      <w:r>
        <w:rPr>
          <w:rFonts w:ascii="Arial" w:hAnsi="Arial"/>
          <w:b/>
          <w:bCs/>
          <w:szCs w:val="24"/>
        </w:rPr>
        <w:t xml:space="preserve"> </w:t>
      </w:r>
    </w:p>
    <w:p w:rsidR="00BB6D9C" w:rsidRPr="00C47181" w:rsidP="003A7B34" w14:paraId="0C475E09" w14:textId="77777777">
      <w:pPr>
        <w:ind w:left="720" w:hanging="72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BB6D9C" w:rsidRPr="00C47181" w:rsidP="003A7B34" w14:paraId="28EF300D" w14:textId="77777777">
      <w:pPr>
        <w:tabs>
          <w:tab w:val="left" w:pos="-1440"/>
        </w:tabs>
        <w:ind w:left="720" w:hanging="720"/>
        <w:rPr>
          <w:rFonts w:ascii="Arial" w:hAnsi="Arial"/>
          <w:szCs w:val="24"/>
        </w:rPr>
      </w:pPr>
    </w:p>
    <w:p w:rsidR="00BB6D9C" w:rsidP="003A7B34" w14:paraId="7B131FB6" w14:textId="77777777">
      <w:pPr>
        <w:pStyle w:val="BodyTextIndent"/>
        <w:spacing w:line="240" w:lineRule="auto"/>
        <w:jc w:val="left"/>
        <w:rPr>
          <w:szCs w:val="24"/>
        </w:rPr>
      </w:pPr>
      <w:r w:rsidRPr="00C47181">
        <w:rPr>
          <w:szCs w:val="24"/>
        </w:rPr>
        <w:tab/>
      </w:r>
      <w:r w:rsidRPr="007F20CA">
        <w:t>This information collection does not have an impact on small businesses or other</w:t>
      </w:r>
      <w:r>
        <w:t xml:space="preserve"> </w:t>
      </w:r>
      <w:r w:rsidRPr="007F20CA">
        <w:t>small entities.</w:t>
      </w:r>
      <w:r>
        <w:t xml:space="preserve">  </w:t>
      </w:r>
    </w:p>
    <w:p w:rsidR="00754B34" w:rsidP="003A7B34" w14:paraId="27B483C7" w14:textId="77777777">
      <w:pPr>
        <w:pStyle w:val="BodyTextIndent"/>
        <w:spacing w:line="240" w:lineRule="auto"/>
        <w:jc w:val="left"/>
      </w:pPr>
      <w:r>
        <w:tab/>
      </w:r>
    </w:p>
    <w:p w:rsidR="00BB6D9C" w:rsidRPr="002F3543" w:rsidP="003A7B34" w14:paraId="53302A1B" w14:textId="77777777">
      <w:pPr>
        <w:pStyle w:val="BodyTextIndent"/>
        <w:spacing w:line="240" w:lineRule="auto"/>
        <w:jc w:val="left"/>
        <w:rPr>
          <w:b/>
        </w:rPr>
      </w:pPr>
      <w:r>
        <w:t>6.</w:t>
      </w:r>
      <w:r>
        <w:t xml:space="preserve"> </w:t>
      </w:r>
      <w:r>
        <w:tab/>
      </w:r>
      <w:r w:rsidRPr="00100860" w:rsidR="00A13BEA">
        <w:rPr>
          <w:b/>
        </w:rPr>
        <w:t>D</w:t>
      </w:r>
      <w:r w:rsidRPr="00100860">
        <w:rPr>
          <w:b/>
        </w:rPr>
        <w:t>escribe consequences to Federal program or policy activities if the       collection is not conducted or is conducted less frequently.</w:t>
      </w:r>
    </w:p>
    <w:p w:rsidR="00BB6D9C" w:rsidP="003A7B34" w14:paraId="79CC2C37" w14:textId="77777777">
      <w:pPr>
        <w:pBdr>
          <w:top w:val="single" w:sz="6" w:space="0" w:color="FFFFFF"/>
          <w:left w:val="single" w:sz="6" w:space="0" w:color="FFFFFF"/>
          <w:bottom w:val="single" w:sz="6" w:space="0" w:color="FFFFFF"/>
          <w:right w:val="single" w:sz="6" w:space="0" w:color="FFFFFF"/>
        </w:pBdr>
        <w:ind w:left="720" w:hanging="720"/>
        <w:rPr>
          <w:rFonts w:ascii="Arial" w:hAnsi="Arial"/>
        </w:rPr>
      </w:pPr>
      <w:r>
        <w:rPr>
          <w:rFonts w:ascii="Arial" w:hAnsi="Arial"/>
        </w:rPr>
        <w:tab/>
      </w:r>
    </w:p>
    <w:p w:rsidR="00BB6D9C" w:rsidP="003A7B34" w14:paraId="28C93517" w14:textId="77777777">
      <w:pPr>
        <w:pBdr>
          <w:top w:val="single" w:sz="6" w:space="0" w:color="FFFFFF"/>
          <w:left w:val="single" w:sz="6" w:space="0" w:color="FFFFFF"/>
          <w:bottom w:val="single" w:sz="6" w:space="0" w:color="FFFFFF"/>
          <w:right w:val="single" w:sz="6" w:space="0" w:color="FFFFFF"/>
        </w:pBdr>
        <w:ind w:left="720"/>
        <w:rPr>
          <w:rFonts w:ascii="Arial" w:hAnsi="Arial" w:cs="Arial"/>
        </w:rPr>
      </w:pPr>
      <w:r>
        <w:rPr>
          <w:rFonts w:ascii="Arial" w:hAnsi="Arial" w:cs="Arial"/>
        </w:rPr>
        <w:t>If this collection w</w:t>
      </w:r>
      <w:r w:rsidR="00D93418">
        <w:rPr>
          <w:rFonts w:ascii="Arial" w:hAnsi="Arial" w:cs="Arial"/>
        </w:rPr>
        <w:t>ere</w:t>
      </w:r>
      <w:r>
        <w:rPr>
          <w:rFonts w:ascii="Arial" w:hAnsi="Arial" w:cs="Arial"/>
        </w:rPr>
        <w:t xml:space="preserve"> conducted less frequently, CBP would not be able to carry out its responsibilities under </w:t>
      </w:r>
      <w:r>
        <w:rPr>
          <w:rFonts w:ascii="Arial" w:hAnsi="Arial" w:cs="Arial"/>
        </w:rPr>
        <w:t>Section 256 of the I</w:t>
      </w:r>
      <w:r>
        <w:rPr>
          <w:rFonts w:ascii="Arial" w:hAnsi="Arial" w:cs="Arial"/>
        </w:rPr>
        <w:t>mmigration and Nationality Act</w:t>
      </w:r>
      <w:r w:rsidR="00D93418">
        <w:rPr>
          <w:rFonts w:ascii="Arial" w:hAnsi="Arial" w:cs="Arial"/>
        </w:rPr>
        <w:t>.</w:t>
      </w:r>
    </w:p>
    <w:p w:rsidR="00BB6D9C" w:rsidP="003A7B34" w14:paraId="4A06779D" w14:textId="77777777">
      <w:pPr>
        <w:tabs>
          <w:tab w:val="left" w:pos="-1440"/>
        </w:tabs>
        <w:rPr>
          <w:rFonts w:ascii="Arial" w:hAnsi="Arial"/>
        </w:rPr>
      </w:pPr>
      <w:r>
        <w:rPr>
          <w:rFonts w:ascii="Arial" w:hAnsi="Arial"/>
        </w:rPr>
        <w:tab/>
      </w:r>
      <w:r>
        <w:rPr>
          <w:rFonts w:ascii="Arial" w:hAnsi="Arial"/>
        </w:rPr>
        <w:tab/>
      </w:r>
    </w:p>
    <w:p w:rsidR="00BB6D9C" w:rsidRPr="00C47181" w:rsidP="003A7B34" w14:paraId="7527AE14" w14:textId="77777777">
      <w:pPr>
        <w:ind w:left="720" w:hanging="720"/>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BA38F9">
        <w:rPr>
          <w:rFonts w:ascii="Arial" w:hAnsi="Arial" w:cs="Arial"/>
          <w:b/>
          <w:bCs/>
          <w:szCs w:val="24"/>
        </w:rPr>
        <w:t>.</w:t>
      </w:r>
    </w:p>
    <w:p w:rsidR="00BB6D9C" w:rsidRPr="00C47181" w:rsidP="003A7B34" w14:paraId="0E4E32A0" w14:textId="77777777">
      <w:pPr>
        <w:tabs>
          <w:tab w:val="left" w:pos="-1440"/>
        </w:tabs>
        <w:ind w:left="720" w:hanging="720"/>
        <w:rPr>
          <w:rFonts w:ascii="Arial" w:hAnsi="Arial"/>
          <w:szCs w:val="24"/>
        </w:rPr>
      </w:pPr>
    </w:p>
    <w:p w:rsidR="00BB6D9C" w:rsidP="003A7B34" w14:paraId="68F8D341"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BB6D9C" w:rsidP="003A7B34" w14:paraId="2CCD481F" w14:textId="77777777">
      <w:pPr>
        <w:rPr>
          <w:rFonts w:ascii="Arial" w:hAnsi="Arial" w:cs="Arial"/>
          <w:b/>
          <w:bCs/>
          <w:szCs w:val="24"/>
        </w:rPr>
      </w:pPr>
    </w:p>
    <w:p w:rsidR="00BB6D9C" w:rsidP="003A7B34" w14:paraId="5A548921" w14:textId="77777777">
      <w:pPr>
        <w:ind w:left="720" w:hanging="720"/>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soliciting comments on the information collection prior to submission to OMB.</w:t>
      </w:r>
      <w:r w:rsidR="003A7B34">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sidR="003A7B34">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BB6D9C" w:rsidP="003A7B34" w14:paraId="781D95D8" w14:textId="77777777">
      <w:pPr>
        <w:tabs>
          <w:tab w:val="left" w:pos="-1440"/>
        </w:tabs>
        <w:ind w:left="720" w:hanging="360"/>
        <w:rPr>
          <w:rFonts w:ascii="Arial" w:hAnsi="Arial"/>
        </w:rPr>
      </w:pPr>
      <w:r>
        <w:rPr>
          <w:rFonts w:ascii="Arial" w:hAnsi="Arial"/>
        </w:rPr>
        <w:tab/>
      </w:r>
    </w:p>
    <w:p w:rsidR="00BB6D9C" w:rsidP="003A7B34" w14:paraId="220A7E06" w14:textId="5050A28E">
      <w:pPr>
        <w:tabs>
          <w:tab w:val="left" w:pos="-1440"/>
        </w:tabs>
        <w:ind w:left="720" w:hanging="360"/>
        <w:rPr>
          <w:rFonts w:ascii="Arial" w:hAnsi="Arial"/>
        </w:rPr>
      </w:pPr>
      <w:r>
        <w:rPr>
          <w:rFonts w:ascii="Arial" w:hAnsi="Arial"/>
        </w:rPr>
        <w:tab/>
        <w:t>Public comments were solicited through two Federal</w:t>
      </w:r>
      <w:r w:rsidR="00D00A78">
        <w:rPr>
          <w:rFonts w:ascii="Arial" w:hAnsi="Arial"/>
        </w:rPr>
        <w:t xml:space="preserve"> Register notices</w:t>
      </w:r>
      <w:r w:rsidR="0057717F">
        <w:rPr>
          <w:rFonts w:ascii="Arial" w:hAnsi="Arial"/>
        </w:rPr>
        <w:t>; a 60</w:t>
      </w:r>
      <w:r w:rsidR="006039AC">
        <w:rPr>
          <w:rFonts w:ascii="Arial" w:hAnsi="Arial"/>
        </w:rPr>
        <w:t>-</w:t>
      </w:r>
      <w:r w:rsidR="0057717F">
        <w:rPr>
          <w:rFonts w:ascii="Arial" w:hAnsi="Arial"/>
        </w:rPr>
        <w:t xml:space="preserve">day notice </w:t>
      </w:r>
      <w:r w:rsidR="00D00A78">
        <w:rPr>
          <w:rFonts w:ascii="Arial" w:hAnsi="Arial"/>
        </w:rPr>
        <w:t xml:space="preserve">published on </w:t>
      </w:r>
      <w:r w:rsidR="00AF7535">
        <w:rPr>
          <w:rFonts w:ascii="Arial" w:hAnsi="Arial"/>
        </w:rPr>
        <w:t>March</w:t>
      </w:r>
      <w:r w:rsidR="00100860">
        <w:rPr>
          <w:rFonts w:ascii="Arial" w:hAnsi="Arial"/>
        </w:rPr>
        <w:t xml:space="preserve"> </w:t>
      </w:r>
      <w:r w:rsidR="00AF7535">
        <w:rPr>
          <w:rFonts w:ascii="Arial" w:hAnsi="Arial"/>
        </w:rPr>
        <w:t>03</w:t>
      </w:r>
      <w:r w:rsidR="006C278B">
        <w:rPr>
          <w:rFonts w:ascii="Arial" w:hAnsi="Arial"/>
        </w:rPr>
        <w:t>, 2023</w:t>
      </w:r>
      <w:r>
        <w:rPr>
          <w:rFonts w:ascii="Arial" w:hAnsi="Arial"/>
        </w:rPr>
        <w:t xml:space="preserve"> (</w:t>
      </w:r>
      <w:r w:rsidR="00ED0818">
        <w:rPr>
          <w:rFonts w:ascii="Arial" w:hAnsi="Arial"/>
        </w:rPr>
        <w:t>8</w:t>
      </w:r>
      <w:r w:rsidR="00C216AE">
        <w:rPr>
          <w:rFonts w:ascii="Arial" w:hAnsi="Arial"/>
        </w:rPr>
        <w:t>8</w:t>
      </w:r>
      <w:r w:rsidR="008A1CF5">
        <w:rPr>
          <w:rFonts w:ascii="Arial" w:hAnsi="Arial"/>
        </w:rPr>
        <w:t xml:space="preserve"> FR </w:t>
      </w:r>
      <w:r w:rsidR="00AF7535">
        <w:rPr>
          <w:rFonts w:ascii="Arial" w:hAnsi="Arial"/>
        </w:rPr>
        <w:t>13454</w:t>
      </w:r>
      <w:r w:rsidR="004A75F0">
        <w:rPr>
          <w:rFonts w:ascii="Arial" w:hAnsi="Arial"/>
        </w:rPr>
        <w:t>)</w:t>
      </w:r>
      <w:r w:rsidR="0057717F">
        <w:rPr>
          <w:rFonts w:ascii="Arial" w:hAnsi="Arial"/>
        </w:rPr>
        <w:t xml:space="preserve"> on which no comments were received, and a 30-day notice published </w:t>
      </w:r>
      <w:r w:rsidRPr="000F5253" w:rsidR="0057717F">
        <w:rPr>
          <w:rFonts w:ascii="Arial" w:hAnsi="Arial"/>
        </w:rPr>
        <w:t>on</w:t>
      </w:r>
      <w:r w:rsidRPr="000F5253" w:rsidR="0057750F">
        <w:rPr>
          <w:rFonts w:ascii="Arial" w:hAnsi="Arial"/>
        </w:rPr>
        <w:t xml:space="preserve"> </w:t>
      </w:r>
      <w:r w:rsidRPr="000F5253" w:rsidR="00561BE7">
        <w:rPr>
          <w:rFonts w:ascii="Arial" w:hAnsi="Arial"/>
        </w:rPr>
        <w:t>Ju</w:t>
      </w:r>
      <w:r w:rsidRPr="000F5253" w:rsidR="006C278B">
        <w:rPr>
          <w:rFonts w:ascii="Arial" w:hAnsi="Arial"/>
        </w:rPr>
        <w:t>ly</w:t>
      </w:r>
      <w:r w:rsidRPr="000F5253" w:rsidR="00ED0818">
        <w:rPr>
          <w:rFonts w:ascii="Arial" w:hAnsi="Arial"/>
        </w:rPr>
        <w:t xml:space="preserve"> </w:t>
      </w:r>
      <w:r w:rsidRPr="000F5253" w:rsidR="00561BE7">
        <w:rPr>
          <w:rFonts w:ascii="Arial" w:hAnsi="Arial"/>
        </w:rPr>
        <w:t>3</w:t>
      </w:r>
      <w:r w:rsidRPr="000F5253" w:rsidR="006C278B">
        <w:rPr>
          <w:rFonts w:ascii="Arial" w:hAnsi="Arial"/>
        </w:rPr>
        <w:t>1</w:t>
      </w:r>
      <w:r w:rsidRPr="000F5253" w:rsidR="00ED0818">
        <w:rPr>
          <w:rFonts w:ascii="Arial" w:hAnsi="Arial"/>
        </w:rPr>
        <w:t>, 202</w:t>
      </w:r>
      <w:r w:rsidRPr="000F5253" w:rsidR="00561BE7">
        <w:rPr>
          <w:rFonts w:ascii="Arial" w:hAnsi="Arial"/>
        </w:rPr>
        <w:t>3</w:t>
      </w:r>
      <w:r w:rsidRPr="000F5253">
        <w:rPr>
          <w:rFonts w:ascii="Arial" w:hAnsi="Arial"/>
        </w:rPr>
        <w:t xml:space="preserve"> (</w:t>
      </w:r>
      <w:r w:rsidRPr="000F5253" w:rsidR="00ED0818">
        <w:rPr>
          <w:rFonts w:ascii="Arial" w:hAnsi="Arial"/>
        </w:rPr>
        <w:t>8</w:t>
      </w:r>
      <w:r w:rsidRPr="000F5253" w:rsidR="00561BE7">
        <w:rPr>
          <w:rFonts w:ascii="Arial" w:hAnsi="Arial"/>
        </w:rPr>
        <w:t>8</w:t>
      </w:r>
      <w:r w:rsidRPr="000F5253" w:rsidR="008A1CF5">
        <w:rPr>
          <w:rFonts w:ascii="Arial" w:hAnsi="Arial"/>
        </w:rPr>
        <w:t xml:space="preserve"> FR </w:t>
      </w:r>
      <w:r w:rsidRPr="000F5253" w:rsidR="000F5253">
        <w:rPr>
          <w:rFonts w:ascii="Arial" w:hAnsi="Arial"/>
        </w:rPr>
        <w:t>49477</w:t>
      </w:r>
      <w:r w:rsidRPr="000F5253">
        <w:rPr>
          <w:rFonts w:ascii="Arial" w:hAnsi="Arial"/>
        </w:rPr>
        <w:t>)</w:t>
      </w:r>
      <w:r w:rsidRPr="000F5253" w:rsidR="0057717F">
        <w:rPr>
          <w:rFonts w:ascii="Arial" w:hAnsi="Arial"/>
        </w:rPr>
        <w:t xml:space="preserve"> on</w:t>
      </w:r>
      <w:r w:rsidR="0057717F">
        <w:rPr>
          <w:rFonts w:ascii="Arial" w:hAnsi="Arial"/>
        </w:rPr>
        <w:t xml:space="preserve"> which no comments have been received.</w:t>
      </w:r>
      <w:r>
        <w:rPr>
          <w:rFonts w:ascii="Arial" w:hAnsi="Arial"/>
        </w:rPr>
        <w:t xml:space="preserve">     </w:t>
      </w:r>
    </w:p>
    <w:p w:rsidR="00BB6D9C" w:rsidP="003A7B34" w14:paraId="07917E15" w14:textId="77777777">
      <w:pPr>
        <w:ind w:left="720" w:hanging="600"/>
        <w:rPr>
          <w:rFonts w:ascii="Arial" w:hAnsi="Arial"/>
          <w:b/>
          <w:bCs/>
          <w:szCs w:val="24"/>
        </w:rPr>
      </w:pPr>
    </w:p>
    <w:p w:rsidR="00BB6D9C" w:rsidRPr="00C47181" w:rsidP="003A7B34" w14:paraId="739E8D32" w14:textId="77777777">
      <w:pPr>
        <w:ind w:left="720" w:hanging="720"/>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BB6D9C" w:rsidRPr="00C47181" w:rsidP="003A7B34" w14:paraId="249B9F64" w14:textId="77777777">
      <w:pPr>
        <w:tabs>
          <w:tab w:val="left" w:pos="-1440"/>
        </w:tabs>
        <w:ind w:left="720" w:hanging="720"/>
        <w:rPr>
          <w:rFonts w:ascii="Arial" w:hAnsi="Arial"/>
          <w:szCs w:val="24"/>
        </w:rPr>
      </w:pPr>
    </w:p>
    <w:p w:rsidR="00BB6D9C" w:rsidP="003A7B34" w14:paraId="013E8C49" w14:textId="77777777">
      <w:pPr>
        <w:tabs>
          <w:tab w:val="left" w:pos="-1440"/>
        </w:tabs>
        <w:ind w:left="720" w:hanging="720"/>
        <w:rPr>
          <w:rFonts w:ascii="Arial" w:hAnsi="Arial"/>
          <w:b/>
          <w:bCs/>
          <w:szCs w:val="24"/>
        </w:rPr>
      </w:pPr>
      <w:r w:rsidRPr="00C47181">
        <w:rPr>
          <w:rFonts w:ascii="Arial" w:hAnsi="Arial"/>
          <w:szCs w:val="24"/>
        </w:rPr>
        <w:tab/>
        <w:t>There is no offer of a monetary or material value for this information collection.</w:t>
      </w:r>
      <w:r>
        <w:rPr>
          <w:rFonts w:ascii="Arial" w:hAnsi="Arial"/>
          <w:b/>
          <w:bCs/>
          <w:szCs w:val="24"/>
        </w:rPr>
        <w:tab/>
      </w:r>
    </w:p>
    <w:p w:rsidR="00BB6D9C" w:rsidP="003A7B34" w14:paraId="57986E89" w14:textId="77777777">
      <w:pPr>
        <w:tabs>
          <w:tab w:val="left" w:pos="-1440"/>
        </w:tabs>
        <w:ind w:left="720" w:hanging="720"/>
        <w:rPr>
          <w:rFonts w:ascii="Arial" w:hAnsi="Arial"/>
          <w:b/>
          <w:bCs/>
          <w:szCs w:val="24"/>
        </w:rPr>
      </w:pPr>
    </w:p>
    <w:p w:rsidR="00BB6D9C" w:rsidRPr="00BB6D9C" w:rsidP="003A7B34" w14:paraId="0DD56972" w14:textId="77777777">
      <w:pPr>
        <w:tabs>
          <w:tab w:val="left" w:pos="-1440"/>
        </w:tabs>
        <w:ind w:left="720" w:hanging="720"/>
        <w:rPr>
          <w:rFonts w:ascii="Arial" w:hAnsi="Arial"/>
          <w:b/>
          <w:bCs/>
          <w:szCs w:val="24"/>
        </w:rPr>
      </w:pPr>
      <w:r w:rsidRPr="00C47181">
        <w:rPr>
          <w:rFonts w:ascii="Arial" w:hAnsi="Arial"/>
          <w:b/>
          <w:bCs/>
          <w:szCs w:val="24"/>
        </w:rPr>
        <w:t>10.</w:t>
      </w:r>
      <w:r w:rsidRPr="00C47181">
        <w:rPr>
          <w:rFonts w:ascii="Arial" w:hAnsi="Arial"/>
          <w:szCs w:val="24"/>
        </w:rPr>
        <w:tab/>
      </w:r>
      <w:r w:rsidRPr="00AF7535">
        <w:rPr>
          <w:rFonts w:ascii="Arial" w:hAnsi="Arial" w:cs="Arial"/>
          <w:b/>
          <w:bCs/>
          <w:szCs w:val="24"/>
        </w:rPr>
        <w:t>Describe any assurance of confidentiality provided to respondents and the basis for the assurance in statute, regulation, or agency policy.</w:t>
      </w:r>
    </w:p>
    <w:p w:rsidR="00BB6D9C" w:rsidRPr="00C47181" w:rsidP="003A7B34" w14:paraId="4F3AFA07" w14:textId="77777777">
      <w:pPr>
        <w:tabs>
          <w:tab w:val="left" w:pos="-1440"/>
        </w:tabs>
        <w:ind w:left="720" w:hanging="720"/>
        <w:rPr>
          <w:rFonts w:ascii="Arial" w:hAnsi="Arial"/>
          <w:szCs w:val="24"/>
        </w:rPr>
      </w:pPr>
      <w:r w:rsidRPr="00C47181">
        <w:rPr>
          <w:rFonts w:ascii="Arial" w:hAnsi="Arial"/>
          <w:szCs w:val="24"/>
        </w:rPr>
        <w:tab/>
      </w:r>
    </w:p>
    <w:p w:rsidR="00BB6D9C" w:rsidRPr="00C47181" w:rsidP="003A7B34" w14:paraId="2496C08D" w14:textId="277536E3">
      <w:pPr>
        <w:tabs>
          <w:tab w:val="left" w:pos="-1440"/>
        </w:tabs>
        <w:ind w:left="720" w:hanging="720"/>
        <w:rPr>
          <w:rFonts w:ascii="Arial" w:hAnsi="Arial"/>
          <w:szCs w:val="24"/>
        </w:rPr>
      </w:pPr>
      <w:r w:rsidRPr="00C47181">
        <w:rPr>
          <w:rFonts w:ascii="Arial" w:hAnsi="Arial"/>
          <w:szCs w:val="24"/>
        </w:rPr>
        <w:t xml:space="preserve">          </w:t>
      </w:r>
      <w:r w:rsidR="0091425C">
        <w:rPr>
          <w:rFonts w:ascii="Arial" w:hAnsi="Arial"/>
          <w:szCs w:val="24"/>
        </w:rPr>
        <w:tab/>
      </w:r>
      <w:r w:rsidRPr="00BE2518" w:rsidR="00136516">
        <w:rPr>
          <w:rFonts w:ascii="Arial" w:hAnsi="Arial"/>
          <w:szCs w:val="24"/>
        </w:rPr>
        <w:t xml:space="preserve">A </w:t>
      </w:r>
      <w:r w:rsidRPr="00BE2518" w:rsidR="003E4736">
        <w:rPr>
          <w:rFonts w:ascii="Arial" w:hAnsi="Arial"/>
          <w:szCs w:val="24"/>
        </w:rPr>
        <w:t>PIA for Advanced Passenger Information Systems (</w:t>
      </w:r>
      <w:r w:rsidR="00A24D74">
        <w:rPr>
          <w:rFonts w:ascii="Arial" w:hAnsi="Arial"/>
          <w:szCs w:val="24"/>
        </w:rPr>
        <w:t xml:space="preserve">APIS) dated June 5, </w:t>
      </w:r>
      <w:r w:rsidR="006C278B">
        <w:rPr>
          <w:rFonts w:ascii="Arial" w:hAnsi="Arial"/>
          <w:szCs w:val="24"/>
        </w:rPr>
        <w:t>2015,</w:t>
      </w:r>
      <w:r w:rsidRPr="00BE2518" w:rsidR="00B47B51">
        <w:rPr>
          <w:rFonts w:ascii="Arial" w:hAnsi="Arial"/>
          <w:szCs w:val="24"/>
        </w:rPr>
        <w:t xml:space="preserve"> </w:t>
      </w:r>
      <w:r w:rsidR="006C278B">
        <w:rPr>
          <w:rFonts w:ascii="Arial" w:hAnsi="Arial"/>
          <w:szCs w:val="24"/>
        </w:rPr>
        <w:t>and</w:t>
      </w:r>
      <w:r w:rsidRPr="00BE2518" w:rsidR="00F70D8F">
        <w:rPr>
          <w:rFonts w:ascii="Arial" w:hAnsi="Arial"/>
          <w:szCs w:val="24"/>
        </w:rPr>
        <w:t xml:space="preserve"> </w:t>
      </w:r>
      <w:r w:rsidR="006C278B">
        <w:rPr>
          <w:rFonts w:ascii="Arial" w:hAnsi="Arial"/>
          <w:szCs w:val="24"/>
        </w:rPr>
        <w:t xml:space="preserve">a SORN for Advanced Passenger Information Systems (APIS) dated March 13, 2015 provide coverage for this information collection. </w:t>
      </w:r>
      <w:r w:rsidRPr="00BE2518" w:rsidR="00F70D8F">
        <w:rPr>
          <w:rFonts w:ascii="Arial" w:hAnsi="Arial"/>
          <w:szCs w:val="24"/>
        </w:rPr>
        <w:t>No assurances of confidentiality are provided</w:t>
      </w:r>
      <w:r w:rsidRPr="00BE2518" w:rsidR="003E4736">
        <w:rPr>
          <w:rFonts w:ascii="Arial" w:hAnsi="Arial"/>
          <w:szCs w:val="24"/>
        </w:rPr>
        <w:t xml:space="preserve"> to respondents</w:t>
      </w:r>
      <w:r w:rsidRPr="00BE2518" w:rsidR="00F70D8F">
        <w:rPr>
          <w:rFonts w:ascii="Arial" w:hAnsi="Arial"/>
          <w:szCs w:val="24"/>
        </w:rPr>
        <w:t>.</w:t>
      </w:r>
    </w:p>
    <w:p w:rsidR="00BB6D9C" w:rsidP="003A7B34" w14:paraId="4665AB2D" w14:textId="77777777">
      <w:pPr>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BB6D9C" w:rsidRPr="008E66C8" w:rsidP="003A7B34" w14:paraId="4564C1E7" w14:textId="77777777">
      <w:pPr>
        <w:ind w:left="720" w:hanging="720"/>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D9C" w:rsidRPr="00C47181" w:rsidP="003A7B34" w14:paraId="456F8B9E" w14:textId="77777777">
      <w:pPr>
        <w:tabs>
          <w:tab w:val="left" w:pos="-1440"/>
        </w:tabs>
        <w:ind w:left="720" w:hanging="720"/>
        <w:rPr>
          <w:rFonts w:ascii="Arial" w:hAnsi="Arial"/>
          <w:szCs w:val="24"/>
        </w:rPr>
      </w:pPr>
      <w:r w:rsidRPr="00C47181">
        <w:rPr>
          <w:rFonts w:ascii="Arial" w:hAnsi="Arial"/>
          <w:szCs w:val="24"/>
        </w:rPr>
        <w:tab/>
      </w:r>
    </w:p>
    <w:p w:rsidR="00BB6D9C" w:rsidP="003A7B34" w14:paraId="634BF7ED" w14:textId="77777777">
      <w:pPr>
        <w:tabs>
          <w:tab w:val="left" w:pos="-1440"/>
        </w:tabs>
        <w:ind w:left="720" w:hanging="720"/>
        <w:rPr>
          <w:rFonts w:ascii="Arial" w:hAnsi="Arial"/>
          <w:szCs w:val="24"/>
        </w:rPr>
      </w:pPr>
      <w:r w:rsidRPr="00C47181">
        <w:rPr>
          <w:rFonts w:ascii="Arial" w:hAnsi="Arial"/>
          <w:szCs w:val="24"/>
        </w:rPr>
        <w:tab/>
        <w:t>There are no questions of a sensitive nature</w:t>
      </w:r>
      <w:r>
        <w:rPr>
          <w:rFonts w:ascii="Arial" w:hAnsi="Arial"/>
          <w:szCs w:val="24"/>
        </w:rPr>
        <w:t>.</w:t>
      </w:r>
    </w:p>
    <w:p w:rsidR="00BB6D9C" w:rsidRPr="00C47181" w:rsidP="003A7B34" w14:paraId="74731C88" w14:textId="77777777">
      <w:pPr>
        <w:tabs>
          <w:tab w:val="left" w:pos="-1440"/>
        </w:tabs>
        <w:ind w:left="720" w:hanging="720"/>
        <w:rPr>
          <w:rFonts w:ascii="Arial" w:hAnsi="Arial"/>
          <w:szCs w:val="24"/>
        </w:rPr>
      </w:pPr>
    </w:p>
    <w:p w:rsidR="00BB6D9C" w:rsidRPr="00C47181" w:rsidP="003A7B34" w14:paraId="7F1A7AA6" w14:textId="77777777">
      <w:pPr>
        <w:tabs>
          <w:tab w:val="left" w:pos="-1440"/>
        </w:tabs>
        <w:rPr>
          <w:rFonts w:ascii="Arial" w:hAnsi="Arial"/>
          <w:szCs w:val="24"/>
        </w:rPr>
      </w:pPr>
      <w:r>
        <w:rPr>
          <w:rFonts w:ascii="Arial" w:hAnsi="Arial" w:cs="Arial"/>
          <w:b/>
          <w:bCs/>
          <w:szCs w:val="24"/>
        </w:rPr>
        <w:t xml:space="preserve">12. </w:t>
      </w:r>
      <w:r>
        <w:rPr>
          <w:rFonts w:ascii="Arial" w:hAnsi="Arial" w:cs="Arial"/>
          <w:b/>
          <w:bCs/>
          <w:szCs w:val="24"/>
        </w:rPr>
        <w:tab/>
      </w:r>
      <w:r w:rsidRPr="00C216AE">
        <w:rPr>
          <w:rFonts w:ascii="Arial" w:hAnsi="Arial" w:cs="Arial"/>
          <w:b/>
          <w:bCs/>
          <w:szCs w:val="24"/>
        </w:rPr>
        <w:t>Provide estimates of the hour burden of the collection of information.</w:t>
      </w:r>
      <w:r w:rsidRPr="00C47181">
        <w:rPr>
          <w:rFonts w:ascii="Arial" w:hAnsi="Arial"/>
          <w:szCs w:val="24"/>
        </w:rPr>
        <w:tab/>
      </w:r>
    </w:p>
    <w:p w:rsidR="00BB6D9C" w:rsidRPr="009B7A38" w:rsidP="003A7B34" w14:paraId="35E02C37" w14:textId="1655F9F7">
      <w:pPr>
        <w:rPr>
          <w:rFonts w:ascii="Arial" w:hAnsi="Arial"/>
          <w:color w:val="FF0000"/>
        </w:rPr>
      </w:pPr>
      <w:r>
        <w:rPr>
          <w:rFonts w:ascii="Arial" w:hAnsi="Arial"/>
          <w:color w:val="FF0000"/>
        </w:rPr>
        <w:tab/>
      </w: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170"/>
        <w:gridCol w:w="1890"/>
        <w:gridCol w:w="1710"/>
        <w:gridCol w:w="1530"/>
        <w:gridCol w:w="1710"/>
      </w:tblGrid>
      <w:tr w14:paraId="7B0CA30B" w14:textId="77777777" w:rsidTr="009B6682">
        <w:tblPrEx>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00" w:type="dxa"/>
            <w:shd w:val="clear" w:color="auto" w:fill="auto"/>
            <w:vAlign w:val="center"/>
          </w:tcPr>
          <w:p w:rsidR="00BB6D9C" w:rsidRPr="0015394D" w:rsidP="003A7B34" w14:paraId="740D01D5" w14:textId="77777777">
            <w:pPr>
              <w:pStyle w:val="Style"/>
              <w:tabs>
                <w:tab w:val="left" w:pos="-1440"/>
              </w:tabs>
              <w:ind w:left="0" w:firstLine="0"/>
              <w:rPr>
                <w:rFonts w:ascii="Arial" w:hAnsi="Arial"/>
              </w:rPr>
            </w:pPr>
          </w:p>
          <w:p w:rsidR="00BB6D9C" w:rsidRPr="00AA62E3" w:rsidP="003A7B34" w14:paraId="320C5000" w14:textId="77777777">
            <w:pPr>
              <w:pStyle w:val="Style"/>
              <w:tabs>
                <w:tab w:val="left" w:pos="-1440"/>
              </w:tabs>
              <w:ind w:left="0" w:firstLine="0"/>
              <w:rPr>
                <w:rFonts w:ascii="Arial" w:hAnsi="Arial"/>
                <w:sz w:val="22"/>
                <w:szCs w:val="22"/>
              </w:rPr>
            </w:pPr>
            <w:r w:rsidRPr="00AA62E3">
              <w:rPr>
                <w:rFonts w:ascii="Arial" w:hAnsi="Arial"/>
                <w:b/>
                <w:sz w:val="22"/>
                <w:szCs w:val="22"/>
              </w:rPr>
              <w:t>INFORMATION COLLECTION</w:t>
            </w:r>
          </w:p>
        </w:tc>
        <w:tc>
          <w:tcPr>
            <w:tcW w:w="1170" w:type="dxa"/>
            <w:shd w:val="clear" w:color="auto" w:fill="auto"/>
            <w:vAlign w:val="center"/>
          </w:tcPr>
          <w:p w:rsidR="00BB6D9C" w:rsidRPr="00AA62E3" w:rsidP="003A7B34" w14:paraId="1D65E126" w14:textId="77777777">
            <w:pPr>
              <w:pStyle w:val="Style"/>
              <w:tabs>
                <w:tab w:val="left" w:pos="-1440"/>
              </w:tabs>
              <w:ind w:left="0" w:firstLine="0"/>
              <w:rPr>
                <w:rFonts w:ascii="Arial" w:hAnsi="Arial"/>
                <w:b/>
                <w:sz w:val="22"/>
                <w:szCs w:val="22"/>
              </w:rPr>
            </w:pPr>
            <w:r w:rsidRPr="00AA62E3">
              <w:rPr>
                <w:rFonts w:ascii="Arial" w:hAnsi="Arial"/>
                <w:b/>
                <w:sz w:val="22"/>
                <w:szCs w:val="22"/>
              </w:rPr>
              <w:t>TOTAL ANNUAL BURDEN HOURS</w:t>
            </w:r>
          </w:p>
        </w:tc>
        <w:tc>
          <w:tcPr>
            <w:tcW w:w="1890" w:type="dxa"/>
            <w:shd w:val="clear" w:color="auto" w:fill="auto"/>
            <w:vAlign w:val="center"/>
          </w:tcPr>
          <w:p w:rsidR="00BB6D9C" w:rsidRPr="00AA62E3" w:rsidP="003A7B34" w14:paraId="687B3DC7" w14:textId="77777777">
            <w:pPr>
              <w:pStyle w:val="Style"/>
              <w:tabs>
                <w:tab w:val="left" w:pos="-1440"/>
              </w:tabs>
              <w:ind w:left="0" w:firstLine="0"/>
              <w:rPr>
                <w:rFonts w:ascii="Arial" w:hAnsi="Arial"/>
                <w:b/>
                <w:sz w:val="22"/>
                <w:szCs w:val="22"/>
              </w:rPr>
            </w:pPr>
            <w:r w:rsidRPr="00AA62E3">
              <w:rPr>
                <w:rFonts w:ascii="Arial" w:hAnsi="Arial"/>
                <w:b/>
                <w:sz w:val="22"/>
                <w:szCs w:val="22"/>
              </w:rPr>
              <w:t>NO. OF</w:t>
            </w:r>
          </w:p>
          <w:p w:rsidR="00BB6D9C" w:rsidRPr="00AA62E3" w:rsidP="003A7B34" w14:paraId="5AFDE65D" w14:textId="77777777">
            <w:pPr>
              <w:pStyle w:val="Style"/>
              <w:tabs>
                <w:tab w:val="left" w:pos="-1440"/>
              </w:tabs>
              <w:ind w:left="0" w:firstLine="0"/>
              <w:rPr>
                <w:rFonts w:ascii="Arial" w:hAnsi="Arial"/>
                <w:b/>
                <w:sz w:val="22"/>
                <w:szCs w:val="22"/>
              </w:rPr>
            </w:pPr>
            <w:r w:rsidRPr="00AA62E3">
              <w:rPr>
                <w:rFonts w:ascii="Arial" w:hAnsi="Arial"/>
                <w:b/>
                <w:sz w:val="22"/>
                <w:szCs w:val="22"/>
              </w:rPr>
              <w:t>RESPONDENTS</w:t>
            </w:r>
          </w:p>
        </w:tc>
        <w:tc>
          <w:tcPr>
            <w:tcW w:w="1710" w:type="dxa"/>
            <w:shd w:val="clear" w:color="auto" w:fill="auto"/>
            <w:vAlign w:val="center"/>
          </w:tcPr>
          <w:p w:rsidR="00BB6D9C" w:rsidRPr="00AA62E3" w:rsidP="003A7B34" w14:paraId="597B6D47" w14:textId="77777777">
            <w:pPr>
              <w:pStyle w:val="Style"/>
              <w:tabs>
                <w:tab w:val="left" w:pos="-1440"/>
              </w:tabs>
              <w:ind w:left="0" w:firstLine="0"/>
              <w:rPr>
                <w:rFonts w:ascii="Arial" w:hAnsi="Arial"/>
                <w:b/>
                <w:sz w:val="20"/>
              </w:rPr>
            </w:pPr>
            <w:r w:rsidRPr="00AA62E3">
              <w:rPr>
                <w:rFonts w:ascii="Arial" w:hAnsi="Arial"/>
                <w:b/>
                <w:sz w:val="20"/>
              </w:rPr>
              <w:t>NO. OF RESPONSES PER RESPONDENT</w:t>
            </w:r>
          </w:p>
        </w:tc>
        <w:tc>
          <w:tcPr>
            <w:tcW w:w="1530" w:type="dxa"/>
            <w:shd w:val="clear" w:color="auto" w:fill="auto"/>
            <w:vAlign w:val="center"/>
          </w:tcPr>
          <w:p w:rsidR="00BB6D9C" w:rsidRPr="00AA62E3" w:rsidP="003A7B34" w14:paraId="6F1C216B" w14:textId="77777777">
            <w:pPr>
              <w:pStyle w:val="Style"/>
              <w:tabs>
                <w:tab w:val="left" w:pos="-1440"/>
              </w:tabs>
              <w:ind w:left="0" w:firstLine="0"/>
              <w:rPr>
                <w:rFonts w:ascii="Arial" w:hAnsi="Arial"/>
              </w:rPr>
            </w:pPr>
          </w:p>
          <w:p w:rsidR="00BB6D9C" w:rsidRPr="00AA62E3" w:rsidP="003A7B34" w14:paraId="253B03E7" w14:textId="77777777">
            <w:pPr>
              <w:pStyle w:val="Style"/>
              <w:tabs>
                <w:tab w:val="left" w:pos="-1440"/>
              </w:tabs>
              <w:ind w:left="0" w:firstLine="0"/>
              <w:rPr>
                <w:rFonts w:ascii="Arial" w:hAnsi="Arial"/>
                <w:b/>
                <w:sz w:val="20"/>
              </w:rPr>
            </w:pPr>
            <w:r w:rsidRPr="00AA62E3">
              <w:rPr>
                <w:rFonts w:ascii="Arial" w:hAnsi="Arial"/>
                <w:b/>
                <w:sz w:val="20"/>
              </w:rPr>
              <w:t>TOTAL</w:t>
            </w:r>
          </w:p>
          <w:p w:rsidR="00BB6D9C" w:rsidRPr="00AA62E3" w:rsidP="003A7B34" w14:paraId="64117C79" w14:textId="77777777">
            <w:pPr>
              <w:pStyle w:val="Style"/>
              <w:tabs>
                <w:tab w:val="left" w:pos="-1440"/>
              </w:tabs>
              <w:ind w:left="0" w:firstLine="0"/>
              <w:rPr>
                <w:rFonts w:ascii="Arial" w:hAnsi="Arial"/>
              </w:rPr>
            </w:pPr>
            <w:r w:rsidRPr="00AA62E3">
              <w:rPr>
                <w:rFonts w:ascii="Arial" w:hAnsi="Arial"/>
                <w:b/>
                <w:sz w:val="20"/>
              </w:rPr>
              <w:t>RESPONSES</w:t>
            </w:r>
          </w:p>
        </w:tc>
        <w:tc>
          <w:tcPr>
            <w:tcW w:w="1710" w:type="dxa"/>
            <w:shd w:val="clear" w:color="auto" w:fill="auto"/>
            <w:vAlign w:val="center"/>
          </w:tcPr>
          <w:p w:rsidR="00BB6D9C" w:rsidRPr="00AA62E3" w:rsidP="003A7B34" w14:paraId="0DE119B5" w14:textId="77777777">
            <w:pPr>
              <w:pStyle w:val="Style"/>
              <w:tabs>
                <w:tab w:val="left" w:pos="-1440"/>
              </w:tabs>
              <w:ind w:left="0" w:firstLine="0"/>
              <w:rPr>
                <w:rFonts w:ascii="Arial" w:hAnsi="Arial"/>
              </w:rPr>
            </w:pPr>
          </w:p>
          <w:p w:rsidR="00BB6D9C" w:rsidRPr="00AA62E3" w:rsidP="003A7B34" w14:paraId="0FA3EFE0" w14:textId="77777777">
            <w:pPr>
              <w:pStyle w:val="Style"/>
              <w:tabs>
                <w:tab w:val="left" w:pos="-1440"/>
              </w:tabs>
              <w:ind w:left="0" w:firstLine="0"/>
              <w:rPr>
                <w:rFonts w:ascii="Arial" w:hAnsi="Arial"/>
                <w:b/>
                <w:sz w:val="22"/>
                <w:szCs w:val="22"/>
              </w:rPr>
            </w:pPr>
            <w:r w:rsidRPr="00AA62E3">
              <w:rPr>
                <w:rFonts w:ascii="Arial" w:hAnsi="Arial"/>
                <w:b/>
                <w:sz w:val="22"/>
                <w:szCs w:val="22"/>
              </w:rPr>
              <w:t>TIME PER</w:t>
            </w:r>
          </w:p>
          <w:p w:rsidR="00BB6D9C" w:rsidRPr="00AA62E3" w:rsidP="003A7B34" w14:paraId="1F3623EB" w14:textId="77777777">
            <w:pPr>
              <w:pStyle w:val="Style"/>
              <w:tabs>
                <w:tab w:val="left" w:pos="-1440"/>
              </w:tabs>
              <w:ind w:left="0" w:firstLine="0"/>
              <w:rPr>
                <w:rFonts w:ascii="Arial" w:hAnsi="Arial"/>
              </w:rPr>
            </w:pPr>
            <w:r w:rsidRPr="00AA62E3">
              <w:rPr>
                <w:rFonts w:ascii="Arial" w:hAnsi="Arial"/>
                <w:b/>
                <w:sz w:val="22"/>
                <w:szCs w:val="22"/>
              </w:rPr>
              <w:t>RESPONSE</w:t>
            </w:r>
          </w:p>
        </w:tc>
      </w:tr>
      <w:tr w14:paraId="02A67C36" w14:textId="77777777" w:rsidTr="00E8777A">
        <w:tblPrEx>
          <w:tblW w:w="9810" w:type="dxa"/>
          <w:tblInd w:w="288" w:type="dxa"/>
          <w:tblLayout w:type="fixed"/>
          <w:tblLook w:val="01E0"/>
        </w:tblPrEx>
        <w:tc>
          <w:tcPr>
            <w:tcW w:w="1800" w:type="dxa"/>
            <w:shd w:val="clear" w:color="auto" w:fill="auto"/>
            <w:vAlign w:val="center"/>
          </w:tcPr>
          <w:p w:rsidR="00BB6D9C" w:rsidRPr="00AA62E3" w:rsidP="003A7B34" w14:paraId="2ED7D170" w14:textId="77777777">
            <w:pPr>
              <w:pStyle w:val="Style"/>
              <w:tabs>
                <w:tab w:val="left" w:pos="-1440"/>
              </w:tabs>
              <w:ind w:left="0" w:firstLine="0"/>
              <w:rPr>
                <w:rFonts w:ascii="Arial" w:hAnsi="Arial"/>
                <w:b/>
                <w:sz w:val="20"/>
              </w:rPr>
            </w:pPr>
          </w:p>
          <w:p w:rsidR="00BB6D9C" w:rsidRPr="00AA62E3" w:rsidP="003A7B34" w14:paraId="288A73A8" w14:textId="77777777">
            <w:pPr>
              <w:pStyle w:val="Style"/>
              <w:tabs>
                <w:tab w:val="left" w:pos="-1440"/>
              </w:tabs>
              <w:ind w:left="0" w:firstLine="0"/>
              <w:rPr>
                <w:rFonts w:ascii="Arial" w:hAnsi="Arial"/>
                <w:szCs w:val="24"/>
              </w:rPr>
            </w:pPr>
            <w:r w:rsidRPr="00AA62E3">
              <w:rPr>
                <w:rFonts w:ascii="Arial" w:hAnsi="Arial"/>
                <w:szCs w:val="24"/>
              </w:rPr>
              <w:t>Form I-408</w:t>
            </w:r>
          </w:p>
          <w:p w:rsidR="00BB6D9C" w:rsidRPr="00AA62E3" w:rsidP="003A7B34" w14:paraId="6283AFD2" w14:textId="77777777">
            <w:pPr>
              <w:pStyle w:val="Style"/>
              <w:tabs>
                <w:tab w:val="left" w:pos="-1440"/>
              </w:tabs>
              <w:ind w:left="0" w:firstLine="0"/>
              <w:rPr>
                <w:rFonts w:ascii="Arial" w:hAnsi="Arial"/>
                <w:b/>
                <w:sz w:val="22"/>
                <w:szCs w:val="22"/>
              </w:rPr>
            </w:pPr>
          </w:p>
        </w:tc>
        <w:tc>
          <w:tcPr>
            <w:tcW w:w="1170" w:type="dxa"/>
            <w:shd w:val="clear" w:color="auto" w:fill="auto"/>
            <w:vAlign w:val="center"/>
          </w:tcPr>
          <w:p w:rsidR="00BB6D9C" w:rsidRPr="00AA62E3" w:rsidP="003A7B34" w14:paraId="70FD098A" w14:textId="671C50E5">
            <w:pPr>
              <w:pStyle w:val="Style"/>
              <w:tabs>
                <w:tab w:val="left" w:pos="-1440"/>
              </w:tabs>
              <w:ind w:left="0" w:firstLine="0"/>
              <w:rPr>
                <w:rFonts w:ascii="Arial" w:hAnsi="Arial"/>
                <w:szCs w:val="24"/>
              </w:rPr>
            </w:pPr>
            <w:r>
              <w:rPr>
                <w:rFonts w:ascii="Arial" w:hAnsi="Arial"/>
                <w:szCs w:val="24"/>
              </w:rPr>
              <w:t>46</w:t>
            </w:r>
            <w:r w:rsidRPr="00AA62E3">
              <w:rPr>
                <w:rFonts w:ascii="Arial" w:hAnsi="Arial"/>
                <w:szCs w:val="24"/>
              </w:rPr>
              <w:t>,</w:t>
            </w:r>
            <w:r w:rsidR="00B776E2">
              <w:rPr>
                <w:rFonts w:ascii="Arial" w:hAnsi="Arial"/>
                <w:szCs w:val="24"/>
              </w:rPr>
              <w:t>875</w:t>
            </w:r>
          </w:p>
        </w:tc>
        <w:tc>
          <w:tcPr>
            <w:tcW w:w="1890" w:type="dxa"/>
            <w:shd w:val="clear" w:color="auto" w:fill="auto"/>
            <w:vAlign w:val="center"/>
          </w:tcPr>
          <w:p w:rsidR="00BB6D9C" w:rsidRPr="00AA62E3" w:rsidP="003A7B34" w14:paraId="3663F5CF" w14:textId="332D0491">
            <w:pPr>
              <w:pStyle w:val="Style"/>
              <w:tabs>
                <w:tab w:val="left" w:pos="-1440"/>
              </w:tabs>
              <w:ind w:left="0" w:firstLine="0"/>
              <w:rPr>
                <w:rFonts w:ascii="Arial" w:hAnsi="Arial"/>
                <w:szCs w:val="24"/>
              </w:rPr>
            </w:pPr>
            <w:r>
              <w:rPr>
                <w:rFonts w:ascii="Arial" w:hAnsi="Arial"/>
                <w:szCs w:val="24"/>
              </w:rPr>
              <w:t>112,500</w:t>
            </w:r>
          </w:p>
        </w:tc>
        <w:tc>
          <w:tcPr>
            <w:tcW w:w="1710" w:type="dxa"/>
            <w:shd w:val="clear" w:color="auto" w:fill="auto"/>
            <w:vAlign w:val="center"/>
          </w:tcPr>
          <w:p w:rsidR="00BB6D9C" w:rsidRPr="00AA62E3" w:rsidP="003A7B34" w14:paraId="33D9D7A6" w14:textId="77777777">
            <w:pPr>
              <w:pStyle w:val="Style"/>
              <w:tabs>
                <w:tab w:val="left" w:pos="-1440"/>
              </w:tabs>
              <w:ind w:left="0" w:firstLine="0"/>
              <w:rPr>
                <w:rFonts w:ascii="Arial" w:hAnsi="Arial"/>
                <w:szCs w:val="24"/>
              </w:rPr>
            </w:pPr>
            <w:r w:rsidRPr="00AA62E3">
              <w:rPr>
                <w:rFonts w:ascii="Arial" w:hAnsi="Arial"/>
                <w:szCs w:val="24"/>
              </w:rPr>
              <w:t>1</w:t>
            </w:r>
          </w:p>
        </w:tc>
        <w:tc>
          <w:tcPr>
            <w:tcW w:w="1530" w:type="dxa"/>
            <w:shd w:val="clear" w:color="auto" w:fill="auto"/>
            <w:vAlign w:val="center"/>
          </w:tcPr>
          <w:p w:rsidR="00BB6D9C" w:rsidRPr="00AA62E3" w:rsidP="003A7B34" w14:paraId="4732BFCA" w14:textId="5A83039A">
            <w:pPr>
              <w:pStyle w:val="Style"/>
              <w:tabs>
                <w:tab w:val="left" w:pos="-1440"/>
              </w:tabs>
              <w:ind w:left="0" w:firstLine="0"/>
              <w:rPr>
                <w:rFonts w:ascii="Arial" w:hAnsi="Arial"/>
                <w:szCs w:val="24"/>
              </w:rPr>
            </w:pPr>
            <w:r>
              <w:rPr>
                <w:rFonts w:ascii="Arial" w:hAnsi="Arial"/>
                <w:szCs w:val="24"/>
              </w:rPr>
              <w:t>112,500</w:t>
            </w:r>
          </w:p>
        </w:tc>
        <w:tc>
          <w:tcPr>
            <w:tcW w:w="1710" w:type="dxa"/>
            <w:shd w:val="clear" w:color="auto" w:fill="auto"/>
            <w:vAlign w:val="center"/>
          </w:tcPr>
          <w:p w:rsidR="00BB6D9C" w:rsidRPr="00AA62E3" w:rsidP="003A7B34" w14:paraId="00F482FA" w14:textId="77777777">
            <w:pPr>
              <w:pStyle w:val="Style"/>
              <w:tabs>
                <w:tab w:val="left" w:pos="-1440"/>
              </w:tabs>
              <w:ind w:left="0" w:firstLine="0"/>
              <w:rPr>
                <w:rFonts w:ascii="Arial" w:hAnsi="Arial"/>
                <w:szCs w:val="24"/>
              </w:rPr>
            </w:pPr>
          </w:p>
          <w:p w:rsidR="00BB6D9C" w:rsidRPr="00AA62E3" w:rsidP="003A7B34" w14:paraId="3F515516" w14:textId="77777777">
            <w:pPr>
              <w:pStyle w:val="Style"/>
              <w:tabs>
                <w:tab w:val="left" w:pos="-1440"/>
              </w:tabs>
              <w:ind w:left="0" w:firstLine="0"/>
              <w:rPr>
                <w:rFonts w:ascii="Arial" w:hAnsi="Arial"/>
                <w:szCs w:val="24"/>
              </w:rPr>
            </w:pPr>
            <w:r w:rsidRPr="00AA62E3">
              <w:rPr>
                <w:rFonts w:ascii="Arial" w:hAnsi="Arial"/>
                <w:szCs w:val="24"/>
              </w:rPr>
              <w:t>25 minutes</w:t>
            </w:r>
          </w:p>
          <w:p w:rsidR="00BB6D9C" w:rsidRPr="009B6682" w:rsidP="003A7B34" w14:paraId="2E3A0389" w14:textId="77777777">
            <w:pPr>
              <w:pStyle w:val="Style"/>
              <w:tabs>
                <w:tab w:val="left" w:pos="-1440"/>
              </w:tabs>
              <w:ind w:left="0" w:firstLine="0"/>
              <w:rPr>
                <w:rFonts w:ascii="Arial" w:hAnsi="Arial"/>
                <w:szCs w:val="24"/>
              </w:rPr>
            </w:pPr>
            <w:r w:rsidRPr="00AA62E3">
              <w:rPr>
                <w:rFonts w:ascii="Arial" w:hAnsi="Arial"/>
                <w:szCs w:val="24"/>
              </w:rPr>
              <w:t>(</w:t>
            </w:r>
            <w:r w:rsidRPr="00AA62E3" w:rsidR="00411888">
              <w:rPr>
                <w:rFonts w:ascii="Arial" w:hAnsi="Arial"/>
                <w:szCs w:val="24"/>
              </w:rPr>
              <w:t>0</w:t>
            </w:r>
            <w:r w:rsidRPr="00AA62E3">
              <w:rPr>
                <w:rFonts w:ascii="Arial" w:hAnsi="Arial"/>
                <w:szCs w:val="24"/>
              </w:rPr>
              <w:t>.416 hours)</w:t>
            </w:r>
          </w:p>
        </w:tc>
      </w:tr>
    </w:tbl>
    <w:p w:rsidR="00BB6D9C" w:rsidP="003A7B34" w14:paraId="47F7C423" w14:textId="77777777">
      <w:pPr>
        <w:tabs>
          <w:tab w:val="left" w:pos="-1440"/>
        </w:tabs>
        <w:ind w:left="720" w:hanging="720"/>
        <w:rPr>
          <w:rFonts w:ascii="Arial" w:hAnsi="Arial"/>
          <w:b/>
          <w:bCs/>
          <w:szCs w:val="24"/>
        </w:rPr>
      </w:pPr>
    </w:p>
    <w:p w:rsidR="00BB6D9C" w:rsidP="003A7B34" w14:paraId="072C461E" w14:textId="77777777">
      <w:pPr>
        <w:tabs>
          <w:tab w:val="left" w:pos="-1440"/>
        </w:tabs>
        <w:ind w:left="720" w:hanging="720"/>
        <w:rPr>
          <w:rFonts w:ascii="Arial" w:hAnsi="Arial"/>
          <w:b/>
          <w:bCs/>
          <w:szCs w:val="24"/>
        </w:rPr>
      </w:pPr>
      <w:r>
        <w:rPr>
          <w:rFonts w:ascii="Arial" w:hAnsi="Arial"/>
          <w:b/>
          <w:bCs/>
          <w:szCs w:val="24"/>
        </w:rPr>
        <w:tab/>
        <w:t>Public Cost</w:t>
      </w:r>
    </w:p>
    <w:p w:rsidR="00BB6D9C" w:rsidRPr="00BB6D9C" w:rsidP="003A7B34" w14:paraId="488A9762" w14:textId="77777777">
      <w:pPr>
        <w:tabs>
          <w:tab w:val="left" w:pos="-1440"/>
        </w:tabs>
        <w:ind w:left="720" w:hanging="720"/>
        <w:rPr>
          <w:rFonts w:ascii="Arial" w:hAnsi="Arial" w:cs="Arial"/>
        </w:rPr>
      </w:pPr>
      <w:r>
        <w:rPr>
          <w:rFonts w:ascii="Arial" w:hAnsi="Arial"/>
          <w:b/>
          <w:bCs/>
          <w:szCs w:val="24"/>
        </w:rPr>
        <w:tab/>
      </w:r>
      <w:r>
        <w:rPr>
          <w:rFonts w:ascii="Arial" w:hAnsi="Arial"/>
        </w:rPr>
        <w:tab/>
      </w:r>
    </w:p>
    <w:p w:rsidR="00561BE7" w:rsidRPr="00561BE7" w:rsidP="00561BE7" w14:paraId="5BDEB903" w14:textId="28F656AE">
      <w:pPr>
        <w:ind w:left="720"/>
        <w:rPr>
          <w:rFonts w:ascii="Arial" w:hAnsi="Arial" w:cs="Arial"/>
          <w:snapToGrid/>
          <w:szCs w:val="24"/>
        </w:rPr>
      </w:pPr>
      <w:r w:rsidRPr="00561BE7">
        <w:rPr>
          <w:rFonts w:ascii="Arial" w:hAnsi="Arial" w:cs="Arial"/>
          <w:snapToGrid/>
          <w:szCs w:val="24"/>
        </w:rPr>
        <w:t>The estimated cost to the respondents is $</w:t>
      </w:r>
      <w:r>
        <w:rPr>
          <w:rFonts w:ascii="Arial" w:hAnsi="Arial" w:cs="Arial"/>
          <w:snapToGrid/>
          <w:szCs w:val="24"/>
        </w:rPr>
        <w:t>2,808,281</w:t>
      </w:r>
      <w:r w:rsidRPr="00561BE7">
        <w:rPr>
          <w:rFonts w:ascii="Arial" w:hAnsi="Arial" w:cs="Arial"/>
          <w:snapToGrid/>
          <w:szCs w:val="24"/>
        </w:rPr>
        <w:t>.  This is based on the estimated burden hours (</w:t>
      </w:r>
      <w:r>
        <w:rPr>
          <w:rFonts w:ascii="Arial" w:hAnsi="Arial" w:cs="Arial"/>
          <w:snapToGrid/>
          <w:szCs w:val="24"/>
        </w:rPr>
        <w:t>46,875</w:t>
      </w:r>
      <w:r w:rsidRPr="00561BE7">
        <w:rPr>
          <w:rFonts w:ascii="Arial" w:hAnsi="Arial" w:cs="Arial"/>
          <w:snapToGrid/>
          <w:szCs w:val="24"/>
        </w:rPr>
        <w:t>) multiplied by the average loaded hourly wage rate for ship and boat captains and operators ($59.91).  CBP calculated this loaded wage rate by first multiplying the Bureau of Labor Statistics’ (BLS) 2021 median hourly wage rate for Ship and Boat Captains and Operators ($38.47), which CBP assumes best represents the wage for ship and boat captains and operators, by the ratio of BLS’ average 2021 total compensation to wages and salaries for Transportation and Material Moving occupations (1.4953), the assumed occupational group for brokers, to account for non-salary employee benefits.</w:t>
      </w:r>
      <w:r>
        <w:rPr>
          <w:rFonts w:ascii="Arial" w:hAnsi="Arial" w:cs="Arial"/>
          <w:snapToGrid/>
          <w:szCs w:val="24"/>
          <w:vertAlign w:val="superscript"/>
        </w:rPr>
        <w:footnoteReference w:id="2"/>
      </w:r>
      <w:r w:rsidRPr="00561BE7">
        <w:rPr>
          <w:rFonts w:ascii="Arial" w:hAnsi="Arial" w:cs="Arial"/>
          <w:snapToGrid/>
          <w:szCs w:val="24"/>
        </w:rPr>
        <w:t xml:space="preserve">  CBP assumes an annual growth rate of 4.15% based on the prior year’s change in the implicit price deflator, published by the Bureau of Economic Analysis.</w:t>
      </w:r>
    </w:p>
    <w:p w:rsidR="00D9007E" w:rsidRPr="00D9007E" w:rsidP="003A7B34" w14:paraId="07DE6412" w14:textId="5C91AE75">
      <w:pPr>
        <w:ind w:left="720"/>
        <w:rPr>
          <w:rFonts w:ascii="Arial" w:hAnsi="Arial" w:cs="Arial"/>
          <w:snapToGrid/>
          <w:szCs w:val="24"/>
          <w:vertAlign w:val="superscript"/>
        </w:rPr>
      </w:pPr>
      <w:r w:rsidRPr="00D9007E">
        <w:rPr>
          <w:rFonts w:ascii="Arial" w:hAnsi="Arial" w:cs="Arial"/>
          <w:snapToGrid/>
          <w:szCs w:val="24"/>
        </w:rPr>
        <w:t>.</w:t>
      </w:r>
    </w:p>
    <w:p w:rsidR="00CD16D9" w:rsidP="003A7B34" w14:paraId="79B1B55E" w14:textId="77777777">
      <w:pPr>
        <w:pBdr>
          <w:top w:val="single" w:sz="6" w:space="0" w:color="FFFFFF"/>
          <w:left w:val="single" w:sz="6" w:space="0" w:color="FFFFFF"/>
          <w:bottom w:val="single" w:sz="6" w:space="0" w:color="FFFFFF"/>
          <w:right w:val="single" w:sz="6" w:space="0" w:color="FFFFFF"/>
        </w:pBdr>
        <w:ind w:left="720"/>
        <w:rPr>
          <w:rFonts w:ascii="Arial" w:hAnsi="Arial"/>
        </w:rPr>
      </w:pPr>
      <w:r>
        <w:rPr>
          <w:rFonts w:ascii="Arial" w:hAnsi="Arial"/>
        </w:rPr>
        <w:tab/>
      </w:r>
    </w:p>
    <w:p w:rsidR="00CD16D9" w:rsidRPr="00BB6D9C" w:rsidP="003A7B34" w14:paraId="3187C525" w14:textId="77777777">
      <w:pPr>
        <w:tabs>
          <w:tab w:val="left" w:pos="-1440"/>
        </w:tabs>
        <w:ind w:left="720" w:hanging="720"/>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CD16D9" w:rsidRPr="000C629A" w:rsidP="003A7B34" w14:paraId="40A2E8CB" w14:textId="77777777">
      <w:pPr>
        <w:ind w:left="660"/>
        <w:rPr>
          <w:rFonts w:ascii="Arial" w:hAnsi="Arial" w:cs="Arial"/>
          <w:color w:val="C0C0C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D16D9" w:rsidP="003A7B34" w14:paraId="44C9911B" w14:textId="77777777">
      <w:pPr>
        <w:ind w:left="660"/>
        <w:rPr>
          <w:rFonts w:ascii="Arial" w:hAnsi="Arial" w:cs="Arial"/>
        </w:rPr>
      </w:pPr>
      <w:r>
        <w:rPr>
          <w:rFonts w:ascii="Arial" w:hAnsi="Arial" w:cs="Arial"/>
        </w:rPr>
        <w:t xml:space="preserve">There are no record keeping, capital, start-up or maintenance costs associated with this information collection.  </w:t>
      </w:r>
    </w:p>
    <w:p w:rsidR="00CD16D9" w:rsidP="003A7B34" w14:paraId="03D09F17" w14:textId="77777777">
      <w:pPr>
        <w:ind w:left="660"/>
        <w:rPr>
          <w:rFonts w:ascii="Arial" w:hAnsi="Arial" w:cs="Arial"/>
        </w:rPr>
      </w:pPr>
      <w:r>
        <w:rPr>
          <w:rFonts w:ascii="Arial" w:hAnsi="Arial" w:cs="Arial"/>
        </w:rPr>
        <w:t xml:space="preserve">    </w:t>
      </w:r>
    </w:p>
    <w:p w:rsidR="00CD16D9" w:rsidRPr="008E66C8" w:rsidP="003A7B34" w14:paraId="7573E681" w14:textId="77777777">
      <w:pPr>
        <w:ind w:left="660" w:hanging="660"/>
        <w:rPr>
          <w:rFonts w:ascii="Arial" w:hAnsi="Arial" w:cs="Arial"/>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CD16D9" w:rsidP="003A7B34" w14:paraId="7A5EE90E" w14:textId="77777777">
      <w:pPr>
        <w:tabs>
          <w:tab w:val="left" w:pos="-1080"/>
          <w:tab w:val="left" w:pos="-720"/>
          <w:tab w:val="left" w:pos="0"/>
          <w:tab w:val="left" w:pos="720"/>
          <w:tab w:val="left" w:pos="1080"/>
        </w:tabs>
        <w:ind w:left="720"/>
        <w:rPr>
          <w:rFonts w:ascii="Arial" w:hAnsi="Arial"/>
        </w:rPr>
      </w:pPr>
    </w:p>
    <w:p w:rsidR="00561BE7" w:rsidRPr="00561BE7" w:rsidP="00561BE7" w14:paraId="1EC39B7C" w14:textId="68F8C3C5">
      <w:pPr>
        <w:tabs>
          <w:tab w:val="left" w:pos="-1440"/>
        </w:tabs>
        <w:ind w:left="660"/>
        <w:rPr>
          <w:rFonts w:ascii="Arial" w:hAnsi="Arial"/>
        </w:rPr>
      </w:pPr>
      <w:r w:rsidRPr="00561BE7">
        <w:rPr>
          <w:rFonts w:ascii="Arial" w:hAnsi="Arial"/>
        </w:rPr>
        <w:t>The estimated annual cost to the Federal Government associated with the review of these</w:t>
      </w:r>
      <w:r>
        <w:rPr>
          <w:rFonts w:ascii="Arial" w:hAnsi="Arial"/>
        </w:rPr>
        <w:t xml:space="preserve"> documents </w:t>
      </w:r>
      <w:r w:rsidRPr="00561BE7">
        <w:rPr>
          <w:rFonts w:ascii="Arial" w:hAnsi="Arial"/>
        </w:rPr>
        <w:t>is $</w:t>
      </w:r>
      <w:r>
        <w:rPr>
          <w:rFonts w:ascii="Arial" w:hAnsi="Arial"/>
        </w:rPr>
        <w:t>1,273,500</w:t>
      </w:r>
      <w:r w:rsidRPr="00561BE7">
        <w:rPr>
          <w:rFonts w:ascii="Arial" w:hAnsi="Arial"/>
        </w:rPr>
        <w:t>. This is based on the number of responses that must be reviewed (</w:t>
      </w:r>
      <w:r>
        <w:rPr>
          <w:rFonts w:ascii="Arial" w:hAnsi="Arial"/>
        </w:rPr>
        <w:t>112,500</w:t>
      </w:r>
      <w:r w:rsidRPr="00561BE7">
        <w:rPr>
          <w:rFonts w:ascii="Arial" w:hAnsi="Arial"/>
        </w:rPr>
        <w:t>) multiplied by the time burden to review and process each response (</w:t>
      </w:r>
      <w:r>
        <w:rPr>
          <w:rFonts w:ascii="Arial" w:hAnsi="Arial"/>
        </w:rPr>
        <w:t>10 minutes or 0.166</w:t>
      </w:r>
      <w:r w:rsidRPr="00561BE7">
        <w:rPr>
          <w:rFonts w:ascii="Arial" w:hAnsi="Arial"/>
        </w:rPr>
        <w:t xml:space="preserve"> hours) = </w:t>
      </w:r>
      <w:r>
        <w:rPr>
          <w:rFonts w:ascii="Arial" w:hAnsi="Arial"/>
        </w:rPr>
        <w:t>18,750</w:t>
      </w:r>
      <w:r w:rsidRPr="00561BE7">
        <w:rPr>
          <w:rFonts w:ascii="Arial" w:hAnsi="Arial"/>
        </w:rPr>
        <w:t xml:space="preserve"> hours multiplied by the average hourly loaded rate for a CBP Officer ($67.92)</w:t>
      </w:r>
      <w:r>
        <w:rPr>
          <w:rFonts w:ascii="Arial" w:hAnsi="Arial"/>
          <w:vertAlign w:val="superscript"/>
        </w:rPr>
        <w:footnoteReference w:id="3"/>
      </w:r>
      <w:r w:rsidRPr="00561BE7">
        <w:rPr>
          <w:rFonts w:ascii="Arial" w:hAnsi="Arial"/>
        </w:rPr>
        <w:t xml:space="preserve"> = $</w:t>
      </w:r>
      <w:r>
        <w:rPr>
          <w:rFonts w:ascii="Arial" w:hAnsi="Arial"/>
        </w:rPr>
        <w:t>1,273,500</w:t>
      </w:r>
      <w:r w:rsidRPr="00561BE7">
        <w:rPr>
          <w:rFonts w:ascii="Arial" w:hAnsi="Arial"/>
        </w:rPr>
        <w:t>.</w:t>
      </w:r>
    </w:p>
    <w:p w:rsidR="00561BE7" w:rsidP="00561BE7" w14:paraId="6C51F226" w14:textId="77777777">
      <w:pPr>
        <w:tabs>
          <w:tab w:val="left" w:pos="-1440"/>
        </w:tabs>
        <w:rPr>
          <w:rFonts w:ascii="Arial" w:hAnsi="Arial"/>
        </w:rPr>
      </w:pPr>
    </w:p>
    <w:p w:rsidR="00BB6D9C" w:rsidP="003A7B34" w14:paraId="2CAB596C" w14:textId="77777777">
      <w:pPr>
        <w:tabs>
          <w:tab w:val="left" w:pos="-1440"/>
        </w:tabs>
        <w:ind w:left="720" w:hanging="720"/>
        <w:rPr>
          <w:rFonts w:ascii="Arial" w:hAnsi="Arial"/>
        </w:rPr>
      </w:pPr>
    </w:p>
    <w:p w:rsidR="00BB6D9C" w:rsidP="003A7B34" w14:paraId="44924CEA" w14:textId="77777777">
      <w:pPr>
        <w:ind w:left="720" w:hanging="720"/>
        <w:rPr>
          <w:rFonts w:ascii="Arial" w:hAnsi="Arial" w:cs="Arial"/>
          <w:b/>
          <w:bCs/>
          <w:szCs w:val="24"/>
        </w:rPr>
      </w:pPr>
      <w:r w:rsidRPr="008E66C8">
        <w:rPr>
          <w:rFonts w:ascii="Arial" w:hAnsi="Arial"/>
          <w:b/>
        </w:rPr>
        <w:t>15.</w:t>
      </w:r>
      <w:r>
        <w:rPr>
          <w:rFonts w:ascii="Arial" w:hAnsi="Arial"/>
          <w:b/>
        </w:rPr>
        <w:tab/>
      </w:r>
      <w:r w:rsidRPr="00C216AE">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9B7A38" w:rsidRPr="009B7A38" w:rsidP="003A7B34" w14:paraId="3B9D8E31" w14:textId="77777777">
      <w:pPr>
        <w:rPr>
          <w:rFonts w:ascii="Arial" w:hAnsi="Arial" w:cs="Arial"/>
          <w:b/>
          <w:bCs/>
          <w:color w:val="FF0000"/>
          <w:szCs w:val="24"/>
        </w:rPr>
      </w:pPr>
      <w:r>
        <w:rPr>
          <w:rFonts w:ascii="Arial" w:hAnsi="Arial" w:cs="Arial"/>
          <w:b/>
          <w:bCs/>
          <w:szCs w:val="24"/>
        </w:rPr>
        <w:tab/>
      </w:r>
      <w:r>
        <w:rPr>
          <w:rFonts w:ascii="Arial" w:hAnsi="Arial" w:cs="Arial"/>
          <w:b/>
          <w:bCs/>
          <w:szCs w:val="24"/>
        </w:rPr>
        <w:tab/>
      </w:r>
    </w:p>
    <w:p w:rsidR="00AF7535" w:rsidP="003A7B34" w14:paraId="4993B0BF" w14:textId="036C0487">
      <w:pPr>
        <w:ind w:left="720"/>
        <w:rPr>
          <w:rFonts w:ascii="Arial" w:hAnsi="Arial" w:cs="Arial"/>
        </w:rPr>
      </w:pPr>
      <w:r w:rsidRPr="00C254CA">
        <w:rPr>
          <w:rFonts w:ascii="Arial" w:hAnsi="Arial" w:cs="Arial"/>
        </w:rPr>
        <w:t xml:space="preserve">There has been </w:t>
      </w:r>
      <w:r w:rsidR="00561BE7">
        <w:rPr>
          <w:rFonts w:ascii="Arial" w:hAnsi="Arial" w:cs="Arial"/>
        </w:rPr>
        <w:t>an</w:t>
      </w:r>
      <w:r w:rsidRPr="00C254CA">
        <w:rPr>
          <w:rFonts w:ascii="Arial" w:hAnsi="Arial" w:cs="Arial"/>
        </w:rPr>
        <w:t xml:space="preserve"> </w:t>
      </w:r>
      <w:r>
        <w:rPr>
          <w:rFonts w:ascii="Arial" w:hAnsi="Arial" w:cs="Arial"/>
        </w:rPr>
        <w:t>increase</w:t>
      </w:r>
      <w:r w:rsidRPr="00C254CA">
        <w:rPr>
          <w:rFonts w:ascii="Arial" w:hAnsi="Arial" w:cs="Arial"/>
        </w:rPr>
        <w:t xml:space="preserve"> in the estimated annual burden hours previously reported for this information collection</w:t>
      </w:r>
      <w:r w:rsidRPr="00C254CA" w:rsidR="00C20CCB">
        <w:rPr>
          <w:rFonts w:ascii="Arial" w:hAnsi="Arial" w:cs="Arial"/>
        </w:rPr>
        <w:t xml:space="preserve">. </w:t>
      </w:r>
      <w:r>
        <w:rPr>
          <w:rFonts w:ascii="Arial" w:hAnsi="Arial" w:cs="Arial"/>
        </w:rPr>
        <w:t xml:space="preserve">The increase is due to updating agency estimates for the number of respondents and not due to a change in the program. The number of respondents increased from 85,000 to 112,500; the annual burden hours have been adjusted accordingly, increasing from 35,360 to 46,875. There is no change to the information collected or method of collection. </w:t>
      </w:r>
    </w:p>
    <w:p w:rsidR="00BB6D9C" w:rsidRPr="00C47181" w:rsidP="00AF7535" w14:paraId="2664B7D5" w14:textId="41F0657B">
      <w:pPr>
        <w:rPr>
          <w:rFonts w:ascii="Arial" w:hAnsi="Arial" w:cs="Arial"/>
          <w:b/>
          <w:bCs/>
          <w:szCs w:val="24"/>
        </w:rPr>
      </w:pPr>
      <w:r>
        <w:rPr>
          <w:rFonts w:ascii="Arial" w:hAnsi="Arial" w:cs="Arial"/>
        </w:rPr>
        <w:t xml:space="preserve"> </w:t>
      </w:r>
    </w:p>
    <w:p w:rsidR="00BB6D9C" w:rsidRPr="00C47181" w:rsidP="003A7B34" w14:paraId="00ED2B8B" w14:textId="77777777">
      <w:pPr>
        <w:ind w:left="720" w:hanging="720"/>
        <w:rPr>
          <w:rFonts w:ascii="Arial" w:hAnsi="Arial"/>
          <w:b/>
          <w:bCs/>
          <w:szCs w:val="24"/>
        </w:rPr>
      </w:pPr>
    </w:p>
    <w:p w:rsidR="00BB6D9C" w:rsidRPr="000C629A" w:rsidP="003A7B34" w14:paraId="25AC19B6"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r>
        <w:rPr>
          <w:rFonts w:ascii="Arial" w:hAnsi="Arial"/>
          <w:szCs w:val="24"/>
        </w:rPr>
        <w:t xml:space="preserve"> </w:t>
      </w:r>
      <w:r>
        <w:rPr>
          <w:rFonts w:ascii="Arial" w:hAnsi="Arial"/>
          <w:szCs w:val="24"/>
        </w:rPr>
        <w:tab/>
      </w:r>
    </w:p>
    <w:p w:rsidR="00BB6D9C" w:rsidP="003A7B34" w14:paraId="56632705" w14:textId="77777777">
      <w:pPr>
        <w:ind w:firstLine="720"/>
        <w:rPr>
          <w:rFonts w:ascii="Arial" w:hAnsi="Arial"/>
          <w:szCs w:val="24"/>
        </w:rPr>
      </w:pPr>
    </w:p>
    <w:p w:rsidR="00BB6D9C" w:rsidRPr="00C47181" w:rsidP="003A7B34" w14:paraId="34DCD03C" w14:textId="77777777">
      <w:pPr>
        <w:ind w:firstLine="720"/>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BB6D9C" w:rsidRPr="00C47181" w:rsidP="003A7B34" w14:paraId="162D4EB0" w14:textId="77777777">
      <w:pPr>
        <w:rPr>
          <w:rFonts w:ascii="Arial" w:hAnsi="Arial"/>
          <w:szCs w:val="24"/>
        </w:rPr>
      </w:pPr>
    </w:p>
    <w:p w:rsidR="00BB6D9C" w:rsidRPr="001207D8" w:rsidP="003A7B34" w14:paraId="633074F3" w14:textId="77777777">
      <w:pPr>
        <w:rPr>
          <w:rFonts w:ascii="Arial" w:hAnsi="Arial" w:cs="Arial"/>
          <w:b/>
          <w:bCs/>
          <w:szCs w:val="24"/>
        </w:rPr>
      </w:pPr>
      <w:r>
        <w:rPr>
          <w:rFonts w:ascii="Arial" w:hAnsi="Arial" w:cs="Arial"/>
          <w:b/>
          <w:bCs/>
          <w:szCs w:val="24"/>
        </w:rPr>
        <w:t xml:space="preserve">17.     </w:t>
      </w:r>
      <w:r>
        <w:rPr>
          <w:rFonts w:ascii="Arial" w:hAnsi="Arial" w:cs="Arial"/>
          <w:b/>
          <w:bCs/>
          <w:szCs w:val="24"/>
        </w:rPr>
        <w:tab/>
        <w:t xml:space="preserve">If seeking approval to not display the expiration date, explain the reasons that          </w:t>
      </w:r>
      <w:r>
        <w:rPr>
          <w:rFonts w:ascii="Arial" w:hAnsi="Arial" w:cs="Arial"/>
          <w:b/>
          <w:bCs/>
          <w:szCs w:val="24"/>
        </w:rPr>
        <w:tab/>
        <w:t>displaying the expiration date would be inappropriate.</w:t>
      </w:r>
    </w:p>
    <w:p w:rsidR="00BB6D9C" w:rsidP="003A7B34" w14:paraId="55038543" w14:textId="77777777">
      <w:pPr>
        <w:rPr>
          <w:rFonts w:ascii="Arial" w:hAnsi="Arial" w:cs="Arial"/>
          <w:b/>
          <w:bCs/>
        </w:rPr>
      </w:pPr>
      <w:r>
        <w:rPr>
          <w:rFonts w:ascii="Arial" w:hAnsi="Arial" w:cs="Arial"/>
          <w:b/>
          <w:bCs/>
        </w:rPr>
        <w:tab/>
      </w:r>
    </w:p>
    <w:p w:rsidR="00BB6D9C" w:rsidP="00C9407D" w14:paraId="031C4644" w14:textId="77777777">
      <w:pPr>
        <w:ind w:left="720"/>
        <w:rPr>
          <w:rFonts w:ascii="Arial" w:hAnsi="Arial" w:cs="Arial"/>
          <w:b/>
          <w:bCs/>
          <w:szCs w:val="24"/>
        </w:rPr>
      </w:pPr>
      <w:r w:rsidRPr="00757746">
        <w:rPr>
          <w:rFonts w:ascii="Arial" w:hAnsi="Arial" w:cs="Arial"/>
          <w:bCs/>
        </w:rPr>
        <w:t>CBP</w:t>
      </w:r>
      <w:r>
        <w:rPr>
          <w:rFonts w:ascii="Arial" w:hAnsi="Arial" w:cs="Arial"/>
          <w:bCs/>
        </w:rPr>
        <w:t xml:space="preserve"> </w:t>
      </w:r>
      <w:r w:rsidRPr="007F20CA">
        <w:rPr>
          <w:rFonts w:ascii="Arial" w:hAnsi="Arial" w:cs="Arial"/>
        </w:rPr>
        <w:t xml:space="preserve">will display the expiration date for OMB approval </w:t>
      </w:r>
      <w:r w:rsidR="003A217C">
        <w:rPr>
          <w:rFonts w:ascii="Arial" w:hAnsi="Arial" w:cs="Arial"/>
        </w:rPr>
        <w:t xml:space="preserve">of </w:t>
      </w:r>
      <w:r w:rsidRPr="007F20CA">
        <w:rPr>
          <w:rFonts w:ascii="Arial" w:hAnsi="Arial" w:cs="Arial"/>
        </w:rPr>
        <w:t>this information collection.</w:t>
      </w:r>
      <w:r>
        <w:rPr>
          <w:rFonts w:ascii="Arial" w:hAnsi="Arial" w:cs="Arial"/>
        </w:rPr>
        <w:t xml:space="preserve"> </w:t>
      </w:r>
    </w:p>
    <w:p w:rsidR="00BB6D9C" w:rsidP="003A7B34" w14:paraId="6EC059E5" w14:textId="77777777">
      <w:pPr>
        <w:widowControl/>
        <w:rPr>
          <w:rFonts w:ascii="Arial" w:hAnsi="Arial" w:cs="Arial"/>
          <w:b/>
          <w:bCs/>
          <w:szCs w:val="24"/>
        </w:rPr>
      </w:pPr>
      <w:r>
        <w:rPr>
          <w:rFonts w:ascii="Arial" w:hAnsi="Arial" w:cs="Arial"/>
          <w:b/>
          <w:bCs/>
          <w:szCs w:val="24"/>
        </w:rPr>
        <w:t xml:space="preserve"> </w:t>
      </w:r>
    </w:p>
    <w:p w:rsidR="00BB6D9C" w:rsidP="003A7B34" w14:paraId="64459310" w14:textId="77777777">
      <w:pPr>
        <w:widowControl/>
        <w:rPr>
          <w:rFonts w:ascii="Arial" w:hAnsi="Arial" w:cs="Arial"/>
          <w:b/>
          <w:bCs/>
          <w:szCs w:val="24"/>
        </w:rPr>
      </w:pPr>
      <w:r>
        <w:rPr>
          <w:rFonts w:ascii="Arial" w:hAnsi="Arial" w:cs="Arial"/>
          <w:b/>
          <w:bCs/>
          <w:szCs w:val="24"/>
        </w:rPr>
        <w:t xml:space="preserve">18.   </w:t>
      </w:r>
      <w:r>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BB6D9C" w:rsidRPr="001207D8" w:rsidP="003A7B34" w14:paraId="5C27BABB"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BB6D9C" w:rsidP="003A7B34" w14:paraId="7B3383AD" w14:textId="77777777">
      <w:pPr>
        <w:ind w:left="720"/>
        <w:rPr>
          <w:rFonts w:ascii="Arial" w:hAnsi="Arial" w:cs="Arial"/>
          <w:szCs w:val="24"/>
        </w:rPr>
      </w:pPr>
      <w:r>
        <w:rPr>
          <w:rFonts w:ascii="Arial" w:hAnsi="Arial" w:cs="Arial"/>
          <w:szCs w:val="24"/>
        </w:rPr>
        <w:t>CBP does not request an exception to the certification of this information collection.</w:t>
      </w:r>
    </w:p>
    <w:p w:rsidR="00BB6D9C" w:rsidP="003A7B34" w14:paraId="024F8BB2" w14:textId="77777777">
      <w:pPr>
        <w:rPr>
          <w:rFonts w:ascii="Arial" w:hAnsi="Arial" w:cs="Arial"/>
          <w:szCs w:val="24"/>
        </w:rPr>
      </w:pPr>
    </w:p>
    <w:p w:rsidR="00BB6D9C" w:rsidRPr="00E03C00" w:rsidP="003A7B34" w14:paraId="40AEEB47" w14:textId="77777777">
      <w:pPr>
        <w:pStyle w:val="Heading1"/>
        <w:numPr>
          <w:ilvl w:val="0"/>
          <w:numId w:val="11"/>
        </w:numPr>
        <w:pBdr>
          <w:top w:val="none" w:sz="0" w:space="0" w:color="auto"/>
          <w:left w:val="none" w:sz="0" w:space="0" w:color="auto"/>
          <w:bottom w:val="none" w:sz="0" w:space="0" w:color="auto"/>
          <w:right w:val="none" w:sz="0" w:space="0" w:color="auto"/>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jc w:val="left"/>
        <w:rPr>
          <w:rFonts w:ascii="Arial" w:hAnsi="Arial" w:cs="Arial"/>
          <w:szCs w:val="24"/>
        </w:rPr>
      </w:pPr>
      <w:r>
        <w:rPr>
          <w:rFonts w:ascii="Arial" w:hAnsi="Arial" w:cs="Arial"/>
          <w:szCs w:val="24"/>
        </w:rPr>
        <w:t xml:space="preserve">  </w:t>
      </w:r>
      <w:r w:rsidRPr="00E03C00">
        <w:rPr>
          <w:rFonts w:ascii="Arial" w:hAnsi="Arial" w:cs="Arial"/>
          <w:szCs w:val="24"/>
        </w:rPr>
        <w:t>Collection of Information Employing Statistical Methods</w:t>
      </w:r>
    </w:p>
    <w:p w:rsidR="00BB6D9C" w:rsidRPr="001207D8" w:rsidP="003A7B34" w14:paraId="1184E4CE" w14:textId="77777777">
      <w:pPr>
        <w:rPr>
          <w:rFonts w:ascii="Arial" w:hAnsi="Arial" w:cs="Arial"/>
          <w:szCs w:val="24"/>
        </w:rPr>
      </w:pPr>
    </w:p>
    <w:p w:rsidR="00BB6D9C" w:rsidRPr="00056CEC" w:rsidP="003A7B34" w14:paraId="324A6D6E" w14:textId="77777777">
      <w:pPr>
        <w:pStyle w:val="BodyTextIndent2"/>
        <w:rPr>
          <w:rFonts w:ascii="Arial" w:hAnsi="Arial" w:cs="Arial"/>
        </w:rPr>
      </w:pPr>
      <w:r w:rsidRPr="00056CEC">
        <w:rPr>
          <w:rFonts w:ascii="Arial" w:hAnsi="Arial" w:cs="Arial"/>
        </w:rPr>
        <w:t xml:space="preserve">    </w:t>
      </w:r>
      <w:r w:rsidR="00E8777A">
        <w:rPr>
          <w:rFonts w:ascii="Arial" w:hAnsi="Arial" w:cs="Arial"/>
        </w:rPr>
        <w:t xml:space="preserve"> </w:t>
      </w:r>
      <w:r w:rsidRPr="00056CEC">
        <w:rPr>
          <w:rFonts w:ascii="Arial" w:hAnsi="Arial" w:cs="Arial"/>
        </w:rPr>
        <w:t>No statistical methods were employed.</w:t>
      </w:r>
    </w:p>
    <w:sectPr w:rsidSect="00F7664F">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0E02" w14:paraId="273D68E0" w14:textId="77777777">
      <w:r>
        <w:separator/>
      </w:r>
    </w:p>
  </w:footnote>
  <w:footnote w:type="continuationSeparator" w:id="1">
    <w:p w:rsidR="00520E02" w14:paraId="16B3D1A1" w14:textId="77777777">
      <w:r>
        <w:continuationSeparator/>
      </w:r>
    </w:p>
  </w:footnote>
  <w:footnote w:id="2">
    <w:p w:rsidR="00561BE7" w:rsidRPr="00CB6C46" w:rsidP="00561BE7" w14:paraId="0A6C8142" w14:textId="77777777">
      <w:pPr>
        <w:rPr>
          <w:color w:val="000000"/>
        </w:rPr>
      </w:pPr>
      <w:r>
        <w:rPr>
          <w:rStyle w:val="FootnoteReference"/>
        </w:rPr>
        <w:footnoteRef/>
      </w:r>
      <w:r>
        <w:t xml:space="preserve"> </w:t>
      </w:r>
      <w:r w:rsidRPr="00747A5F">
        <w:rPr>
          <w:color w:val="000000"/>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561BE7" w:rsidRPr="00D41379" w:rsidP="00561BE7" w14:paraId="5130AB4E"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360"/>
        </w:tabs>
        <w:ind w:left="360" w:hanging="360"/>
      </w:pPr>
      <w:rPr>
        <w:rFonts w:cs="Arial" w:hint="default"/>
        <w:b/>
      </w:rPr>
    </w:lvl>
    <w:lvl w:ilvl="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1">
    <w:nsid w:val="04531FF8"/>
    <w:multiLevelType w:val="hybridMultilevel"/>
    <w:tmpl w:val="59EABA5A"/>
    <w:lvl w:ilvl="0">
      <w:start w:val="13"/>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B3671B"/>
    <w:multiLevelType w:val="hybridMultilevel"/>
    <w:tmpl w:val="CCBCE67E"/>
    <w:lvl w:ilvl="0">
      <w:start w:val="13"/>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BC6A16"/>
    <w:multiLevelType w:val="singleLevel"/>
    <w:tmpl w:val="4CBEA394"/>
    <w:lvl w:ilvl="0">
      <w:start w:val="2"/>
      <w:numFmt w:val="decimal"/>
      <w:lvlText w:val="%1."/>
      <w:lvlJc w:val="left"/>
      <w:pPr>
        <w:tabs>
          <w:tab w:val="num" w:pos="720"/>
        </w:tabs>
        <w:ind w:left="720" w:hanging="720"/>
      </w:pPr>
      <w:rPr>
        <w:rFonts w:hint="default"/>
      </w:r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422C5E24"/>
    <w:multiLevelType w:val="singleLevel"/>
    <w:tmpl w:val="AD0E7A84"/>
    <w:lvl w:ilvl="0">
      <w:start w:val="8"/>
      <w:numFmt w:val="decimal"/>
      <w:lvlText w:val="%1."/>
      <w:lvlJc w:val="left"/>
      <w:pPr>
        <w:tabs>
          <w:tab w:val="num" w:pos="720"/>
        </w:tabs>
        <w:ind w:left="720" w:hanging="720"/>
      </w:pPr>
      <w:rPr>
        <w:rFonts w:hint="default"/>
      </w:rPr>
    </w:lvl>
  </w:abstractNum>
  <w:abstractNum w:abstractNumId="7">
    <w:nsid w:val="43136EF6"/>
    <w:multiLevelType w:val="hybridMultilevel"/>
    <w:tmpl w:val="C62C1AD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D9C1E90"/>
    <w:multiLevelType w:val="hybridMultilevel"/>
    <w:tmpl w:val="DA848A0C"/>
    <w:lvl w:ilvl="0">
      <w:start w:val="13"/>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4445F0"/>
    <w:multiLevelType w:val="singleLevel"/>
    <w:tmpl w:val="B2608134"/>
    <w:lvl w:ilvl="0">
      <w:start w:val="1"/>
      <w:numFmt w:val="upperLetter"/>
      <w:lvlText w:val="%1."/>
      <w:lvlJc w:val="left"/>
      <w:pPr>
        <w:tabs>
          <w:tab w:val="num" w:pos="720"/>
        </w:tabs>
        <w:ind w:left="720" w:hanging="720"/>
      </w:pPr>
      <w:rPr>
        <w:rFonts w:hint="default"/>
      </w:rPr>
    </w:lvl>
  </w:abstractNum>
  <w:abstractNum w:abstractNumId="10">
    <w:nsid w:val="7D3F1FCF"/>
    <w:multiLevelType w:val="singleLevel"/>
    <w:tmpl w:val="13527722"/>
    <w:lvl w:ilvl="0">
      <w:start w:val="16"/>
      <w:numFmt w:val="decimal"/>
      <w:lvlText w:val="%1."/>
      <w:lvlJc w:val="left"/>
      <w:pPr>
        <w:tabs>
          <w:tab w:val="num" w:pos="720"/>
        </w:tabs>
        <w:ind w:left="720" w:hanging="720"/>
      </w:pPr>
      <w:rPr>
        <w:rFonts w:hint="default"/>
      </w:rPr>
    </w:lvl>
  </w:abstractNum>
  <w:num w:numId="1" w16cid:durableId="842160129">
    <w:abstractNumId w:val="6"/>
  </w:num>
  <w:num w:numId="2" w16cid:durableId="1279143596">
    <w:abstractNumId w:val="5"/>
  </w:num>
  <w:num w:numId="3" w16cid:durableId="1590239362">
    <w:abstractNumId w:val="3"/>
  </w:num>
  <w:num w:numId="4" w16cid:durableId="1468858661">
    <w:abstractNumId w:val="10"/>
  </w:num>
  <w:num w:numId="5" w16cid:durableId="1862665893">
    <w:abstractNumId w:val="9"/>
  </w:num>
  <w:num w:numId="6" w16cid:durableId="1723098308">
    <w:abstractNumId w:val="2"/>
  </w:num>
  <w:num w:numId="7" w16cid:durableId="818159026">
    <w:abstractNumId w:val="1"/>
  </w:num>
  <w:num w:numId="8" w16cid:durableId="1418940858">
    <w:abstractNumId w:val="8"/>
  </w:num>
  <w:num w:numId="9" w16cid:durableId="411203468">
    <w:abstractNumId w:val="0"/>
  </w:num>
  <w:num w:numId="10" w16cid:durableId="1660622243">
    <w:abstractNumId w:val="4"/>
  </w:num>
  <w:num w:numId="11" w16cid:durableId="1630547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AF"/>
    <w:rsid w:val="00017140"/>
    <w:rsid w:val="00056CEC"/>
    <w:rsid w:val="00057028"/>
    <w:rsid w:val="00087FA5"/>
    <w:rsid w:val="00094A15"/>
    <w:rsid w:val="000955DD"/>
    <w:rsid w:val="000C13B6"/>
    <w:rsid w:val="000C629A"/>
    <w:rsid w:val="000E0243"/>
    <w:rsid w:val="000E0759"/>
    <w:rsid w:val="000F5253"/>
    <w:rsid w:val="000F7D95"/>
    <w:rsid w:val="00100860"/>
    <w:rsid w:val="00101039"/>
    <w:rsid w:val="00101F6E"/>
    <w:rsid w:val="00103836"/>
    <w:rsid w:val="001207D8"/>
    <w:rsid w:val="001308E6"/>
    <w:rsid w:val="00130AE0"/>
    <w:rsid w:val="00136516"/>
    <w:rsid w:val="0015394D"/>
    <w:rsid w:val="001617B7"/>
    <w:rsid w:val="00161F93"/>
    <w:rsid w:val="001622EA"/>
    <w:rsid w:val="00162DF2"/>
    <w:rsid w:val="00174BDA"/>
    <w:rsid w:val="00195BF9"/>
    <w:rsid w:val="001C39EA"/>
    <w:rsid w:val="001C40D6"/>
    <w:rsid w:val="001D52B5"/>
    <w:rsid w:val="00220C78"/>
    <w:rsid w:val="00224471"/>
    <w:rsid w:val="00225451"/>
    <w:rsid w:val="00234E98"/>
    <w:rsid w:val="00257EE3"/>
    <w:rsid w:val="002606F4"/>
    <w:rsid w:val="002865A7"/>
    <w:rsid w:val="00295289"/>
    <w:rsid w:val="002B2181"/>
    <w:rsid w:val="002B448D"/>
    <w:rsid w:val="002D2B66"/>
    <w:rsid w:val="002F3543"/>
    <w:rsid w:val="00306E96"/>
    <w:rsid w:val="00312B1F"/>
    <w:rsid w:val="0035659B"/>
    <w:rsid w:val="00357194"/>
    <w:rsid w:val="00357701"/>
    <w:rsid w:val="00374321"/>
    <w:rsid w:val="003A217C"/>
    <w:rsid w:val="003A7B34"/>
    <w:rsid w:val="003B1959"/>
    <w:rsid w:val="003D10A2"/>
    <w:rsid w:val="003D555C"/>
    <w:rsid w:val="003E204B"/>
    <w:rsid w:val="003E4736"/>
    <w:rsid w:val="003E5713"/>
    <w:rsid w:val="003E6D35"/>
    <w:rsid w:val="00411888"/>
    <w:rsid w:val="00415323"/>
    <w:rsid w:val="00424792"/>
    <w:rsid w:val="004349A1"/>
    <w:rsid w:val="00441A23"/>
    <w:rsid w:val="0044768D"/>
    <w:rsid w:val="004526FD"/>
    <w:rsid w:val="004671C1"/>
    <w:rsid w:val="004724FB"/>
    <w:rsid w:val="004A4183"/>
    <w:rsid w:val="004A75F0"/>
    <w:rsid w:val="004B73DC"/>
    <w:rsid w:val="004C32FE"/>
    <w:rsid w:val="004C6890"/>
    <w:rsid w:val="004D2298"/>
    <w:rsid w:val="004E47AF"/>
    <w:rsid w:val="004E5835"/>
    <w:rsid w:val="0050186C"/>
    <w:rsid w:val="00520E02"/>
    <w:rsid w:val="005342F9"/>
    <w:rsid w:val="00544164"/>
    <w:rsid w:val="00553C3C"/>
    <w:rsid w:val="00561BE7"/>
    <w:rsid w:val="0057717F"/>
    <w:rsid w:val="0057750F"/>
    <w:rsid w:val="005A4918"/>
    <w:rsid w:val="005C385F"/>
    <w:rsid w:val="005E0F4D"/>
    <w:rsid w:val="006039AC"/>
    <w:rsid w:val="00645F70"/>
    <w:rsid w:val="00653795"/>
    <w:rsid w:val="006607B7"/>
    <w:rsid w:val="00674CBD"/>
    <w:rsid w:val="00680D99"/>
    <w:rsid w:val="006A7840"/>
    <w:rsid w:val="006B152A"/>
    <w:rsid w:val="006C1483"/>
    <w:rsid w:val="006C278B"/>
    <w:rsid w:val="006D5239"/>
    <w:rsid w:val="00705945"/>
    <w:rsid w:val="007210AC"/>
    <w:rsid w:val="00733806"/>
    <w:rsid w:val="00735C1D"/>
    <w:rsid w:val="007364C6"/>
    <w:rsid w:val="00747A5F"/>
    <w:rsid w:val="00751BA5"/>
    <w:rsid w:val="00754B34"/>
    <w:rsid w:val="00757746"/>
    <w:rsid w:val="00760AA7"/>
    <w:rsid w:val="00761C62"/>
    <w:rsid w:val="00776B96"/>
    <w:rsid w:val="007779C8"/>
    <w:rsid w:val="007A0375"/>
    <w:rsid w:val="007A1D2B"/>
    <w:rsid w:val="007F20CA"/>
    <w:rsid w:val="00802FED"/>
    <w:rsid w:val="0082179D"/>
    <w:rsid w:val="00830FBA"/>
    <w:rsid w:val="00845835"/>
    <w:rsid w:val="00852558"/>
    <w:rsid w:val="00862ED2"/>
    <w:rsid w:val="00877B7C"/>
    <w:rsid w:val="00894FC5"/>
    <w:rsid w:val="008A1CF5"/>
    <w:rsid w:val="008E66C8"/>
    <w:rsid w:val="008F28D3"/>
    <w:rsid w:val="008F3A34"/>
    <w:rsid w:val="00904D44"/>
    <w:rsid w:val="0091425C"/>
    <w:rsid w:val="00943FBC"/>
    <w:rsid w:val="00945C0A"/>
    <w:rsid w:val="00963854"/>
    <w:rsid w:val="0097498D"/>
    <w:rsid w:val="009B5C4B"/>
    <w:rsid w:val="009B6682"/>
    <w:rsid w:val="009B7A38"/>
    <w:rsid w:val="00A03FED"/>
    <w:rsid w:val="00A13BEA"/>
    <w:rsid w:val="00A24D74"/>
    <w:rsid w:val="00A40867"/>
    <w:rsid w:val="00A40BFD"/>
    <w:rsid w:val="00A43DAC"/>
    <w:rsid w:val="00A449C3"/>
    <w:rsid w:val="00A470B0"/>
    <w:rsid w:val="00A63F9D"/>
    <w:rsid w:val="00A80103"/>
    <w:rsid w:val="00AA62E3"/>
    <w:rsid w:val="00AD6204"/>
    <w:rsid w:val="00AD7451"/>
    <w:rsid w:val="00AD7C17"/>
    <w:rsid w:val="00AE551B"/>
    <w:rsid w:val="00AF23CB"/>
    <w:rsid w:val="00AF7535"/>
    <w:rsid w:val="00B22CBB"/>
    <w:rsid w:val="00B43CD2"/>
    <w:rsid w:val="00B4574F"/>
    <w:rsid w:val="00B47B51"/>
    <w:rsid w:val="00B75904"/>
    <w:rsid w:val="00B7744A"/>
    <w:rsid w:val="00B776E2"/>
    <w:rsid w:val="00B779BC"/>
    <w:rsid w:val="00B87452"/>
    <w:rsid w:val="00BA38F9"/>
    <w:rsid w:val="00BB36BD"/>
    <w:rsid w:val="00BB5FAE"/>
    <w:rsid w:val="00BB6D9C"/>
    <w:rsid w:val="00BB7E0F"/>
    <w:rsid w:val="00BC6AE0"/>
    <w:rsid w:val="00BE2518"/>
    <w:rsid w:val="00C20CCB"/>
    <w:rsid w:val="00C216AE"/>
    <w:rsid w:val="00C254CA"/>
    <w:rsid w:val="00C36454"/>
    <w:rsid w:val="00C4592A"/>
    <w:rsid w:val="00C47181"/>
    <w:rsid w:val="00C8141F"/>
    <w:rsid w:val="00C9407D"/>
    <w:rsid w:val="00CB6C46"/>
    <w:rsid w:val="00CC2B02"/>
    <w:rsid w:val="00CD16D9"/>
    <w:rsid w:val="00CE2170"/>
    <w:rsid w:val="00CF4B2B"/>
    <w:rsid w:val="00CF7BE4"/>
    <w:rsid w:val="00D00A78"/>
    <w:rsid w:val="00D356F5"/>
    <w:rsid w:val="00D41379"/>
    <w:rsid w:val="00D5313F"/>
    <w:rsid w:val="00D6552B"/>
    <w:rsid w:val="00D76CF3"/>
    <w:rsid w:val="00D9007E"/>
    <w:rsid w:val="00D93418"/>
    <w:rsid w:val="00DB1C42"/>
    <w:rsid w:val="00DB6B2F"/>
    <w:rsid w:val="00DE4B1F"/>
    <w:rsid w:val="00E03C00"/>
    <w:rsid w:val="00E13AEC"/>
    <w:rsid w:val="00E161FA"/>
    <w:rsid w:val="00E26EA6"/>
    <w:rsid w:val="00E31687"/>
    <w:rsid w:val="00E55D39"/>
    <w:rsid w:val="00E71D0D"/>
    <w:rsid w:val="00E8777A"/>
    <w:rsid w:val="00E91D7C"/>
    <w:rsid w:val="00EB5348"/>
    <w:rsid w:val="00ED0818"/>
    <w:rsid w:val="00F11B12"/>
    <w:rsid w:val="00F12F66"/>
    <w:rsid w:val="00F15E13"/>
    <w:rsid w:val="00F20DB4"/>
    <w:rsid w:val="00F55CE8"/>
    <w:rsid w:val="00F70D8F"/>
    <w:rsid w:val="00F7664F"/>
    <w:rsid w:val="00F810AA"/>
    <w:rsid w:val="00F91523"/>
    <w:rsid w:val="00FA7C29"/>
    <w:rsid w:val="00FB64C8"/>
    <w:rsid w:val="00FB6934"/>
    <w:rsid w:val="00FC650B"/>
    <w:rsid w:val="00FE21A6"/>
    <w:rsid w:val="00FE3C2A"/>
    <w:rsid w:val="00FF22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E602113"/>
  <w15:chartTrackingRefBased/>
  <w15:docId w15:val="{5CA85672-2E81-48B1-9938-E73FE21F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spacing w:line="480" w:lineRule="auto"/>
      <w:ind w:left="720" w:hanging="720"/>
      <w:jc w:val="both"/>
    </w:pPr>
    <w:rPr>
      <w:rFonts w:ascii="Arial" w:hAnsi="Arial" w:cs="Arial"/>
    </w:rPr>
  </w:style>
  <w:style w:type="paragraph" w:styleId="Title">
    <w:name w:val="Title"/>
    <w:basedOn w:val="Normal"/>
    <w:qFormat/>
    <w:pPr>
      <w:spacing w:line="480" w:lineRule="auto"/>
      <w:jc w:val="center"/>
    </w:pPr>
    <w:rPr>
      <w:rFonts w:ascii="Arial" w:hAnsi="Arial" w:cs="Arial"/>
      <w:b/>
      <w:sz w:val="28"/>
    </w:rPr>
  </w:style>
  <w:style w:type="paragraph" w:styleId="BodyTextIndent2">
    <w:name w:val="Body Text Indent 2"/>
    <w:basedOn w:val="Normal"/>
    <w:rsid w:val="00BB6D9C"/>
    <w:pPr>
      <w:spacing w:after="120" w:line="480" w:lineRule="auto"/>
      <w:ind w:left="360"/>
    </w:pPr>
    <w:rPr>
      <w:rFonts w:ascii="Courier" w:hAnsi="Courier"/>
    </w:rPr>
  </w:style>
  <w:style w:type="paragraph" w:customStyle="1" w:styleId="Style">
    <w:name w:val="Style"/>
    <w:basedOn w:val="Normal"/>
    <w:rsid w:val="00BB6D9C"/>
    <w:pPr>
      <w:ind w:left="1440" w:hanging="720"/>
    </w:pPr>
  </w:style>
  <w:style w:type="table" w:styleId="TableGrid">
    <w:name w:val="Table Grid"/>
    <w:basedOn w:val="TableNormal"/>
    <w:rsid w:val="00BB6D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650B"/>
    <w:rPr>
      <w:color w:val="0000FF"/>
      <w:u w:val="single"/>
    </w:rPr>
  </w:style>
  <w:style w:type="paragraph" w:styleId="BalloonText">
    <w:name w:val="Balloon Text"/>
    <w:basedOn w:val="Normal"/>
    <w:semiHidden/>
    <w:rsid w:val="00D93418"/>
    <w:rPr>
      <w:rFonts w:ascii="Tahoma" w:hAnsi="Tahoma" w:cs="Tahoma"/>
      <w:sz w:val="16"/>
      <w:szCs w:val="16"/>
    </w:rPr>
  </w:style>
  <w:style w:type="character" w:styleId="CommentReference">
    <w:name w:val="annotation reference"/>
    <w:semiHidden/>
    <w:rsid w:val="00705945"/>
    <w:rPr>
      <w:sz w:val="16"/>
      <w:szCs w:val="16"/>
    </w:rPr>
  </w:style>
  <w:style w:type="paragraph" w:styleId="CommentText">
    <w:name w:val="annotation text"/>
    <w:basedOn w:val="Normal"/>
    <w:semiHidden/>
    <w:rsid w:val="00705945"/>
    <w:rPr>
      <w:sz w:val="20"/>
    </w:rPr>
  </w:style>
  <w:style w:type="paragraph" w:styleId="CommentSubject">
    <w:name w:val="annotation subject"/>
    <w:basedOn w:val="CommentText"/>
    <w:next w:val="CommentText"/>
    <w:semiHidden/>
    <w:rsid w:val="00705945"/>
    <w:rPr>
      <w:b/>
      <w:bCs/>
    </w:rPr>
  </w:style>
  <w:style w:type="paragraph" w:styleId="NormalWeb">
    <w:name w:val="Normal (Web)"/>
    <w:basedOn w:val="Normal"/>
    <w:uiPriority w:val="99"/>
    <w:unhideWhenUsed/>
    <w:rsid w:val="00E8777A"/>
    <w:pPr>
      <w:widowControl/>
      <w:spacing w:before="120" w:after="120"/>
    </w:pPr>
    <w:rPr>
      <w:snapToGrid/>
      <w:szCs w:val="24"/>
    </w:rPr>
  </w:style>
  <w:style w:type="character" w:styleId="FollowedHyperlink">
    <w:name w:val="FollowedHyperlink"/>
    <w:rsid w:val="00F91523"/>
    <w:rPr>
      <w:color w:val="954F72"/>
      <w:u w:val="single"/>
    </w:rPr>
  </w:style>
  <w:style w:type="paragraph" w:styleId="FootnoteText">
    <w:name w:val="footnote text"/>
    <w:basedOn w:val="Normal"/>
    <w:link w:val="FootnoteTextChar"/>
    <w:unhideWhenUsed/>
    <w:rsid w:val="00894FC5"/>
    <w:pPr>
      <w:snapToGrid w:val="0"/>
    </w:pPr>
    <w:rPr>
      <w:rFonts w:ascii="Courier" w:hAnsi="Courier"/>
      <w:snapToGrid/>
      <w:sz w:val="20"/>
    </w:rPr>
  </w:style>
  <w:style w:type="character" w:customStyle="1" w:styleId="FootnoteTextChar">
    <w:name w:val="Footnote Text Char"/>
    <w:link w:val="FootnoteText"/>
    <w:rsid w:val="00894FC5"/>
    <w:rPr>
      <w:rFonts w:ascii="Courier" w:hAnsi="Courier"/>
    </w:rPr>
  </w:style>
  <w:style w:type="paragraph" w:styleId="EndnoteText">
    <w:name w:val="endnote text"/>
    <w:basedOn w:val="Normal"/>
    <w:link w:val="EndnoteTextChar"/>
    <w:rsid w:val="00F20DB4"/>
    <w:rPr>
      <w:sz w:val="20"/>
    </w:rPr>
  </w:style>
  <w:style w:type="character" w:customStyle="1" w:styleId="EndnoteTextChar">
    <w:name w:val="Endnote Text Char"/>
    <w:link w:val="EndnoteText"/>
    <w:rsid w:val="00F20DB4"/>
    <w:rPr>
      <w:snapToGrid w:val="0"/>
    </w:rPr>
  </w:style>
  <w:style w:type="character" w:styleId="EndnoteReference">
    <w:name w:val="endnote reference"/>
    <w:rsid w:val="00F20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408&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83444-C561-439F-AC99-8505A9D45835}">
  <ds:schemaRefs>
    <ds:schemaRef ds:uri="http://schemas.openxmlformats.org/officeDocument/2006/bibliography"/>
  </ds:schemaRefs>
</ds:datastoreItem>
</file>

<file path=customXml/itemProps2.xml><?xml version="1.0" encoding="utf-8"?>
<ds:datastoreItem xmlns:ds="http://schemas.openxmlformats.org/officeDocument/2006/customXml" ds:itemID="{0BE25691-C335-48BE-95A0-F37292E93927}">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E07FD378-A4B5-4CDB-BC6E-F18145ED43ED}">
  <ds:schemaRefs>
    <ds:schemaRef ds:uri="http://schemas.microsoft.com/sharepoint/v3/contenttype/forms"/>
  </ds:schemaRefs>
</ds:datastoreItem>
</file>

<file path=customXml/itemProps4.xml><?xml version="1.0" encoding="utf-8"?>
<ds:datastoreItem xmlns:ds="http://schemas.openxmlformats.org/officeDocument/2006/customXml" ds:itemID="{F7F6C67E-511B-49E6-B9B6-CE7236FE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2014-06-11T18:13:00Z</cp:lastPrinted>
  <dcterms:created xsi:type="dcterms:W3CDTF">2023-07-21T14:43:00Z</dcterms:created>
  <dcterms:modified xsi:type="dcterms:W3CDTF">2023-07-31T14:00:00Z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