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6F59ED" w:rsidP="002313E2" w14:paraId="56DDEF02" w14:textId="5C73F6AB">
      <w:pPr>
        <w:pStyle w:val="Header"/>
        <w:rPr>
          <w:rFonts w:ascii="Times New Roman" w:hAnsi="Times New Roman"/>
          <w:color w:val="FFFFFF" w:themeColor="background1"/>
          <w:szCs w:val="24"/>
        </w:rPr>
      </w:pPr>
      <w:r w:rsidRPr="006F59ED">
        <w:rPr>
          <w:rFonts w:ascii="Times New Roman" w:hAnsi="Times New Roman"/>
          <w:szCs w:val="24"/>
        </w:rPr>
        <w:t xml:space="preserve">Tracking and OMB Number: (XX) </w:t>
      </w:r>
      <w:r w:rsidRPr="006F59ED" w:rsidR="00E62B06">
        <w:rPr>
          <w:rFonts w:ascii="Times New Roman" w:hAnsi="Times New Roman"/>
          <w:szCs w:val="24"/>
        </w:rPr>
        <w:t>1840</w:t>
      </w:r>
      <w:r w:rsidRPr="006F59ED" w:rsidR="006D2718">
        <w:rPr>
          <w:rFonts w:ascii="Times New Roman" w:hAnsi="Times New Roman"/>
          <w:szCs w:val="24"/>
        </w:rPr>
        <w:t>-0830</w:t>
      </w:r>
    </w:p>
    <w:p w:rsidR="00EA1767" w:rsidP="002313E2" w14:paraId="56DDEF03" w14:textId="41683F4F">
      <w:pPr>
        <w:pStyle w:val="Header"/>
        <w:rPr>
          <w:rFonts w:ascii="Times New Roman" w:hAnsi="Times New Roman"/>
        </w:rPr>
      </w:pPr>
      <w:r w:rsidRPr="006F59ED">
        <w:rPr>
          <w:rFonts w:ascii="Times New Roman" w:hAnsi="Times New Roman"/>
        </w:rPr>
        <w:t xml:space="preserve">Revised: </w:t>
      </w:r>
      <w:r w:rsidR="00A83C30">
        <w:rPr>
          <w:rFonts w:ascii="Times New Roman" w:hAnsi="Times New Roman"/>
        </w:rPr>
        <w:t>9/7</w:t>
      </w:r>
      <w:r w:rsidRPr="006F59ED" w:rsidR="00AA3731">
        <w:rPr>
          <w:rFonts w:ascii="Times New Roman" w:hAnsi="Times New Roman"/>
        </w:rPr>
        <w:t>/2023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BA171B" w:rsidRPr="00541F86" w:rsidP="002313E2" w14:paraId="01219E81" w14:textId="01CA77B6">
      <w:pPr>
        <w:pStyle w:val="ListParagraph"/>
        <w:suppressAutoHyphens/>
        <w:rPr>
          <w:rFonts w:asciiTheme="minorHAnsi" w:hAnsiTheme="minorHAnsi" w:cstheme="minorHAnsi"/>
          <w:szCs w:val="24"/>
        </w:rPr>
      </w:pPr>
    </w:p>
    <w:p w:rsidR="00F11179" w:rsidRPr="00541F86" w:rsidP="002313E2" w14:paraId="1C414E2E" w14:textId="2530A904">
      <w:pPr>
        <w:pStyle w:val="ListParagraph"/>
        <w:suppressAutoHyphens/>
        <w:rPr>
          <w:rFonts w:asciiTheme="minorHAnsi" w:hAnsiTheme="minorHAnsi" w:cstheme="minorHAnsi"/>
        </w:rPr>
      </w:pPr>
      <w:r w:rsidRPr="00ED0CAA">
        <w:rPr>
          <w:rFonts w:asciiTheme="minorHAnsi" w:hAnsiTheme="minorHAnsi" w:cstheme="minorHAnsi"/>
        </w:rPr>
        <w:t xml:space="preserve">The Department of Education (Department) is requesting approval for </w:t>
      </w:r>
      <w:r w:rsidRPr="00ED0CAA" w:rsidR="00351BC7">
        <w:rPr>
          <w:rFonts w:asciiTheme="minorHAnsi" w:hAnsiTheme="minorHAnsi" w:cstheme="minorHAnsi"/>
        </w:rPr>
        <w:t xml:space="preserve">a </w:t>
      </w:r>
      <w:r w:rsidRPr="00ED0CAA" w:rsidR="00193113">
        <w:rPr>
          <w:rFonts w:asciiTheme="minorHAnsi" w:hAnsiTheme="minorHAnsi" w:cstheme="minorHAnsi"/>
        </w:rPr>
        <w:t xml:space="preserve">revision </w:t>
      </w:r>
      <w:r w:rsidRPr="00ED0CAA">
        <w:rPr>
          <w:rFonts w:asciiTheme="minorHAnsi" w:hAnsiTheme="minorHAnsi" w:cstheme="minorHAnsi"/>
        </w:rPr>
        <w:t xml:space="preserve">of the Educational Opportunity Centers (EOC) Annual Performance Report (APR) that </w:t>
      </w:r>
      <w:r w:rsidRPr="00ED0CAA" w:rsidR="00AC613C">
        <w:rPr>
          <w:rFonts w:asciiTheme="minorHAnsi" w:hAnsiTheme="minorHAnsi" w:cstheme="minorHAnsi"/>
        </w:rPr>
        <w:t>currently expires on February 2</w:t>
      </w:r>
      <w:r w:rsidRPr="00ED0CAA" w:rsidR="00B6504A">
        <w:rPr>
          <w:rFonts w:asciiTheme="minorHAnsi" w:hAnsiTheme="minorHAnsi" w:cstheme="minorHAnsi"/>
        </w:rPr>
        <w:t>8</w:t>
      </w:r>
      <w:r w:rsidRPr="00ED0CAA" w:rsidR="00AC613C">
        <w:rPr>
          <w:rFonts w:asciiTheme="minorHAnsi" w:hAnsiTheme="minorHAnsi" w:cstheme="minorHAnsi"/>
        </w:rPr>
        <w:t xml:space="preserve">, 2026 </w:t>
      </w:r>
      <w:r w:rsidRPr="00ED0CAA">
        <w:rPr>
          <w:rFonts w:asciiTheme="minorHAnsi" w:hAnsiTheme="minorHAnsi" w:cstheme="minorHAnsi"/>
        </w:rPr>
        <w:t>(OMB No.: 1840-0830). The EOC</w:t>
      </w:r>
      <w:r w:rsidRPr="00541F86">
        <w:rPr>
          <w:rFonts w:asciiTheme="minorHAnsi" w:hAnsiTheme="minorHAnsi" w:cstheme="minorHAnsi"/>
        </w:rPr>
        <w:t xml:space="preserve"> APR form is used to collect annual performance report data from projects funded by EOC program grants. </w:t>
      </w:r>
    </w:p>
    <w:p w:rsidR="00F11179" w:rsidRPr="00541F86" w:rsidP="002313E2" w14:paraId="7416DCA8" w14:textId="77777777">
      <w:pPr>
        <w:pStyle w:val="ListParagraph"/>
        <w:suppressAutoHyphens/>
        <w:rPr>
          <w:rFonts w:asciiTheme="minorHAnsi" w:hAnsiTheme="minorHAnsi" w:cstheme="minorHAnsi"/>
        </w:rPr>
      </w:pPr>
    </w:p>
    <w:p w:rsidR="002A66A9" w:rsidRPr="00541F86" w:rsidP="002313E2" w14:paraId="44528E72" w14:textId="77777777">
      <w:pPr>
        <w:pStyle w:val="ListParagraph"/>
        <w:suppressAutoHyphens/>
        <w:rPr>
          <w:rFonts w:asciiTheme="minorHAnsi" w:hAnsiTheme="minorHAnsi" w:cstheme="minorHAnsi"/>
        </w:rPr>
      </w:pPr>
      <w:r w:rsidRPr="00541F86">
        <w:rPr>
          <w:rFonts w:asciiTheme="minorHAnsi" w:hAnsiTheme="minorHAnsi" w:cstheme="minorHAnsi"/>
        </w:rPr>
        <w:t xml:space="preserve">The EOC program is a Student Service program that provides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w:t>
      </w:r>
      <w:r w:rsidRPr="00541F86">
        <w:rPr>
          <w:rFonts w:asciiTheme="minorHAnsi" w:hAnsiTheme="minorHAnsi" w:cstheme="minorHAnsi"/>
        </w:rPr>
        <w:t>agencies</w:t>
      </w:r>
      <w:r w:rsidRPr="00541F86">
        <w:rPr>
          <w:rFonts w:asciiTheme="minorHAnsi" w:hAnsiTheme="minorHAnsi" w:cstheme="minorHAnsi"/>
        </w:rPr>
        <w:t xml:space="preserve"> and organizations. The specific goal of the EOC program is to help youth and adults from disadvantaged backgrounds complete secondary education and enroll in programs of postsecondary education; and to publicize the availability of, and facilitate the application for, student financial assistance for persons who seek to pursue postsecondary education (20 U.S.C. 1070a–11 and 1070a–16). </w:t>
      </w:r>
    </w:p>
    <w:p w:rsidR="002A66A9" w:rsidRPr="00541F86" w:rsidP="002313E2" w14:paraId="70571D70" w14:textId="77777777">
      <w:pPr>
        <w:pStyle w:val="ListParagraph"/>
        <w:suppressAutoHyphens/>
        <w:rPr>
          <w:rFonts w:asciiTheme="minorHAnsi" w:hAnsiTheme="minorHAnsi" w:cstheme="minorHAnsi"/>
        </w:rPr>
      </w:pPr>
    </w:p>
    <w:p w:rsidR="002A66A9" w:rsidRPr="00541F86" w:rsidP="002313E2" w14:paraId="06578269" w14:textId="77777777">
      <w:pPr>
        <w:pStyle w:val="ListParagraph"/>
        <w:suppressAutoHyphens/>
        <w:rPr>
          <w:rFonts w:asciiTheme="minorHAnsi" w:hAnsiTheme="minorHAnsi" w:cstheme="minorHAnsi"/>
        </w:rPr>
      </w:pPr>
      <w:r w:rsidRPr="00541F86">
        <w:rPr>
          <w:rFonts w:asciiTheme="minorHAnsi" w:hAnsiTheme="minorHAnsi" w:cstheme="minorHAnsi"/>
        </w:rPr>
        <w:t xml:space="preserve">The information that grantees submit in the APR allows the Department to annually assess each grantee's progress in meeting their project's approved goals and objectives. The APR data are compared with the projects’ approved objectives to determine the projects’ accomplishments, to make decisions regarding whether funding should be continued, and to award "prior experience" points. The regulations for this program provide for awarding up to 15 points for prior experience (34 CR 644.22). During a competition for new grant awards, the prior experience points 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 </w:t>
      </w:r>
    </w:p>
    <w:p w:rsidR="002A66A9" w:rsidRPr="00541F86" w:rsidP="002313E2" w14:paraId="3F743803" w14:textId="77777777">
      <w:pPr>
        <w:pStyle w:val="ListParagraph"/>
        <w:suppressAutoHyphens/>
        <w:rPr>
          <w:rFonts w:asciiTheme="minorHAnsi" w:hAnsiTheme="minorHAnsi" w:cstheme="minorHAnsi"/>
        </w:rPr>
      </w:pPr>
    </w:p>
    <w:p w:rsidR="00D7761F" w:rsidP="002313E2" w14:paraId="7EF37568" w14:textId="140757C6">
      <w:pPr>
        <w:pStyle w:val="ListParagraph"/>
        <w:suppressAutoHyphens/>
        <w:rPr>
          <w:rFonts w:asciiTheme="minorHAnsi" w:hAnsiTheme="minorHAnsi" w:cstheme="minorHAnsi"/>
        </w:rPr>
      </w:pPr>
      <w:r w:rsidRPr="00541F86">
        <w:rPr>
          <w:rFonts w:asciiTheme="minorHAnsi" w:hAnsiTheme="minorHAnsi" w:cstheme="minorHAnsi"/>
        </w:rPr>
        <w:t xml:space="preserve">Further, this performance report form </w:t>
      </w:r>
      <w:r w:rsidRPr="00D7761F">
        <w:rPr>
          <w:rFonts w:asciiTheme="minorHAnsi" w:hAnsiTheme="minorHAnsi" w:cstheme="minorHAnsi"/>
        </w:rPr>
        <w:t xml:space="preserve">collects aggregate and quantifiable data in order to respond to the requirements of the Education Department General Administrative </w:t>
      </w:r>
      <w:r w:rsidRPr="00D7761F">
        <w:rPr>
          <w:rFonts w:asciiTheme="minorHAnsi" w:hAnsiTheme="minorHAnsi" w:cstheme="minorHAnsi"/>
        </w:rPr>
        <w:t>Regulations (EDGAR) in 34 CFR §75.110 - Information regarding performance measurement.</w:t>
      </w:r>
    </w:p>
    <w:p w:rsidR="00D7761F" w:rsidRPr="00541F86" w:rsidP="002313E2" w14:paraId="6FB102FF" w14:textId="77777777">
      <w:pPr>
        <w:pStyle w:val="ListParagraph"/>
        <w:suppressAutoHyphens/>
        <w:rPr>
          <w:rFonts w:asciiTheme="minorHAnsi" w:hAnsiTheme="minorHAnsi" w:cstheme="minorHAnsi"/>
        </w:rPr>
      </w:pPr>
    </w:p>
    <w:p w:rsidR="00BA171B" w:rsidRPr="00541F86" w:rsidP="002313E2" w14:paraId="4F5F211D" w14:textId="79FFF058">
      <w:pPr>
        <w:pStyle w:val="ListParagraph"/>
        <w:suppressAutoHyphens/>
        <w:rPr>
          <w:rFonts w:asciiTheme="minorHAnsi" w:hAnsiTheme="minorHAnsi" w:cstheme="minorHAnsi"/>
        </w:rPr>
      </w:pPr>
      <w:r w:rsidRPr="00541F86">
        <w:rPr>
          <w:rFonts w:asciiTheme="minorHAnsi" w:hAnsiTheme="minorHAnsi" w:cstheme="minorHAnsi"/>
        </w:rPr>
        <w:t>The Department collects information from EOC grantees under the authority of Title IV, Part A, Subpart 2, Division 1, Sections 402A and 402B of the Higher Education Act of 1965, as amended, the program regulations in 34 CFR 644, and the Education Department General Administrative Regulations (EDGAR), in 34 CFR 74.51, 75.720, and 75.732.</w:t>
      </w:r>
    </w:p>
    <w:p w:rsidR="006267DE" w:rsidRPr="00541F86" w:rsidP="002313E2" w14:paraId="6AB46424" w14:textId="2572A2CE">
      <w:pPr>
        <w:pStyle w:val="ListParagraph"/>
        <w:suppressAutoHyphens/>
        <w:rPr>
          <w:rFonts w:asciiTheme="minorHAnsi" w:hAnsiTheme="minorHAnsi" w:cstheme="minorHAnsi"/>
        </w:rPr>
      </w:pPr>
    </w:p>
    <w:p w:rsidR="006267DE" w:rsidRPr="00541F86" w:rsidP="002313E2" w14:paraId="39DC77A0" w14:textId="5FFD0FA2">
      <w:pPr>
        <w:pStyle w:val="ListParagraph"/>
        <w:suppressAutoHyphens/>
        <w:rPr>
          <w:rFonts w:asciiTheme="minorHAnsi" w:hAnsiTheme="minorHAnsi" w:cstheme="minorHAnsi"/>
          <w:szCs w:val="24"/>
        </w:rPr>
      </w:pPr>
      <w:hyperlink r:id="rId9" w:history="1">
        <w:r w:rsidRPr="00541F86">
          <w:rPr>
            <w:rStyle w:val="Hyperlink"/>
            <w:rFonts w:asciiTheme="minorHAnsi" w:hAnsiTheme="minorHAnsi" w:cstheme="minorHAnsi"/>
          </w:rPr>
          <w:t>Legislation, Regulations, and Guidance -- Educational Opportunity Centers</w:t>
        </w:r>
      </w:hyperlink>
    </w:p>
    <w:p w:rsidR="00AD381B" w:rsidRPr="00541F86" w:rsidP="002313E2" w14:paraId="56DDEF09" w14:textId="42D6193D">
      <w:pPr>
        <w:pStyle w:val="ListParagraph"/>
        <w:suppressAutoHyphens/>
        <w:contextualSpacing w:val="0"/>
        <w:rPr>
          <w:rFonts w:asciiTheme="minorHAnsi" w:hAnsiTheme="minorHAnsi" w:cstheme="minorHAnsi"/>
          <w:szCs w:val="24"/>
        </w:rPr>
      </w:pPr>
    </w:p>
    <w:p w:rsidR="005B2E52" w:rsidP="005B2E52" w14:paraId="3539E778" w14:textId="52E8E18C">
      <w:pPr>
        <w:pStyle w:val="ListParagraph"/>
        <w:suppressAutoHyphens/>
        <w:contextualSpacing w:val="0"/>
        <w:rPr>
          <w:rFonts w:asciiTheme="minorHAnsi" w:hAnsiTheme="minorHAnsi" w:cstheme="minorHAnsi"/>
          <w:szCs w:val="24"/>
        </w:rPr>
      </w:pPr>
      <w:r w:rsidRPr="00984915">
        <w:rPr>
          <w:rFonts w:asciiTheme="minorHAnsi" w:hAnsiTheme="minorHAnsi" w:cstheme="minorHAnsi"/>
          <w:szCs w:val="24"/>
        </w:rPr>
        <w:t>The proposed revision to the APR entails replacement of Competitive Preference Priority (CPP) questions with new CPP questions of equal response time. In addition, the annual number of responses and total annual burden hours have been adjusted to reflect an increase in the size of the reporting universe.</w:t>
      </w:r>
    </w:p>
    <w:p w:rsidR="00DC5F78" w:rsidRPr="00984915" w:rsidP="005B2E52" w14:paraId="4AFE7D03" w14:textId="77777777">
      <w:pPr>
        <w:pStyle w:val="ListParagraph"/>
        <w:suppressAutoHyphens/>
        <w:contextualSpacing w:val="0"/>
        <w:rPr>
          <w:rFonts w:asciiTheme="minorHAnsi" w:hAnsiTheme="minorHAnsi" w:cstheme="minorHAnsi"/>
          <w:szCs w:val="24"/>
        </w:rPr>
      </w:pPr>
    </w:p>
    <w:p w:rsidR="00E76A10" w:rsidRPr="00AD381B" w:rsidP="002313E2" w14:paraId="2A931147" w14:textId="77777777">
      <w:pPr>
        <w:pStyle w:val="ListParagraph"/>
        <w:suppressAutoHyphens/>
        <w:contextualSpacing w:val="0"/>
        <w:rPr>
          <w:rFonts w:ascii="Times New Roman" w:hAnsi="Times New Roman"/>
          <w:szCs w:val="24"/>
        </w:rPr>
      </w:pPr>
    </w:p>
    <w:p w:rsidR="00AD381B" w:rsidRPr="002D4406" w:rsidP="002313E2" w14:paraId="56DDEF0A" w14:textId="62419EC8">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D4406" w:rsidP="002D4406" w14:paraId="0A75386D" w14:textId="0212FC7F">
      <w:pPr>
        <w:suppressAutoHyphens/>
        <w:rPr>
          <w:rFonts w:ascii="Times New Roman" w:hAnsi="Times New Roman"/>
          <w:szCs w:val="24"/>
        </w:rPr>
      </w:pPr>
    </w:p>
    <w:p w:rsidR="0018628C" w:rsidRPr="00541F86" w:rsidP="0018628C" w14:paraId="47FB51DA" w14:textId="1B8C398C">
      <w:pPr>
        <w:suppressAutoHyphens/>
        <w:ind w:left="720"/>
        <w:rPr>
          <w:rFonts w:asciiTheme="minorHAnsi" w:hAnsiTheme="minorHAnsi" w:cstheme="minorHAnsi"/>
        </w:rPr>
      </w:pPr>
      <w:r w:rsidRPr="00541F86">
        <w:rPr>
          <w:rFonts w:asciiTheme="minorHAnsi" w:hAnsiTheme="minorHAnsi" w:cstheme="minorHAnsi"/>
        </w:rPr>
        <w:t xml:space="preserve">The Department uses the data collected to (a) evaluate projects' accomplishments; (b) determine the number of prior experience points to be awarded to current grantees; and (c) aid in compliance monitoring (i.e., to determine whether grantees </w:t>
      </w:r>
      <w:r w:rsidRPr="00541F86">
        <w:rPr>
          <w:rFonts w:asciiTheme="minorHAnsi" w:hAnsiTheme="minorHAnsi" w:cstheme="minorHAnsi"/>
        </w:rPr>
        <w:t>are in compliance with</w:t>
      </w:r>
      <w:r w:rsidRPr="00541F86">
        <w:rPr>
          <w:rFonts w:asciiTheme="minorHAnsi" w:hAnsiTheme="minorHAnsi" w:cstheme="minorHAnsi"/>
        </w:rPr>
        <w:t xml:space="preserve"> the selection requirements for project participants [34 CFR 644.3]). </w:t>
      </w:r>
    </w:p>
    <w:p w:rsidR="0018628C" w:rsidRPr="00541F86" w:rsidP="0018628C" w14:paraId="3A6C7554" w14:textId="77777777">
      <w:pPr>
        <w:suppressAutoHyphens/>
        <w:ind w:left="720"/>
        <w:rPr>
          <w:rFonts w:asciiTheme="minorHAnsi" w:hAnsiTheme="minorHAnsi" w:cstheme="minorHAnsi"/>
        </w:rPr>
      </w:pPr>
    </w:p>
    <w:p w:rsidR="002D4406" w:rsidRPr="00541F86" w:rsidP="0018628C" w14:paraId="2D6D53E7" w14:textId="06AE3D7D">
      <w:pPr>
        <w:suppressAutoHyphens/>
        <w:ind w:left="720"/>
        <w:rPr>
          <w:rFonts w:asciiTheme="minorHAnsi" w:hAnsiTheme="minorHAnsi" w:cstheme="minorHAnsi"/>
          <w:szCs w:val="24"/>
        </w:rPr>
      </w:pPr>
      <w:r w:rsidRPr="00541F86">
        <w:rPr>
          <w:rFonts w:asciiTheme="minorHAnsi" w:hAnsiTheme="minorHAnsi" w:cstheme="minorHAnsi"/>
        </w:rPr>
        <w:t>In addition, the Department uses the annual performance reports to produce program</w:t>
      </w:r>
      <w:r w:rsidRPr="00541F86" w:rsidR="008E44E0">
        <w:rPr>
          <w:rFonts w:asciiTheme="minorHAnsi" w:hAnsiTheme="minorHAnsi" w:cstheme="minorHAnsi"/>
        </w:rPr>
        <w:t>-</w:t>
      </w:r>
      <w:r w:rsidRPr="00541F86">
        <w:rPr>
          <w:rFonts w:asciiTheme="minorHAnsi" w:hAnsiTheme="minorHAnsi" w:cstheme="minorHAnsi"/>
        </w:rPr>
        <w:t xml:space="preserve">level data for annual reporting, budget submissions to OMB, Congressional </w:t>
      </w:r>
      <w:r w:rsidRPr="00541F86">
        <w:rPr>
          <w:rFonts w:asciiTheme="minorHAnsi" w:hAnsiTheme="minorHAnsi" w:cstheme="minorHAnsi"/>
        </w:rPr>
        <w:t>hearings</w:t>
      </w:r>
      <w:r w:rsidRPr="00541F86">
        <w:rPr>
          <w:rFonts w:asciiTheme="minorHAnsi" w:hAnsiTheme="minorHAnsi" w:cstheme="minorHAnsi"/>
        </w:rPr>
        <w:t xml:space="preserve"> and inquiries, and responding to inquiries from higher education interest groups and the general public.</w:t>
      </w:r>
    </w:p>
    <w:p w:rsidR="00AD381B" w:rsidRPr="00541F86" w:rsidP="002313E2" w14:paraId="56DDEF0B" w14:textId="56DD5209">
      <w:pPr>
        <w:suppressAutoHyphens/>
        <w:rPr>
          <w:rFonts w:asciiTheme="minorHAnsi" w:hAnsiTheme="minorHAnsi" w:cstheme="minorHAnsi"/>
          <w:szCs w:val="24"/>
        </w:rPr>
      </w:pPr>
    </w:p>
    <w:p w:rsidR="00043C32" w:rsidRPr="00AD381B" w:rsidP="002313E2" w14:paraId="56DDEF0C" w14:textId="77777777">
      <w:pPr>
        <w:suppressAutoHyphens/>
        <w:rPr>
          <w:rFonts w:ascii="Times New Roman" w:hAnsi="Times New Roman"/>
          <w:szCs w:val="24"/>
        </w:rPr>
      </w:pPr>
    </w:p>
    <w:p w:rsidR="00043C32" w:rsidP="002313E2" w14:paraId="56DDEF0D" w14:textId="591FC41D">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864469">
        <w:rPr>
          <w:rFonts w:ascii="Times New Roman" w:hAnsi="Times New Roman"/>
          <w:b/>
          <w:szCs w:val="24"/>
        </w:rPr>
        <w:t>e.g.,</w:t>
      </w:r>
      <w:r w:rsidR="00A23F26">
        <w:rPr>
          <w:rFonts w:ascii="Times New Roman" w:hAnsi="Times New Roman"/>
          <w:b/>
          <w:szCs w:val="24"/>
        </w:rPr>
        <w:t xml:space="preserve">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553944" w:rsidP="00553944" w14:paraId="7A4B92B1" w14:textId="30FD5810">
      <w:pPr>
        <w:tabs>
          <w:tab w:val="left" w:pos="-720"/>
        </w:tabs>
        <w:suppressAutoHyphens/>
        <w:ind w:left="720"/>
        <w:rPr>
          <w:rFonts w:ascii="Times New Roman" w:hAnsi="Times New Roman"/>
          <w:b/>
          <w:szCs w:val="24"/>
        </w:rPr>
      </w:pPr>
    </w:p>
    <w:p w:rsidR="00553944" w:rsidRPr="00541F86" w:rsidP="002A3D72" w14:paraId="5CEAA65E" w14:textId="013CD03B">
      <w:pPr>
        <w:tabs>
          <w:tab w:val="left" w:pos="-720"/>
        </w:tabs>
        <w:suppressAutoHyphens/>
        <w:ind w:left="720"/>
        <w:rPr>
          <w:rFonts w:asciiTheme="minorHAnsi" w:hAnsiTheme="minorHAnsi" w:cstheme="minorHAnsi"/>
        </w:rPr>
      </w:pPr>
      <w:r w:rsidRPr="00541F86">
        <w:rPr>
          <w:rFonts w:asciiTheme="minorHAnsi" w:hAnsiTheme="minorHAnsi" w:cstheme="minorHAnsi"/>
        </w:rPr>
        <w:t xml:space="preserve">The data collection method allows the grantees to use computerized data systems to collect, retrieve, and report the requested information. A Web-based software application has been developed for grantees to enter the data online and submit the </w:t>
      </w:r>
      <w:r w:rsidRPr="00541F86">
        <w:rPr>
          <w:rFonts w:asciiTheme="minorHAnsi" w:hAnsiTheme="minorHAnsi" w:cstheme="minorHAnsi"/>
        </w:rPr>
        <w:t>entire report</w:t>
      </w:r>
      <w:r w:rsidR="00003CBB">
        <w:rPr>
          <w:rFonts w:asciiTheme="minorHAnsi" w:hAnsiTheme="minorHAnsi" w:cstheme="minorHAnsi"/>
        </w:rPr>
        <w:t>,</w:t>
      </w:r>
      <w:r w:rsidRPr="00541F86">
        <w:rPr>
          <w:rFonts w:asciiTheme="minorHAnsi" w:hAnsiTheme="minorHAnsi" w:cstheme="minorHAnsi"/>
        </w:rPr>
        <w:t xml:space="preserve"> via the Internet. The EOC projects have been submitting </w:t>
      </w:r>
      <w:r w:rsidR="00E70531">
        <w:rPr>
          <w:rFonts w:asciiTheme="minorHAnsi" w:hAnsiTheme="minorHAnsi" w:cstheme="minorHAnsi"/>
        </w:rPr>
        <w:t>an electronic</w:t>
      </w:r>
      <w:r w:rsidRPr="00541F86" w:rsidR="00E70531">
        <w:rPr>
          <w:rFonts w:asciiTheme="minorHAnsi" w:hAnsiTheme="minorHAnsi" w:cstheme="minorHAnsi"/>
        </w:rPr>
        <w:t xml:space="preserve"> </w:t>
      </w:r>
      <w:r w:rsidRPr="00541F86">
        <w:rPr>
          <w:rFonts w:asciiTheme="minorHAnsi" w:hAnsiTheme="minorHAnsi" w:cstheme="minorHAnsi"/>
        </w:rPr>
        <w:t>annual performance report since 1998.</w:t>
      </w:r>
    </w:p>
    <w:p w:rsidR="000E0131" w:rsidRPr="00541F86" w:rsidP="002A3D72" w14:paraId="4AC80C7B" w14:textId="7793960F">
      <w:pPr>
        <w:tabs>
          <w:tab w:val="left" w:pos="-720"/>
        </w:tabs>
        <w:suppressAutoHyphens/>
        <w:ind w:left="720"/>
        <w:rPr>
          <w:rFonts w:asciiTheme="minorHAnsi" w:hAnsiTheme="minorHAnsi" w:cstheme="minorHAnsi"/>
        </w:rPr>
      </w:pPr>
    </w:p>
    <w:p w:rsidR="000E0131" w:rsidRPr="00541F86" w:rsidP="002A3D72" w14:paraId="73F0B34F" w14:textId="42702393">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The data collected are program</w:t>
      </w:r>
      <w:r w:rsidRPr="00541F86" w:rsidR="00AD78CF">
        <w:rPr>
          <w:rFonts w:asciiTheme="minorHAnsi" w:hAnsiTheme="minorHAnsi" w:cstheme="minorHAnsi"/>
        </w:rPr>
        <w:t>-</w:t>
      </w:r>
      <w:r w:rsidRPr="00541F86">
        <w:rPr>
          <w:rFonts w:asciiTheme="minorHAnsi" w:hAnsiTheme="minorHAnsi" w:cstheme="minorHAnsi"/>
        </w:rPr>
        <w:t>level</w:t>
      </w:r>
      <w:r w:rsidRPr="00541F86" w:rsidR="009C18AF">
        <w:rPr>
          <w:rFonts w:asciiTheme="minorHAnsi" w:hAnsiTheme="minorHAnsi" w:cstheme="minorHAnsi"/>
        </w:rPr>
        <w:t xml:space="preserve"> information</w:t>
      </w:r>
      <w:r w:rsidRPr="00541F86" w:rsidR="002F5423">
        <w:rPr>
          <w:rFonts w:asciiTheme="minorHAnsi" w:hAnsiTheme="minorHAnsi" w:cstheme="minorHAnsi"/>
        </w:rPr>
        <w:t xml:space="preserve"> only</w:t>
      </w:r>
      <w:r w:rsidRPr="00541F86" w:rsidR="009779C9">
        <w:rPr>
          <w:rFonts w:asciiTheme="minorHAnsi" w:hAnsiTheme="minorHAnsi" w:cstheme="minorHAnsi"/>
        </w:rPr>
        <w:t xml:space="preserve">.  </w:t>
      </w:r>
      <w:r w:rsidRPr="00541F86" w:rsidR="002F5423">
        <w:rPr>
          <w:rFonts w:asciiTheme="minorHAnsi" w:hAnsiTheme="minorHAnsi" w:cstheme="minorHAnsi"/>
        </w:rPr>
        <w:t xml:space="preserve">Some program level information consists of </w:t>
      </w:r>
      <w:r w:rsidRPr="00541F86" w:rsidR="009779C9">
        <w:rPr>
          <w:rFonts w:asciiTheme="minorHAnsi" w:hAnsiTheme="minorHAnsi" w:cstheme="minorHAnsi"/>
        </w:rPr>
        <w:t xml:space="preserve">aggregated counts of individuals. </w:t>
      </w:r>
      <w:r w:rsidRPr="00541F86" w:rsidR="00AD78CF">
        <w:rPr>
          <w:rFonts w:asciiTheme="minorHAnsi" w:hAnsiTheme="minorHAnsi" w:cstheme="minorHAnsi"/>
        </w:rPr>
        <w:t>However, no individual-level (participant-level)</w:t>
      </w:r>
      <w:r w:rsidRPr="00541F86" w:rsidR="00B23AAF">
        <w:rPr>
          <w:rFonts w:asciiTheme="minorHAnsi" w:hAnsiTheme="minorHAnsi" w:cstheme="minorHAnsi"/>
        </w:rPr>
        <w:t xml:space="preserve"> </w:t>
      </w:r>
      <w:r w:rsidRPr="00541F86" w:rsidR="00AD78CF">
        <w:rPr>
          <w:rFonts w:asciiTheme="minorHAnsi" w:hAnsiTheme="minorHAnsi" w:cstheme="minorHAnsi"/>
        </w:rPr>
        <w:t xml:space="preserve">information is collected. </w:t>
      </w:r>
      <w:r w:rsidRPr="00541F86" w:rsidR="00AE5174">
        <w:rPr>
          <w:rFonts w:asciiTheme="minorHAnsi" w:hAnsiTheme="minorHAnsi" w:cstheme="minorHAnsi"/>
        </w:rPr>
        <w:t>Thus,</w:t>
      </w:r>
      <w:r w:rsidRPr="00541F86">
        <w:rPr>
          <w:rFonts w:asciiTheme="minorHAnsi" w:hAnsiTheme="minorHAnsi" w:cstheme="minorHAnsi"/>
        </w:rPr>
        <w:t xml:space="preserve"> the reports are a low-level security risk. Nonetheless, the </w:t>
      </w:r>
      <w:r w:rsidR="00AE5174">
        <w:rPr>
          <w:rFonts w:asciiTheme="minorHAnsi" w:hAnsiTheme="minorHAnsi" w:cstheme="minorHAnsi"/>
        </w:rPr>
        <w:t>APR Application W</w:t>
      </w:r>
      <w:r w:rsidRPr="00541F86">
        <w:rPr>
          <w:rFonts w:asciiTheme="minorHAnsi" w:hAnsiTheme="minorHAnsi" w:cstheme="minorHAnsi"/>
        </w:rPr>
        <w:t>ebsite is secured to ensure that the data are seen only by authorized individuals and are protected from network hackers. Further, online data edits are in place to ensure the accuracy and integrity of the data submitted</w:t>
      </w:r>
      <w:r w:rsidRPr="00541F86" w:rsidR="00F27CD6">
        <w:rPr>
          <w:rFonts w:asciiTheme="minorHAnsi" w:hAnsiTheme="minorHAnsi" w:cstheme="minorHAnsi"/>
        </w:rPr>
        <w:t>.</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084FA26">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27CD6" w:rsidP="00F27CD6" w14:paraId="387D8582" w14:textId="2CAC3C54">
      <w:pPr>
        <w:tabs>
          <w:tab w:val="left" w:pos="-720"/>
        </w:tabs>
        <w:suppressAutoHyphens/>
        <w:rPr>
          <w:rFonts w:ascii="Times New Roman" w:hAnsi="Times New Roman"/>
          <w:b/>
          <w:szCs w:val="24"/>
        </w:rPr>
      </w:pPr>
    </w:p>
    <w:p w:rsidR="00F27CD6" w:rsidRPr="00541F86" w:rsidP="00F27CD6" w14:paraId="66933263" w14:textId="4D1231E4">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APR are fundamental to this program.</w:t>
      </w:r>
    </w:p>
    <w:p w:rsidR="00246FE9" w:rsidRPr="00246FE9" w:rsidP="002313E2" w14:paraId="56DDEF11" w14:textId="77777777">
      <w:pPr>
        <w:pStyle w:val="ListParagraph"/>
        <w:tabs>
          <w:tab w:val="left" w:pos="-720"/>
        </w:tabs>
        <w:suppressAutoHyphens/>
        <w:contextualSpacing w:val="0"/>
        <w:rPr>
          <w:rFonts w:ascii="Times New Roman" w:hAnsi="Times New Roman"/>
          <w:b/>
          <w:szCs w:val="24"/>
        </w:rPr>
      </w:pP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77777777">
      <w:pPr>
        <w:pStyle w:val="ListParagraph"/>
        <w:contextualSpacing w:val="0"/>
        <w:rPr>
          <w:rFonts w:ascii="Times New Roman" w:hAnsi="Times New Roman"/>
          <w:szCs w:val="24"/>
        </w:rPr>
      </w:pPr>
    </w:p>
    <w:p w:rsidR="00AD381B" w:rsidRPr="00541F86" w:rsidP="002313E2" w14:paraId="56DDEF14" w14:textId="5DD2BB95">
      <w:pPr>
        <w:pStyle w:val="ListParagraph"/>
        <w:contextualSpacing w:val="0"/>
        <w:rPr>
          <w:rFonts w:asciiTheme="minorHAnsi" w:hAnsiTheme="minorHAnsi" w:cstheme="minorHAnsi"/>
        </w:rPr>
      </w:pPr>
      <w:r w:rsidRPr="00541F86">
        <w:rPr>
          <w:rFonts w:asciiTheme="minorHAnsi" w:hAnsiTheme="minorHAnsi" w:cstheme="minorHAnsi"/>
        </w:rPr>
        <w:t>This information collection does not affect small businesses or other small entities.</w:t>
      </w:r>
    </w:p>
    <w:p w:rsidR="00B23AAF" w:rsidRPr="00541F86" w:rsidP="002313E2" w14:paraId="78732EF3" w14:textId="1774807A">
      <w:pPr>
        <w:pStyle w:val="ListParagraph"/>
        <w:contextualSpacing w:val="0"/>
        <w:rPr>
          <w:rFonts w:asciiTheme="minorHAnsi" w:hAnsiTheme="minorHAnsi" w:cstheme="minorHAnsi"/>
        </w:rPr>
      </w:pPr>
    </w:p>
    <w:p w:rsidR="00B23AAF" w:rsidP="002313E2" w14:paraId="6B719079" w14:textId="77777777">
      <w:pPr>
        <w:pStyle w:val="ListParagraph"/>
        <w:contextualSpacing w:val="0"/>
        <w:rPr>
          <w:rFonts w:ascii="Times New Roman" w:hAnsi="Times New Roman"/>
          <w:szCs w:val="24"/>
        </w:rPr>
      </w:pPr>
    </w:p>
    <w:p w:rsidR="00043C32" w:rsidP="002313E2" w14:paraId="56DDEF15" w14:textId="55F8086A">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B11C1" w:rsidP="002B11C1" w14:paraId="2767AAF1" w14:textId="57D97287">
      <w:pPr>
        <w:tabs>
          <w:tab w:val="left" w:pos="-720"/>
        </w:tabs>
        <w:suppressAutoHyphens/>
        <w:rPr>
          <w:rFonts w:ascii="Times New Roman" w:hAnsi="Times New Roman"/>
          <w:b/>
          <w:szCs w:val="24"/>
        </w:rPr>
      </w:pPr>
    </w:p>
    <w:p w:rsidR="002B11C1" w:rsidRPr="00541F86" w:rsidP="002B11C1" w14:paraId="4C0B90F0" w14:textId="1D4C02C0">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w:t>
      </w:r>
      <w:r w:rsidRPr="00D35798" w:rsidR="00D35798">
        <w:rPr>
          <w:rFonts w:asciiTheme="minorHAnsi" w:hAnsiTheme="minorHAnsi" w:cstheme="minorHAnsi"/>
        </w:rPr>
        <w:t>respond to EDGAR requirements</w:t>
      </w:r>
      <w:r w:rsidRPr="00541F86">
        <w:rPr>
          <w:rFonts w:asciiTheme="minorHAnsi" w:hAnsiTheme="minorHAnsi" w:cstheme="minorHAnsi"/>
        </w:rPr>
        <w:t>, and other program performance and efficiency measures, or develop improved policies for program administration.</w:t>
      </w:r>
    </w:p>
    <w:p w:rsidR="002313E2" w:rsidP="002313E2" w14:paraId="3A5C678D" w14:textId="679AC4A9">
      <w:pPr>
        <w:pStyle w:val="ListParagraph"/>
        <w:tabs>
          <w:tab w:val="left" w:pos="-720"/>
        </w:tabs>
        <w:suppressAutoHyphens/>
        <w:contextualSpacing w:val="0"/>
        <w:rPr>
          <w:rFonts w:ascii="Times New Roman" w:hAnsi="Times New Roman"/>
          <w:b/>
          <w:szCs w:val="24"/>
        </w:rPr>
      </w:pP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093B73C">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71A55" w:rsidP="00F71A55" w14:paraId="2C58DA46" w14:textId="77777777">
      <w:pPr>
        <w:pStyle w:val="ListParagraph"/>
        <w:rPr>
          <w:rFonts w:ascii="Times New Roman" w:hAnsi="Times New Roman"/>
          <w:b/>
          <w:szCs w:val="24"/>
        </w:rPr>
      </w:pPr>
    </w:p>
    <w:p w:rsidR="00F71A55" w:rsidRPr="00541F86" w:rsidP="0001326E" w14:paraId="6DE95B1A" w14:textId="7A53FE12">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This information collection is conducted in a manner consistent with 5 CFR 1320.5(d)(2).</w:t>
      </w:r>
    </w:p>
    <w:p w:rsidR="00AD381B" w:rsidRPr="00541F86" w:rsidP="002313E2" w14:paraId="56DDEF27" w14:textId="77777777">
      <w:pPr>
        <w:pStyle w:val="ListParagraph"/>
        <w:rPr>
          <w:rFonts w:asciiTheme="minorHAnsi" w:hAnsiTheme="minorHAnsi" w:cstheme="minorHAnsi"/>
          <w:b/>
          <w:szCs w:val="24"/>
        </w:rPr>
      </w:pP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62F1CF22">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7D3BB4C4">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513E87AF">
      <w:pPr>
        <w:tabs>
          <w:tab w:val="left" w:pos="-720"/>
        </w:tabs>
        <w:suppressAutoHyphens/>
        <w:ind w:left="720"/>
        <w:rPr>
          <w:rFonts w:ascii="Times New Roman" w:hAnsi="Times New Roman"/>
          <w:b/>
          <w:szCs w:val="24"/>
        </w:rPr>
      </w:pPr>
    </w:p>
    <w:p w:rsidR="00314C68" w:rsidRPr="00A84DD4" w:rsidP="00314C68" w14:paraId="7AA86441" w14:textId="63118BBA">
      <w:pPr>
        <w:pStyle w:val="NoSpacing"/>
        <w:ind w:left="720"/>
        <w:rPr>
          <w:rFonts w:cstheme="minorHAnsi"/>
          <w:sz w:val="24"/>
          <w:szCs w:val="24"/>
        </w:rPr>
      </w:pPr>
      <w:r w:rsidRPr="00A84DD4">
        <w:rPr>
          <w:rFonts w:cstheme="minorHAnsi"/>
          <w:sz w:val="24"/>
          <w:szCs w:val="24"/>
        </w:rPr>
        <w:t xml:space="preserve">The Department published a 60-day </w:t>
      </w:r>
      <w:r w:rsidRPr="00A84DD4">
        <w:rPr>
          <w:rFonts w:cstheme="minorHAnsi"/>
          <w:sz w:val="24"/>
          <w:szCs w:val="24"/>
          <w:u w:val="single"/>
        </w:rPr>
        <w:t>Federal Register</w:t>
      </w:r>
      <w:r w:rsidRPr="00A84DD4">
        <w:rPr>
          <w:rFonts w:cstheme="minorHAnsi"/>
          <w:sz w:val="24"/>
          <w:szCs w:val="24"/>
        </w:rPr>
        <w:t xml:space="preserve"> notice as required by 5 CFR 1320.8(d) on </w:t>
      </w:r>
      <w:r w:rsidRPr="00A84DD4" w:rsidR="00A84DD4">
        <w:rPr>
          <w:rFonts w:cstheme="minorHAnsi"/>
          <w:sz w:val="24"/>
          <w:szCs w:val="24"/>
        </w:rPr>
        <w:t>July 6</w:t>
      </w:r>
      <w:r w:rsidRPr="00A84DD4">
        <w:rPr>
          <w:rFonts w:cstheme="minorHAnsi"/>
          <w:sz w:val="24"/>
          <w:szCs w:val="24"/>
        </w:rPr>
        <w:t xml:space="preserve">, 2023, to solicit comments on the information collection prior to submission to OMB. </w:t>
      </w:r>
      <w:r w:rsidRPr="00A84DD4" w:rsidR="00A84DD4">
        <w:rPr>
          <w:rFonts w:cstheme="minorHAnsi"/>
          <w:sz w:val="24"/>
          <w:szCs w:val="24"/>
        </w:rPr>
        <w:t>Two</w:t>
      </w:r>
      <w:r w:rsidRPr="00A84DD4">
        <w:rPr>
          <w:rFonts w:cstheme="minorHAnsi"/>
          <w:sz w:val="24"/>
          <w:szCs w:val="24"/>
        </w:rPr>
        <w:t xml:space="preserve"> comment</w:t>
      </w:r>
      <w:r w:rsidRPr="00A84DD4" w:rsidR="00A84DD4">
        <w:rPr>
          <w:rFonts w:cstheme="minorHAnsi"/>
          <w:sz w:val="24"/>
          <w:szCs w:val="24"/>
        </w:rPr>
        <w:t>s</w:t>
      </w:r>
      <w:r w:rsidRPr="00A84DD4">
        <w:rPr>
          <w:rFonts w:cstheme="minorHAnsi"/>
          <w:sz w:val="24"/>
          <w:szCs w:val="24"/>
        </w:rPr>
        <w:t xml:space="preserve"> w</w:t>
      </w:r>
      <w:r w:rsidRPr="00A84DD4" w:rsidR="00A84DD4">
        <w:rPr>
          <w:rFonts w:cstheme="minorHAnsi"/>
          <w:sz w:val="24"/>
          <w:szCs w:val="24"/>
        </w:rPr>
        <w:t xml:space="preserve">ere </w:t>
      </w:r>
      <w:r w:rsidRPr="00A84DD4">
        <w:rPr>
          <w:rFonts w:cstheme="minorHAnsi"/>
          <w:sz w:val="24"/>
          <w:szCs w:val="24"/>
        </w:rPr>
        <w:t xml:space="preserve">received but </w:t>
      </w:r>
      <w:r w:rsidRPr="00A84DD4" w:rsidR="00A84DD4">
        <w:rPr>
          <w:rFonts w:cstheme="minorHAnsi"/>
          <w:sz w:val="24"/>
          <w:szCs w:val="24"/>
        </w:rPr>
        <w:t>they were</w:t>
      </w:r>
      <w:r w:rsidRPr="00A84DD4">
        <w:rPr>
          <w:rFonts w:cstheme="minorHAnsi"/>
          <w:sz w:val="24"/>
          <w:szCs w:val="24"/>
        </w:rPr>
        <w:t xml:space="preserve"> not related to the collection.  </w:t>
      </w:r>
    </w:p>
    <w:p w:rsidR="00314C68" w:rsidRPr="00A84DD4" w:rsidP="00314C68" w14:paraId="291B0933" w14:textId="77777777">
      <w:pPr>
        <w:pStyle w:val="NoSpacing"/>
        <w:ind w:left="720"/>
        <w:rPr>
          <w:rFonts w:cstheme="minorHAnsi"/>
          <w:sz w:val="24"/>
          <w:szCs w:val="24"/>
        </w:rPr>
      </w:pPr>
    </w:p>
    <w:p w:rsidR="00314C68" w:rsidRPr="00A84DD4" w:rsidP="00314C68" w14:paraId="0D3CBF79" w14:textId="1FC8BFCA">
      <w:pPr>
        <w:pStyle w:val="NoSpacing"/>
        <w:ind w:left="720"/>
        <w:rPr>
          <w:rFonts w:cstheme="minorHAnsi"/>
          <w:bCs/>
          <w:sz w:val="24"/>
          <w:szCs w:val="24"/>
        </w:rPr>
      </w:pPr>
      <w:r w:rsidRPr="00A84DD4">
        <w:rPr>
          <w:rFonts w:cstheme="minorHAnsi"/>
          <w:sz w:val="24"/>
          <w:szCs w:val="24"/>
        </w:rPr>
        <w:t xml:space="preserve">A separate 30-day </w:t>
      </w:r>
      <w:r w:rsidRPr="00A84DD4">
        <w:rPr>
          <w:rFonts w:cstheme="minorHAnsi"/>
          <w:sz w:val="24"/>
          <w:szCs w:val="24"/>
          <w:u w:val="single"/>
        </w:rPr>
        <w:t>Federal Register</w:t>
      </w:r>
      <w:r w:rsidRPr="00A84DD4">
        <w:rPr>
          <w:rFonts w:cstheme="minorHAnsi"/>
          <w:sz w:val="24"/>
          <w:szCs w:val="24"/>
        </w:rPr>
        <w:t xml:space="preserve"> notice will be published to solicit public comment on the APR. The Department will summarize public comments received in response to this notice and describe actions taken by the agency in response to these comments.</w:t>
      </w:r>
    </w:p>
    <w:p w:rsidR="00E66550" w:rsidP="002313E2" w14:paraId="56DDEF32" w14:textId="7A2C9020">
      <w:pPr>
        <w:tabs>
          <w:tab w:val="left" w:pos="-720"/>
        </w:tabs>
        <w:suppressAutoHyphens/>
        <w:ind w:left="720"/>
        <w:rPr>
          <w:rFonts w:ascii="Times New Roman" w:hAnsi="Times New Roman"/>
          <w:szCs w:val="24"/>
        </w:rPr>
      </w:pPr>
    </w:p>
    <w:p w:rsidR="00A84DD4" w:rsidP="002313E2" w14:paraId="1AA20C9F"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0A074FCC">
      <w:pPr>
        <w:pStyle w:val="ListParagraph"/>
        <w:tabs>
          <w:tab w:val="left" w:pos="-720"/>
        </w:tabs>
        <w:suppressAutoHyphens/>
        <w:contextualSpacing w:val="0"/>
        <w:rPr>
          <w:rFonts w:ascii="Times New Roman" w:hAnsi="Times New Roman"/>
          <w:b/>
          <w:szCs w:val="24"/>
        </w:rPr>
      </w:pPr>
    </w:p>
    <w:p w:rsidR="00511CBF" w:rsidRPr="00541F86" w:rsidP="002313E2" w14:paraId="558D0818" w14:textId="3D3858A9">
      <w:pPr>
        <w:pStyle w:val="ListParagraph"/>
        <w:tabs>
          <w:tab w:val="left" w:pos="-720"/>
        </w:tabs>
        <w:suppressAutoHyphens/>
        <w:contextualSpacing w:val="0"/>
        <w:rPr>
          <w:rFonts w:asciiTheme="minorHAnsi" w:hAnsiTheme="minorHAnsi" w:cstheme="minorHAnsi"/>
          <w:b/>
          <w:szCs w:val="24"/>
        </w:rPr>
      </w:pPr>
      <w:r w:rsidRPr="00541F86">
        <w:rPr>
          <w:rFonts w:asciiTheme="minorHAnsi" w:hAnsiTheme="minorHAnsi" w:cstheme="minorHAnsi"/>
        </w:rPr>
        <w:t>The Department will not provide payment or gifts to respondents.</w:t>
      </w:r>
    </w:p>
    <w:p w:rsidR="00920F63" w:rsidRPr="00541F86" w:rsidP="002313E2" w14:paraId="56DDEF35" w14:textId="0FAF6B9F">
      <w:pPr>
        <w:pStyle w:val="ListParagraph"/>
        <w:tabs>
          <w:tab w:val="left" w:pos="-720"/>
        </w:tabs>
        <w:suppressAutoHyphens/>
        <w:contextualSpacing w:val="0"/>
        <w:rPr>
          <w:rFonts w:asciiTheme="minorHAnsi" w:hAnsiTheme="minorHAnsi" w:cstheme="minorHAnsi"/>
          <w:b/>
          <w:szCs w:val="24"/>
        </w:rPr>
      </w:pPr>
    </w:p>
    <w:p w:rsidR="003133D4" w:rsidRPr="00920F63" w:rsidP="002313E2" w14:paraId="57C07CF1"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w:t>
      </w:r>
      <w:r w:rsidRPr="00920F63">
        <w:rPr>
          <w:rFonts w:ascii="Times New Roman" w:hAnsi="Times New Roman"/>
          <w:b/>
          <w:szCs w:val="24"/>
        </w:rPr>
        <w:t>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313E2" w14:paraId="56DDEF37" w14:textId="20859F17">
      <w:pPr>
        <w:tabs>
          <w:tab w:val="left" w:pos="-720"/>
        </w:tabs>
        <w:suppressAutoHyphens/>
        <w:rPr>
          <w:rFonts w:ascii="Times New Roman" w:hAnsi="Times New Roman"/>
          <w:b/>
          <w:szCs w:val="24"/>
        </w:rPr>
      </w:pPr>
    </w:p>
    <w:p w:rsidR="00A01DBD" w:rsidRPr="00541F86" w:rsidP="00F30C32" w14:paraId="4134F665" w14:textId="3708701E">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No assurances of confidentiality are provided to the respondents. The Department makes no pledge about the confidentiality of the data.</w:t>
      </w:r>
    </w:p>
    <w:p w:rsidR="00920F63" w:rsidRPr="00541F86" w:rsidP="002313E2" w14:paraId="56DDEF38" w14:textId="27530F1D">
      <w:pPr>
        <w:tabs>
          <w:tab w:val="left" w:pos="-720"/>
        </w:tabs>
        <w:suppressAutoHyphens/>
        <w:rPr>
          <w:rFonts w:asciiTheme="minorHAnsi" w:hAnsiTheme="minorHAnsi" w:cstheme="minorHAnsi"/>
          <w:szCs w:val="24"/>
        </w:rPr>
      </w:pPr>
    </w:p>
    <w:p w:rsidR="003133D4" w:rsidRPr="00920F63" w:rsidP="002313E2" w14:paraId="3877859B"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2B09582F">
      <w:pPr>
        <w:tabs>
          <w:tab w:val="left" w:pos="-720"/>
        </w:tabs>
        <w:suppressAutoHyphens/>
        <w:rPr>
          <w:rFonts w:ascii="Times New Roman" w:hAnsi="Times New Roman"/>
          <w:b/>
          <w:szCs w:val="24"/>
        </w:rPr>
      </w:pPr>
    </w:p>
    <w:p w:rsidR="00CB0D66" w:rsidRPr="00541F86" w:rsidP="00CB0D66" w14:paraId="2088BE7F" w14:textId="3325946B">
      <w:pPr>
        <w:tabs>
          <w:tab w:val="left" w:pos="-720"/>
        </w:tabs>
        <w:suppressAutoHyphens/>
        <w:ind w:left="720"/>
        <w:rPr>
          <w:rFonts w:asciiTheme="minorHAnsi" w:hAnsiTheme="minorHAnsi" w:cstheme="minorHAnsi"/>
          <w:b/>
          <w:szCs w:val="24"/>
        </w:rPr>
      </w:pPr>
      <w:r w:rsidRPr="00541F86">
        <w:rPr>
          <w:rFonts w:asciiTheme="minorHAnsi" w:hAnsiTheme="minorHAnsi" w:cstheme="minorHAnsi"/>
        </w:rPr>
        <w:t>The performance report form does not include questions about sexual behavior and attitudes, religious beliefs, or other matters that are commonly considered sensitive and private</w:t>
      </w:r>
      <w:r w:rsidRPr="00541F86" w:rsidR="006C4A4D">
        <w:rPr>
          <w:rFonts w:asciiTheme="minorHAnsi" w:hAnsiTheme="minorHAnsi" w:cstheme="minorHAnsi"/>
        </w:rPr>
        <w:t>.</w:t>
      </w:r>
    </w:p>
    <w:p w:rsidR="00920F63" w:rsidP="002313E2" w14:paraId="56DDEF3B" w14:textId="29562B86">
      <w:pPr>
        <w:tabs>
          <w:tab w:val="left" w:pos="-720"/>
        </w:tabs>
        <w:suppressAutoHyphens/>
        <w:ind w:left="180"/>
        <w:rPr>
          <w:rFonts w:ascii="Times New Roman" w:hAnsi="Times New Roman"/>
          <w:szCs w:val="24"/>
        </w:rPr>
      </w:pPr>
    </w:p>
    <w:p w:rsidR="003133D4" w:rsidRPr="00920F63" w:rsidP="002313E2" w14:paraId="69D06AF9"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contracting out or paying outside parties for information collection activities </w:t>
      </w:r>
      <w:r w:rsidRPr="00920F63">
        <w:rPr>
          <w:rStyle w:val="a"/>
          <w:rFonts w:ascii="Times New Roman" w:hAnsi="Times New Roman"/>
          <w:b/>
          <w:szCs w:val="24"/>
        </w:rPr>
        <w:t>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756FD3" w:rsidP="002313E2" w14:paraId="56DDEF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708D2" w:rsidP="007708D2" w14:paraId="51BA9FAC" w14:textId="2ADA118B">
      <w:pPr>
        <w:tabs>
          <w:tab w:val="left" w:pos="-720"/>
        </w:tabs>
        <w:suppressAutoHyphens/>
        <w:rPr>
          <w:rStyle w:val="a"/>
          <w:rFonts w:ascii="Times New Roman" w:hAnsi="Times New Roman"/>
          <w:szCs w:val="24"/>
        </w:rPr>
      </w:pPr>
    </w:p>
    <w:p w:rsidR="00AA796A" w:rsidRPr="00541F86" w:rsidP="00AA796A" w14:paraId="0ADFCD41" w14:textId="78FAC940">
      <w:pPr>
        <w:tabs>
          <w:tab w:val="left" w:pos="-720"/>
        </w:tabs>
        <w:suppressAutoHyphens/>
        <w:ind w:left="720"/>
        <w:rPr>
          <w:rFonts w:asciiTheme="minorHAnsi" w:hAnsiTheme="minorHAnsi" w:cstheme="minorHAnsi"/>
        </w:rPr>
      </w:pPr>
      <w:r w:rsidRPr="00541F86">
        <w:rPr>
          <w:rFonts w:asciiTheme="minorHAnsi" w:hAnsiTheme="minorHAnsi" w:cstheme="minorHAnsi"/>
        </w:rPr>
        <w:t>The performance reports are submitted annually.</w:t>
      </w:r>
      <w:r w:rsidRPr="00541F86" w:rsidR="00D46506">
        <w:rPr>
          <w:rFonts w:asciiTheme="minorHAnsi" w:hAnsiTheme="minorHAnsi" w:cstheme="minorHAnsi"/>
        </w:rPr>
        <w:t xml:space="preserve"> Each grant project submits one report per year. </w:t>
      </w:r>
      <w:r w:rsidRPr="00541F86" w:rsidR="003C3234">
        <w:rPr>
          <w:rFonts w:asciiTheme="minorHAnsi" w:hAnsiTheme="minorHAnsi" w:cstheme="minorHAnsi"/>
        </w:rPr>
        <w:t xml:space="preserve">On average, eight hours should be sufficient </w:t>
      </w:r>
      <w:r w:rsidRPr="00541F86" w:rsidR="002B7491">
        <w:rPr>
          <w:rFonts w:asciiTheme="minorHAnsi" w:hAnsiTheme="minorHAnsi" w:cstheme="minorHAnsi"/>
        </w:rPr>
        <w:t>to gather and</w:t>
      </w:r>
      <w:r w:rsidRPr="00541F86" w:rsidR="00DC62DD">
        <w:rPr>
          <w:rFonts w:asciiTheme="minorHAnsi" w:hAnsiTheme="minorHAnsi" w:cstheme="minorHAnsi"/>
        </w:rPr>
        <w:t xml:space="preserve"> upload</w:t>
      </w:r>
      <w:r w:rsidRPr="00541F86" w:rsidR="002B7491">
        <w:rPr>
          <w:rFonts w:asciiTheme="minorHAnsi" w:hAnsiTheme="minorHAnsi" w:cstheme="minorHAnsi"/>
        </w:rPr>
        <w:t xml:space="preserve"> information to complete </w:t>
      </w:r>
      <w:r w:rsidRPr="00541F86" w:rsidR="00DC62DD">
        <w:rPr>
          <w:rFonts w:asciiTheme="minorHAnsi" w:hAnsiTheme="minorHAnsi" w:cstheme="minorHAnsi"/>
        </w:rPr>
        <w:t xml:space="preserve">the </w:t>
      </w:r>
      <w:r w:rsidRPr="00541F86" w:rsidR="003C3234">
        <w:rPr>
          <w:rFonts w:asciiTheme="minorHAnsi" w:hAnsiTheme="minorHAnsi" w:cstheme="minorHAnsi"/>
        </w:rPr>
        <w:t xml:space="preserve">EOC APR submission.  </w:t>
      </w:r>
    </w:p>
    <w:p w:rsidR="007F4143" w:rsidRPr="00541F86" w:rsidP="00AA796A" w14:paraId="7C06E948" w14:textId="303072A8">
      <w:pPr>
        <w:tabs>
          <w:tab w:val="left" w:pos="-720"/>
        </w:tabs>
        <w:suppressAutoHyphens/>
        <w:ind w:left="720"/>
        <w:rPr>
          <w:rFonts w:asciiTheme="minorHAnsi" w:hAnsiTheme="minorHAnsi" w:cstheme="minorHAnsi"/>
        </w:rPr>
      </w:pPr>
    </w:p>
    <w:p w:rsidR="007F4143" w:rsidRPr="00541F86" w:rsidP="00AA796A" w14:paraId="4DAB687A" w14:textId="5F588519">
      <w:pPr>
        <w:tabs>
          <w:tab w:val="left" w:pos="-720"/>
        </w:tabs>
        <w:suppressAutoHyphens/>
        <w:ind w:left="720"/>
        <w:rPr>
          <w:rFonts w:asciiTheme="minorHAnsi" w:hAnsiTheme="minorHAnsi" w:cstheme="minorHAnsi"/>
        </w:rPr>
      </w:pPr>
      <w:r w:rsidRPr="00541F86">
        <w:rPr>
          <w:rFonts w:asciiTheme="minorHAnsi" w:hAnsiTheme="minorHAnsi" w:cstheme="minorHAnsi"/>
        </w:rPr>
        <w:t xml:space="preserve">This </w:t>
      </w:r>
      <w:r w:rsidRPr="00541F86" w:rsidR="00FD7FF8">
        <w:rPr>
          <w:rFonts w:asciiTheme="minorHAnsi" w:hAnsiTheme="minorHAnsi" w:cstheme="minorHAnsi"/>
        </w:rPr>
        <w:t xml:space="preserve">average </w:t>
      </w:r>
      <w:r w:rsidRPr="00541F86" w:rsidR="00771FF0">
        <w:rPr>
          <w:rFonts w:asciiTheme="minorHAnsi" w:hAnsiTheme="minorHAnsi" w:cstheme="minorHAnsi"/>
        </w:rPr>
        <w:t>eight-hour</w:t>
      </w:r>
      <w:r w:rsidRPr="00541F86">
        <w:rPr>
          <w:rFonts w:asciiTheme="minorHAnsi" w:hAnsiTheme="minorHAnsi" w:cstheme="minorHAnsi"/>
        </w:rPr>
        <w:t xml:space="preserve"> response burden </w:t>
      </w:r>
      <w:r w:rsidRPr="00541F86" w:rsidR="00FD7FF8">
        <w:rPr>
          <w:rFonts w:asciiTheme="minorHAnsi" w:hAnsiTheme="minorHAnsi" w:cstheme="minorHAnsi"/>
        </w:rPr>
        <w:t xml:space="preserve">is distributed across the </w:t>
      </w:r>
      <w:r w:rsidRPr="00541F86" w:rsidR="00771FF0">
        <w:rPr>
          <w:rFonts w:asciiTheme="minorHAnsi" w:hAnsiTheme="minorHAnsi" w:cstheme="minorHAnsi"/>
        </w:rPr>
        <w:t>1</w:t>
      </w:r>
      <w:r w:rsidR="00771FF0">
        <w:rPr>
          <w:rFonts w:asciiTheme="minorHAnsi" w:hAnsiTheme="minorHAnsi" w:cstheme="minorHAnsi"/>
        </w:rPr>
        <w:t>83</w:t>
      </w:r>
      <w:r w:rsidRPr="00541F86" w:rsidR="00771FF0">
        <w:rPr>
          <w:rFonts w:asciiTheme="minorHAnsi" w:hAnsiTheme="minorHAnsi" w:cstheme="minorHAnsi"/>
        </w:rPr>
        <w:t xml:space="preserve"> </w:t>
      </w:r>
      <w:r w:rsidRPr="00541F86" w:rsidR="00FD7FF8">
        <w:rPr>
          <w:rFonts w:asciiTheme="minorHAnsi" w:hAnsiTheme="minorHAnsi" w:cstheme="minorHAnsi"/>
        </w:rPr>
        <w:t xml:space="preserve">EOC grant projects </w:t>
      </w:r>
      <w:r w:rsidRPr="00541F86" w:rsidR="00BB4F75">
        <w:rPr>
          <w:rFonts w:asciiTheme="minorHAnsi" w:hAnsiTheme="minorHAnsi" w:cstheme="minorHAnsi"/>
        </w:rPr>
        <w:t>for total annual burden hours of 1,</w:t>
      </w:r>
      <w:r w:rsidR="00597C9A">
        <w:rPr>
          <w:rFonts w:asciiTheme="minorHAnsi" w:hAnsiTheme="minorHAnsi" w:cstheme="minorHAnsi"/>
        </w:rPr>
        <w:t>464</w:t>
      </w:r>
      <w:r w:rsidRPr="00541F86" w:rsidR="00BB4F75">
        <w:rPr>
          <w:rFonts w:asciiTheme="minorHAnsi" w:hAnsiTheme="minorHAnsi" w:cstheme="minorHAnsi"/>
        </w:rPr>
        <w:t xml:space="preserve">.  </w:t>
      </w:r>
    </w:p>
    <w:p w:rsidR="00FB7FCE" w:rsidRPr="00541F86" w:rsidP="00AA796A" w14:paraId="359F6D4B" w14:textId="4030B674">
      <w:pPr>
        <w:tabs>
          <w:tab w:val="left" w:pos="-720"/>
        </w:tabs>
        <w:suppressAutoHyphens/>
        <w:ind w:left="720"/>
        <w:rPr>
          <w:rFonts w:asciiTheme="minorHAnsi" w:hAnsiTheme="minorHAnsi" w:cstheme="minorHAnsi"/>
        </w:rPr>
      </w:pPr>
    </w:p>
    <w:p w:rsidR="000C7127" w:rsidP="007B779A" w14:paraId="3DE3F14B" w14:textId="2A845CA7">
      <w:pPr>
        <w:tabs>
          <w:tab w:val="left" w:pos="-720"/>
        </w:tabs>
        <w:suppressAutoHyphens/>
        <w:ind w:left="720"/>
      </w:pPr>
      <w:r w:rsidRPr="00541F86">
        <w:rPr>
          <w:rFonts w:asciiTheme="minorHAnsi" w:hAnsiTheme="minorHAnsi" w:cstheme="minorHAnsi"/>
        </w:rPr>
        <w:t>On average, each project is estimated to require 7.5 hours from a project director and 0.5 hours of effort from an administrative support staff person</w:t>
      </w:r>
      <w:r w:rsidRPr="00541F86" w:rsidR="006477C1">
        <w:rPr>
          <w:rFonts w:asciiTheme="minorHAnsi" w:hAnsiTheme="minorHAnsi" w:cstheme="minorHAnsi"/>
        </w:rPr>
        <w:t xml:space="preserve"> to support the submission process. </w:t>
      </w:r>
      <w:r w:rsidRPr="00541F86" w:rsidR="00D579DE">
        <w:rPr>
          <w:rFonts w:asciiTheme="minorHAnsi" w:hAnsiTheme="minorHAnsi" w:cstheme="minorHAnsi"/>
        </w:rPr>
        <w:t>T</w:t>
      </w:r>
      <w:r w:rsidRPr="00541F86" w:rsidR="00810F45">
        <w:rPr>
          <w:rFonts w:asciiTheme="minorHAnsi" w:hAnsiTheme="minorHAnsi" w:cstheme="minorHAnsi"/>
        </w:rPr>
        <w:t>he project director</w:t>
      </w:r>
      <w:r w:rsidRPr="00541F86" w:rsidR="00D579DE">
        <w:rPr>
          <w:rFonts w:asciiTheme="minorHAnsi" w:hAnsiTheme="minorHAnsi" w:cstheme="minorHAnsi"/>
        </w:rPr>
        <w:t>’</w:t>
      </w:r>
      <w:r w:rsidRPr="00541F86" w:rsidR="00810F45">
        <w:rPr>
          <w:rFonts w:asciiTheme="minorHAnsi" w:hAnsiTheme="minorHAnsi" w:cstheme="minorHAnsi"/>
        </w:rPr>
        <w:t xml:space="preserve">s hours are valued at </w:t>
      </w:r>
      <w:r w:rsidRPr="00541F86" w:rsidR="00AF1EBE">
        <w:rPr>
          <w:rFonts w:asciiTheme="minorHAnsi" w:hAnsiTheme="minorHAnsi" w:cstheme="minorHAnsi"/>
        </w:rPr>
        <w:t>$42 per hour and the support staff is valued at $23 per hour</w:t>
      </w:r>
      <w:r w:rsidRPr="00541F86" w:rsidR="00D579DE">
        <w:rPr>
          <w:rFonts w:asciiTheme="minorHAnsi" w:hAnsiTheme="minorHAnsi" w:cstheme="minorHAnsi"/>
        </w:rPr>
        <w:t>.</w:t>
      </w:r>
    </w:p>
    <w:p w:rsidR="007708D2" w:rsidRPr="007708D2" w:rsidP="007708D2" w14:paraId="40402F67" w14:textId="77777777">
      <w:pPr>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0825" w:type="dxa"/>
        <w:tblLayout w:type="fixed"/>
        <w:tblLook w:val="0020"/>
      </w:tblPr>
      <w:tblGrid>
        <w:gridCol w:w="1285"/>
        <w:gridCol w:w="1208"/>
        <w:gridCol w:w="1199"/>
        <w:gridCol w:w="1203"/>
        <w:gridCol w:w="1046"/>
        <w:gridCol w:w="1017"/>
        <w:gridCol w:w="945"/>
        <w:gridCol w:w="1461"/>
        <w:gridCol w:w="1461"/>
      </w:tblGrid>
      <w:tr w14:paraId="56DDEF5E" w14:textId="77777777" w:rsidTr="007B779A">
        <w:tblPrEx>
          <w:tblW w:w="10825" w:type="dxa"/>
          <w:tblLayout w:type="fixed"/>
          <w:tblLook w:val="0020"/>
        </w:tblPrEx>
        <w:trPr>
          <w:trHeight w:val="1025"/>
          <w:tblHeader/>
        </w:trPr>
        <w:tc>
          <w:tcPr>
            <w:tcW w:w="128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08"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99"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03"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46"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017"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45"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461"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61"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7B779A">
        <w:tblPrEx>
          <w:tblW w:w="10825" w:type="dxa"/>
          <w:tblLayout w:type="fixed"/>
          <w:tblLook w:val="0020"/>
        </w:tblPrEx>
        <w:trPr>
          <w:trHeight w:val="250"/>
        </w:trPr>
        <w:tc>
          <w:tcPr>
            <w:tcW w:w="1285" w:type="dxa"/>
          </w:tcPr>
          <w:p w:rsidR="0021632E" w:rsidRPr="007B779A" w:rsidP="00ED7E7C" w14:paraId="56DDEF5F" w14:textId="55742694">
            <w:pPr>
              <w:rPr>
                <w:rFonts w:ascii="Times New Roman" w:hAnsi="Times New Roman"/>
                <w:sz w:val="20"/>
              </w:rPr>
            </w:pPr>
            <w:r w:rsidRPr="007B779A">
              <w:rPr>
                <w:rFonts w:ascii="Times New Roman" w:hAnsi="Times New Roman"/>
                <w:sz w:val="20"/>
              </w:rPr>
              <w:t>Public Sector</w:t>
            </w:r>
          </w:p>
        </w:tc>
        <w:tc>
          <w:tcPr>
            <w:tcW w:w="1208" w:type="dxa"/>
          </w:tcPr>
          <w:p w:rsidR="0021632E" w:rsidRPr="007B779A" w:rsidP="00ED7E7C" w14:paraId="56DDEF60" w14:textId="29B2CDC7">
            <w:pPr>
              <w:rPr>
                <w:rFonts w:ascii="Times New Roman" w:hAnsi="Times New Roman"/>
                <w:sz w:val="20"/>
              </w:rPr>
            </w:pPr>
            <w:r w:rsidRPr="007B779A">
              <w:rPr>
                <w:rFonts w:ascii="Times New Roman" w:hAnsi="Times New Roman"/>
                <w:sz w:val="20"/>
              </w:rPr>
              <w:t>N/A</w:t>
            </w:r>
          </w:p>
        </w:tc>
        <w:tc>
          <w:tcPr>
            <w:tcW w:w="1199" w:type="dxa"/>
          </w:tcPr>
          <w:p w:rsidR="0021632E" w:rsidRPr="007B779A" w:rsidP="00ED7E7C" w14:paraId="56DDEF61" w14:textId="5ED1BF34">
            <w:pPr>
              <w:rPr>
                <w:rFonts w:ascii="Times New Roman" w:hAnsi="Times New Roman"/>
                <w:sz w:val="20"/>
              </w:rPr>
            </w:pPr>
            <w:r w:rsidRPr="007B779A">
              <w:rPr>
                <w:rFonts w:ascii="Times New Roman" w:hAnsi="Times New Roman"/>
                <w:sz w:val="20"/>
              </w:rPr>
              <w:t>N/A</w:t>
            </w:r>
          </w:p>
        </w:tc>
        <w:tc>
          <w:tcPr>
            <w:tcW w:w="1203" w:type="dxa"/>
          </w:tcPr>
          <w:p w:rsidR="0021632E" w:rsidRPr="007B779A" w:rsidP="0025190E" w14:paraId="56DDEF62" w14:textId="58B822FD">
            <w:pPr>
              <w:rPr>
                <w:rFonts w:ascii="Times New Roman" w:hAnsi="Times New Roman"/>
                <w:sz w:val="20"/>
              </w:rPr>
            </w:pPr>
            <w:r w:rsidRPr="007B779A">
              <w:rPr>
                <w:rFonts w:ascii="Times New Roman" w:hAnsi="Times New Roman"/>
                <w:sz w:val="20"/>
              </w:rPr>
              <w:t>140</w:t>
            </w:r>
          </w:p>
        </w:tc>
        <w:tc>
          <w:tcPr>
            <w:tcW w:w="1046" w:type="dxa"/>
          </w:tcPr>
          <w:p w:rsidR="0021632E" w:rsidRPr="007B779A" w:rsidP="0025190E" w14:paraId="56DDEF63" w14:textId="2B2335BA">
            <w:pPr>
              <w:rPr>
                <w:rFonts w:ascii="Times New Roman" w:hAnsi="Times New Roman"/>
                <w:sz w:val="20"/>
              </w:rPr>
            </w:pPr>
            <w:r w:rsidRPr="007B779A">
              <w:rPr>
                <w:rFonts w:ascii="Times New Roman" w:hAnsi="Times New Roman"/>
                <w:sz w:val="20"/>
              </w:rPr>
              <w:t>140</w:t>
            </w:r>
          </w:p>
        </w:tc>
        <w:tc>
          <w:tcPr>
            <w:tcW w:w="1017" w:type="dxa"/>
          </w:tcPr>
          <w:p w:rsidR="0021632E" w:rsidRPr="007B779A" w:rsidP="0025190E" w14:paraId="56DDEF64" w14:textId="5E7B8137">
            <w:pPr>
              <w:rPr>
                <w:rFonts w:ascii="Times New Roman" w:hAnsi="Times New Roman"/>
                <w:sz w:val="20"/>
              </w:rPr>
            </w:pPr>
            <w:r w:rsidRPr="007B779A">
              <w:rPr>
                <w:rFonts w:ascii="Times New Roman" w:hAnsi="Times New Roman"/>
                <w:sz w:val="20"/>
              </w:rPr>
              <w:t>8</w:t>
            </w:r>
          </w:p>
        </w:tc>
        <w:tc>
          <w:tcPr>
            <w:tcW w:w="945" w:type="dxa"/>
          </w:tcPr>
          <w:p w:rsidR="0021632E" w:rsidRPr="007B779A" w:rsidP="0025190E" w14:paraId="56DDEF65" w14:textId="00D0F70B">
            <w:pPr>
              <w:rPr>
                <w:rFonts w:ascii="Times New Roman" w:hAnsi="Times New Roman"/>
                <w:sz w:val="20"/>
              </w:rPr>
            </w:pPr>
            <w:r w:rsidRPr="007B779A">
              <w:rPr>
                <w:rFonts w:ascii="Times New Roman" w:hAnsi="Times New Roman"/>
                <w:sz w:val="20"/>
              </w:rPr>
              <w:t>1,</w:t>
            </w:r>
            <w:r w:rsidRPr="007B779A" w:rsidR="004B6D99">
              <w:rPr>
                <w:rFonts w:ascii="Times New Roman" w:hAnsi="Times New Roman"/>
                <w:sz w:val="20"/>
              </w:rPr>
              <w:t>120</w:t>
            </w:r>
          </w:p>
        </w:tc>
        <w:tc>
          <w:tcPr>
            <w:tcW w:w="1461" w:type="dxa"/>
            <w:vMerge w:val="restart"/>
          </w:tcPr>
          <w:p w:rsidR="0021632E" w:rsidRPr="007B779A" w:rsidP="00ED7E7C" w14:paraId="130227D0" w14:textId="4149836B">
            <w:pPr>
              <w:rPr>
                <w:rFonts w:ascii="Times New Roman" w:hAnsi="Times New Roman"/>
                <w:sz w:val="20"/>
              </w:rPr>
            </w:pPr>
          </w:p>
          <w:p w:rsidR="0021632E" w:rsidRPr="007B779A" w:rsidP="0021632E" w14:paraId="5A31D1E1" w14:textId="77777777">
            <w:pPr>
              <w:jc w:val="center"/>
              <w:rPr>
                <w:rFonts w:ascii="Times New Roman" w:hAnsi="Times New Roman"/>
                <w:sz w:val="20"/>
              </w:rPr>
            </w:pPr>
            <w:r w:rsidRPr="007B779A">
              <w:rPr>
                <w:rFonts w:ascii="Times New Roman" w:hAnsi="Times New Roman"/>
                <w:sz w:val="20"/>
              </w:rPr>
              <w:t>Project Director = $42/hour</w:t>
            </w:r>
          </w:p>
          <w:p w:rsidR="0021632E" w:rsidRPr="007B779A" w:rsidP="0021632E" w14:paraId="444D8FE3" w14:textId="77777777">
            <w:pPr>
              <w:jc w:val="center"/>
              <w:rPr>
                <w:rFonts w:ascii="Times New Roman" w:hAnsi="Times New Roman"/>
                <w:sz w:val="20"/>
              </w:rPr>
            </w:pPr>
          </w:p>
          <w:p w:rsidR="0021632E" w:rsidRPr="007B779A" w:rsidP="0021632E" w14:paraId="6E95C790" w14:textId="77777777">
            <w:pPr>
              <w:jc w:val="center"/>
              <w:rPr>
                <w:rFonts w:ascii="Times New Roman" w:hAnsi="Times New Roman"/>
                <w:sz w:val="20"/>
              </w:rPr>
            </w:pPr>
            <w:r w:rsidRPr="007B779A">
              <w:rPr>
                <w:rFonts w:ascii="Times New Roman" w:hAnsi="Times New Roman"/>
                <w:sz w:val="20"/>
              </w:rPr>
              <w:t>Support staff = $23/hour</w:t>
            </w:r>
          </w:p>
          <w:p w:rsidR="0021632E" w:rsidRPr="007B779A" w:rsidP="0025190E" w14:paraId="56DDEF66" w14:textId="2E47CA9C">
            <w:pPr>
              <w:rPr>
                <w:rFonts w:ascii="Times New Roman" w:hAnsi="Times New Roman"/>
                <w:sz w:val="20"/>
              </w:rPr>
            </w:pPr>
          </w:p>
        </w:tc>
        <w:tc>
          <w:tcPr>
            <w:tcW w:w="1461" w:type="dxa"/>
          </w:tcPr>
          <w:p w:rsidR="0021632E" w:rsidRPr="007B779A" w:rsidP="00804FD6" w14:paraId="56DDEF67" w14:textId="6B38D0CE">
            <w:pPr>
              <w:rPr>
                <w:rFonts w:ascii="Times New Roman" w:hAnsi="Times New Roman"/>
                <w:sz w:val="20"/>
              </w:rPr>
            </w:pPr>
            <w:r w:rsidRPr="007B779A">
              <w:rPr>
                <w:rFonts w:ascii="Times New Roman" w:hAnsi="Times New Roman"/>
                <w:sz w:val="20"/>
              </w:rPr>
              <w:t>$</w:t>
            </w:r>
            <w:r w:rsidRPr="007B779A" w:rsidR="00804FD6">
              <w:rPr>
                <w:rFonts w:ascii="Times New Roman" w:hAnsi="Times New Roman"/>
                <w:sz w:val="20"/>
              </w:rPr>
              <w:t>45,71</w:t>
            </w:r>
            <w:r w:rsidRPr="007B779A" w:rsidR="0087466F">
              <w:rPr>
                <w:rFonts w:ascii="Times New Roman" w:hAnsi="Times New Roman"/>
                <w:sz w:val="20"/>
              </w:rPr>
              <w:t>0.00</w:t>
            </w:r>
          </w:p>
        </w:tc>
      </w:tr>
      <w:tr w14:paraId="56DDEF72" w14:textId="77777777" w:rsidTr="007B779A">
        <w:tblPrEx>
          <w:tblW w:w="10825" w:type="dxa"/>
          <w:tblLayout w:type="fixed"/>
          <w:tblLook w:val="0020"/>
        </w:tblPrEx>
        <w:trPr>
          <w:trHeight w:val="250"/>
        </w:trPr>
        <w:tc>
          <w:tcPr>
            <w:tcW w:w="1285" w:type="dxa"/>
          </w:tcPr>
          <w:p w:rsidR="0021632E" w:rsidRPr="007B779A" w:rsidP="00ED7E7C" w14:paraId="56DDEF69" w14:textId="7B0058C4">
            <w:pPr>
              <w:rPr>
                <w:rFonts w:ascii="Times New Roman" w:hAnsi="Times New Roman"/>
                <w:sz w:val="20"/>
              </w:rPr>
            </w:pPr>
            <w:r w:rsidRPr="007B779A">
              <w:rPr>
                <w:rFonts w:ascii="Times New Roman" w:hAnsi="Times New Roman"/>
                <w:sz w:val="20"/>
              </w:rPr>
              <w:t>Private Sector</w:t>
            </w:r>
          </w:p>
        </w:tc>
        <w:tc>
          <w:tcPr>
            <w:tcW w:w="1208" w:type="dxa"/>
          </w:tcPr>
          <w:p w:rsidR="0021632E" w:rsidRPr="007B779A" w:rsidP="00ED7E7C" w14:paraId="56DDEF6A" w14:textId="456BA303">
            <w:pPr>
              <w:rPr>
                <w:rFonts w:ascii="Times New Roman" w:hAnsi="Times New Roman"/>
                <w:sz w:val="20"/>
              </w:rPr>
            </w:pPr>
            <w:r w:rsidRPr="007B779A">
              <w:rPr>
                <w:rFonts w:ascii="Times New Roman" w:hAnsi="Times New Roman"/>
                <w:sz w:val="20"/>
              </w:rPr>
              <w:t>N/A</w:t>
            </w:r>
          </w:p>
        </w:tc>
        <w:tc>
          <w:tcPr>
            <w:tcW w:w="1199" w:type="dxa"/>
          </w:tcPr>
          <w:p w:rsidR="0021632E" w:rsidRPr="007B779A" w:rsidP="00ED7E7C" w14:paraId="56DDEF6B" w14:textId="5232B4E7">
            <w:pPr>
              <w:rPr>
                <w:rFonts w:ascii="Times New Roman" w:hAnsi="Times New Roman"/>
                <w:sz w:val="20"/>
              </w:rPr>
            </w:pPr>
            <w:r w:rsidRPr="007B779A">
              <w:rPr>
                <w:rFonts w:ascii="Times New Roman" w:hAnsi="Times New Roman"/>
                <w:sz w:val="20"/>
              </w:rPr>
              <w:t>N/A</w:t>
            </w:r>
          </w:p>
        </w:tc>
        <w:tc>
          <w:tcPr>
            <w:tcW w:w="1203" w:type="dxa"/>
          </w:tcPr>
          <w:p w:rsidR="0021632E" w:rsidRPr="007B779A" w:rsidP="0025190E" w14:paraId="56DDEF6C" w14:textId="7DAF6020">
            <w:pPr>
              <w:rPr>
                <w:rFonts w:ascii="Times New Roman" w:hAnsi="Times New Roman"/>
                <w:sz w:val="20"/>
              </w:rPr>
            </w:pPr>
            <w:r w:rsidRPr="007B779A">
              <w:rPr>
                <w:rFonts w:ascii="Times New Roman" w:hAnsi="Times New Roman"/>
                <w:sz w:val="20"/>
              </w:rPr>
              <w:t>43</w:t>
            </w:r>
          </w:p>
        </w:tc>
        <w:tc>
          <w:tcPr>
            <w:tcW w:w="1046" w:type="dxa"/>
          </w:tcPr>
          <w:p w:rsidR="0021632E" w:rsidRPr="007B779A" w:rsidP="0025190E" w14:paraId="56DDEF6D" w14:textId="4C079E0A">
            <w:pPr>
              <w:rPr>
                <w:rFonts w:ascii="Times New Roman" w:hAnsi="Times New Roman"/>
                <w:sz w:val="20"/>
              </w:rPr>
            </w:pPr>
            <w:r w:rsidRPr="007B779A">
              <w:rPr>
                <w:rFonts w:ascii="Times New Roman" w:hAnsi="Times New Roman"/>
                <w:sz w:val="20"/>
              </w:rPr>
              <w:t>43</w:t>
            </w:r>
          </w:p>
        </w:tc>
        <w:tc>
          <w:tcPr>
            <w:tcW w:w="1017" w:type="dxa"/>
          </w:tcPr>
          <w:p w:rsidR="0021632E" w:rsidRPr="007B779A" w:rsidP="0025190E" w14:paraId="56DDEF6E" w14:textId="4318F2F2">
            <w:pPr>
              <w:rPr>
                <w:rFonts w:ascii="Times New Roman" w:hAnsi="Times New Roman"/>
                <w:sz w:val="20"/>
              </w:rPr>
            </w:pPr>
            <w:r w:rsidRPr="007B779A">
              <w:rPr>
                <w:rFonts w:ascii="Times New Roman" w:hAnsi="Times New Roman"/>
                <w:sz w:val="20"/>
              </w:rPr>
              <w:t>8</w:t>
            </w:r>
          </w:p>
        </w:tc>
        <w:tc>
          <w:tcPr>
            <w:tcW w:w="945" w:type="dxa"/>
          </w:tcPr>
          <w:p w:rsidR="0021632E" w:rsidRPr="007B779A" w:rsidP="0025190E" w14:paraId="56DDEF6F" w14:textId="5B46CD8F">
            <w:pPr>
              <w:pStyle w:val="EndnoteText"/>
              <w:tabs>
                <w:tab w:val="clear" w:pos="-720"/>
              </w:tabs>
              <w:suppressAutoHyphens w:val="0"/>
              <w:rPr>
                <w:rFonts w:ascii="Times New Roman" w:hAnsi="Times New Roman"/>
                <w:sz w:val="20"/>
              </w:rPr>
            </w:pPr>
            <w:r w:rsidRPr="007B779A">
              <w:rPr>
                <w:rFonts w:ascii="Times New Roman" w:hAnsi="Times New Roman"/>
                <w:sz w:val="20"/>
              </w:rPr>
              <w:t>344</w:t>
            </w:r>
          </w:p>
        </w:tc>
        <w:tc>
          <w:tcPr>
            <w:tcW w:w="1461" w:type="dxa"/>
            <w:vMerge/>
          </w:tcPr>
          <w:p w:rsidR="0021632E" w:rsidRPr="007B779A" w:rsidP="0025190E" w14:paraId="56DDEF70" w14:textId="5916C598">
            <w:pPr>
              <w:rPr>
                <w:rFonts w:ascii="Times New Roman" w:hAnsi="Times New Roman"/>
                <w:sz w:val="20"/>
              </w:rPr>
            </w:pPr>
          </w:p>
        </w:tc>
        <w:tc>
          <w:tcPr>
            <w:tcW w:w="1461" w:type="dxa"/>
          </w:tcPr>
          <w:p w:rsidR="0021632E" w:rsidRPr="007B779A" w:rsidP="00A86ADD" w14:paraId="56DDEF71" w14:textId="084ED38A">
            <w:pPr>
              <w:rPr>
                <w:rFonts w:ascii="Times New Roman" w:hAnsi="Times New Roman"/>
                <w:sz w:val="20"/>
              </w:rPr>
            </w:pPr>
            <w:r w:rsidRPr="007B779A">
              <w:rPr>
                <w:rFonts w:ascii="Times New Roman" w:hAnsi="Times New Roman"/>
                <w:sz w:val="20"/>
              </w:rPr>
              <w:t>$</w:t>
            </w:r>
            <w:r w:rsidRPr="007B779A" w:rsidR="00A86ADD">
              <w:rPr>
                <w:rFonts w:ascii="Times New Roman" w:hAnsi="Times New Roman"/>
                <w:sz w:val="20"/>
              </w:rPr>
              <w:t>14,039.50</w:t>
            </w:r>
          </w:p>
        </w:tc>
      </w:tr>
      <w:tr w14:paraId="56DDEF90" w14:textId="77777777" w:rsidTr="007B779A">
        <w:tblPrEx>
          <w:tblW w:w="10825" w:type="dxa"/>
          <w:tblLayout w:type="fixed"/>
          <w:tblLook w:val="0020"/>
        </w:tblPrEx>
        <w:trPr>
          <w:trHeight w:val="1252"/>
        </w:trPr>
        <w:tc>
          <w:tcPr>
            <w:tcW w:w="1285" w:type="dxa"/>
          </w:tcPr>
          <w:p w:rsidR="0021632E" w:rsidRPr="007B779A" w:rsidP="0025190E" w14:paraId="56DDEF87" w14:textId="77777777">
            <w:pPr>
              <w:rPr>
                <w:rFonts w:ascii="Times New Roman" w:hAnsi="Times New Roman"/>
                <w:sz w:val="20"/>
              </w:rPr>
            </w:pPr>
            <w:r w:rsidRPr="007B779A">
              <w:rPr>
                <w:rFonts w:ascii="Times New Roman" w:hAnsi="Times New Roman"/>
                <w:sz w:val="20"/>
              </w:rPr>
              <w:t>Annualized Totals</w:t>
            </w:r>
          </w:p>
        </w:tc>
        <w:tc>
          <w:tcPr>
            <w:tcW w:w="1208" w:type="dxa"/>
          </w:tcPr>
          <w:p w:rsidR="0021632E" w:rsidRPr="007B779A" w:rsidP="00ED7E7C" w14:paraId="56DDEF88" w14:textId="1C77BDB3">
            <w:pPr>
              <w:rPr>
                <w:rFonts w:ascii="Times New Roman" w:hAnsi="Times New Roman"/>
                <w:sz w:val="20"/>
              </w:rPr>
            </w:pPr>
            <w:r w:rsidRPr="007B779A">
              <w:rPr>
                <w:rFonts w:ascii="Times New Roman" w:hAnsi="Times New Roman"/>
                <w:sz w:val="20"/>
              </w:rPr>
              <w:t>x</w:t>
            </w:r>
          </w:p>
        </w:tc>
        <w:tc>
          <w:tcPr>
            <w:tcW w:w="1199" w:type="dxa"/>
          </w:tcPr>
          <w:p w:rsidR="0021632E" w:rsidRPr="007B779A" w:rsidP="00ED7E7C" w14:paraId="56DDEF89" w14:textId="38B53FD7">
            <w:pPr>
              <w:rPr>
                <w:rFonts w:ascii="Times New Roman" w:hAnsi="Times New Roman"/>
                <w:sz w:val="20"/>
              </w:rPr>
            </w:pPr>
            <w:r w:rsidRPr="007B779A">
              <w:rPr>
                <w:rFonts w:ascii="Times New Roman" w:hAnsi="Times New Roman"/>
                <w:sz w:val="20"/>
              </w:rPr>
              <w:t>x</w:t>
            </w:r>
          </w:p>
        </w:tc>
        <w:tc>
          <w:tcPr>
            <w:tcW w:w="1203" w:type="dxa"/>
          </w:tcPr>
          <w:p w:rsidR="0021632E" w:rsidRPr="007B779A" w:rsidP="0025190E" w14:paraId="56DDEF8A" w14:textId="53160623">
            <w:pPr>
              <w:rPr>
                <w:rFonts w:ascii="Times New Roman" w:hAnsi="Times New Roman"/>
                <w:sz w:val="20"/>
              </w:rPr>
            </w:pPr>
            <w:r w:rsidRPr="007B779A">
              <w:rPr>
                <w:rFonts w:ascii="Times New Roman" w:hAnsi="Times New Roman"/>
                <w:sz w:val="20"/>
              </w:rPr>
              <w:t>183</w:t>
            </w:r>
          </w:p>
        </w:tc>
        <w:tc>
          <w:tcPr>
            <w:tcW w:w="1046" w:type="dxa"/>
          </w:tcPr>
          <w:p w:rsidR="0021632E" w:rsidRPr="007B779A" w:rsidP="0025190E" w14:paraId="56DDEF8B" w14:textId="0EF63E9D">
            <w:pPr>
              <w:rPr>
                <w:rFonts w:ascii="Times New Roman" w:hAnsi="Times New Roman"/>
                <w:sz w:val="20"/>
              </w:rPr>
            </w:pPr>
            <w:r w:rsidRPr="007B779A">
              <w:rPr>
                <w:rFonts w:ascii="Times New Roman" w:hAnsi="Times New Roman"/>
                <w:sz w:val="20"/>
              </w:rPr>
              <w:t>183</w:t>
            </w:r>
          </w:p>
        </w:tc>
        <w:tc>
          <w:tcPr>
            <w:tcW w:w="1017" w:type="dxa"/>
          </w:tcPr>
          <w:p w:rsidR="0021632E" w:rsidRPr="007B779A" w:rsidP="00ED7E7C" w14:paraId="56DDEF8C" w14:textId="10056A6F">
            <w:pPr>
              <w:rPr>
                <w:rFonts w:ascii="Times New Roman" w:hAnsi="Times New Roman"/>
                <w:sz w:val="20"/>
              </w:rPr>
            </w:pPr>
            <w:r w:rsidRPr="007B779A">
              <w:rPr>
                <w:rFonts w:ascii="Times New Roman" w:hAnsi="Times New Roman"/>
                <w:sz w:val="20"/>
              </w:rPr>
              <w:t>8</w:t>
            </w:r>
          </w:p>
        </w:tc>
        <w:tc>
          <w:tcPr>
            <w:tcW w:w="945" w:type="dxa"/>
          </w:tcPr>
          <w:p w:rsidR="0021632E" w:rsidRPr="007B779A" w:rsidP="0025190E" w14:paraId="56DDEF8D" w14:textId="17CCD4F8">
            <w:pPr>
              <w:rPr>
                <w:rFonts w:ascii="Times New Roman" w:hAnsi="Times New Roman"/>
                <w:sz w:val="20"/>
              </w:rPr>
            </w:pPr>
            <w:r w:rsidRPr="007B779A">
              <w:rPr>
                <w:rFonts w:ascii="Times New Roman" w:hAnsi="Times New Roman"/>
                <w:sz w:val="20"/>
              </w:rPr>
              <w:t>1,</w:t>
            </w:r>
            <w:r w:rsidRPr="007B779A" w:rsidR="00AA0C05">
              <w:rPr>
                <w:rFonts w:ascii="Times New Roman" w:hAnsi="Times New Roman"/>
                <w:sz w:val="20"/>
              </w:rPr>
              <w:t>464</w:t>
            </w:r>
          </w:p>
        </w:tc>
        <w:tc>
          <w:tcPr>
            <w:tcW w:w="1461" w:type="dxa"/>
            <w:vMerge/>
          </w:tcPr>
          <w:p w:rsidR="0021632E" w:rsidRPr="007B779A" w:rsidP="00ED7E7C" w14:paraId="56DDEF8E" w14:textId="154A20A6">
            <w:pPr>
              <w:rPr>
                <w:rFonts w:ascii="Times New Roman" w:hAnsi="Times New Roman"/>
                <w:sz w:val="20"/>
              </w:rPr>
            </w:pPr>
          </w:p>
        </w:tc>
        <w:tc>
          <w:tcPr>
            <w:tcW w:w="1461" w:type="dxa"/>
          </w:tcPr>
          <w:p w:rsidR="0021632E" w:rsidRPr="007B779A" w:rsidP="008C3AF6" w14:paraId="56DDEF8F" w14:textId="17EDDD84">
            <w:pPr>
              <w:rPr>
                <w:rFonts w:ascii="Times New Roman" w:hAnsi="Times New Roman"/>
                <w:sz w:val="20"/>
              </w:rPr>
            </w:pPr>
            <w:r w:rsidRPr="007B779A">
              <w:rPr>
                <w:rFonts w:ascii="Times New Roman" w:hAnsi="Times New Roman"/>
                <w:sz w:val="20"/>
              </w:rPr>
              <w:t>$59,749.50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1F20876D">
      <w:pPr>
        <w:pStyle w:val="ListParagraph"/>
        <w:tabs>
          <w:tab w:val="left" w:pos="-720"/>
        </w:tabs>
        <w:suppressAutoHyphens/>
        <w:rPr>
          <w:rStyle w:val="a"/>
          <w:rFonts w:ascii="Times New Roman" w:hAnsi="Times New Roman"/>
          <w:szCs w:val="24"/>
        </w:rPr>
      </w:pP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w:t>
      </w:r>
      <w:r w:rsidRPr="00ED7195">
        <w:rPr>
          <w:rFonts w:ascii="Times New Roman" w:hAnsi="Times New Roman"/>
          <w:b/>
          <w:szCs w:val="24"/>
        </w:rPr>
        <w:t xml:space="preserve">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2313E2" w14:paraId="56DDEF9E" w14:textId="2FBDEBC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AB4058" w:rsidRPr="00541F86" w:rsidP="002313E2" w14:paraId="240A4ADE" w14:textId="77777777">
      <w:pPr>
        <w:tabs>
          <w:tab w:val="left" w:pos="-720"/>
        </w:tabs>
        <w:suppressAutoHyphens/>
        <w:rPr>
          <w:rFonts w:asciiTheme="minorHAnsi" w:hAnsiTheme="minorHAnsi" w:cstheme="minorHAnsi"/>
          <w:b/>
          <w:szCs w:val="24"/>
        </w:rPr>
      </w:pPr>
    </w:p>
    <w:p w:rsidR="00043C32" w:rsidRPr="00541F86" w:rsidP="00E074C1" w14:paraId="56DDEF9F" w14:textId="16E38434">
      <w:pPr>
        <w:tabs>
          <w:tab w:val="left" w:pos="-720"/>
        </w:tabs>
        <w:suppressAutoHyphens/>
        <w:ind w:left="900"/>
        <w:rPr>
          <w:rFonts w:asciiTheme="minorHAnsi" w:hAnsiTheme="minorHAnsi" w:cstheme="minorHAnsi"/>
          <w:szCs w:val="24"/>
        </w:rPr>
      </w:pPr>
      <w:r w:rsidRPr="00541F86">
        <w:rPr>
          <w:rFonts w:asciiTheme="minorHAnsi" w:hAnsiTheme="minorHAnsi" w:cstheme="minorHAnsi"/>
        </w:rPr>
        <w:t>There are no other costs to the respondents associated with this information collection. Grantees are required by program regulations to collect and maintain this information. The costs to transmit the data electronically via the Web are customary and usual business practices.</w:t>
      </w:r>
    </w:p>
    <w:p w:rsidR="00B623A1" w:rsidP="002313E2" w14:paraId="50677C0A" w14:textId="6BD3B80A">
      <w:pPr>
        <w:tabs>
          <w:tab w:val="left" w:pos="-720"/>
        </w:tabs>
        <w:suppressAutoHyphens/>
        <w:rPr>
          <w:rFonts w:ascii="Times New Roman" w:hAnsi="Times New Roman"/>
          <w:szCs w:val="24"/>
        </w:rPr>
      </w:pPr>
    </w:p>
    <w:p w:rsidR="00AB4058" w:rsidP="002313E2" w14:paraId="34484B2C" w14:textId="77777777">
      <w:pPr>
        <w:tabs>
          <w:tab w:val="left" w:pos="-720"/>
        </w:tabs>
        <w:suppressAutoHyphens/>
        <w:rPr>
          <w:rFonts w:ascii="Times New Roman" w:hAnsi="Times New Roman"/>
          <w:szCs w:val="24"/>
        </w:rPr>
      </w:pPr>
    </w:p>
    <w:p w:rsidR="00043C32" w:rsidP="002313E2" w14:paraId="56DDEFA0" w14:textId="67700990">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074C1" w:rsidP="00E074C1" w14:paraId="502BC043" w14:textId="4C199215">
      <w:pPr>
        <w:tabs>
          <w:tab w:val="left" w:pos="-720"/>
        </w:tabs>
        <w:suppressAutoHyphens/>
        <w:rPr>
          <w:rStyle w:val="a"/>
          <w:rFonts w:ascii="Times New Roman" w:hAnsi="Times New Roman"/>
          <w:b/>
          <w:szCs w:val="24"/>
        </w:rPr>
      </w:pPr>
    </w:p>
    <w:p w:rsidR="00E074C1" w:rsidP="00E074C1" w14:paraId="0C061E27" w14:textId="61BF6E92">
      <w:pPr>
        <w:tabs>
          <w:tab w:val="left" w:pos="-720"/>
        </w:tabs>
        <w:suppressAutoHyphens/>
        <w:rPr>
          <w:rStyle w:val="a"/>
          <w:rFonts w:ascii="Times New Roman" w:hAnsi="Times New Roman"/>
          <w:b/>
          <w:szCs w:val="24"/>
        </w:rPr>
      </w:pPr>
    </w:p>
    <w:tbl>
      <w:tblPr>
        <w:tblStyle w:val="TableGrid"/>
        <w:tblW w:w="0" w:type="auto"/>
        <w:tblInd w:w="900" w:type="dxa"/>
        <w:tblLook w:val="04A0"/>
      </w:tblPr>
      <w:tblGrid>
        <w:gridCol w:w="5575"/>
        <w:gridCol w:w="2875"/>
      </w:tblGrid>
      <w:tr w14:paraId="4BB12EAB" w14:textId="77777777" w:rsidTr="00567C0C">
        <w:tblPrEx>
          <w:tblW w:w="0" w:type="auto"/>
          <w:tblInd w:w="900" w:type="dxa"/>
          <w:tblLook w:val="04A0"/>
        </w:tblPrEx>
        <w:tc>
          <w:tcPr>
            <w:tcW w:w="5575" w:type="dxa"/>
          </w:tcPr>
          <w:p w:rsidR="00A0137C" w:rsidRPr="00CF6642" w:rsidP="00E074C1" w14:paraId="1E4D2635" w14:textId="77777777">
            <w:pPr>
              <w:tabs>
                <w:tab w:val="left" w:pos="-720"/>
              </w:tabs>
              <w:suppressAutoHyphens/>
              <w:rPr>
                <w:rFonts w:asciiTheme="minorHAnsi" w:hAnsiTheme="minorHAnsi" w:cstheme="minorHAnsi"/>
              </w:rPr>
            </w:pPr>
            <w:r w:rsidRPr="00CF6642">
              <w:rPr>
                <w:rFonts w:asciiTheme="minorHAnsi" w:hAnsiTheme="minorHAnsi" w:cstheme="minorHAnsi"/>
              </w:rPr>
              <w:t>Designing performance report form 1</w:t>
            </w:r>
            <w:r w:rsidRPr="00CF6642" w:rsidR="003F03C8">
              <w:rPr>
                <w:rFonts w:asciiTheme="minorHAnsi" w:hAnsiTheme="minorHAnsi" w:cstheme="minorHAnsi"/>
              </w:rPr>
              <w:t>2</w:t>
            </w:r>
            <w:r w:rsidRPr="00CF6642">
              <w:rPr>
                <w:rFonts w:asciiTheme="minorHAnsi" w:hAnsiTheme="minorHAnsi" w:cstheme="minorHAnsi"/>
              </w:rPr>
              <w:t>0 hours at $</w:t>
            </w:r>
            <w:r w:rsidRPr="00CF6642" w:rsidR="00744C83">
              <w:rPr>
                <w:rFonts w:asciiTheme="minorHAnsi" w:hAnsiTheme="minorHAnsi" w:cstheme="minorHAnsi"/>
              </w:rPr>
              <w:t>62.4</w:t>
            </w:r>
            <w:r w:rsidRPr="00CF6642" w:rsidR="006E426E">
              <w:rPr>
                <w:rFonts w:asciiTheme="minorHAnsi" w:hAnsiTheme="minorHAnsi" w:cstheme="minorHAnsi"/>
              </w:rPr>
              <w:t>0</w:t>
            </w:r>
            <w:r w:rsidRPr="00CF6642">
              <w:rPr>
                <w:rFonts w:asciiTheme="minorHAnsi" w:hAnsiTheme="minorHAnsi" w:cstheme="minorHAnsi"/>
              </w:rPr>
              <w:t xml:space="preserve"> per </w:t>
            </w:r>
            <w:r w:rsidRPr="00CF6642">
              <w:rPr>
                <w:rFonts w:asciiTheme="minorHAnsi" w:hAnsiTheme="minorHAnsi" w:cstheme="minorHAnsi"/>
              </w:rPr>
              <w:t>hour</w:t>
            </w:r>
            <w:r w:rsidRPr="00CF6642">
              <w:rPr>
                <w:rFonts w:asciiTheme="minorHAnsi" w:hAnsiTheme="minorHAnsi" w:cstheme="minorHAnsi"/>
              </w:rPr>
              <w:t xml:space="preserve"> </w:t>
            </w:r>
          </w:p>
          <w:p w:rsidR="00567C0C" w:rsidRPr="00CF6642" w:rsidP="00E074C1" w14:paraId="7BE3B9B3" w14:textId="3E38A635">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Overhead (est. at 50%): 1</w:t>
            </w:r>
            <w:r w:rsidRPr="00CF6642" w:rsidR="003F03C8">
              <w:rPr>
                <w:rFonts w:asciiTheme="minorHAnsi" w:hAnsiTheme="minorHAnsi" w:cstheme="minorHAnsi"/>
              </w:rPr>
              <w:t>2</w:t>
            </w:r>
            <w:r w:rsidRPr="00CF6642">
              <w:rPr>
                <w:rFonts w:asciiTheme="minorHAnsi" w:hAnsiTheme="minorHAnsi" w:cstheme="minorHAnsi"/>
              </w:rPr>
              <w:t>0 times $</w:t>
            </w:r>
            <w:r w:rsidRPr="00CF6642" w:rsidR="007B6752">
              <w:rPr>
                <w:rFonts w:asciiTheme="minorHAnsi" w:hAnsiTheme="minorHAnsi" w:cstheme="minorHAnsi"/>
              </w:rPr>
              <w:t>31.2</w:t>
            </w:r>
            <w:r w:rsidRPr="00CF6642" w:rsidR="006E426E">
              <w:rPr>
                <w:rFonts w:asciiTheme="minorHAnsi" w:hAnsiTheme="minorHAnsi" w:cstheme="minorHAnsi"/>
              </w:rPr>
              <w:t>0</w:t>
            </w:r>
          </w:p>
        </w:tc>
        <w:tc>
          <w:tcPr>
            <w:tcW w:w="2875" w:type="dxa"/>
          </w:tcPr>
          <w:p w:rsidR="00567C0C" w:rsidRPr="00CF6642" w:rsidP="0084130A" w14:paraId="6A57F725" w14:textId="39CE3546">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$1</w:t>
            </w:r>
            <w:r w:rsidRPr="00CF6642" w:rsidR="00F50C7F">
              <w:rPr>
                <w:rStyle w:val="a"/>
                <w:rFonts w:asciiTheme="minorHAnsi" w:hAnsiTheme="minorHAnsi" w:cstheme="minorHAnsi"/>
                <w:b/>
                <w:szCs w:val="24"/>
              </w:rPr>
              <w:t>1,232</w:t>
            </w:r>
          </w:p>
        </w:tc>
      </w:tr>
      <w:tr w14:paraId="266F43F0" w14:textId="77777777" w:rsidTr="00567C0C">
        <w:tblPrEx>
          <w:tblW w:w="0" w:type="auto"/>
          <w:tblInd w:w="900" w:type="dxa"/>
          <w:tblLook w:val="04A0"/>
        </w:tblPrEx>
        <w:tc>
          <w:tcPr>
            <w:tcW w:w="5575" w:type="dxa"/>
          </w:tcPr>
          <w:p w:rsidR="00A0137C" w:rsidRPr="00CF6642" w:rsidP="00E074C1" w14:paraId="68250CCD" w14:textId="77777777">
            <w:pPr>
              <w:tabs>
                <w:tab w:val="left" w:pos="-720"/>
              </w:tabs>
              <w:suppressAutoHyphens/>
              <w:rPr>
                <w:rFonts w:asciiTheme="minorHAnsi" w:hAnsiTheme="minorHAnsi" w:cstheme="minorHAnsi"/>
              </w:rPr>
            </w:pPr>
            <w:r w:rsidRPr="00CF6642">
              <w:rPr>
                <w:rFonts w:asciiTheme="minorHAnsi" w:hAnsiTheme="minorHAnsi" w:cstheme="minorHAnsi"/>
              </w:rPr>
              <w:t>Clearing performance report form</w:t>
            </w:r>
            <w:r w:rsidRPr="00CF6642" w:rsidR="003F03C8">
              <w:rPr>
                <w:rFonts w:asciiTheme="minorHAnsi" w:hAnsiTheme="minorHAnsi" w:cstheme="minorHAnsi"/>
              </w:rPr>
              <w:t xml:space="preserve"> 120 hours at $62.4</w:t>
            </w:r>
            <w:r w:rsidRPr="00CF6642" w:rsidR="006E426E">
              <w:rPr>
                <w:rFonts w:asciiTheme="minorHAnsi" w:hAnsiTheme="minorHAnsi" w:cstheme="minorHAnsi"/>
              </w:rPr>
              <w:t>0</w:t>
            </w:r>
            <w:r w:rsidRPr="00CF6642" w:rsidR="003F03C8">
              <w:rPr>
                <w:rFonts w:asciiTheme="minorHAnsi" w:hAnsiTheme="minorHAnsi" w:cstheme="minorHAnsi"/>
              </w:rPr>
              <w:t xml:space="preserve"> per </w:t>
            </w:r>
            <w:r w:rsidRPr="00CF6642" w:rsidR="003F03C8">
              <w:rPr>
                <w:rFonts w:asciiTheme="minorHAnsi" w:hAnsiTheme="minorHAnsi" w:cstheme="minorHAnsi"/>
              </w:rPr>
              <w:t>hour</w:t>
            </w:r>
            <w:r w:rsidRPr="00CF6642" w:rsidR="003F03C8">
              <w:rPr>
                <w:rFonts w:asciiTheme="minorHAnsi" w:hAnsiTheme="minorHAnsi" w:cstheme="minorHAnsi"/>
              </w:rPr>
              <w:t xml:space="preserve"> </w:t>
            </w:r>
          </w:p>
          <w:p w:rsidR="00567C0C" w:rsidRPr="00CF6642" w:rsidP="00E074C1" w14:paraId="675822FF" w14:textId="59E6039A">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Overhead (est. at 50%): 120 times $31.2</w:t>
            </w:r>
            <w:r w:rsidRPr="00CF6642" w:rsidR="006E426E">
              <w:rPr>
                <w:rFonts w:asciiTheme="minorHAnsi" w:hAnsiTheme="minorHAnsi" w:cstheme="minorHAnsi"/>
              </w:rPr>
              <w:t>0</w:t>
            </w:r>
          </w:p>
        </w:tc>
        <w:tc>
          <w:tcPr>
            <w:tcW w:w="2875" w:type="dxa"/>
          </w:tcPr>
          <w:p w:rsidR="00567C0C" w:rsidRPr="00CF6642" w:rsidP="0084130A" w14:paraId="3B43786A" w14:textId="3B920F90">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$11,232</w:t>
            </w:r>
          </w:p>
        </w:tc>
      </w:tr>
      <w:tr w14:paraId="6F51CCEE" w14:textId="77777777" w:rsidTr="00567C0C">
        <w:tblPrEx>
          <w:tblW w:w="0" w:type="auto"/>
          <w:tblInd w:w="900" w:type="dxa"/>
          <w:tblLook w:val="04A0"/>
        </w:tblPrEx>
        <w:tc>
          <w:tcPr>
            <w:tcW w:w="5575" w:type="dxa"/>
          </w:tcPr>
          <w:p w:rsidR="00567C0C" w:rsidRPr="00CF6642" w:rsidP="00E074C1" w14:paraId="158E2854" w14:textId="6A5F16C9">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Annual updates to Web application, Web site hosting, help desk, and data processing (contractor’s costs)</w:t>
            </w:r>
          </w:p>
        </w:tc>
        <w:tc>
          <w:tcPr>
            <w:tcW w:w="2875" w:type="dxa"/>
          </w:tcPr>
          <w:p w:rsidR="00567C0C" w:rsidRPr="00CF6642" w:rsidP="0084130A" w14:paraId="09ADE5B3" w14:textId="4C866B29">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$90,000</w:t>
            </w:r>
          </w:p>
        </w:tc>
      </w:tr>
      <w:tr w14:paraId="54B7331C" w14:textId="77777777" w:rsidTr="00567C0C">
        <w:tblPrEx>
          <w:tblW w:w="0" w:type="auto"/>
          <w:tblInd w:w="900" w:type="dxa"/>
          <w:tblLook w:val="04A0"/>
        </w:tblPrEx>
        <w:tc>
          <w:tcPr>
            <w:tcW w:w="5575" w:type="dxa"/>
          </w:tcPr>
          <w:p w:rsidR="00567C0C" w:rsidRPr="00CF6642" w:rsidP="00E074C1" w14:paraId="302FBC8D" w14:textId="2C45211D">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Analyses of data and preparation of national summary reports and individual project data (contractor’s costs)</w:t>
            </w:r>
          </w:p>
        </w:tc>
        <w:tc>
          <w:tcPr>
            <w:tcW w:w="2875" w:type="dxa"/>
          </w:tcPr>
          <w:p w:rsidR="00567C0C" w:rsidRPr="00CF6642" w:rsidP="0084130A" w14:paraId="32612AE4" w14:textId="2342502F">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$90,000</w:t>
            </w:r>
          </w:p>
        </w:tc>
      </w:tr>
      <w:tr w14:paraId="131A7005" w14:textId="77777777" w:rsidTr="00567C0C">
        <w:tblPrEx>
          <w:tblW w:w="0" w:type="auto"/>
          <w:tblInd w:w="900" w:type="dxa"/>
          <w:tblLook w:val="04A0"/>
        </w:tblPrEx>
        <w:tc>
          <w:tcPr>
            <w:tcW w:w="5575" w:type="dxa"/>
          </w:tcPr>
          <w:p w:rsidR="00A0137C" w:rsidRPr="00CF6642" w:rsidP="00E074C1" w14:paraId="7BCAB4FC" w14:textId="77777777">
            <w:pPr>
              <w:tabs>
                <w:tab w:val="left" w:pos="-720"/>
              </w:tabs>
              <w:suppressAutoHyphens/>
              <w:rPr>
                <w:rFonts w:asciiTheme="minorHAnsi" w:hAnsiTheme="minorHAnsi" w:cstheme="minorHAnsi"/>
              </w:rPr>
            </w:pPr>
            <w:r w:rsidRPr="00CF6642">
              <w:rPr>
                <w:rFonts w:asciiTheme="minorHAnsi" w:hAnsiTheme="minorHAnsi" w:cstheme="minorHAnsi"/>
              </w:rPr>
              <w:t>Professional staff to review and edit reports for dissemination 160 hours at $</w:t>
            </w:r>
            <w:r w:rsidRPr="00CF6642" w:rsidR="00EA21A5">
              <w:rPr>
                <w:rFonts w:asciiTheme="minorHAnsi" w:hAnsiTheme="minorHAnsi" w:cstheme="minorHAnsi"/>
              </w:rPr>
              <w:t>62.4</w:t>
            </w:r>
            <w:r w:rsidRPr="00CF6642" w:rsidR="006E426E">
              <w:rPr>
                <w:rFonts w:asciiTheme="minorHAnsi" w:hAnsiTheme="minorHAnsi" w:cstheme="minorHAnsi"/>
              </w:rPr>
              <w:t>0</w:t>
            </w:r>
            <w:r w:rsidRPr="00CF6642">
              <w:rPr>
                <w:rFonts w:asciiTheme="minorHAnsi" w:hAnsiTheme="minorHAnsi" w:cstheme="minorHAnsi"/>
              </w:rPr>
              <w:t xml:space="preserve"> per </w:t>
            </w:r>
            <w:r w:rsidRPr="00CF6642">
              <w:rPr>
                <w:rFonts w:asciiTheme="minorHAnsi" w:hAnsiTheme="minorHAnsi" w:cstheme="minorHAnsi"/>
              </w:rPr>
              <w:t>hour</w:t>
            </w:r>
            <w:r w:rsidRPr="00CF6642">
              <w:rPr>
                <w:rFonts w:asciiTheme="minorHAnsi" w:hAnsiTheme="minorHAnsi" w:cstheme="minorHAnsi"/>
              </w:rPr>
              <w:t xml:space="preserve"> </w:t>
            </w:r>
          </w:p>
          <w:p w:rsidR="00567C0C" w:rsidRPr="00CF6642" w:rsidP="00E074C1" w14:paraId="1330A18D" w14:textId="04DBB566">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Overhead (est. at 50%): 160 times $</w:t>
            </w:r>
            <w:r w:rsidRPr="00CF6642" w:rsidR="00EA21A5">
              <w:rPr>
                <w:rFonts w:asciiTheme="minorHAnsi" w:hAnsiTheme="minorHAnsi" w:cstheme="minorHAnsi"/>
              </w:rPr>
              <w:t>31.</w:t>
            </w:r>
            <w:r w:rsidRPr="00CF6642" w:rsidR="00CD41A8">
              <w:rPr>
                <w:rFonts w:asciiTheme="minorHAnsi" w:hAnsiTheme="minorHAnsi" w:cstheme="minorHAnsi"/>
              </w:rPr>
              <w:t>2</w:t>
            </w:r>
            <w:r w:rsidRPr="00CF6642" w:rsidR="006E426E">
              <w:rPr>
                <w:rFonts w:asciiTheme="minorHAnsi" w:hAnsiTheme="minorHAnsi" w:cstheme="minorHAnsi"/>
              </w:rPr>
              <w:t>0</w:t>
            </w:r>
          </w:p>
        </w:tc>
        <w:tc>
          <w:tcPr>
            <w:tcW w:w="2875" w:type="dxa"/>
          </w:tcPr>
          <w:p w:rsidR="00567C0C" w:rsidRPr="00CF6642" w:rsidP="0084130A" w14:paraId="4BB252AC" w14:textId="369A3F9E">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w:t>
            </w:r>
            <w:r w:rsidRPr="00CF6642" w:rsidR="00705B05">
              <w:rPr>
                <w:rStyle w:val="a"/>
                <w:rFonts w:asciiTheme="minorHAnsi" w:hAnsiTheme="minorHAnsi" w:cstheme="minorHAnsi"/>
                <w:b/>
                <w:szCs w:val="24"/>
              </w:rPr>
              <w:t>1</w:t>
            </w:r>
            <w:r w:rsidRPr="00CF6642" w:rsidR="00705B05">
              <w:rPr>
                <w:rStyle w:val="a"/>
                <w:rFonts w:asciiTheme="minorHAnsi" w:hAnsiTheme="minorHAnsi" w:cstheme="minorHAnsi"/>
                <w:b/>
              </w:rPr>
              <w:t>4,976</w:t>
            </w:r>
          </w:p>
        </w:tc>
      </w:tr>
      <w:tr w14:paraId="59D2F6B5" w14:textId="77777777" w:rsidTr="00567C0C">
        <w:tblPrEx>
          <w:tblW w:w="0" w:type="auto"/>
          <w:tblInd w:w="900" w:type="dxa"/>
          <w:tblLook w:val="04A0"/>
        </w:tblPrEx>
        <w:tc>
          <w:tcPr>
            <w:tcW w:w="5575" w:type="dxa"/>
          </w:tcPr>
          <w:p w:rsidR="00567C0C" w:rsidRPr="00CF6642" w:rsidP="00E074C1" w14:paraId="784839FE" w14:textId="792BE617">
            <w:pPr>
              <w:tabs>
                <w:tab w:val="left" w:pos="-720"/>
              </w:tabs>
              <w:suppressAutoHyphens/>
              <w:rPr>
                <w:rStyle w:val="a"/>
                <w:rFonts w:asciiTheme="minorHAnsi" w:hAnsiTheme="minorHAnsi" w:cstheme="minorHAnsi"/>
                <w:b/>
                <w:szCs w:val="24"/>
              </w:rPr>
            </w:pPr>
            <w:r w:rsidRPr="00CF6642">
              <w:rPr>
                <w:rFonts w:asciiTheme="minorHAnsi" w:hAnsiTheme="minorHAnsi" w:cstheme="minorHAnsi"/>
              </w:rPr>
              <w:t>TOTAL FEDERAL COST</w:t>
            </w:r>
          </w:p>
        </w:tc>
        <w:tc>
          <w:tcPr>
            <w:tcW w:w="2875" w:type="dxa"/>
          </w:tcPr>
          <w:p w:rsidR="00567C0C" w:rsidRPr="00CF6642" w:rsidP="0084130A" w14:paraId="05E5BEBC" w14:textId="568752DC">
            <w:pPr>
              <w:tabs>
                <w:tab w:val="left" w:pos="-720"/>
              </w:tabs>
              <w:suppressAutoHyphens/>
              <w:jc w:val="right"/>
              <w:rPr>
                <w:rStyle w:val="a"/>
                <w:rFonts w:asciiTheme="minorHAnsi" w:hAnsiTheme="minorHAnsi" w:cstheme="minorHAnsi"/>
                <w:b/>
                <w:szCs w:val="24"/>
              </w:rPr>
            </w:pPr>
            <w:r w:rsidRPr="00CF6642">
              <w:rPr>
                <w:rStyle w:val="a"/>
                <w:rFonts w:asciiTheme="minorHAnsi" w:hAnsiTheme="minorHAnsi" w:cstheme="minorHAnsi"/>
                <w:b/>
                <w:szCs w:val="24"/>
              </w:rPr>
              <w:t>$</w:t>
            </w:r>
            <w:r w:rsidRPr="00CF6642" w:rsidR="00CB57A6">
              <w:rPr>
                <w:rStyle w:val="a"/>
                <w:rFonts w:asciiTheme="minorHAnsi" w:hAnsiTheme="minorHAnsi" w:cstheme="minorHAnsi"/>
                <w:b/>
                <w:szCs w:val="24"/>
              </w:rPr>
              <w:t>217,</w:t>
            </w:r>
            <w:r w:rsidRPr="00CF6642" w:rsidR="00234B13">
              <w:rPr>
                <w:rStyle w:val="a"/>
                <w:rFonts w:asciiTheme="minorHAnsi" w:hAnsiTheme="minorHAnsi" w:cstheme="minorHAnsi"/>
                <w:b/>
                <w:szCs w:val="24"/>
              </w:rPr>
              <w:t>4</w:t>
            </w:r>
            <w:r w:rsidRPr="00CF6642" w:rsidR="00234B13">
              <w:rPr>
                <w:rStyle w:val="a"/>
                <w:rFonts w:asciiTheme="minorHAnsi" w:hAnsiTheme="minorHAnsi" w:cstheme="minorHAnsi"/>
                <w:b/>
              </w:rPr>
              <w:t>40</w:t>
            </w:r>
          </w:p>
        </w:tc>
      </w:tr>
    </w:tbl>
    <w:p w:rsidR="00E074C1" w:rsidRPr="00E074C1" w:rsidP="00E074C1" w14:paraId="0801BDEB" w14:textId="77777777">
      <w:pPr>
        <w:tabs>
          <w:tab w:val="left" w:pos="-720"/>
        </w:tabs>
        <w:suppressAutoHyphens/>
        <w:ind w:left="900"/>
        <w:rPr>
          <w:rStyle w:val="a"/>
          <w:rFonts w:ascii="Times New Roman" w:hAnsi="Times New Roman"/>
          <w:b/>
          <w:szCs w:val="24"/>
        </w:rPr>
      </w:pPr>
    </w:p>
    <w:p w:rsidR="00534B4A" w:rsidP="002313E2" w14:paraId="56DDEFA1" w14:textId="77777777">
      <w:pPr>
        <w:tabs>
          <w:tab w:val="left" w:pos="-720"/>
        </w:tabs>
        <w:suppressAutoHyphens/>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RPr="00626786" w:rsidP="002313E2" w14:paraId="56DDEFA4" w14:textId="77777777">
      <w:pPr>
        <w:pStyle w:val="ListParagraph"/>
        <w:tabs>
          <w:tab w:val="left" w:pos="-720"/>
        </w:tabs>
        <w:suppressAutoHyphens/>
        <w:contextualSpacing w:val="0"/>
        <w:rPr>
          <w:rFonts w:ascii="Times New Roman" w:hAnsi="Times New Roman"/>
          <w:b/>
          <w:szCs w:val="24"/>
        </w:rPr>
      </w:pPr>
    </w:p>
    <w:p w:rsidR="00800D30" w:rsidRPr="0025190E" w:rsidP="002313E2" w14:paraId="56DDEFA5" w14:textId="77777777">
      <w:pPr>
        <w:pStyle w:val="ListParagraph"/>
        <w:tabs>
          <w:tab w:val="left" w:pos="-720"/>
        </w:tabs>
        <w:suppressAutoHyphens/>
        <w:contextualSpacing w:val="0"/>
        <w:rPr>
          <w:rFonts w:ascii="Times New Roman" w:hAnsi="Times New Roman"/>
          <w:b/>
          <w:szCs w:val="24"/>
        </w:rPr>
      </w:pPr>
      <w:r w:rsidRPr="0025190E">
        <w:rPr>
          <w:rFonts w:ascii="Times New Roman" w:hAnsi="Times New Roman"/>
          <w:b/>
          <w:szCs w:val="24"/>
        </w:rPr>
        <w:t>Provide a descriptive narrative for the reasons of any change in addition to completing the table with the burden hour change(s)</w:t>
      </w:r>
      <w:r w:rsidRPr="0025190E" w:rsidR="002A3221">
        <w:rPr>
          <w:rFonts w:ascii="Times New Roman" w:hAnsi="Times New Roman"/>
          <w:b/>
          <w:szCs w:val="24"/>
        </w:rPr>
        <w:t xml:space="preserve"> here</w:t>
      </w:r>
      <w:r w:rsidRPr="0025190E"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660F87" w:rsidP="00660F87"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660F87" w:rsidP="00660F87" w14:paraId="56DDEFAD" w14:textId="77777777">
            <w:pPr>
              <w:tabs>
                <w:tab w:val="left" w:pos="-720"/>
              </w:tabs>
              <w:suppressAutoHyphens/>
              <w:rPr>
                <w:rFonts w:ascii="Times New Roman" w:hAnsi="Times New Roman"/>
                <w:b/>
                <w:szCs w:val="24"/>
              </w:rPr>
            </w:pPr>
          </w:p>
        </w:tc>
        <w:tc>
          <w:tcPr>
            <w:tcW w:w="2829" w:type="dxa"/>
          </w:tcPr>
          <w:p w:rsidR="00660F87" w:rsidP="00660F87" w14:paraId="56DDEFAE" w14:textId="39173787">
            <w:pPr>
              <w:tabs>
                <w:tab w:val="left" w:pos="-720"/>
              </w:tabs>
              <w:suppressAutoHyphens/>
              <w:rPr>
                <w:rFonts w:ascii="Times New Roman" w:hAnsi="Times New Roman"/>
                <w:b/>
                <w:szCs w:val="24"/>
              </w:rPr>
            </w:pPr>
          </w:p>
        </w:tc>
        <w:tc>
          <w:tcPr>
            <w:tcW w:w="2520" w:type="dxa"/>
          </w:tcPr>
          <w:p w:rsidR="00660F87" w:rsidRPr="0025190E" w:rsidP="00660F87" w14:paraId="56DDEFAF" w14:textId="7BEDFFDA">
            <w:pPr>
              <w:tabs>
                <w:tab w:val="left" w:pos="-720"/>
              </w:tabs>
              <w:suppressAutoHyphens/>
              <w:rPr>
                <w:rFonts w:ascii="Times New Roman" w:hAnsi="Times New Roman"/>
                <w:bCs/>
                <w:szCs w:val="24"/>
              </w:rPr>
            </w:pPr>
            <w:r>
              <w:rPr>
                <w:rFonts w:ascii="Times New Roman" w:hAnsi="Times New Roman"/>
                <w:bCs/>
                <w:szCs w:val="24"/>
              </w:rPr>
              <w:t>104</w:t>
            </w:r>
          </w:p>
        </w:tc>
      </w:tr>
      <w:tr w14:paraId="56DDEFB5" w14:textId="77777777" w:rsidTr="0052073E">
        <w:tblPrEx>
          <w:tblW w:w="9445" w:type="dxa"/>
          <w:tblLook w:val="04A0"/>
        </w:tblPrEx>
        <w:tc>
          <w:tcPr>
            <w:tcW w:w="2048" w:type="dxa"/>
          </w:tcPr>
          <w:p w:rsidR="00660F87" w:rsidP="00660F87"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660F87" w:rsidP="00660F87" w14:paraId="56DDEFB2" w14:textId="77777777">
            <w:pPr>
              <w:tabs>
                <w:tab w:val="left" w:pos="-720"/>
              </w:tabs>
              <w:suppressAutoHyphens/>
              <w:rPr>
                <w:rFonts w:ascii="Times New Roman" w:hAnsi="Times New Roman"/>
                <w:b/>
                <w:szCs w:val="24"/>
              </w:rPr>
            </w:pPr>
          </w:p>
        </w:tc>
        <w:tc>
          <w:tcPr>
            <w:tcW w:w="2829" w:type="dxa"/>
          </w:tcPr>
          <w:p w:rsidR="00660F87" w:rsidP="00660F87" w14:paraId="56DDEFB3" w14:textId="4ABA1A5F">
            <w:pPr>
              <w:tabs>
                <w:tab w:val="left" w:pos="-720"/>
              </w:tabs>
              <w:suppressAutoHyphens/>
              <w:rPr>
                <w:rFonts w:ascii="Times New Roman" w:hAnsi="Times New Roman"/>
                <w:b/>
                <w:szCs w:val="24"/>
              </w:rPr>
            </w:pPr>
          </w:p>
        </w:tc>
        <w:tc>
          <w:tcPr>
            <w:tcW w:w="2520" w:type="dxa"/>
          </w:tcPr>
          <w:p w:rsidR="00660F87" w:rsidRPr="0025190E" w:rsidP="00660F87" w14:paraId="56DDEFB4" w14:textId="1565A709">
            <w:pPr>
              <w:tabs>
                <w:tab w:val="left" w:pos="-720"/>
              </w:tabs>
              <w:suppressAutoHyphens/>
              <w:rPr>
                <w:rFonts w:ascii="Times New Roman" w:hAnsi="Times New Roman"/>
                <w:bCs/>
                <w:szCs w:val="24"/>
              </w:rPr>
            </w:pPr>
            <w:r>
              <w:rPr>
                <w:rFonts w:ascii="Times New Roman" w:hAnsi="Times New Roman"/>
                <w:bCs/>
                <w:szCs w:val="24"/>
              </w:rPr>
              <w:t>13</w:t>
            </w: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534B4A" w:rsidP="002313E2" w14:paraId="56DDEFBC" w14:textId="551A7BE8">
      <w:pPr>
        <w:tabs>
          <w:tab w:val="left" w:pos="-720"/>
        </w:tabs>
        <w:suppressAutoHyphens/>
        <w:rPr>
          <w:rFonts w:ascii="Times New Roman" w:hAnsi="Times New Roman"/>
          <w:szCs w:val="24"/>
        </w:rPr>
      </w:pPr>
    </w:p>
    <w:p w:rsidR="006F41E1" w:rsidRPr="00E94521" w:rsidP="006F41E1" w14:paraId="741056B5" w14:textId="3B4379C1">
      <w:pPr>
        <w:tabs>
          <w:tab w:val="left" w:pos="-720"/>
        </w:tabs>
        <w:suppressAutoHyphens/>
        <w:ind w:left="720"/>
        <w:rPr>
          <w:rFonts w:asciiTheme="minorHAnsi" w:hAnsiTheme="minorHAnsi" w:cstheme="minorHAnsi"/>
          <w:szCs w:val="24"/>
        </w:rPr>
      </w:pPr>
      <w:r w:rsidRPr="00E94521">
        <w:rPr>
          <w:rFonts w:asciiTheme="minorHAnsi" w:hAnsiTheme="minorHAnsi" w:cstheme="minorHAnsi"/>
          <w:szCs w:val="24"/>
        </w:rPr>
        <w:t xml:space="preserve">The number of respondents (funded grant projects) has increased by </w:t>
      </w:r>
      <w:r w:rsidRPr="00E94521" w:rsidR="00727854">
        <w:rPr>
          <w:rFonts w:asciiTheme="minorHAnsi" w:hAnsiTheme="minorHAnsi" w:cstheme="minorHAnsi"/>
          <w:szCs w:val="24"/>
        </w:rPr>
        <w:t>1</w:t>
      </w:r>
      <w:r w:rsidRPr="00E94521" w:rsidR="003E6853">
        <w:rPr>
          <w:rFonts w:asciiTheme="minorHAnsi" w:hAnsiTheme="minorHAnsi" w:cstheme="minorHAnsi"/>
          <w:szCs w:val="24"/>
        </w:rPr>
        <w:t>3</w:t>
      </w:r>
      <w:r w:rsidRPr="00E94521" w:rsidR="00727854">
        <w:rPr>
          <w:rFonts w:asciiTheme="minorHAnsi" w:hAnsiTheme="minorHAnsi" w:cstheme="minorHAnsi"/>
          <w:szCs w:val="24"/>
        </w:rPr>
        <w:t xml:space="preserve"> </w:t>
      </w:r>
      <w:r w:rsidRPr="00E94521">
        <w:rPr>
          <w:rFonts w:asciiTheme="minorHAnsi" w:hAnsiTheme="minorHAnsi" w:cstheme="minorHAnsi"/>
          <w:szCs w:val="24"/>
        </w:rPr>
        <w:t xml:space="preserve">from </w:t>
      </w:r>
      <w:r w:rsidRPr="00E94521" w:rsidR="003E6853">
        <w:rPr>
          <w:rFonts w:asciiTheme="minorHAnsi" w:hAnsiTheme="minorHAnsi" w:cstheme="minorHAnsi"/>
          <w:szCs w:val="24"/>
        </w:rPr>
        <w:t xml:space="preserve">170 </w:t>
      </w:r>
      <w:r w:rsidRPr="00E94521">
        <w:rPr>
          <w:rFonts w:asciiTheme="minorHAnsi" w:hAnsiTheme="minorHAnsi" w:cstheme="minorHAnsi"/>
          <w:szCs w:val="24"/>
        </w:rPr>
        <w:t xml:space="preserve">to </w:t>
      </w:r>
      <w:r w:rsidRPr="00E94521" w:rsidR="003E6853">
        <w:rPr>
          <w:rFonts w:asciiTheme="minorHAnsi" w:hAnsiTheme="minorHAnsi" w:cstheme="minorHAnsi"/>
          <w:szCs w:val="24"/>
        </w:rPr>
        <w:t>183</w:t>
      </w:r>
      <w:r w:rsidRPr="00E94521" w:rsidR="008A0D54">
        <w:rPr>
          <w:rFonts w:asciiTheme="minorHAnsi" w:hAnsiTheme="minorHAnsi" w:cstheme="minorHAnsi"/>
          <w:szCs w:val="24"/>
        </w:rPr>
        <w:t>, and total burden has increased accordingly</w:t>
      </w:r>
      <w:r w:rsidRPr="00E94521" w:rsidR="00234065">
        <w:rPr>
          <w:rFonts w:asciiTheme="minorHAnsi" w:hAnsiTheme="minorHAnsi" w:cstheme="minorHAnsi"/>
          <w:szCs w:val="24"/>
        </w:rPr>
        <w:t xml:space="preserve">. The estimated labor hour costs for a project director </w:t>
      </w:r>
      <w:r w:rsidRPr="00E94521" w:rsidR="00494AD5">
        <w:rPr>
          <w:rFonts w:asciiTheme="minorHAnsi" w:hAnsiTheme="minorHAnsi" w:cstheme="minorHAnsi"/>
          <w:szCs w:val="24"/>
        </w:rPr>
        <w:t>remain at</w:t>
      </w:r>
      <w:r w:rsidRPr="00E94521" w:rsidR="00811296">
        <w:rPr>
          <w:rFonts w:asciiTheme="minorHAnsi" w:hAnsiTheme="minorHAnsi" w:cstheme="minorHAnsi"/>
          <w:szCs w:val="24"/>
        </w:rPr>
        <w:t xml:space="preserve"> $42 per hour. </w:t>
      </w:r>
      <w:r w:rsidRPr="00E94521" w:rsidR="004E6653">
        <w:rPr>
          <w:rFonts w:asciiTheme="minorHAnsi" w:hAnsiTheme="minorHAnsi" w:cstheme="minorHAnsi"/>
          <w:szCs w:val="24"/>
        </w:rPr>
        <w:t xml:space="preserve">The total costs for clerical staff </w:t>
      </w:r>
      <w:r w:rsidRPr="00E94521" w:rsidR="00C672B3">
        <w:rPr>
          <w:rFonts w:asciiTheme="minorHAnsi" w:hAnsiTheme="minorHAnsi" w:cstheme="minorHAnsi"/>
          <w:szCs w:val="24"/>
        </w:rPr>
        <w:t>remain</w:t>
      </w:r>
      <w:r w:rsidRPr="00E94521" w:rsidR="003E3933">
        <w:rPr>
          <w:rFonts w:asciiTheme="minorHAnsi" w:hAnsiTheme="minorHAnsi" w:cstheme="minorHAnsi"/>
          <w:szCs w:val="24"/>
        </w:rPr>
        <w:t xml:space="preserve"> at</w:t>
      </w:r>
      <w:r w:rsidRPr="00E94521" w:rsidR="004E6653">
        <w:rPr>
          <w:rFonts w:asciiTheme="minorHAnsi" w:hAnsiTheme="minorHAnsi" w:cstheme="minorHAnsi"/>
          <w:szCs w:val="24"/>
        </w:rPr>
        <w:t xml:space="preserve"> $23 per hour.</w:t>
      </w:r>
    </w:p>
    <w:p w:rsidR="006F41E1" w:rsidRPr="00CF6642" w:rsidP="002313E2" w14:paraId="47E6EF5E" w14:textId="03F14F4A">
      <w:pPr>
        <w:tabs>
          <w:tab w:val="left" w:pos="-720"/>
        </w:tabs>
        <w:suppressAutoHyphens/>
        <w:rPr>
          <w:rFonts w:asciiTheme="minorHAnsi" w:hAnsiTheme="minorHAnsi" w:cstheme="minorHAnsi"/>
          <w:szCs w:val="24"/>
        </w:rPr>
      </w:pPr>
    </w:p>
    <w:p w:rsidR="00960D07" w:rsidRPr="003A03E4" w:rsidP="00960D07" w14:paraId="0DB191F6" w14:textId="7B985A57">
      <w:pPr>
        <w:pStyle w:val="ListParagraph"/>
        <w:suppressAutoHyphens/>
        <w:contextualSpacing w:val="0"/>
        <w:rPr>
          <w:rFonts w:asciiTheme="minorHAnsi" w:hAnsiTheme="minorHAnsi" w:cstheme="minorHAnsi"/>
          <w:szCs w:val="24"/>
        </w:rPr>
      </w:pPr>
      <w:r>
        <w:rPr>
          <w:rFonts w:asciiTheme="minorHAnsi" w:hAnsiTheme="minorHAnsi" w:cstheme="minorHAnsi"/>
          <w:szCs w:val="24"/>
        </w:rPr>
        <w:t xml:space="preserve">In addition, the APR has been revised to replace </w:t>
      </w:r>
      <w:r w:rsidRPr="003A03E4">
        <w:rPr>
          <w:rFonts w:asciiTheme="minorHAnsi" w:hAnsiTheme="minorHAnsi" w:cstheme="minorHAnsi"/>
          <w:szCs w:val="24"/>
        </w:rPr>
        <w:t xml:space="preserve">CPP questions with new CPP questions of equal response time. </w:t>
      </w:r>
    </w:p>
    <w:p w:rsidR="003C715C" w:rsidRPr="003A03E4" w:rsidP="002313E2" w14:paraId="2C68C214" w14:textId="77777777">
      <w:pPr>
        <w:tabs>
          <w:tab w:val="left" w:pos="-720"/>
        </w:tabs>
        <w:suppressAutoHyphens/>
        <w:rPr>
          <w:rFonts w:asciiTheme="minorHAnsi" w:hAnsiTheme="minorHAnsi" w:cstheme="minorHAnsi"/>
          <w:szCs w:val="24"/>
        </w:rPr>
      </w:pPr>
    </w:p>
    <w:p w:rsidR="00F1697D" w:rsidRPr="00534B4A" w:rsidP="002313E2" w14:paraId="64C1729A" w14:textId="77777777">
      <w:pPr>
        <w:tabs>
          <w:tab w:val="left" w:pos="-720"/>
        </w:tabs>
        <w:suppressAutoHyphens/>
        <w:rPr>
          <w:rFonts w:ascii="Times New Roman" w:hAnsi="Times New Roman"/>
          <w:szCs w:val="24"/>
        </w:rPr>
      </w:pPr>
    </w:p>
    <w:p w:rsidR="00043C32" w:rsidP="002313E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E" w14:textId="23A411FC">
      <w:pPr>
        <w:tabs>
          <w:tab w:val="left" w:pos="-720"/>
        </w:tabs>
        <w:suppressAutoHyphens/>
        <w:rPr>
          <w:rFonts w:ascii="Times New Roman" w:hAnsi="Times New Roman"/>
          <w:szCs w:val="24"/>
        </w:rPr>
      </w:pPr>
    </w:p>
    <w:p w:rsidR="00EA2FB0" w:rsidRPr="00541F86" w:rsidP="009B57A2" w14:paraId="6852ACB6" w14:textId="4E30E6D4">
      <w:pPr>
        <w:tabs>
          <w:tab w:val="left" w:pos="-720"/>
        </w:tabs>
        <w:suppressAutoHyphens/>
        <w:ind w:left="806"/>
        <w:rPr>
          <w:rFonts w:asciiTheme="minorHAnsi" w:hAnsiTheme="minorHAnsi" w:cstheme="minorHAnsi"/>
          <w:szCs w:val="24"/>
        </w:rPr>
      </w:pPr>
      <w:r w:rsidRPr="00541F86">
        <w:rPr>
          <w:rFonts w:asciiTheme="minorHAnsi" w:hAnsiTheme="minorHAnsi" w:cstheme="minorHAnsi"/>
        </w:rPr>
        <w:t>Collected information will be analyzed annually to determine if each grantee is meeting its approved goals and objectives and to award prior experience points. Performance</w:t>
      </w:r>
      <w:r w:rsidRPr="00541F86" w:rsidR="00FF448F">
        <w:rPr>
          <w:rFonts w:asciiTheme="minorHAnsi" w:hAnsiTheme="minorHAnsi" w:cstheme="minorHAnsi"/>
        </w:rPr>
        <w:t xml:space="preserve"> measures and efficiency measures for the EOC program, based on data conveyed in grantees' annual performance reports, are disseminated in the Department's Annual Program Performance Plan. In addition, the Department's Web site </w:t>
      </w:r>
      <w:r w:rsidRPr="00541F86" w:rsidR="00B858CC">
        <w:rPr>
          <w:rFonts w:asciiTheme="minorHAnsi" w:hAnsiTheme="minorHAnsi" w:cstheme="minorHAnsi"/>
        </w:rPr>
        <w:t xml:space="preserve">will </w:t>
      </w:r>
      <w:r w:rsidRPr="00541F86" w:rsidR="00FF448F">
        <w:rPr>
          <w:rFonts w:asciiTheme="minorHAnsi" w:hAnsiTheme="minorHAnsi" w:cstheme="minorHAnsi"/>
        </w:rPr>
        <w:t>provide data on performance and efficiency measure</w:t>
      </w:r>
      <w:r w:rsidRPr="00541F86" w:rsidR="00B858CC">
        <w:rPr>
          <w:rFonts w:asciiTheme="minorHAnsi" w:hAnsiTheme="minorHAnsi" w:cstheme="minorHAnsi"/>
        </w:rPr>
        <w:t>s</w:t>
      </w:r>
      <w:r w:rsidRPr="00541F86" w:rsidR="00FF448F">
        <w:rPr>
          <w:rFonts w:asciiTheme="minorHAnsi" w:hAnsiTheme="minorHAnsi" w:cstheme="minorHAnsi"/>
        </w:rPr>
        <w:t>; this more detailed reporting has been made possible due to improvements in accuracy resulting from incorporating the standard objectives into the report form</w:t>
      </w:r>
      <w:r w:rsidRPr="00541F86" w:rsidR="00CC0EBB">
        <w:rPr>
          <w:rFonts w:asciiTheme="minorHAnsi" w:hAnsiTheme="minorHAnsi" w:cstheme="minorHAnsi"/>
        </w:rPr>
        <w:t>.</w:t>
      </w:r>
    </w:p>
    <w:p w:rsidR="00EA2FB0" w:rsidRPr="00541F86" w:rsidP="002313E2" w14:paraId="3831BEE7" w14:textId="77777777">
      <w:pPr>
        <w:tabs>
          <w:tab w:val="left" w:pos="-720"/>
        </w:tabs>
        <w:suppressAutoHyphens/>
        <w:rPr>
          <w:rFonts w:asciiTheme="minorHAnsi" w:hAnsiTheme="minorHAnsi" w:cstheme="minorHAnsi"/>
          <w:szCs w:val="24"/>
        </w:rPr>
      </w:pPr>
    </w:p>
    <w:p w:rsidR="00534B4A" w:rsidRPr="00534B4A" w:rsidP="002313E2" w14:paraId="56DDEFBF" w14:textId="77777777">
      <w:pPr>
        <w:tabs>
          <w:tab w:val="left" w:pos="-720"/>
        </w:tabs>
        <w:suppressAutoHyphens/>
        <w:rPr>
          <w:rFonts w:ascii="Times New Roman" w:hAnsi="Times New Roman"/>
          <w:szCs w:val="24"/>
        </w:rPr>
      </w:pPr>
    </w:p>
    <w:p w:rsidR="00043C32" w:rsidP="002313E2" w14:paraId="56DDEFC0" w14:textId="0A5862A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22520A" w:rsidP="0022520A" w14:paraId="7BCDE07B" w14:textId="3076DC4F">
      <w:pPr>
        <w:tabs>
          <w:tab w:val="left" w:pos="-720"/>
        </w:tabs>
        <w:suppressAutoHyphens/>
        <w:rPr>
          <w:rStyle w:val="a"/>
          <w:rFonts w:ascii="Times New Roman" w:hAnsi="Times New Roman"/>
          <w:b/>
          <w:szCs w:val="24"/>
        </w:rPr>
      </w:pPr>
    </w:p>
    <w:p w:rsidR="0022520A" w:rsidRPr="00541F86" w:rsidP="0022520A" w14:paraId="5AEE8FB9" w14:textId="2D5918E0">
      <w:pPr>
        <w:tabs>
          <w:tab w:val="left" w:pos="-720"/>
        </w:tabs>
        <w:suppressAutoHyphens/>
        <w:ind w:left="900"/>
        <w:rPr>
          <w:rStyle w:val="a"/>
          <w:rFonts w:asciiTheme="minorHAnsi" w:hAnsiTheme="minorHAnsi" w:cstheme="minorHAnsi"/>
          <w:b/>
          <w:szCs w:val="24"/>
        </w:rPr>
      </w:pPr>
      <w:r w:rsidRPr="00541F86">
        <w:rPr>
          <w:rFonts w:asciiTheme="minorHAnsi" w:hAnsiTheme="minorHAnsi" w:cstheme="minorHAnsi"/>
        </w:rPr>
        <w:t>This report form and the Web site will display the expiration date for OMB's approval of the information collection.</w:t>
      </w:r>
    </w:p>
    <w:p w:rsidR="00534B4A" w:rsidP="002313E2" w14:paraId="56DDEFC1" w14:textId="77777777">
      <w:pPr>
        <w:tabs>
          <w:tab w:val="left" w:pos="-720"/>
        </w:tabs>
        <w:suppressAutoHyphens/>
        <w:ind w:left="360"/>
        <w:rPr>
          <w:rFonts w:ascii="Times New Roman" w:hAnsi="Times New Roman"/>
          <w:b/>
          <w:szCs w:val="24"/>
        </w:rPr>
      </w:pPr>
    </w:p>
    <w:p w:rsidR="00534B4A" w:rsidRPr="00534B4A" w:rsidP="002313E2" w14:paraId="56DDEFC2" w14:textId="77777777">
      <w:pPr>
        <w:tabs>
          <w:tab w:val="left" w:pos="-720"/>
        </w:tabs>
        <w:suppressAutoHyphens/>
        <w:ind w:left="360"/>
        <w:rPr>
          <w:rFonts w:ascii="Times New Roman" w:hAnsi="Times New Roman"/>
          <w:szCs w:val="24"/>
        </w:rPr>
      </w:pPr>
    </w:p>
    <w:p w:rsidR="001C73C0" w:rsidP="002313E2" w14:paraId="56DDEFC3" w14:textId="0945749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9789E" w:rsidP="0029789E" w14:paraId="4896CD26" w14:textId="352AACAE">
      <w:pPr>
        <w:tabs>
          <w:tab w:val="left" w:pos="-720"/>
        </w:tabs>
        <w:suppressAutoHyphens/>
        <w:rPr>
          <w:rFonts w:ascii="Times New Roman" w:hAnsi="Times New Roman"/>
          <w:b/>
          <w:szCs w:val="24"/>
        </w:rPr>
      </w:pPr>
    </w:p>
    <w:p w:rsidR="0029789E" w:rsidRPr="00541F86" w:rsidP="0029789E" w14:paraId="412F7078" w14:textId="76CEADDB">
      <w:pPr>
        <w:tabs>
          <w:tab w:val="left" w:pos="-720"/>
        </w:tabs>
        <w:suppressAutoHyphens/>
        <w:ind w:left="900"/>
        <w:rPr>
          <w:rFonts w:asciiTheme="minorHAnsi" w:hAnsiTheme="minorHAnsi" w:cstheme="minorHAnsi"/>
          <w:b/>
          <w:szCs w:val="24"/>
        </w:rPr>
      </w:pPr>
      <w:r w:rsidRPr="00541F86">
        <w:rPr>
          <w:rFonts w:asciiTheme="minorHAnsi" w:hAnsiTheme="minorHAnsi" w:cstheme="minorHAnsi"/>
        </w:rPr>
        <w:t>There are no exceptions to the certification statement.</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933" w14:paraId="56DDEFC8" w14:textId="77777777">
    <w:pPr>
      <w:spacing w:before="140" w:line="100" w:lineRule="exact"/>
      <w:rPr>
        <w:sz w:val="10"/>
      </w:rPr>
    </w:pPr>
  </w:p>
  <w:p w:rsidR="003E3933" w14:paraId="56DDEFC9" w14:textId="77777777">
    <w:pPr>
      <w:tabs>
        <w:tab w:val="left" w:pos="0"/>
      </w:tabs>
      <w:suppressAutoHyphens/>
    </w:pPr>
  </w:p>
  <w:p w:rsidR="003E3933"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E393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E3933"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4112" w:rsidP="00043C32" w14:paraId="08A1C85D" w14:textId="77777777">
      <w:r>
        <w:separator/>
      </w:r>
    </w:p>
  </w:footnote>
  <w:footnote w:type="continuationSeparator" w:id="1">
    <w:p w:rsidR="008B4112" w:rsidP="00043C32" w14:paraId="5A199EB0" w14:textId="77777777">
      <w:r>
        <w:continuationSeparator/>
      </w:r>
    </w:p>
  </w:footnote>
  <w:footnote w:type="continuationNotice" w:id="2">
    <w:p w:rsidR="008B4112" w14:paraId="574CA850" w14:textId="77777777"/>
  </w:footnote>
  <w:footnote w:id="3">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3099636">
    <w:abstractNumId w:val="0"/>
  </w:num>
  <w:num w:numId="2" w16cid:durableId="1587685045">
    <w:abstractNumId w:val="2"/>
  </w:num>
  <w:num w:numId="3" w16cid:durableId="744843741">
    <w:abstractNumId w:val="1"/>
  </w:num>
  <w:num w:numId="4" w16cid:durableId="1101531584">
    <w:abstractNumId w:val="3"/>
  </w:num>
  <w:num w:numId="5" w16cid:durableId="149529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B3E"/>
    <w:rsid w:val="00003CBB"/>
    <w:rsid w:val="00010D85"/>
    <w:rsid w:val="0001177F"/>
    <w:rsid w:val="0001326E"/>
    <w:rsid w:val="00022A8E"/>
    <w:rsid w:val="00035ED5"/>
    <w:rsid w:val="000405A6"/>
    <w:rsid w:val="00043C32"/>
    <w:rsid w:val="000446F5"/>
    <w:rsid w:val="00063A39"/>
    <w:rsid w:val="00064190"/>
    <w:rsid w:val="00076B61"/>
    <w:rsid w:val="00093017"/>
    <w:rsid w:val="0009304A"/>
    <w:rsid w:val="000C31FC"/>
    <w:rsid w:val="000C7127"/>
    <w:rsid w:val="000E0131"/>
    <w:rsid w:val="001400F0"/>
    <w:rsid w:val="001509AE"/>
    <w:rsid w:val="00157B9A"/>
    <w:rsid w:val="001824F3"/>
    <w:rsid w:val="0018628C"/>
    <w:rsid w:val="00193113"/>
    <w:rsid w:val="001A0CB1"/>
    <w:rsid w:val="001A6AE0"/>
    <w:rsid w:val="001B4039"/>
    <w:rsid w:val="001B4FCB"/>
    <w:rsid w:val="001C4CC2"/>
    <w:rsid w:val="001C73C0"/>
    <w:rsid w:val="001D4BE5"/>
    <w:rsid w:val="001D5FA8"/>
    <w:rsid w:val="001E509E"/>
    <w:rsid w:val="001E79BD"/>
    <w:rsid w:val="001F3AF4"/>
    <w:rsid w:val="00202161"/>
    <w:rsid w:val="0021632E"/>
    <w:rsid w:val="00221318"/>
    <w:rsid w:val="002225CC"/>
    <w:rsid w:val="0022455D"/>
    <w:rsid w:val="00224A3B"/>
    <w:rsid w:val="0022520A"/>
    <w:rsid w:val="0022765E"/>
    <w:rsid w:val="002313E2"/>
    <w:rsid w:val="00234065"/>
    <w:rsid w:val="00234B13"/>
    <w:rsid w:val="00240A39"/>
    <w:rsid w:val="00246FE9"/>
    <w:rsid w:val="00250100"/>
    <w:rsid w:val="0025190E"/>
    <w:rsid w:val="00257697"/>
    <w:rsid w:val="00262A69"/>
    <w:rsid w:val="00263169"/>
    <w:rsid w:val="00266B8D"/>
    <w:rsid w:val="00270AF7"/>
    <w:rsid w:val="002917B9"/>
    <w:rsid w:val="00294D5B"/>
    <w:rsid w:val="0029789E"/>
    <w:rsid w:val="002A3221"/>
    <w:rsid w:val="002A3D72"/>
    <w:rsid w:val="002A66A9"/>
    <w:rsid w:val="002B116B"/>
    <w:rsid w:val="002B11C1"/>
    <w:rsid w:val="002B7491"/>
    <w:rsid w:val="002C3520"/>
    <w:rsid w:val="002C7E23"/>
    <w:rsid w:val="002D1FB9"/>
    <w:rsid w:val="002D4406"/>
    <w:rsid w:val="002E14E0"/>
    <w:rsid w:val="002F0981"/>
    <w:rsid w:val="002F5423"/>
    <w:rsid w:val="002F55E5"/>
    <w:rsid w:val="003133D4"/>
    <w:rsid w:val="00314C68"/>
    <w:rsid w:val="00315B40"/>
    <w:rsid w:val="0032078A"/>
    <w:rsid w:val="0032539E"/>
    <w:rsid w:val="0033467F"/>
    <w:rsid w:val="00343B6C"/>
    <w:rsid w:val="0034475F"/>
    <w:rsid w:val="003478AD"/>
    <w:rsid w:val="00351BC7"/>
    <w:rsid w:val="003775BF"/>
    <w:rsid w:val="00382FB5"/>
    <w:rsid w:val="003860E4"/>
    <w:rsid w:val="003A03E4"/>
    <w:rsid w:val="003B09A3"/>
    <w:rsid w:val="003B1545"/>
    <w:rsid w:val="003C3234"/>
    <w:rsid w:val="003C715C"/>
    <w:rsid w:val="003C7E1A"/>
    <w:rsid w:val="003E3933"/>
    <w:rsid w:val="003E6853"/>
    <w:rsid w:val="003F03C8"/>
    <w:rsid w:val="003F5C56"/>
    <w:rsid w:val="00412915"/>
    <w:rsid w:val="0043157E"/>
    <w:rsid w:val="004332AF"/>
    <w:rsid w:val="00442E07"/>
    <w:rsid w:val="00476032"/>
    <w:rsid w:val="00485217"/>
    <w:rsid w:val="00493031"/>
    <w:rsid w:val="00494AD5"/>
    <w:rsid w:val="004A1A5C"/>
    <w:rsid w:val="004B6D99"/>
    <w:rsid w:val="004C0920"/>
    <w:rsid w:val="004E62BF"/>
    <w:rsid w:val="004E6653"/>
    <w:rsid w:val="004F2665"/>
    <w:rsid w:val="00511CBF"/>
    <w:rsid w:val="0052073E"/>
    <w:rsid w:val="00524D2F"/>
    <w:rsid w:val="00534B4A"/>
    <w:rsid w:val="00541F86"/>
    <w:rsid w:val="00553944"/>
    <w:rsid w:val="0055397D"/>
    <w:rsid w:val="005636F8"/>
    <w:rsid w:val="00567C0C"/>
    <w:rsid w:val="00575DDA"/>
    <w:rsid w:val="00581C11"/>
    <w:rsid w:val="0058203F"/>
    <w:rsid w:val="0059279A"/>
    <w:rsid w:val="005968AB"/>
    <w:rsid w:val="00597C9A"/>
    <w:rsid w:val="005A3405"/>
    <w:rsid w:val="005B2E52"/>
    <w:rsid w:val="005C35CA"/>
    <w:rsid w:val="005C6228"/>
    <w:rsid w:val="005E3FDE"/>
    <w:rsid w:val="006079E0"/>
    <w:rsid w:val="00626786"/>
    <w:rsid w:val="006267DE"/>
    <w:rsid w:val="006477C1"/>
    <w:rsid w:val="00660F87"/>
    <w:rsid w:val="006711E1"/>
    <w:rsid w:val="00676195"/>
    <w:rsid w:val="0068567A"/>
    <w:rsid w:val="006A292A"/>
    <w:rsid w:val="006A38F7"/>
    <w:rsid w:val="006A4EBB"/>
    <w:rsid w:val="006B4172"/>
    <w:rsid w:val="006B4772"/>
    <w:rsid w:val="006C1BB7"/>
    <w:rsid w:val="006C4A4D"/>
    <w:rsid w:val="006D2718"/>
    <w:rsid w:val="006D31A6"/>
    <w:rsid w:val="006E426E"/>
    <w:rsid w:val="006F41E1"/>
    <w:rsid w:val="006F59ED"/>
    <w:rsid w:val="006F78AE"/>
    <w:rsid w:val="00704F41"/>
    <w:rsid w:val="00705B05"/>
    <w:rsid w:val="007074AA"/>
    <w:rsid w:val="00713B69"/>
    <w:rsid w:val="00727854"/>
    <w:rsid w:val="00744C83"/>
    <w:rsid w:val="00755D99"/>
    <w:rsid w:val="007564F0"/>
    <w:rsid w:val="00756FD3"/>
    <w:rsid w:val="007571E3"/>
    <w:rsid w:val="00765392"/>
    <w:rsid w:val="007708D2"/>
    <w:rsid w:val="00770D4A"/>
    <w:rsid w:val="00771FF0"/>
    <w:rsid w:val="0078077F"/>
    <w:rsid w:val="00782678"/>
    <w:rsid w:val="00790E3E"/>
    <w:rsid w:val="007A3323"/>
    <w:rsid w:val="007B041D"/>
    <w:rsid w:val="007B6752"/>
    <w:rsid w:val="007B779A"/>
    <w:rsid w:val="007C0A4C"/>
    <w:rsid w:val="007F4143"/>
    <w:rsid w:val="007F6104"/>
    <w:rsid w:val="007F6959"/>
    <w:rsid w:val="00800D30"/>
    <w:rsid w:val="008035C2"/>
    <w:rsid w:val="00804FD6"/>
    <w:rsid w:val="00807D1A"/>
    <w:rsid w:val="00810F45"/>
    <w:rsid w:val="00811296"/>
    <w:rsid w:val="008323E4"/>
    <w:rsid w:val="0084130A"/>
    <w:rsid w:val="00855445"/>
    <w:rsid w:val="00856E65"/>
    <w:rsid w:val="00857AC8"/>
    <w:rsid w:val="00860E11"/>
    <w:rsid w:val="008642AF"/>
    <w:rsid w:val="00864469"/>
    <w:rsid w:val="0087466F"/>
    <w:rsid w:val="00874EFE"/>
    <w:rsid w:val="00876DAB"/>
    <w:rsid w:val="00877C8A"/>
    <w:rsid w:val="00882126"/>
    <w:rsid w:val="008910B9"/>
    <w:rsid w:val="00891623"/>
    <w:rsid w:val="00892630"/>
    <w:rsid w:val="008933F1"/>
    <w:rsid w:val="008A03F2"/>
    <w:rsid w:val="008A0D54"/>
    <w:rsid w:val="008B4112"/>
    <w:rsid w:val="008C0457"/>
    <w:rsid w:val="008C3012"/>
    <w:rsid w:val="008C3AF6"/>
    <w:rsid w:val="008C7E04"/>
    <w:rsid w:val="008D0601"/>
    <w:rsid w:val="008D1F11"/>
    <w:rsid w:val="008E44E0"/>
    <w:rsid w:val="008E5919"/>
    <w:rsid w:val="009000B1"/>
    <w:rsid w:val="00905951"/>
    <w:rsid w:val="00907B3D"/>
    <w:rsid w:val="00912D2C"/>
    <w:rsid w:val="00912F5A"/>
    <w:rsid w:val="00916EE4"/>
    <w:rsid w:val="00920F63"/>
    <w:rsid w:val="009243F3"/>
    <w:rsid w:val="009262D2"/>
    <w:rsid w:val="00930C4E"/>
    <w:rsid w:val="0093366B"/>
    <w:rsid w:val="00934185"/>
    <w:rsid w:val="00937A82"/>
    <w:rsid w:val="0094111A"/>
    <w:rsid w:val="0094557A"/>
    <w:rsid w:val="00946126"/>
    <w:rsid w:val="00952DF9"/>
    <w:rsid w:val="0095421D"/>
    <w:rsid w:val="00960C86"/>
    <w:rsid w:val="00960D07"/>
    <w:rsid w:val="00961C90"/>
    <w:rsid w:val="0097310E"/>
    <w:rsid w:val="009767AF"/>
    <w:rsid w:val="009779C9"/>
    <w:rsid w:val="0098075E"/>
    <w:rsid w:val="00981787"/>
    <w:rsid w:val="00981F58"/>
    <w:rsid w:val="00984915"/>
    <w:rsid w:val="00986D0A"/>
    <w:rsid w:val="009B3CAC"/>
    <w:rsid w:val="009B57A2"/>
    <w:rsid w:val="009C18AF"/>
    <w:rsid w:val="009C5CC9"/>
    <w:rsid w:val="009D6CC0"/>
    <w:rsid w:val="009E3E86"/>
    <w:rsid w:val="00A0137C"/>
    <w:rsid w:val="00A01DBD"/>
    <w:rsid w:val="00A06788"/>
    <w:rsid w:val="00A118A2"/>
    <w:rsid w:val="00A23F26"/>
    <w:rsid w:val="00A4001C"/>
    <w:rsid w:val="00A40AAB"/>
    <w:rsid w:val="00A46D01"/>
    <w:rsid w:val="00A52B14"/>
    <w:rsid w:val="00A70816"/>
    <w:rsid w:val="00A73590"/>
    <w:rsid w:val="00A762C5"/>
    <w:rsid w:val="00A7636D"/>
    <w:rsid w:val="00A83C30"/>
    <w:rsid w:val="00A84DD4"/>
    <w:rsid w:val="00A86ADD"/>
    <w:rsid w:val="00A879B6"/>
    <w:rsid w:val="00A9138E"/>
    <w:rsid w:val="00AA0C05"/>
    <w:rsid w:val="00AA118F"/>
    <w:rsid w:val="00AA3731"/>
    <w:rsid w:val="00AA796A"/>
    <w:rsid w:val="00AB3B26"/>
    <w:rsid w:val="00AB4058"/>
    <w:rsid w:val="00AC1C89"/>
    <w:rsid w:val="00AC3695"/>
    <w:rsid w:val="00AC613C"/>
    <w:rsid w:val="00AD381B"/>
    <w:rsid w:val="00AD78CF"/>
    <w:rsid w:val="00AE5174"/>
    <w:rsid w:val="00AF1EBE"/>
    <w:rsid w:val="00AF5B5B"/>
    <w:rsid w:val="00AF5D1A"/>
    <w:rsid w:val="00AF7D9F"/>
    <w:rsid w:val="00B017F9"/>
    <w:rsid w:val="00B07213"/>
    <w:rsid w:val="00B10A05"/>
    <w:rsid w:val="00B12A5C"/>
    <w:rsid w:val="00B23AAF"/>
    <w:rsid w:val="00B24C10"/>
    <w:rsid w:val="00B25A5C"/>
    <w:rsid w:val="00B500F5"/>
    <w:rsid w:val="00B54167"/>
    <w:rsid w:val="00B623A1"/>
    <w:rsid w:val="00B62E06"/>
    <w:rsid w:val="00B64B1D"/>
    <w:rsid w:val="00B6504A"/>
    <w:rsid w:val="00B83E52"/>
    <w:rsid w:val="00B858CC"/>
    <w:rsid w:val="00B9671B"/>
    <w:rsid w:val="00BA171B"/>
    <w:rsid w:val="00BA1D31"/>
    <w:rsid w:val="00BB4F75"/>
    <w:rsid w:val="00BB570F"/>
    <w:rsid w:val="00BE165B"/>
    <w:rsid w:val="00BF0092"/>
    <w:rsid w:val="00C04114"/>
    <w:rsid w:val="00C164D3"/>
    <w:rsid w:val="00C20670"/>
    <w:rsid w:val="00C224FD"/>
    <w:rsid w:val="00C40717"/>
    <w:rsid w:val="00C672B3"/>
    <w:rsid w:val="00C8536C"/>
    <w:rsid w:val="00C86713"/>
    <w:rsid w:val="00C875E8"/>
    <w:rsid w:val="00C92035"/>
    <w:rsid w:val="00C9681D"/>
    <w:rsid w:val="00CA093D"/>
    <w:rsid w:val="00CA2563"/>
    <w:rsid w:val="00CB0D66"/>
    <w:rsid w:val="00CB57A6"/>
    <w:rsid w:val="00CC0EBB"/>
    <w:rsid w:val="00CC2A72"/>
    <w:rsid w:val="00CC2C48"/>
    <w:rsid w:val="00CC3FB5"/>
    <w:rsid w:val="00CD2067"/>
    <w:rsid w:val="00CD41A8"/>
    <w:rsid w:val="00CD47BC"/>
    <w:rsid w:val="00CE10D5"/>
    <w:rsid w:val="00CE359C"/>
    <w:rsid w:val="00CE77B6"/>
    <w:rsid w:val="00CF6642"/>
    <w:rsid w:val="00D00E2F"/>
    <w:rsid w:val="00D06319"/>
    <w:rsid w:val="00D14D50"/>
    <w:rsid w:val="00D20D25"/>
    <w:rsid w:val="00D34984"/>
    <w:rsid w:val="00D35798"/>
    <w:rsid w:val="00D36C35"/>
    <w:rsid w:val="00D46506"/>
    <w:rsid w:val="00D579DE"/>
    <w:rsid w:val="00D606AD"/>
    <w:rsid w:val="00D662B1"/>
    <w:rsid w:val="00D75313"/>
    <w:rsid w:val="00D7718E"/>
    <w:rsid w:val="00D7761F"/>
    <w:rsid w:val="00D82543"/>
    <w:rsid w:val="00DB33B2"/>
    <w:rsid w:val="00DC5F78"/>
    <w:rsid w:val="00DC62DD"/>
    <w:rsid w:val="00DD1C86"/>
    <w:rsid w:val="00E01A78"/>
    <w:rsid w:val="00E0545F"/>
    <w:rsid w:val="00E074C1"/>
    <w:rsid w:val="00E12D4E"/>
    <w:rsid w:val="00E16ACD"/>
    <w:rsid w:val="00E17134"/>
    <w:rsid w:val="00E25EBC"/>
    <w:rsid w:val="00E271A4"/>
    <w:rsid w:val="00E424F1"/>
    <w:rsid w:val="00E53859"/>
    <w:rsid w:val="00E546BC"/>
    <w:rsid w:val="00E54CB7"/>
    <w:rsid w:val="00E62B06"/>
    <w:rsid w:val="00E66550"/>
    <w:rsid w:val="00E70531"/>
    <w:rsid w:val="00E76A10"/>
    <w:rsid w:val="00E80176"/>
    <w:rsid w:val="00E877BF"/>
    <w:rsid w:val="00E93A85"/>
    <w:rsid w:val="00E94521"/>
    <w:rsid w:val="00EA1767"/>
    <w:rsid w:val="00EA21A5"/>
    <w:rsid w:val="00EA2559"/>
    <w:rsid w:val="00EA2FB0"/>
    <w:rsid w:val="00EB0929"/>
    <w:rsid w:val="00EB0FA5"/>
    <w:rsid w:val="00EC01DD"/>
    <w:rsid w:val="00EC054D"/>
    <w:rsid w:val="00EC35E3"/>
    <w:rsid w:val="00ED0CAA"/>
    <w:rsid w:val="00ED7195"/>
    <w:rsid w:val="00ED7E7C"/>
    <w:rsid w:val="00EF14C7"/>
    <w:rsid w:val="00F0414F"/>
    <w:rsid w:val="00F0465F"/>
    <w:rsid w:val="00F070F3"/>
    <w:rsid w:val="00F11179"/>
    <w:rsid w:val="00F1697D"/>
    <w:rsid w:val="00F27AAF"/>
    <w:rsid w:val="00F27CD6"/>
    <w:rsid w:val="00F30C32"/>
    <w:rsid w:val="00F31BEC"/>
    <w:rsid w:val="00F351FA"/>
    <w:rsid w:val="00F50C7F"/>
    <w:rsid w:val="00F55CDA"/>
    <w:rsid w:val="00F575F0"/>
    <w:rsid w:val="00F5782B"/>
    <w:rsid w:val="00F71A55"/>
    <w:rsid w:val="00F73131"/>
    <w:rsid w:val="00F876BB"/>
    <w:rsid w:val="00F93630"/>
    <w:rsid w:val="00F93C98"/>
    <w:rsid w:val="00FA3367"/>
    <w:rsid w:val="00FA45C6"/>
    <w:rsid w:val="00FB4018"/>
    <w:rsid w:val="00FB5589"/>
    <w:rsid w:val="00FB7FCE"/>
    <w:rsid w:val="00FC669D"/>
    <w:rsid w:val="00FD11A7"/>
    <w:rsid w:val="00FD4F0B"/>
    <w:rsid w:val="00FD64F0"/>
    <w:rsid w:val="00FD7FF8"/>
    <w:rsid w:val="00FE02FC"/>
    <w:rsid w:val="00FE1BAE"/>
    <w:rsid w:val="00FF448F"/>
    <w:rsid w:val="00FF553E"/>
    <w:rsid w:val="00FF7572"/>
    <w:rsid w:val="54D0C45D"/>
    <w:rsid w:val="6EB87A4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7E4EBADF-2D72-4C4B-8B9D-C20E21CA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076B61"/>
    <w:rPr>
      <w:rFonts w:ascii="Courier" w:hAnsi="Courier"/>
      <w:sz w:val="24"/>
    </w:rPr>
  </w:style>
  <w:style w:type="paragraph" w:styleId="NoSpacing">
    <w:name w:val="No Spacing"/>
    <w:uiPriority w:val="1"/>
    <w:qFormat/>
    <w:rsid w:val="000C31F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trioeoc/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0" ma:contentTypeDescription="Create a new document." ma:contentTypeScope="" ma:versionID="3b3c5a5a1a84d0c055dcbab909cdebb3">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c10e3cb8d5a77b37b865786cf6475da6"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dcmitype/"/>
    <ds:schemaRef ds:uri="http://purl.org/dc/elements/1.1/"/>
    <ds:schemaRef ds:uri="http://schemas.microsoft.com/office/2006/metadata/properties"/>
    <ds:schemaRef ds:uri="9ba86f94-801f-45cb-a176-822b507a5615"/>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53b61691-3a53-426c-bb14-849d9c64307b"/>
  </ds:schemaRefs>
</ds:datastoreItem>
</file>

<file path=customXml/itemProps3.xml><?xml version="1.0" encoding="utf-8"?>
<ds:datastoreItem xmlns:ds="http://schemas.openxmlformats.org/officeDocument/2006/customXml" ds:itemID="{D47067C4-09A4-479B-9DFE-13E5278BF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2023-09-11T17:55:00Z</dcterms:created>
  <dcterms:modified xsi:type="dcterms:W3CDTF">2023-09-11T17:55:00Z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0x010100D5BA036F0F0909428F520EC99425A8CE</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