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35839" w:rsidRPr="00535839" w:rsidP="00535839" w14:paraId="1D3BFC2A" w14:textId="520260B4">
      <w:pPr>
        <w:tabs>
          <w:tab w:val="center" w:pos="4680"/>
        </w:tabs>
        <w:jc w:val="center"/>
        <w:rPr>
          <w:rFonts w:asciiTheme="minorHAnsi" w:hAnsiTheme="minorHAnsi" w:cstheme="minorHAnsi"/>
          <w:bCs/>
          <w:szCs w:val="24"/>
        </w:rPr>
      </w:pPr>
      <w:r w:rsidRPr="00535839">
        <w:rPr>
          <w:rFonts w:asciiTheme="minorHAnsi" w:hAnsiTheme="minorHAnsi" w:cstheme="minorHAnsi"/>
          <w:bCs/>
          <w:szCs w:val="24"/>
        </w:rPr>
        <w:t>TEACH Grant Program Obligation to Repay Grant</w:t>
      </w:r>
      <w:r>
        <w:rPr>
          <w:rFonts w:asciiTheme="minorHAnsi" w:hAnsiTheme="minorHAnsi" w:cstheme="minorHAnsi"/>
          <w:bCs/>
          <w:szCs w:val="24"/>
        </w:rPr>
        <w:t xml:space="preserve"> </w:t>
      </w:r>
      <w:r w:rsidR="000A0907">
        <w:rPr>
          <w:rFonts w:asciiTheme="minorHAnsi" w:hAnsiTheme="minorHAnsi" w:cstheme="minorHAnsi"/>
          <w:bCs/>
          <w:szCs w:val="24"/>
        </w:rPr>
        <w:t xml:space="preserve">Regulations </w:t>
      </w:r>
      <w:r>
        <w:rPr>
          <w:rFonts w:asciiTheme="minorHAnsi" w:hAnsiTheme="minorHAnsi" w:cstheme="minorHAnsi"/>
          <w:bCs/>
          <w:szCs w:val="24"/>
        </w:rPr>
        <w:t xml:space="preserve"> </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535839" w:rsidRPr="00535839" w:rsidP="00A671BA" w14:paraId="4AFD1B89" w14:textId="2944FB1A">
      <w:pPr>
        <w:pStyle w:val="BodyTextIndent"/>
        <w:spacing w:before="240"/>
        <w:rPr>
          <w:rFonts w:asciiTheme="minorHAnsi" w:hAnsiTheme="minorHAnsi" w:cstheme="minorHAnsi"/>
        </w:rPr>
      </w:pPr>
      <w:bookmarkStart w:id="0" w:name="_Hlk23155377"/>
      <w:r w:rsidRPr="00535839">
        <w:rPr>
          <w:rFonts w:asciiTheme="minorHAnsi" w:hAnsiTheme="minorHAnsi" w:cstheme="minorHAnsi"/>
        </w:rPr>
        <w:t xml:space="preserve">The College Cost Reduction and Access Act (Public Law 110-84) (the CCRAA) established the Teacher Education Assistance for College and Higher Education (TEACH) Grant Program under Part A of the Higher Education Act of 1965, as amended (the HEA).  The regulations governing the TEACH Grant Program are in 34 CFR 686.  </w:t>
      </w:r>
      <w:r w:rsidRPr="00535839" w:rsidR="005218F6">
        <w:rPr>
          <w:rFonts w:asciiTheme="minorHAnsi" w:hAnsiTheme="minorHAnsi" w:cstheme="minorHAnsi"/>
        </w:rPr>
        <w:t>The Department</w:t>
      </w:r>
      <w:r w:rsidR="005218F6">
        <w:rPr>
          <w:rFonts w:asciiTheme="minorHAnsi" w:hAnsiTheme="minorHAnsi" w:cstheme="minorHAnsi"/>
        </w:rPr>
        <w:t xml:space="preserve"> of Education (the Department)</w:t>
      </w:r>
      <w:r w:rsidRPr="00535839" w:rsidR="005218F6">
        <w:rPr>
          <w:rFonts w:asciiTheme="minorHAnsi" w:hAnsiTheme="minorHAnsi" w:cstheme="minorHAnsi"/>
        </w:rPr>
        <w:t xml:space="preserve"> is requesting </w:t>
      </w:r>
      <w:r w:rsidR="00392CF2">
        <w:rPr>
          <w:rFonts w:asciiTheme="minorHAnsi" w:hAnsiTheme="minorHAnsi" w:cstheme="minorHAnsi"/>
        </w:rPr>
        <w:t>extension</w:t>
      </w:r>
      <w:r w:rsidR="005218F6">
        <w:rPr>
          <w:rFonts w:asciiTheme="minorHAnsi" w:hAnsiTheme="minorHAnsi" w:cstheme="minorHAnsi"/>
        </w:rPr>
        <w:t xml:space="preserve"> without change of this</w:t>
      </w:r>
      <w:r w:rsidRPr="00535839" w:rsidR="005218F6">
        <w:rPr>
          <w:rFonts w:asciiTheme="minorHAnsi" w:hAnsiTheme="minorHAnsi" w:cstheme="minorHAnsi"/>
        </w:rPr>
        <w:t xml:space="preserve"> information collection for the TEACH Grant</w:t>
      </w:r>
      <w:r w:rsidR="005218F6">
        <w:rPr>
          <w:rFonts w:asciiTheme="minorHAnsi" w:hAnsiTheme="minorHAnsi" w:cstheme="minorHAnsi"/>
        </w:rPr>
        <w:t xml:space="preserve"> regulations under</w:t>
      </w:r>
      <w:r w:rsidRPr="00535839" w:rsidR="005218F6">
        <w:rPr>
          <w:rFonts w:asciiTheme="minorHAnsi" w:hAnsiTheme="minorHAnsi" w:cstheme="minorHAnsi"/>
        </w:rPr>
        <w:t xml:space="preserve"> 34 CFR 686.43.  </w:t>
      </w:r>
    </w:p>
    <w:p w:rsidR="00535839" w:rsidRPr="00535839" w:rsidP="00535839" w14:paraId="6B16406B" w14:textId="77777777">
      <w:pPr>
        <w:pStyle w:val="BodyTextIndent"/>
        <w:spacing w:before="240"/>
        <w:rPr>
          <w:rFonts w:asciiTheme="minorHAnsi" w:hAnsiTheme="minorHAnsi" w:cstheme="minorHAnsi"/>
        </w:rPr>
      </w:pPr>
      <w:r w:rsidRPr="00535839">
        <w:rPr>
          <w:rFonts w:asciiTheme="minorHAnsi" w:hAnsiTheme="minorHAnsi" w:cstheme="minorHAnsi"/>
        </w:rPr>
        <w:t xml:space="preserve">The TEACH Grant Program provides grants of up to $4,000 per year to undergraduate and graduate students who are completing, or who intend to complete, coursework necessary to begin a career in teaching.  In exchange for receiving a TEACH Grant, a grant recipient must agree to complete a teaching service obligation and must regularly provide documentation of his or her progress toward satisfying the service obligation.  If a grant recipient fails to complete the service obligation or does not meet requirements for documenting the service obligation, the TEACH Grants that the individual received are converted to a Direct Unsubsidized Loan that must be repaid, with interest charged from the date of each TEACH Grant disbursement.  </w:t>
      </w:r>
    </w:p>
    <w:p w:rsidR="00535839" w:rsidRPr="00535839" w:rsidP="00535839" w14:paraId="00912A5E" w14:textId="02A33FCE">
      <w:pPr>
        <w:spacing w:before="240"/>
        <w:ind w:left="720"/>
        <w:rPr>
          <w:rFonts w:asciiTheme="minorHAnsi" w:hAnsiTheme="minorHAnsi" w:cstheme="minorHAnsi"/>
          <w:szCs w:val="24"/>
        </w:rPr>
      </w:pPr>
      <w:r w:rsidRPr="00535839">
        <w:rPr>
          <w:rFonts w:asciiTheme="minorHAnsi" w:hAnsiTheme="minorHAnsi" w:cstheme="minorHAnsi"/>
          <w:szCs w:val="24"/>
        </w:rPr>
        <w:t xml:space="preserve">The regulations govern when a TEACH Grant will be converted to a Direct Unsubsidized Loan, as well as provide for annual notifications from the Secretary to the recipient regarding the status of a recipient’s TEACH Grant service obligation.  Under the regulations, a TEACH Grant recipient </w:t>
      </w:r>
      <w:r w:rsidR="005218F6">
        <w:rPr>
          <w:rFonts w:asciiTheme="minorHAnsi" w:hAnsiTheme="minorHAnsi" w:cstheme="minorHAnsi"/>
          <w:szCs w:val="24"/>
        </w:rPr>
        <w:t>can</w:t>
      </w:r>
      <w:r w:rsidRPr="00535839" w:rsidR="005218F6">
        <w:rPr>
          <w:rFonts w:asciiTheme="minorHAnsi" w:hAnsiTheme="minorHAnsi" w:cstheme="minorHAnsi"/>
          <w:szCs w:val="24"/>
        </w:rPr>
        <w:t xml:space="preserve"> </w:t>
      </w:r>
      <w:r w:rsidRPr="00535839">
        <w:rPr>
          <w:rFonts w:asciiTheme="minorHAnsi" w:hAnsiTheme="minorHAnsi" w:cstheme="minorHAnsi"/>
          <w:szCs w:val="24"/>
        </w:rPr>
        <w:t xml:space="preserve">request conversion if the recipient decides not to fulfill the TEACH Grant obligations for any reason or if the recipient fails to begin or maintain qualifying teaching service within a timeframe to complete the service obligation in the requisite eight-year period.  Additionally, the regulations describe the notifications the Secretary will annually send to all TEACH Grant recipients regarding the service obligation requirements. </w:t>
      </w:r>
    </w:p>
    <w:bookmarkEnd w:id="0"/>
    <w:p w:rsidR="007C700A" w:rsidRPr="00AD381B" w:rsidP="00AD381B" w14:paraId="5182F308" w14:textId="6947FF1F">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535839" w:rsidRPr="00535839" w:rsidP="00535839" w14:paraId="4364308E" w14:textId="4BD1E0E2">
      <w:pPr>
        <w:ind w:left="720"/>
        <w:rPr>
          <w:rFonts w:asciiTheme="minorHAnsi" w:hAnsiTheme="minorHAnsi" w:cstheme="minorHAnsi"/>
          <w:szCs w:val="24"/>
        </w:rPr>
      </w:pPr>
      <w:r w:rsidRPr="00535839">
        <w:rPr>
          <w:rFonts w:asciiTheme="minorHAnsi" w:hAnsiTheme="minorHAnsi" w:cstheme="minorHAnsi"/>
          <w:szCs w:val="24"/>
        </w:rPr>
        <w:t xml:space="preserve">34 CFR 686.43 requires the Department to annually notify TEACH Grant recipients of status of their TEACH Grant service obligation.  Under the regulations, a TEACH Grant </w:t>
      </w:r>
      <w:r w:rsidRPr="00535839">
        <w:rPr>
          <w:rFonts w:asciiTheme="minorHAnsi" w:hAnsiTheme="minorHAnsi" w:cstheme="minorHAnsi"/>
          <w:szCs w:val="24"/>
        </w:rPr>
        <w:t xml:space="preserve">recipient </w:t>
      </w:r>
      <w:r w:rsidR="005218F6">
        <w:rPr>
          <w:rFonts w:asciiTheme="minorHAnsi" w:hAnsiTheme="minorHAnsi" w:cstheme="minorHAnsi"/>
          <w:szCs w:val="24"/>
        </w:rPr>
        <w:t>can</w:t>
      </w:r>
      <w:r w:rsidRPr="00535839" w:rsidR="005218F6">
        <w:rPr>
          <w:rFonts w:asciiTheme="minorHAnsi" w:hAnsiTheme="minorHAnsi" w:cstheme="minorHAnsi"/>
          <w:szCs w:val="24"/>
        </w:rPr>
        <w:t xml:space="preserve"> </w:t>
      </w:r>
      <w:r w:rsidRPr="00535839">
        <w:rPr>
          <w:rFonts w:asciiTheme="minorHAnsi" w:hAnsiTheme="minorHAnsi" w:cstheme="minorHAnsi"/>
          <w:szCs w:val="24"/>
        </w:rPr>
        <w:t>request conversion if the recipient decides not to fulfill the TEACH Grant obligations for any reason or if the recipient fails to begin or maintain qualifying teaching service within a timeframe to complete the service obligation in the requisite eight-year period.  The reviewing of this information will require minimal burden on the part of the recipient.</w:t>
      </w:r>
      <w:r w:rsidR="005218F6">
        <w:rPr>
          <w:rFonts w:asciiTheme="minorHAnsi" w:hAnsiTheme="minorHAnsi" w:cstheme="minorHAnsi"/>
          <w:szCs w:val="24"/>
        </w:rPr>
        <w:t xml:space="preserve"> </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535839" w:rsidP="00535839" w14:paraId="713E5EA8" w14:textId="77777777">
      <w:pPr>
        <w:ind w:left="720"/>
        <w:rPr>
          <w:rFonts w:asciiTheme="minorHAnsi" w:hAnsiTheme="minorHAnsi" w:cstheme="minorHAnsi"/>
          <w:iCs/>
          <w:szCs w:val="24"/>
        </w:rPr>
      </w:pPr>
    </w:p>
    <w:p w:rsidR="00535839" w:rsidRPr="00535839" w:rsidP="00535839" w14:paraId="23C7A6E9" w14:textId="1F2BE008">
      <w:pPr>
        <w:ind w:left="720"/>
        <w:rPr>
          <w:rFonts w:asciiTheme="minorHAnsi" w:hAnsiTheme="minorHAnsi" w:cstheme="minorHAnsi"/>
          <w:b/>
          <w:szCs w:val="24"/>
        </w:rPr>
      </w:pPr>
      <w:r w:rsidRPr="00535839">
        <w:rPr>
          <w:rFonts w:asciiTheme="minorHAnsi" w:hAnsiTheme="minorHAnsi" w:cstheme="minorHAnsi"/>
          <w:iCs/>
          <w:szCs w:val="24"/>
        </w:rPr>
        <w:t xml:space="preserve">This information collection does not involve the use of technological processes.  </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535839" w:rsidP="00535839" w14:paraId="6DD4FE47" w14:textId="77777777">
      <w:pPr>
        <w:ind w:left="720"/>
        <w:rPr>
          <w:rFonts w:asciiTheme="minorHAnsi" w:hAnsiTheme="minorHAnsi" w:cstheme="minorHAnsi"/>
          <w:szCs w:val="24"/>
        </w:rPr>
      </w:pPr>
      <w:bookmarkStart w:id="1" w:name="_Hlk23155622"/>
    </w:p>
    <w:p w:rsidR="00535839" w:rsidP="00535839" w14:paraId="4A9D5696" w14:textId="07620EBD">
      <w:pPr>
        <w:ind w:left="720"/>
        <w:rPr>
          <w:rFonts w:asciiTheme="minorHAnsi" w:hAnsiTheme="minorHAnsi" w:cstheme="minorHAnsi"/>
          <w:szCs w:val="24"/>
        </w:rPr>
      </w:pPr>
      <w:r w:rsidRPr="00535839">
        <w:rPr>
          <w:rFonts w:asciiTheme="minorHAnsi" w:hAnsiTheme="minorHAnsi" w:cstheme="minorHAnsi"/>
          <w:szCs w:val="24"/>
        </w:rPr>
        <w:t>There is no information available from other sources that can be used for the purposes described in Item 2.</w:t>
      </w:r>
    </w:p>
    <w:p w:rsidR="00535839" w:rsidRPr="00535839" w:rsidP="00535839" w14:paraId="57DC17F0" w14:textId="77777777">
      <w:pPr>
        <w:ind w:left="720"/>
        <w:rPr>
          <w:rFonts w:asciiTheme="minorHAnsi" w:hAnsiTheme="minorHAnsi" w:cstheme="minorHAnsi"/>
          <w:szCs w:val="24"/>
        </w:rPr>
      </w:pPr>
    </w:p>
    <w:bookmarkEnd w:id="1"/>
    <w:p w:rsidR="00043C32" w:rsidRPr="005F4E11" w:rsidP="00F8633A" w14:paraId="64280E62" w14:textId="409DCFD5">
      <w:pPr>
        <w:pStyle w:val="ListParagraph"/>
        <w:numPr>
          <w:ilvl w:val="0"/>
          <w:numId w:val="4"/>
        </w:numPr>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535839" w:rsidP="00535839" w14:paraId="6F8BC072" w14:textId="77777777">
      <w:pPr>
        <w:ind w:left="720"/>
        <w:rPr>
          <w:rFonts w:asciiTheme="minorHAnsi" w:hAnsiTheme="minorHAnsi" w:cstheme="minorHAnsi"/>
          <w:szCs w:val="24"/>
        </w:rPr>
      </w:pPr>
      <w:bookmarkStart w:id="2" w:name="_Hlk23155638"/>
    </w:p>
    <w:p w:rsidR="00535839" w:rsidRPr="00535839" w:rsidP="00535839" w14:paraId="48C7301B" w14:textId="35F4130E">
      <w:pPr>
        <w:ind w:left="720"/>
        <w:rPr>
          <w:rFonts w:asciiTheme="minorHAnsi" w:hAnsiTheme="minorHAnsi" w:cstheme="minorHAnsi"/>
          <w:szCs w:val="24"/>
        </w:rPr>
      </w:pPr>
      <w:r w:rsidRPr="00535839">
        <w:rPr>
          <w:rFonts w:asciiTheme="minorHAnsi" w:hAnsiTheme="minorHAnsi" w:cstheme="minorHAnsi"/>
          <w:szCs w:val="24"/>
        </w:rPr>
        <w:t>No small businesses are affected by this information collection.</w:t>
      </w:r>
    </w:p>
    <w:bookmarkEnd w:id="2"/>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35839" w:rsidP="00535839" w14:paraId="3F2CD4FF" w14:textId="77777777">
      <w:pPr>
        <w:ind w:left="720"/>
        <w:rPr>
          <w:rFonts w:asciiTheme="minorHAnsi" w:hAnsiTheme="minorHAnsi" w:cstheme="minorHAnsi"/>
          <w:szCs w:val="24"/>
        </w:rPr>
      </w:pPr>
      <w:bookmarkStart w:id="3" w:name="_Hlk23155660"/>
    </w:p>
    <w:p w:rsidR="00535839" w:rsidRPr="00535839" w:rsidP="00535839" w14:paraId="79E1339A" w14:textId="7EE6ADDA">
      <w:pPr>
        <w:ind w:left="720"/>
        <w:rPr>
          <w:rFonts w:asciiTheme="minorHAnsi" w:hAnsiTheme="minorHAnsi" w:cstheme="minorHAnsi"/>
          <w:szCs w:val="24"/>
        </w:rPr>
      </w:pPr>
      <w:r w:rsidRPr="00535839">
        <w:rPr>
          <w:rFonts w:asciiTheme="minorHAnsi" w:hAnsiTheme="minorHAnsi" w:cstheme="minorHAnsi"/>
          <w:szCs w:val="24"/>
        </w:rPr>
        <w:t>The regulations require the Department annually notify TEACH Grant recipients of status of their TEACH Grant service obligation.  Without this information collection, the Department will not be able to meet its regulatory requirements.</w:t>
      </w:r>
    </w:p>
    <w:bookmarkEnd w:id="3"/>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5F4E11" w:rsidRPr="00535839" w:rsidP="005F4E11" w14:paraId="6109B5F4" w14:textId="6AF978DE">
      <w:pPr>
        <w:tabs>
          <w:tab w:val="left" w:pos="-720"/>
        </w:tabs>
        <w:suppressAutoHyphens/>
        <w:ind w:left="720"/>
        <w:rPr>
          <w:rFonts w:asciiTheme="minorHAnsi" w:hAnsiTheme="minorHAnsi" w:cstheme="minorHAnsi"/>
          <w:szCs w:val="24"/>
        </w:rPr>
      </w:pPr>
      <w:r w:rsidRPr="00535839">
        <w:rPr>
          <w:rFonts w:asciiTheme="minorHAnsi" w:hAnsiTheme="minorHAnsi" w:cstheme="minorHAnsi"/>
          <w:szCs w:val="24"/>
        </w:rPr>
        <w:t>The collection of this information will be conducted in a manner that does not involve any of the above conditions.</w:t>
      </w:r>
    </w:p>
    <w:p w:rsidR="00535839" w:rsidRPr="00AD381B" w:rsidP="005F4E11" w14:paraId="7F9ECCE3"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AD381B">
        <w:rPr>
          <w:rStyle w:val="a"/>
          <w:rFonts w:ascii="Times New Roman" w:hAnsi="Times New Roman"/>
          <w:b/>
          <w:szCs w:val="24"/>
        </w:rPr>
        <w:t>circumstances that may preclude consultation in a specific situation.  These circumstances should be explained.</w:t>
      </w:r>
    </w:p>
    <w:p w:rsidR="0026704F" w:rsidP="0026704F" w14:paraId="1C01B921" w14:textId="2FD41251">
      <w:pPr>
        <w:tabs>
          <w:tab w:val="left" w:pos="-720"/>
        </w:tabs>
        <w:suppressAutoHyphens/>
        <w:ind w:left="720"/>
        <w:rPr>
          <w:rFonts w:asciiTheme="minorHAnsi" w:hAnsiTheme="minorHAnsi" w:cstheme="minorHAnsi"/>
          <w:szCs w:val="24"/>
        </w:rPr>
      </w:pPr>
      <w:bookmarkStart w:id="4" w:name="_Hlk23155738"/>
    </w:p>
    <w:p w:rsidR="00F273D5" w:rsidP="0026704F" w14:paraId="04862A27" w14:textId="4796E0D5">
      <w:pPr>
        <w:tabs>
          <w:tab w:val="left" w:pos="-720"/>
        </w:tabs>
        <w:suppressAutoHyphens/>
        <w:ind w:left="720"/>
        <w:rPr>
          <w:rFonts w:asciiTheme="minorHAnsi" w:hAnsiTheme="minorHAnsi" w:cstheme="minorHAnsi"/>
          <w:iCs/>
          <w:szCs w:val="24"/>
        </w:rPr>
      </w:pPr>
      <w:bookmarkStart w:id="5" w:name="_Hlk143694109"/>
      <w:r>
        <w:rPr>
          <w:rFonts w:asciiTheme="minorHAnsi" w:hAnsiTheme="minorHAnsi" w:cstheme="minorHAnsi"/>
          <w:iCs/>
          <w:szCs w:val="24"/>
        </w:rPr>
        <w:t>On June 20, 2023 a Federal Register notice (Vol. 88, No. 117, pages 39834-39835) was published inviting public comment on the information collection and burden assessment.  One comment was received but was outside the scope of the collection.</w:t>
      </w:r>
      <w:r w:rsidR="00E51009">
        <w:rPr>
          <w:rFonts w:asciiTheme="minorHAnsi" w:hAnsiTheme="minorHAnsi" w:cstheme="minorHAnsi"/>
          <w:iCs/>
          <w:szCs w:val="24"/>
        </w:rPr>
        <w:t xml:space="preserve"> No change has been made to the previous estimates.</w:t>
      </w:r>
    </w:p>
    <w:p w:rsidR="00F273D5" w:rsidP="0026704F" w14:paraId="2189A85E" w14:textId="77777777">
      <w:pPr>
        <w:tabs>
          <w:tab w:val="left" w:pos="-720"/>
        </w:tabs>
        <w:suppressAutoHyphens/>
        <w:ind w:left="720"/>
        <w:rPr>
          <w:rFonts w:asciiTheme="minorHAnsi" w:hAnsiTheme="minorHAnsi" w:cstheme="minorHAnsi"/>
          <w:iCs/>
          <w:szCs w:val="24"/>
        </w:rPr>
      </w:pPr>
    </w:p>
    <w:p w:rsidR="0026704F" w:rsidRPr="003E0A2D" w:rsidP="0026704F" w14:paraId="2DDBBEE9" w14:textId="4A6BBADB">
      <w:pPr>
        <w:tabs>
          <w:tab w:val="left" w:pos="-720"/>
        </w:tabs>
        <w:suppressAutoHyphens/>
        <w:ind w:left="720"/>
        <w:rPr>
          <w:rFonts w:asciiTheme="minorHAnsi" w:hAnsiTheme="minorHAnsi" w:cstheme="minorHAnsi"/>
          <w:iCs/>
          <w:szCs w:val="24"/>
        </w:rPr>
      </w:pPr>
      <w:r w:rsidRPr="003E0A2D">
        <w:rPr>
          <w:rFonts w:asciiTheme="minorHAnsi" w:hAnsiTheme="minorHAnsi" w:cstheme="minorHAnsi"/>
          <w:iCs/>
          <w:szCs w:val="24"/>
        </w:rPr>
        <w:t xml:space="preserve">The Department </w:t>
      </w:r>
      <w:r w:rsidR="00E51009">
        <w:rPr>
          <w:rFonts w:asciiTheme="minorHAnsi" w:hAnsiTheme="minorHAnsi" w:cstheme="minorHAnsi"/>
          <w:iCs/>
          <w:szCs w:val="24"/>
        </w:rPr>
        <w:t>is now</w:t>
      </w:r>
      <w:r w:rsidRPr="003E0A2D">
        <w:rPr>
          <w:rFonts w:asciiTheme="minorHAnsi" w:hAnsiTheme="minorHAnsi" w:cstheme="minorHAnsi"/>
          <w:iCs/>
          <w:szCs w:val="24"/>
        </w:rPr>
        <w:t xml:space="preserve"> requesting a 30-day public comment period to solicit comments on the current burden assigned to this regulation. </w:t>
      </w:r>
    </w:p>
    <w:bookmarkEnd w:id="4"/>
    <w:bookmarkEnd w:id="5"/>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F8633A" w:rsidRPr="00F8633A" w:rsidP="00F8633A" w14:paraId="6CDD1E41" w14:textId="77777777">
      <w:pPr>
        <w:ind w:left="720"/>
        <w:rPr>
          <w:rFonts w:asciiTheme="minorHAnsi" w:hAnsiTheme="minorHAnsi" w:cstheme="minorHAnsi"/>
          <w:szCs w:val="24"/>
        </w:rPr>
      </w:pPr>
      <w:bookmarkStart w:id="6" w:name="_Hlk23155829"/>
      <w:r w:rsidRPr="00F8633A">
        <w:rPr>
          <w:rFonts w:asciiTheme="minorHAnsi" w:hAnsiTheme="minorHAnsi" w:cstheme="minorHAnsi"/>
          <w:szCs w:val="24"/>
        </w:rPr>
        <w:t>No payments or gifts will be provided to respondents.</w:t>
      </w:r>
    </w:p>
    <w:bookmarkEnd w:id="6"/>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F8633A" w:rsidRPr="00F8633A" w:rsidP="00F8633A" w14:paraId="3D9FC2AC" w14:textId="77777777">
      <w:pPr>
        <w:ind w:left="720"/>
        <w:rPr>
          <w:rFonts w:asciiTheme="minorHAnsi" w:hAnsiTheme="minorHAnsi" w:cstheme="minorHAnsi"/>
          <w:szCs w:val="24"/>
        </w:rPr>
      </w:pPr>
      <w:bookmarkStart w:id="7" w:name="_Hlk23155858"/>
      <w:r w:rsidRPr="00F8633A">
        <w:rPr>
          <w:rFonts w:asciiTheme="minorHAnsi" w:hAnsiTheme="minorHAnsi" w:cstheme="minorHAnsi"/>
          <w:szCs w:val="24"/>
        </w:rPr>
        <w:t>There is no assurance of confidentiality.</w:t>
      </w:r>
    </w:p>
    <w:bookmarkEnd w:id="7"/>
    <w:p w:rsidR="007C700A" w:rsidRPr="00F8633A" w:rsidP="00F8633A" w14:paraId="7A4EA0F0" w14:textId="77777777">
      <w:pPr>
        <w:tabs>
          <w:tab w:val="left" w:pos="-720"/>
        </w:tabs>
        <w:suppressAutoHyphens/>
        <w:ind w:left="720"/>
        <w:rPr>
          <w:rFonts w:asciiTheme="minorHAnsi" w:hAnsiTheme="minorHAnsi" w:cstheme="minorHAnsi"/>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F8633A" w:rsidRPr="00F8633A" w:rsidP="00F8633A" w14:paraId="67874D07" w14:textId="77777777">
      <w:pPr>
        <w:ind w:left="720"/>
        <w:rPr>
          <w:rFonts w:asciiTheme="minorHAnsi" w:hAnsiTheme="minorHAnsi" w:cstheme="minorHAnsi"/>
          <w:szCs w:val="24"/>
        </w:rPr>
      </w:pPr>
      <w:bookmarkStart w:id="8" w:name="_Hlk23155890"/>
      <w:r w:rsidRPr="00F8633A">
        <w:rPr>
          <w:rFonts w:asciiTheme="minorHAnsi" w:hAnsiTheme="minorHAnsi" w:cstheme="minorHAnsi"/>
          <w:szCs w:val="24"/>
        </w:rPr>
        <w:t>The regulations do not require a borrower to provide any information that are considered sensitive.</w:t>
      </w:r>
    </w:p>
    <w:bookmarkEnd w:id="8"/>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F8633A" w:rsidP="00F8633A" w14:paraId="024385C0" w14:textId="55802397">
      <w:pPr>
        <w:ind w:left="720"/>
        <w:rPr>
          <w:rFonts w:asciiTheme="minorHAnsi" w:hAnsiTheme="minorHAnsi" w:cstheme="minorHAnsi"/>
          <w:szCs w:val="24"/>
        </w:rPr>
      </w:pPr>
      <w:r w:rsidRPr="00F8633A">
        <w:rPr>
          <w:rFonts w:asciiTheme="minorHAnsi" w:hAnsiTheme="minorHAnsi" w:cstheme="minorHAnsi"/>
          <w:szCs w:val="24"/>
          <w:u w:val="single"/>
        </w:rPr>
        <w:t>Section 686.43 – Obligation to repay the grant</w:t>
      </w:r>
      <w:r w:rsidRPr="00F8633A">
        <w:rPr>
          <w:rFonts w:asciiTheme="minorHAnsi" w:hAnsiTheme="minorHAnsi" w:cstheme="minorHAnsi"/>
          <w:szCs w:val="24"/>
        </w:rPr>
        <w:t>.</w:t>
      </w:r>
    </w:p>
    <w:p w:rsidR="00F8633A" w:rsidRPr="00F8633A" w:rsidP="00F8633A" w14:paraId="2FE249FA" w14:textId="77777777">
      <w:pPr>
        <w:ind w:left="720"/>
        <w:rPr>
          <w:rFonts w:asciiTheme="minorHAnsi" w:hAnsiTheme="minorHAnsi" w:cstheme="minorHAnsi"/>
          <w:szCs w:val="24"/>
        </w:rPr>
      </w:pPr>
    </w:p>
    <w:p w:rsidR="00F8633A" w:rsidP="00F8633A" w14:paraId="736ECB92" w14:textId="633C0BEA">
      <w:pPr>
        <w:ind w:left="720"/>
        <w:rPr>
          <w:rFonts w:asciiTheme="minorHAnsi" w:hAnsiTheme="minorHAnsi" w:cstheme="minorHAnsi"/>
          <w:szCs w:val="24"/>
        </w:rPr>
      </w:pPr>
      <w:r w:rsidRPr="00F8633A">
        <w:rPr>
          <w:rFonts w:asciiTheme="minorHAnsi" w:hAnsiTheme="minorHAnsi" w:cstheme="minorHAnsi"/>
          <w:szCs w:val="24"/>
        </w:rPr>
        <w:t xml:space="preserve">The regulations govern when a TEACH Grant will be converted to a Direct Unsubsidized Loan, as well as provide for annual notifications from the Secretary to the recipient regarding the status of a recipient’s TEACH Grant service obligation.  Under the regulations, a TEACH Grant recipient </w:t>
      </w:r>
      <w:r w:rsidR="0026704F">
        <w:rPr>
          <w:rFonts w:asciiTheme="minorHAnsi" w:hAnsiTheme="minorHAnsi" w:cstheme="minorHAnsi"/>
          <w:szCs w:val="24"/>
        </w:rPr>
        <w:t>can</w:t>
      </w:r>
      <w:r w:rsidRPr="00F8633A" w:rsidR="0026704F">
        <w:rPr>
          <w:rFonts w:asciiTheme="minorHAnsi" w:hAnsiTheme="minorHAnsi" w:cstheme="minorHAnsi"/>
          <w:szCs w:val="24"/>
        </w:rPr>
        <w:t xml:space="preserve"> </w:t>
      </w:r>
      <w:r w:rsidRPr="00F8633A">
        <w:rPr>
          <w:rFonts w:asciiTheme="minorHAnsi" w:hAnsiTheme="minorHAnsi" w:cstheme="minorHAnsi"/>
          <w:szCs w:val="24"/>
        </w:rPr>
        <w:t xml:space="preserve">request conversion if the recipient decides not to fulfill the TEACH Grant obligations for any reason or if the recipient fails to begin or maintain qualifying teaching service within a timeframe to complete the service obligation in the requisite eight-year period.  Additionally, the regulations describe the notifications the Secretary will annually send to all TEACH Grant recipients regarding the service obligation requirements. </w:t>
      </w:r>
    </w:p>
    <w:p w:rsidR="00F8633A" w:rsidRPr="00F8633A" w:rsidP="00F8633A" w14:paraId="0F7C7882" w14:textId="77777777">
      <w:pPr>
        <w:ind w:left="720"/>
        <w:rPr>
          <w:rFonts w:asciiTheme="minorHAnsi" w:hAnsiTheme="minorHAnsi" w:cstheme="minorHAnsi"/>
          <w:szCs w:val="24"/>
        </w:rPr>
      </w:pPr>
    </w:p>
    <w:p w:rsidR="00F8633A" w:rsidP="00F8633A" w14:paraId="7C84A26A" w14:textId="11A1FB29">
      <w:pPr>
        <w:ind w:left="720"/>
        <w:rPr>
          <w:rFonts w:asciiTheme="minorHAnsi" w:hAnsiTheme="minorHAnsi" w:cstheme="minorHAnsi"/>
          <w:szCs w:val="24"/>
        </w:rPr>
      </w:pPr>
      <w:r>
        <w:rPr>
          <w:rFonts w:asciiTheme="minorHAnsi" w:hAnsiTheme="minorHAnsi" w:cstheme="minorHAnsi"/>
          <w:szCs w:val="24"/>
        </w:rPr>
        <w:t xml:space="preserve"> The </w:t>
      </w:r>
      <w:r w:rsidRPr="00F8633A">
        <w:rPr>
          <w:rFonts w:asciiTheme="minorHAnsi" w:hAnsiTheme="minorHAnsi" w:cstheme="minorHAnsi"/>
          <w:szCs w:val="24"/>
        </w:rPr>
        <w:t xml:space="preserve">regulations require action on the part of TEACH grant recipients.  </w:t>
      </w:r>
      <w:r>
        <w:rPr>
          <w:rFonts w:asciiTheme="minorHAnsi" w:hAnsiTheme="minorHAnsi" w:cstheme="minorHAnsi"/>
          <w:szCs w:val="24"/>
        </w:rPr>
        <w:t xml:space="preserve">We continue to utilize the </w:t>
      </w:r>
      <w:r w:rsidR="00394C69">
        <w:rPr>
          <w:rFonts w:asciiTheme="minorHAnsi" w:hAnsiTheme="minorHAnsi" w:cstheme="minorHAnsi"/>
          <w:szCs w:val="24"/>
        </w:rPr>
        <w:t xml:space="preserve">estimated </w:t>
      </w:r>
      <w:r>
        <w:rPr>
          <w:rFonts w:asciiTheme="minorHAnsi" w:hAnsiTheme="minorHAnsi" w:cstheme="minorHAnsi"/>
          <w:szCs w:val="24"/>
        </w:rPr>
        <w:t xml:space="preserve">number of </w:t>
      </w:r>
      <w:r>
        <w:rPr>
          <w:rFonts w:asciiTheme="minorHAnsi" w:hAnsiTheme="minorHAnsi" w:cstheme="minorHAnsi"/>
          <w:szCs w:val="24"/>
        </w:rPr>
        <w:t>receipients</w:t>
      </w:r>
      <w:r>
        <w:rPr>
          <w:rFonts w:asciiTheme="minorHAnsi" w:hAnsiTheme="minorHAnsi" w:cstheme="minorHAnsi"/>
          <w:szCs w:val="24"/>
        </w:rPr>
        <w:t xml:space="preserve"> from the prior filing</w:t>
      </w:r>
      <w:r w:rsidR="00394C69">
        <w:rPr>
          <w:rFonts w:asciiTheme="minorHAnsi" w:hAnsiTheme="minorHAnsi" w:cstheme="minorHAnsi"/>
          <w:szCs w:val="24"/>
        </w:rPr>
        <w:t xml:space="preserve"> of </w:t>
      </w:r>
      <w:r w:rsidRPr="00F8633A">
        <w:rPr>
          <w:rFonts w:asciiTheme="minorHAnsi" w:hAnsiTheme="minorHAnsi" w:cstheme="minorHAnsi"/>
          <w:szCs w:val="24"/>
        </w:rPr>
        <w:t xml:space="preserve">52,989 TEACH Grant recipients who submitted evidence of completed teaching service.  We estimate that an additional 25 percent of that figure or about 13,247 grant recipients will be working toward their teaching obligation </w:t>
      </w:r>
      <w:r>
        <w:rPr>
          <w:rFonts w:asciiTheme="minorHAnsi" w:hAnsiTheme="minorHAnsi" w:cstheme="minorHAnsi"/>
          <w:szCs w:val="24"/>
        </w:rPr>
        <w:t>continuing</w:t>
      </w:r>
      <w:r w:rsidRPr="00F8633A">
        <w:rPr>
          <w:rFonts w:asciiTheme="minorHAnsi" w:hAnsiTheme="minorHAnsi" w:cstheme="minorHAnsi"/>
          <w:szCs w:val="24"/>
        </w:rPr>
        <w:t xml:space="preserve"> </w:t>
      </w:r>
      <w:r w:rsidR="00394C69">
        <w:rPr>
          <w:rFonts w:asciiTheme="minorHAnsi" w:hAnsiTheme="minorHAnsi" w:cstheme="minorHAnsi"/>
          <w:szCs w:val="24"/>
        </w:rPr>
        <w:t>the estimated</w:t>
      </w:r>
      <w:r w:rsidR="00B00D69">
        <w:rPr>
          <w:rFonts w:asciiTheme="minorHAnsi" w:hAnsiTheme="minorHAnsi" w:cstheme="minorHAnsi"/>
          <w:szCs w:val="24"/>
        </w:rPr>
        <w:t xml:space="preserve"> </w:t>
      </w:r>
      <w:r w:rsidRPr="00F8633A">
        <w:rPr>
          <w:rFonts w:asciiTheme="minorHAnsi" w:hAnsiTheme="minorHAnsi" w:cstheme="minorHAnsi"/>
          <w:szCs w:val="24"/>
        </w:rPr>
        <w:t xml:space="preserve">66,236 grant recipients who will receive the annual notice from the Secretary as required under §686.43(a)(2).  We estimate that grant recipients require 10 minutes (.17 hours) to review the information provided in each annual notice.  We estimate the total burden of 11,260 hours (66,236 X .17 hours).  </w:t>
      </w:r>
    </w:p>
    <w:p w:rsidR="00F8633A" w:rsidRPr="00F8633A" w:rsidP="00F8633A" w14:paraId="515240D2" w14:textId="77777777">
      <w:pPr>
        <w:ind w:left="720"/>
        <w:rPr>
          <w:rFonts w:asciiTheme="minorHAnsi" w:hAnsiTheme="minorHAnsi" w:cstheme="minorHAnsi"/>
          <w:szCs w:val="24"/>
        </w:rPr>
      </w:pPr>
    </w:p>
    <w:p w:rsidR="00F8633A" w:rsidP="00F8633A" w14:paraId="0757AF87" w14:textId="3AD0DDA2">
      <w:pPr>
        <w:ind w:left="720"/>
        <w:rPr>
          <w:rFonts w:asciiTheme="minorHAnsi" w:hAnsiTheme="minorHAnsi" w:cstheme="minorHAnsi"/>
          <w:szCs w:val="24"/>
        </w:rPr>
      </w:pPr>
      <w:r w:rsidRPr="00F8633A">
        <w:rPr>
          <w:rFonts w:asciiTheme="minorHAnsi" w:hAnsiTheme="minorHAnsi" w:cstheme="minorHAnsi"/>
          <w:szCs w:val="24"/>
        </w:rPr>
        <w:t xml:space="preserve">There will be burden on those recipients who are notified that their TEACH Grant will be converted to a loan if the recipient does not submit required documentation to show that they are satisfying the service obligation.  </w:t>
      </w:r>
      <w:r w:rsidR="0026704F">
        <w:rPr>
          <w:rFonts w:asciiTheme="minorHAnsi" w:hAnsiTheme="minorHAnsi" w:cstheme="minorHAnsi"/>
          <w:szCs w:val="24"/>
        </w:rPr>
        <w:t xml:space="preserve">We continue to utilize the </w:t>
      </w:r>
      <w:r w:rsidR="00394C69">
        <w:rPr>
          <w:rFonts w:asciiTheme="minorHAnsi" w:hAnsiTheme="minorHAnsi" w:cstheme="minorHAnsi"/>
          <w:szCs w:val="24"/>
        </w:rPr>
        <w:t>estimaged</w:t>
      </w:r>
      <w:r w:rsidR="00394C69">
        <w:rPr>
          <w:rFonts w:asciiTheme="minorHAnsi" w:hAnsiTheme="minorHAnsi" w:cstheme="minorHAnsi"/>
          <w:szCs w:val="24"/>
        </w:rPr>
        <w:t xml:space="preserve"> </w:t>
      </w:r>
      <w:r w:rsidR="0026704F">
        <w:rPr>
          <w:rFonts w:asciiTheme="minorHAnsi" w:hAnsiTheme="minorHAnsi" w:cstheme="minorHAnsi"/>
          <w:szCs w:val="24"/>
        </w:rPr>
        <w:t xml:space="preserve">number of </w:t>
      </w:r>
      <w:r w:rsidR="0026704F">
        <w:rPr>
          <w:rFonts w:asciiTheme="minorHAnsi" w:hAnsiTheme="minorHAnsi" w:cstheme="minorHAnsi"/>
          <w:szCs w:val="24"/>
        </w:rPr>
        <w:t>receipients</w:t>
      </w:r>
      <w:r w:rsidR="0026704F">
        <w:rPr>
          <w:rFonts w:asciiTheme="minorHAnsi" w:hAnsiTheme="minorHAnsi" w:cstheme="minorHAnsi"/>
          <w:szCs w:val="24"/>
        </w:rPr>
        <w:t xml:space="preserve"> from the prior filing</w:t>
      </w:r>
      <w:r w:rsidR="00394C69">
        <w:rPr>
          <w:rFonts w:asciiTheme="minorHAnsi" w:hAnsiTheme="minorHAnsi" w:cstheme="minorHAnsi"/>
          <w:szCs w:val="24"/>
        </w:rPr>
        <w:t xml:space="preserve"> of</w:t>
      </w:r>
      <w:r w:rsidR="0026704F">
        <w:rPr>
          <w:rFonts w:asciiTheme="minorHAnsi" w:hAnsiTheme="minorHAnsi" w:cstheme="minorHAnsi"/>
          <w:szCs w:val="24"/>
        </w:rPr>
        <w:t xml:space="preserve"> </w:t>
      </w:r>
      <w:r w:rsidRPr="00F8633A">
        <w:rPr>
          <w:rFonts w:asciiTheme="minorHAnsi" w:hAnsiTheme="minorHAnsi" w:cstheme="minorHAnsi"/>
          <w:szCs w:val="24"/>
        </w:rPr>
        <w:t>a total of 10,591 TEACH Grant recipients whose grants were converted to loans based on the recipients’ voluntary request, or because the recipient was out of time to perform the service obligation or because the recipient did not provide evidence of meeting the service obligation as required under §686.43(a)(4).  We estimate that grant recipients require 10 minutes (.17 hours) to review the information in the notice.  We estimate the total burden of 1,800 burden hours (10,591 X .17 hours).</w:t>
      </w:r>
    </w:p>
    <w:p w:rsidR="00F8633A" w:rsidRPr="00F8633A" w:rsidP="00F8633A" w14:paraId="63A9F0F3" w14:textId="77777777">
      <w:pPr>
        <w:ind w:left="720"/>
        <w:rPr>
          <w:rFonts w:asciiTheme="minorHAnsi" w:hAnsiTheme="minorHAnsi" w:cstheme="minorHAnsi"/>
          <w:szCs w:val="24"/>
        </w:rPr>
      </w:pPr>
    </w:p>
    <w:p w:rsidR="00F8633A" w:rsidP="00F8633A" w14:paraId="49F57AA0" w14:textId="5D693D43">
      <w:pPr>
        <w:ind w:left="720"/>
        <w:rPr>
          <w:rFonts w:asciiTheme="minorHAnsi" w:hAnsiTheme="minorHAnsi" w:cstheme="minorHAnsi"/>
          <w:szCs w:val="24"/>
        </w:rPr>
      </w:pPr>
      <w:r w:rsidRPr="00F8633A">
        <w:rPr>
          <w:rFonts w:asciiTheme="minorHAnsi" w:hAnsiTheme="minorHAnsi" w:cstheme="minorHAnsi"/>
          <w:szCs w:val="24"/>
        </w:rPr>
        <w:t xml:space="preserve">Additionally, there will be burden on any TEACH Grant recipient whose grant was involuntarily converted to a Direct Unsubsidized Loan to request reconsideration from the Secretary.  </w:t>
      </w:r>
      <w:r w:rsidR="0026704F">
        <w:rPr>
          <w:rFonts w:asciiTheme="minorHAnsi" w:hAnsiTheme="minorHAnsi" w:cstheme="minorHAnsi"/>
          <w:szCs w:val="24"/>
        </w:rPr>
        <w:t xml:space="preserve">We continue to utilize the </w:t>
      </w:r>
      <w:r w:rsidR="00394C69">
        <w:rPr>
          <w:rFonts w:asciiTheme="minorHAnsi" w:hAnsiTheme="minorHAnsi" w:cstheme="minorHAnsi"/>
          <w:szCs w:val="24"/>
        </w:rPr>
        <w:t xml:space="preserve">estimated </w:t>
      </w:r>
      <w:r w:rsidR="0026704F">
        <w:rPr>
          <w:rFonts w:asciiTheme="minorHAnsi" w:hAnsiTheme="minorHAnsi" w:cstheme="minorHAnsi"/>
          <w:szCs w:val="24"/>
        </w:rPr>
        <w:t xml:space="preserve">number of </w:t>
      </w:r>
      <w:r w:rsidR="0026704F">
        <w:rPr>
          <w:rFonts w:asciiTheme="minorHAnsi" w:hAnsiTheme="minorHAnsi" w:cstheme="minorHAnsi"/>
          <w:szCs w:val="24"/>
        </w:rPr>
        <w:t>receipients</w:t>
      </w:r>
      <w:r w:rsidR="0026704F">
        <w:rPr>
          <w:rFonts w:asciiTheme="minorHAnsi" w:hAnsiTheme="minorHAnsi" w:cstheme="minorHAnsi"/>
          <w:szCs w:val="24"/>
        </w:rPr>
        <w:t xml:space="preserve"> from the prior filing</w:t>
      </w:r>
      <w:r w:rsidR="00394C69">
        <w:rPr>
          <w:rFonts w:asciiTheme="minorHAnsi" w:hAnsiTheme="minorHAnsi" w:cstheme="minorHAnsi"/>
          <w:szCs w:val="24"/>
        </w:rPr>
        <w:t xml:space="preserve"> of</w:t>
      </w:r>
      <w:r w:rsidRPr="00F8633A" w:rsidR="0026704F">
        <w:rPr>
          <w:rFonts w:asciiTheme="minorHAnsi" w:hAnsiTheme="minorHAnsi" w:cstheme="minorHAnsi"/>
          <w:szCs w:val="24"/>
        </w:rPr>
        <w:t xml:space="preserve"> </w:t>
      </w:r>
      <w:r w:rsidRPr="00F8633A">
        <w:rPr>
          <w:rFonts w:asciiTheme="minorHAnsi" w:hAnsiTheme="minorHAnsi" w:cstheme="minorHAnsi"/>
          <w:szCs w:val="24"/>
        </w:rPr>
        <w:t xml:space="preserve">282 correctable conversions of TEACH Grants into loans.  We estimate that a recipient will require 15 minutes (.25 hours) to gather documentation to present to the Secretary and make such a request as required under §686.43(a)(5).  We estimate a total burden of 71 burden hours (282 X .25 hours).  </w:t>
      </w:r>
    </w:p>
    <w:p w:rsidR="00F8633A" w:rsidRPr="00F8633A" w:rsidP="00F8633A" w14:paraId="137B6B43" w14:textId="77777777">
      <w:pPr>
        <w:ind w:left="720"/>
        <w:rPr>
          <w:rFonts w:asciiTheme="minorHAnsi" w:hAnsiTheme="minorHAnsi" w:cstheme="minorHAnsi"/>
          <w:szCs w:val="24"/>
        </w:rPr>
      </w:pPr>
    </w:p>
    <w:p w:rsidR="00F8633A" w:rsidRPr="00F8633A" w:rsidP="00F8633A" w14:paraId="696E28E2" w14:textId="40D4D61A">
      <w:pPr>
        <w:ind w:left="720"/>
        <w:rPr>
          <w:rFonts w:asciiTheme="minorHAnsi" w:hAnsiTheme="minorHAnsi" w:cstheme="minorHAnsi"/>
          <w:szCs w:val="24"/>
        </w:rPr>
      </w:pPr>
      <w:r w:rsidRPr="00F8633A">
        <w:rPr>
          <w:rFonts w:asciiTheme="minorHAnsi" w:hAnsiTheme="minorHAnsi" w:cstheme="minorHAnsi"/>
          <w:szCs w:val="24"/>
        </w:rPr>
        <w:t xml:space="preserve">We </w:t>
      </w:r>
      <w:r w:rsidR="00394C69">
        <w:rPr>
          <w:rFonts w:asciiTheme="minorHAnsi" w:hAnsiTheme="minorHAnsi" w:cstheme="minorHAnsi"/>
          <w:szCs w:val="24"/>
        </w:rPr>
        <w:t xml:space="preserve">retain the </w:t>
      </w:r>
      <w:r w:rsidRPr="00F8633A">
        <w:rPr>
          <w:rFonts w:asciiTheme="minorHAnsi" w:hAnsiTheme="minorHAnsi" w:cstheme="minorHAnsi"/>
          <w:szCs w:val="24"/>
        </w:rPr>
        <w:t>estimate</w:t>
      </w:r>
      <w:r w:rsidR="00394C69">
        <w:rPr>
          <w:rFonts w:asciiTheme="minorHAnsi" w:hAnsiTheme="minorHAnsi" w:cstheme="minorHAnsi"/>
          <w:szCs w:val="24"/>
        </w:rPr>
        <w:t>d</w:t>
      </w:r>
      <w:r w:rsidRPr="00F8633A">
        <w:rPr>
          <w:rFonts w:asciiTheme="minorHAnsi" w:hAnsiTheme="minorHAnsi" w:cstheme="minorHAnsi"/>
          <w:szCs w:val="24"/>
        </w:rPr>
        <w:t xml:space="preserve"> total burden of 13,131 burden hours under OMB Control Number 1845-0157.</w:t>
      </w:r>
    </w:p>
    <w:p w:rsidR="00ED7195" w:rsidP="00756FD3" w14:paraId="64280E96" w14:textId="1834F998">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175" w:type="dxa"/>
        <w:tblLayout w:type="fixed"/>
        <w:tblLook w:val="0020"/>
      </w:tblPr>
      <w:tblGrid>
        <w:gridCol w:w="1345"/>
        <w:gridCol w:w="1275"/>
        <w:gridCol w:w="1080"/>
        <w:gridCol w:w="1335"/>
        <w:gridCol w:w="1080"/>
        <w:gridCol w:w="1530"/>
        <w:gridCol w:w="1530"/>
      </w:tblGrid>
      <w:tr w14:paraId="30194A75" w14:textId="77777777" w:rsidTr="0055328A">
        <w:tblPrEx>
          <w:tblW w:w="9175" w:type="dxa"/>
          <w:tblLayout w:type="fixed"/>
          <w:tblLook w:val="0020"/>
        </w:tblPrEx>
        <w:trPr>
          <w:tblHeader/>
        </w:trPr>
        <w:tc>
          <w:tcPr>
            <w:tcW w:w="1345" w:type="dxa"/>
          </w:tcPr>
          <w:p w:rsidR="009C37AF" w:rsidRPr="007F6104" w:rsidP="0055328A"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5328A"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RPr="007F6104" w:rsidP="0055328A"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RPr="007F6104" w:rsidP="0055328A"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9C37AF" w:rsidRPr="007F6104" w:rsidP="0055328A"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C37AF" w:rsidRPr="007F6104" w:rsidP="0055328A"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9C37AF" w:rsidRPr="007F6104" w:rsidP="0055328A"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55328A">
        <w:tblPrEx>
          <w:tblW w:w="9175" w:type="dxa"/>
          <w:tblLayout w:type="fixed"/>
          <w:tblLook w:val="0020"/>
        </w:tblPrEx>
        <w:tc>
          <w:tcPr>
            <w:tcW w:w="1345"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394C69" w:rsidP="0055328A" w14:paraId="55A5A72E" w14:textId="2E7D8C77">
            <w:pPr>
              <w:jc w:val="right"/>
              <w:rPr>
                <w:rFonts w:asciiTheme="minorHAnsi" w:hAnsiTheme="minorHAnsi" w:cstheme="minorHAnsi"/>
                <w:szCs w:val="24"/>
              </w:rPr>
            </w:pPr>
            <w:r w:rsidRPr="00394C69">
              <w:rPr>
                <w:rFonts w:asciiTheme="minorHAnsi" w:hAnsiTheme="minorHAnsi" w:cstheme="minorHAnsi"/>
                <w:szCs w:val="24"/>
              </w:rPr>
              <w:t>66,236</w:t>
            </w:r>
          </w:p>
        </w:tc>
        <w:tc>
          <w:tcPr>
            <w:tcW w:w="1080" w:type="dxa"/>
          </w:tcPr>
          <w:p w:rsidR="009C37AF" w:rsidRPr="00394C69" w:rsidP="0055328A" w14:paraId="4F0B7217" w14:textId="317331DF">
            <w:pPr>
              <w:jc w:val="right"/>
              <w:rPr>
                <w:rFonts w:asciiTheme="minorHAnsi" w:hAnsiTheme="minorHAnsi" w:cstheme="minorHAnsi"/>
                <w:szCs w:val="24"/>
              </w:rPr>
            </w:pPr>
            <w:r w:rsidRPr="00394C69">
              <w:rPr>
                <w:rFonts w:asciiTheme="minorHAnsi" w:hAnsiTheme="minorHAnsi" w:cstheme="minorHAnsi"/>
                <w:szCs w:val="24"/>
              </w:rPr>
              <w:t>77,109</w:t>
            </w:r>
          </w:p>
        </w:tc>
        <w:tc>
          <w:tcPr>
            <w:tcW w:w="1335" w:type="dxa"/>
          </w:tcPr>
          <w:p w:rsidR="009C37AF" w:rsidRPr="00394C69" w:rsidP="0055328A" w14:paraId="0524C928" w14:textId="06EC9C78">
            <w:pPr>
              <w:jc w:val="right"/>
              <w:rPr>
                <w:rFonts w:asciiTheme="minorHAnsi" w:hAnsiTheme="minorHAnsi" w:cstheme="minorHAnsi"/>
                <w:szCs w:val="24"/>
              </w:rPr>
            </w:pPr>
            <w:r w:rsidRPr="00394C69">
              <w:rPr>
                <w:rFonts w:asciiTheme="minorHAnsi" w:hAnsiTheme="minorHAnsi" w:cstheme="minorHAnsi"/>
                <w:szCs w:val="24"/>
              </w:rPr>
              <w:t>See above</w:t>
            </w:r>
          </w:p>
        </w:tc>
        <w:tc>
          <w:tcPr>
            <w:tcW w:w="1080" w:type="dxa"/>
          </w:tcPr>
          <w:p w:rsidR="009C37AF" w:rsidRPr="00394C69" w:rsidP="0055328A" w14:paraId="6F45AD1D" w14:textId="237400BE">
            <w:pPr>
              <w:jc w:val="right"/>
              <w:rPr>
                <w:rFonts w:asciiTheme="minorHAnsi" w:hAnsiTheme="minorHAnsi" w:cstheme="minorHAnsi"/>
                <w:szCs w:val="24"/>
              </w:rPr>
            </w:pPr>
            <w:r w:rsidRPr="00394C69">
              <w:rPr>
                <w:rFonts w:asciiTheme="minorHAnsi" w:hAnsiTheme="minorHAnsi" w:cstheme="minorHAnsi"/>
                <w:szCs w:val="24"/>
              </w:rPr>
              <w:t>13,131</w:t>
            </w:r>
          </w:p>
        </w:tc>
        <w:tc>
          <w:tcPr>
            <w:tcW w:w="1530" w:type="dxa"/>
          </w:tcPr>
          <w:p w:rsidR="0026704F" w:rsidRPr="00394C69" w:rsidP="0055328A" w14:paraId="5F0F2A78" w14:textId="4BB3922B">
            <w:pPr>
              <w:jc w:val="right"/>
              <w:rPr>
                <w:rFonts w:asciiTheme="minorHAnsi" w:hAnsiTheme="minorHAnsi" w:cstheme="minorHAnsi"/>
                <w:szCs w:val="24"/>
              </w:rPr>
            </w:pPr>
            <w:r w:rsidRPr="00394C69">
              <w:rPr>
                <w:rFonts w:asciiTheme="minorHAnsi" w:hAnsiTheme="minorHAnsi" w:cstheme="minorHAnsi"/>
                <w:szCs w:val="24"/>
              </w:rPr>
              <w:t>$20.00</w:t>
            </w:r>
          </w:p>
        </w:tc>
        <w:tc>
          <w:tcPr>
            <w:tcW w:w="1530" w:type="dxa"/>
          </w:tcPr>
          <w:p w:rsidR="009C37AF" w:rsidRPr="00394C69" w:rsidP="0055328A" w14:paraId="63DD1E06" w14:textId="2F4C5DD8">
            <w:pPr>
              <w:jc w:val="right"/>
              <w:rPr>
                <w:rFonts w:asciiTheme="minorHAnsi" w:hAnsiTheme="minorHAnsi" w:cstheme="minorHAnsi"/>
                <w:szCs w:val="24"/>
              </w:rPr>
            </w:pPr>
            <w:r>
              <w:rPr>
                <w:rFonts w:asciiTheme="minorHAnsi" w:hAnsiTheme="minorHAnsi" w:cstheme="minorHAnsi"/>
                <w:szCs w:val="24"/>
              </w:rPr>
              <w:t>$262,620.00</w:t>
            </w:r>
          </w:p>
        </w:tc>
      </w:tr>
      <w:tr w14:paraId="0E729D89" w14:textId="77777777" w:rsidTr="0055328A">
        <w:tblPrEx>
          <w:tblW w:w="9175" w:type="dxa"/>
          <w:tblLayout w:type="fixed"/>
          <w:tblLook w:val="0020"/>
        </w:tblPrEx>
        <w:tc>
          <w:tcPr>
            <w:tcW w:w="1345" w:type="dxa"/>
          </w:tcPr>
          <w:p w:rsidR="0055328A" w:rsidRPr="009C37AF" w:rsidP="0055328A"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55328A" w:rsidRPr="00394C69" w:rsidP="0055328A" w14:paraId="2DD92A89" w14:textId="132DDA4C">
            <w:pPr>
              <w:jc w:val="right"/>
              <w:rPr>
                <w:rFonts w:asciiTheme="minorHAnsi" w:hAnsiTheme="minorHAnsi" w:cstheme="minorHAnsi"/>
                <w:szCs w:val="24"/>
              </w:rPr>
            </w:pPr>
            <w:r>
              <w:rPr>
                <w:rFonts w:asciiTheme="minorHAnsi" w:hAnsiTheme="minorHAnsi" w:cstheme="minorHAnsi"/>
                <w:szCs w:val="24"/>
              </w:rPr>
              <w:t>N/A</w:t>
            </w:r>
          </w:p>
        </w:tc>
        <w:tc>
          <w:tcPr>
            <w:tcW w:w="1080" w:type="dxa"/>
          </w:tcPr>
          <w:p w:rsidR="0055328A" w:rsidRPr="00394C69" w:rsidP="0055328A" w14:paraId="7F418FD3" w14:textId="15F1554D">
            <w:pPr>
              <w:jc w:val="right"/>
              <w:rPr>
                <w:rFonts w:asciiTheme="minorHAnsi" w:hAnsiTheme="minorHAnsi" w:cstheme="minorHAnsi"/>
                <w:szCs w:val="24"/>
              </w:rPr>
            </w:pPr>
            <w:r w:rsidRPr="00087919">
              <w:rPr>
                <w:rFonts w:asciiTheme="minorHAnsi" w:hAnsiTheme="minorHAnsi" w:cstheme="minorHAnsi"/>
                <w:szCs w:val="24"/>
              </w:rPr>
              <w:t>N/A</w:t>
            </w:r>
          </w:p>
        </w:tc>
        <w:tc>
          <w:tcPr>
            <w:tcW w:w="1335" w:type="dxa"/>
          </w:tcPr>
          <w:p w:rsidR="0055328A" w:rsidRPr="00394C69" w:rsidP="0055328A" w14:paraId="11378B7D" w14:textId="66623440">
            <w:pPr>
              <w:jc w:val="right"/>
              <w:rPr>
                <w:rFonts w:asciiTheme="minorHAnsi" w:hAnsiTheme="minorHAnsi" w:cstheme="minorHAnsi"/>
                <w:szCs w:val="24"/>
              </w:rPr>
            </w:pPr>
            <w:r w:rsidRPr="00087919">
              <w:rPr>
                <w:rFonts w:asciiTheme="minorHAnsi" w:hAnsiTheme="minorHAnsi" w:cstheme="minorHAnsi"/>
                <w:szCs w:val="24"/>
              </w:rPr>
              <w:t>N/A</w:t>
            </w:r>
          </w:p>
        </w:tc>
        <w:tc>
          <w:tcPr>
            <w:tcW w:w="1080" w:type="dxa"/>
          </w:tcPr>
          <w:p w:rsidR="0055328A" w:rsidRPr="00394C69" w:rsidP="0055328A" w14:paraId="1AEEFB60" w14:textId="607B6DD0">
            <w:pPr>
              <w:pStyle w:val="EndnoteText"/>
              <w:tabs>
                <w:tab w:val="clear" w:pos="-720"/>
              </w:tabs>
              <w:suppressAutoHyphens w:val="0"/>
              <w:jc w:val="right"/>
              <w:rPr>
                <w:rFonts w:asciiTheme="minorHAnsi" w:hAnsiTheme="minorHAnsi" w:cstheme="minorHAnsi"/>
                <w:szCs w:val="24"/>
              </w:rPr>
            </w:pPr>
            <w:r w:rsidRPr="00087919">
              <w:rPr>
                <w:rFonts w:asciiTheme="minorHAnsi" w:hAnsiTheme="minorHAnsi" w:cstheme="minorHAnsi"/>
                <w:szCs w:val="24"/>
              </w:rPr>
              <w:t>N/A</w:t>
            </w:r>
          </w:p>
        </w:tc>
        <w:tc>
          <w:tcPr>
            <w:tcW w:w="1530" w:type="dxa"/>
          </w:tcPr>
          <w:p w:rsidR="0055328A" w:rsidRPr="00394C69" w:rsidP="0055328A" w14:paraId="5D2E57DB" w14:textId="7A30BA59">
            <w:pPr>
              <w:jc w:val="right"/>
              <w:rPr>
                <w:rFonts w:asciiTheme="minorHAnsi" w:hAnsiTheme="minorHAnsi" w:cstheme="minorHAnsi"/>
                <w:szCs w:val="24"/>
              </w:rPr>
            </w:pPr>
            <w:r w:rsidRPr="00087919">
              <w:rPr>
                <w:rFonts w:asciiTheme="minorHAnsi" w:hAnsiTheme="minorHAnsi" w:cstheme="minorHAnsi"/>
                <w:szCs w:val="24"/>
              </w:rPr>
              <w:t>N/A</w:t>
            </w:r>
          </w:p>
        </w:tc>
        <w:tc>
          <w:tcPr>
            <w:tcW w:w="1530" w:type="dxa"/>
          </w:tcPr>
          <w:p w:rsidR="0055328A" w:rsidRPr="00394C69" w:rsidP="0055328A" w14:paraId="55ED5F6C" w14:textId="3A69D6DA">
            <w:pPr>
              <w:jc w:val="right"/>
              <w:rPr>
                <w:rFonts w:asciiTheme="minorHAnsi" w:hAnsiTheme="minorHAnsi" w:cstheme="minorHAnsi"/>
                <w:szCs w:val="24"/>
              </w:rPr>
            </w:pPr>
            <w:r w:rsidRPr="00087919">
              <w:rPr>
                <w:rFonts w:asciiTheme="minorHAnsi" w:hAnsiTheme="minorHAnsi" w:cstheme="minorHAnsi"/>
                <w:szCs w:val="24"/>
              </w:rPr>
              <w:t>N/A</w:t>
            </w:r>
          </w:p>
        </w:tc>
      </w:tr>
      <w:tr w14:paraId="3613CD1F" w14:textId="77777777" w:rsidTr="0055328A">
        <w:tblPrEx>
          <w:tblW w:w="9175" w:type="dxa"/>
          <w:tblLayout w:type="fixed"/>
          <w:tblLook w:val="0020"/>
        </w:tblPrEx>
        <w:tc>
          <w:tcPr>
            <w:tcW w:w="1345" w:type="dxa"/>
          </w:tcPr>
          <w:p w:rsidR="0055328A" w:rsidRPr="009C37AF" w:rsidP="0055328A"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55328A" w:rsidRPr="00394C69" w:rsidP="0055328A" w14:paraId="5E785442" w14:textId="5C7114AA">
            <w:pPr>
              <w:jc w:val="right"/>
              <w:rPr>
                <w:rFonts w:asciiTheme="minorHAnsi" w:hAnsiTheme="minorHAnsi" w:cstheme="minorHAnsi"/>
                <w:szCs w:val="24"/>
              </w:rPr>
            </w:pPr>
            <w:r>
              <w:rPr>
                <w:rFonts w:asciiTheme="minorHAnsi" w:hAnsiTheme="minorHAnsi" w:cstheme="minorHAnsi"/>
                <w:szCs w:val="24"/>
              </w:rPr>
              <w:t>N/A</w:t>
            </w:r>
          </w:p>
        </w:tc>
        <w:tc>
          <w:tcPr>
            <w:tcW w:w="1080" w:type="dxa"/>
          </w:tcPr>
          <w:p w:rsidR="0055328A" w:rsidRPr="00394C69" w:rsidP="0055328A" w14:paraId="49455BBE" w14:textId="7932A694">
            <w:pPr>
              <w:jc w:val="right"/>
              <w:rPr>
                <w:rFonts w:asciiTheme="minorHAnsi" w:hAnsiTheme="minorHAnsi" w:cstheme="minorHAnsi"/>
                <w:szCs w:val="24"/>
              </w:rPr>
            </w:pPr>
            <w:r w:rsidRPr="00087919">
              <w:rPr>
                <w:rFonts w:asciiTheme="minorHAnsi" w:hAnsiTheme="minorHAnsi" w:cstheme="minorHAnsi"/>
                <w:szCs w:val="24"/>
              </w:rPr>
              <w:t>N/A</w:t>
            </w:r>
          </w:p>
        </w:tc>
        <w:tc>
          <w:tcPr>
            <w:tcW w:w="1335" w:type="dxa"/>
          </w:tcPr>
          <w:p w:rsidR="0055328A" w:rsidRPr="00394C69" w:rsidP="0055328A" w14:paraId="04DD53DB" w14:textId="272D8064">
            <w:pPr>
              <w:jc w:val="right"/>
              <w:rPr>
                <w:rFonts w:asciiTheme="minorHAnsi" w:hAnsiTheme="minorHAnsi" w:cstheme="minorHAnsi"/>
                <w:szCs w:val="24"/>
              </w:rPr>
            </w:pPr>
            <w:r w:rsidRPr="00087919">
              <w:rPr>
                <w:rFonts w:asciiTheme="minorHAnsi" w:hAnsiTheme="minorHAnsi" w:cstheme="minorHAnsi"/>
                <w:szCs w:val="24"/>
              </w:rPr>
              <w:t>N/A</w:t>
            </w:r>
          </w:p>
        </w:tc>
        <w:tc>
          <w:tcPr>
            <w:tcW w:w="1080" w:type="dxa"/>
          </w:tcPr>
          <w:p w:rsidR="0055328A" w:rsidRPr="00394C69" w:rsidP="0055328A" w14:paraId="39E6A524" w14:textId="17A3434A">
            <w:pPr>
              <w:pStyle w:val="EndnoteText"/>
              <w:tabs>
                <w:tab w:val="clear" w:pos="-720"/>
              </w:tabs>
              <w:suppressAutoHyphens w:val="0"/>
              <w:jc w:val="right"/>
              <w:rPr>
                <w:rFonts w:asciiTheme="minorHAnsi" w:hAnsiTheme="minorHAnsi" w:cstheme="minorHAnsi"/>
                <w:szCs w:val="24"/>
              </w:rPr>
            </w:pPr>
            <w:r w:rsidRPr="00087919">
              <w:rPr>
                <w:rFonts w:asciiTheme="minorHAnsi" w:hAnsiTheme="minorHAnsi" w:cstheme="minorHAnsi"/>
                <w:szCs w:val="24"/>
              </w:rPr>
              <w:t>N/A</w:t>
            </w:r>
          </w:p>
        </w:tc>
        <w:tc>
          <w:tcPr>
            <w:tcW w:w="1530" w:type="dxa"/>
          </w:tcPr>
          <w:p w:rsidR="0055328A" w:rsidRPr="00394C69" w:rsidP="0055328A" w14:paraId="605A32D6" w14:textId="6D5921E1">
            <w:pPr>
              <w:jc w:val="right"/>
              <w:rPr>
                <w:rFonts w:asciiTheme="minorHAnsi" w:hAnsiTheme="minorHAnsi" w:cstheme="minorHAnsi"/>
                <w:szCs w:val="24"/>
              </w:rPr>
            </w:pPr>
            <w:r w:rsidRPr="00087919">
              <w:rPr>
                <w:rFonts w:asciiTheme="minorHAnsi" w:hAnsiTheme="minorHAnsi" w:cstheme="minorHAnsi"/>
                <w:szCs w:val="24"/>
              </w:rPr>
              <w:t>N/A</w:t>
            </w:r>
          </w:p>
        </w:tc>
        <w:tc>
          <w:tcPr>
            <w:tcW w:w="1530" w:type="dxa"/>
          </w:tcPr>
          <w:p w:rsidR="0055328A" w:rsidRPr="00394C69" w:rsidP="0055328A" w14:paraId="7F5D36FF" w14:textId="0F75B731">
            <w:pPr>
              <w:jc w:val="right"/>
              <w:rPr>
                <w:rFonts w:asciiTheme="minorHAnsi" w:hAnsiTheme="minorHAnsi" w:cstheme="minorHAnsi"/>
                <w:szCs w:val="24"/>
              </w:rPr>
            </w:pPr>
            <w:r w:rsidRPr="00087919">
              <w:rPr>
                <w:rFonts w:asciiTheme="minorHAnsi" w:hAnsiTheme="minorHAnsi" w:cstheme="minorHAnsi"/>
                <w:szCs w:val="24"/>
              </w:rPr>
              <w:t>N/A</w:t>
            </w:r>
          </w:p>
        </w:tc>
      </w:tr>
      <w:tr w14:paraId="17134648" w14:textId="77777777" w:rsidTr="0055328A">
        <w:tblPrEx>
          <w:tblW w:w="9175" w:type="dxa"/>
          <w:tblLayout w:type="fixed"/>
          <w:tblLook w:val="0020"/>
        </w:tblPrEx>
        <w:tc>
          <w:tcPr>
            <w:tcW w:w="1345" w:type="dxa"/>
          </w:tcPr>
          <w:p w:rsidR="0055328A" w:rsidRPr="009C37AF" w:rsidP="0055328A"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55328A" w:rsidRPr="00394C69" w:rsidP="0055328A" w14:paraId="44D0EC38" w14:textId="32018F6B">
            <w:pPr>
              <w:jc w:val="right"/>
              <w:rPr>
                <w:rFonts w:asciiTheme="minorHAnsi" w:hAnsiTheme="minorHAnsi" w:cstheme="minorHAnsi"/>
                <w:szCs w:val="24"/>
              </w:rPr>
            </w:pPr>
            <w:r>
              <w:rPr>
                <w:rFonts w:asciiTheme="minorHAnsi" w:hAnsiTheme="minorHAnsi" w:cstheme="minorHAnsi"/>
                <w:szCs w:val="24"/>
              </w:rPr>
              <w:t>N/A</w:t>
            </w:r>
          </w:p>
        </w:tc>
        <w:tc>
          <w:tcPr>
            <w:tcW w:w="1080" w:type="dxa"/>
          </w:tcPr>
          <w:p w:rsidR="0055328A" w:rsidRPr="00394C69" w:rsidP="0055328A" w14:paraId="1E02F8B0" w14:textId="00E7D3B1">
            <w:pPr>
              <w:jc w:val="right"/>
              <w:rPr>
                <w:rFonts w:asciiTheme="minorHAnsi" w:hAnsiTheme="minorHAnsi" w:cstheme="minorHAnsi"/>
                <w:szCs w:val="24"/>
              </w:rPr>
            </w:pPr>
            <w:r w:rsidRPr="00087919">
              <w:rPr>
                <w:rFonts w:asciiTheme="minorHAnsi" w:hAnsiTheme="minorHAnsi" w:cstheme="minorHAnsi"/>
                <w:szCs w:val="24"/>
              </w:rPr>
              <w:t>N/A</w:t>
            </w:r>
          </w:p>
        </w:tc>
        <w:tc>
          <w:tcPr>
            <w:tcW w:w="1335" w:type="dxa"/>
          </w:tcPr>
          <w:p w:rsidR="0055328A" w:rsidRPr="00394C69" w:rsidP="0055328A" w14:paraId="730B3154" w14:textId="58B0DC48">
            <w:pPr>
              <w:jc w:val="right"/>
              <w:rPr>
                <w:rFonts w:asciiTheme="minorHAnsi" w:hAnsiTheme="minorHAnsi" w:cstheme="minorHAnsi"/>
                <w:szCs w:val="24"/>
              </w:rPr>
            </w:pPr>
            <w:r w:rsidRPr="00087919">
              <w:rPr>
                <w:rFonts w:asciiTheme="minorHAnsi" w:hAnsiTheme="minorHAnsi" w:cstheme="minorHAnsi"/>
                <w:szCs w:val="24"/>
              </w:rPr>
              <w:t>N/A</w:t>
            </w:r>
          </w:p>
        </w:tc>
        <w:tc>
          <w:tcPr>
            <w:tcW w:w="1080" w:type="dxa"/>
          </w:tcPr>
          <w:p w:rsidR="0055328A" w:rsidRPr="00394C69" w:rsidP="0055328A" w14:paraId="0F7068F7" w14:textId="13FF8BBB">
            <w:pPr>
              <w:jc w:val="right"/>
              <w:rPr>
                <w:rFonts w:asciiTheme="minorHAnsi" w:hAnsiTheme="minorHAnsi" w:cstheme="minorHAnsi"/>
                <w:szCs w:val="24"/>
              </w:rPr>
            </w:pPr>
            <w:r w:rsidRPr="00087919">
              <w:rPr>
                <w:rFonts w:asciiTheme="minorHAnsi" w:hAnsiTheme="minorHAnsi" w:cstheme="minorHAnsi"/>
                <w:szCs w:val="24"/>
              </w:rPr>
              <w:t>N/A</w:t>
            </w:r>
          </w:p>
        </w:tc>
        <w:tc>
          <w:tcPr>
            <w:tcW w:w="1530" w:type="dxa"/>
          </w:tcPr>
          <w:p w:rsidR="0055328A" w:rsidRPr="00394C69" w:rsidP="0055328A" w14:paraId="66779289" w14:textId="4DA02E25">
            <w:pPr>
              <w:jc w:val="right"/>
              <w:rPr>
                <w:rFonts w:asciiTheme="minorHAnsi" w:hAnsiTheme="minorHAnsi" w:cstheme="minorHAnsi"/>
                <w:szCs w:val="24"/>
              </w:rPr>
            </w:pPr>
            <w:r w:rsidRPr="00087919">
              <w:rPr>
                <w:rFonts w:asciiTheme="minorHAnsi" w:hAnsiTheme="minorHAnsi" w:cstheme="minorHAnsi"/>
                <w:szCs w:val="24"/>
              </w:rPr>
              <w:t>N/A</w:t>
            </w:r>
          </w:p>
        </w:tc>
        <w:tc>
          <w:tcPr>
            <w:tcW w:w="1530" w:type="dxa"/>
          </w:tcPr>
          <w:p w:rsidR="0055328A" w:rsidRPr="00394C69" w:rsidP="0055328A" w14:paraId="143D8490" w14:textId="15171789">
            <w:pPr>
              <w:jc w:val="right"/>
              <w:rPr>
                <w:rFonts w:asciiTheme="minorHAnsi" w:hAnsiTheme="minorHAnsi" w:cstheme="minorHAnsi"/>
                <w:szCs w:val="24"/>
              </w:rPr>
            </w:pPr>
            <w:r w:rsidRPr="00087919">
              <w:rPr>
                <w:rFonts w:asciiTheme="minorHAnsi" w:hAnsiTheme="minorHAnsi" w:cstheme="minorHAnsi"/>
                <w:szCs w:val="24"/>
              </w:rPr>
              <w:t>N/A</w:t>
            </w:r>
          </w:p>
        </w:tc>
      </w:tr>
      <w:tr w14:paraId="3DEE77D3" w14:textId="77777777" w:rsidTr="0055328A">
        <w:tblPrEx>
          <w:tblW w:w="9175" w:type="dxa"/>
          <w:tblLayout w:type="fixed"/>
          <w:tblLook w:val="0020"/>
        </w:tblPrEx>
        <w:tc>
          <w:tcPr>
            <w:tcW w:w="1345" w:type="dxa"/>
          </w:tcPr>
          <w:p w:rsidR="009C37AF" w:rsidRPr="00442E07" w:rsidP="005D28E6" w14:paraId="597BF3F3" w14:textId="77777777">
            <w:pPr>
              <w:rPr>
                <w:rFonts w:ascii="Times New Roman" w:hAnsi="Times New Roman"/>
                <w:szCs w:val="24"/>
              </w:rPr>
            </w:pPr>
            <w:r>
              <w:rPr>
                <w:rFonts w:ascii="Times New Roman" w:hAnsi="Times New Roman"/>
                <w:szCs w:val="24"/>
              </w:rPr>
              <w:t>Annualized Totals</w:t>
            </w:r>
          </w:p>
        </w:tc>
        <w:tc>
          <w:tcPr>
            <w:tcW w:w="1275" w:type="dxa"/>
          </w:tcPr>
          <w:p w:rsidR="009C37AF" w:rsidRPr="00394C69" w:rsidP="0055328A" w14:paraId="224C2C47" w14:textId="022DDE9F">
            <w:pPr>
              <w:jc w:val="right"/>
              <w:rPr>
                <w:rFonts w:asciiTheme="minorHAnsi" w:hAnsiTheme="minorHAnsi" w:cstheme="minorHAnsi"/>
                <w:szCs w:val="24"/>
              </w:rPr>
            </w:pPr>
            <w:r>
              <w:rPr>
                <w:rFonts w:asciiTheme="minorHAnsi" w:hAnsiTheme="minorHAnsi" w:cstheme="minorHAnsi"/>
                <w:szCs w:val="24"/>
              </w:rPr>
              <w:t>66,236</w:t>
            </w:r>
          </w:p>
        </w:tc>
        <w:tc>
          <w:tcPr>
            <w:tcW w:w="1080" w:type="dxa"/>
          </w:tcPr>
          <w:p w:rsidR="009C37AF" w:rsidRPr="00394C69" w:rsidP="0055328A" w14:paraId="5F4B54EA" w14:textId="06CADB0D">
            <w:pPr>
              <w:jc w:val="right"/>
              <w:rPr>
                <w:rFonts w:asciiTheme="minorHAnsi" w:hAnsiTheme="minorHAnsi" w:cstheme="minorHAnsi"/>
                <w:szCs w:val="24"/>
              </w:rPr>
            </w:pPr>
            <w:r>
              <w:rPr>
                <w:rFonts w:asciiTheme="minorHAnsi" w:hAnsiTheme="minorHAnsi" w:cstheme="minorHAnsi"/>
                <w:szCs w:val="24"/>
              </w:rPr>
              <w:t>77,109</w:t>
            </w:r>
          </w:p>
        </w:tc>
        <w:tc>
          <w:tcPr>
            <w:tcW w:w="1335" w:type="dxa"/>
          </w:tcPr>
          <w:p w:rsidR="009C37AF" w:rsidRPr="00394C69" w:rsidP="0055328A" w14:paraId="68058CE4" w14:textId="77777777">
            <w:pPr>
              <w:jc w:val="right"/>
              <w:rPr>
                <w:rFonts w:asciiTheme="minorHAnsi" w:hAnsiTheme="minorHAnsi" w:cstheme="minorHAnsi"/>
                <w:szCs w:val="24"/>
              </w:rPr>
            </w:pPr>
          </w:p>
        </w:tc>
        <w:tc>
          <w:tcPr>
            <w:tcW w:w="1080" w:type="dxa"/>
          </w:tcPr>
          <w:p w:rsidR="009C37AF" w:rsidRPr="00394C69" w:rsidP="0055328A" w14:paraId="37FAF8A5" w14:textId="06C6E00C">
            <w:pPr>
              <w:jc w:val="right"/>
              <w:rPr>
                <w:rFonts w:asciiTheme="minorHAnsi" w:hAnsiTheme="minorHAnsi" w:cstheme="minorHAnsi"/>
                <w:szCs w:val="24"/>
              </w:rPr>
            </w:pPr>
            <w:r>
              <w:rPr>
                <w:rFonts w:asciiTheme="minorHAnsi" w:hAnsiTheme="minorHAnsi" w:cstheme="minorHAnsi"/>
                <w:szCs w:val="24"/>
              </w:rPr>
              <w:t>13,131</w:t>
            </w:r>
          </w:p>
        </w:tc>
        <w:tc>
          <w:tcPr>
            <w:tcW w:w="1530" w:type="dxa"/>
          </w:tcPr>
          <w:p w:rsidR="009C37AF" w:rsidRPr="00394C69" w:rsidP="0055328A" w14:paraId="3221A869" w14:textId="77777777">
            <w:pPr>
              <w:jc w:val="right"/>
              <w:rPr>
                <w:rFonts w:asciiTheme="minorHAnsi" w:hAnsiTheme="minorHAnsi" w:cstheme="minorHAnsi"/>
                <w:szCs w:val="24"/>
              </w:rPr>
            </w:pPr>
          </w:p>
        </w:tc>
        <w:tc>
          <w:tcPr>
            <w:tcW w:w="1530" w:type="dxa"/>
          </w:tcPr>
          <w:p w:rsidR="009C37AF" w:rsidRPr="00394C69" w:rsidP="0055328A" w14:paraId="50468F26" w14:textId="75DCCDCA">
            <w:pPr>
              <w:jc w:val="right"/>
              <w:rPr>
                <w:rFonts w:asciiTheme="minorHAnsi" w:hAnsiTheme="minorHAnsi" w:cstheme="minorHAnsi"/>
                <w:szCs w:val="24"/>
              </w:rPr>
            </w:pPr>
            <w:r>
              <w:rPr>
                <w:rFonts w:asciiTheme="minorHAnsi" w:hAnsiTheme="minorHAnsi" w:cstheme="minorHAnsi"/>
                <w:szCs w:val="24"/>
              </w:rPr>
              <w:t>$262,620.00</w:t>
            </w:r>
          </w:p>
        </w:tc>
      </w:tr>
    </w:tbl>
    <w:p w:rsidR="009C37AF" w:rsidP="009C37AF" w14:paraId="41C4D4A6" w14:textId="5579D8AD"/>
    <w:p w:rsidR="0026704F" w:rsidP="00394C69" w14:paraId="2E49AC18" w14:textId="77777777">
      <w:pPr>
        <w:pStyle w:val="ListParagraph"/>
        <w:tabs>
          <w:tab w:val="left" w:pos="-720"/>
        </w:tabs>
        <w:suppressAutoHyphens/>
        <w:ind w:left="0"/>
        <w:rPr>
          <w:rFonts w:asciiTheme="minorHAnsi" w:hAnsiTheme="minorHAnsi" w:cstheme="minorHAnsi"/>
        </w:rPr>
      </w:pPr>
      <w:r w:rsidRPr="00A548AC">
        <w:rPr>
          <w:rFonts w:asciiTheme="minorHAnsi" w:hAnsiTheme="minorHAnsi" w:cstheme="minorHAnsi"/>
        </w:rPr>
        <w:t xml:space="preserve">For </w:t>
      </w:r>
      <w:r>
        <w:rPr>
          <w:rFonts w:asciiTheme="minorHAnsi" w:hAnsiTheme="minorHAnsi" w:cstheme="minorHAnsi"/>
        </w:rPr>
        <w:t xml:space="preserve">individuals we have used </w:t>
      </w:r>
      <w:r w:rsidRPr="00A548AC">
        <w:rPr>
          <w:rFonts w:asciiTheme="minorHAnsi" w:hAnsiTheme="minorHAnsi" w:cstheme="minorHAnsi"/>
        </w:rPr>
        <w:t>the median hourly wage for all occupations</w:t>
      </w:r>
      <w:r>
        <w:rPr>
          <w:rFonts w:asciiTheme="minorHAnsi" w:hAnsiTheme="minorHAnsi" w:cstheme="minorHAnsi"/>
        </w:rPr>
        <w:t xml:space="preserve">, </w:t>
      </w:r>
      <w:r w:rsidRPr="00A548AC">
        <w:rPr>
          <w:rFonts w:asciiTheme="minorHAnsi" w:hAnsiTheme="minorHAnsi" w:cstheme="minorHAnsi"/>
        </w:rPr>
        <w:t>$2</w:t>
      </w:r>
      <w:r>
        <w:rPr>
          <w:rFonts w:asciiTheme="minorHAnsi" w:hAnsiTheme="minorHAnsi" w:cstheme="minorHAnsi"/>
        </w:rPr>
        <w:t>2</w:t>
      </w:r>
      <w:r w:rsidRPr="00A548AC">
        <w:rPr>
          <w:rFonts w:asciiTheme="minorHAnsi" w:hAnsiTheme="minorHAnsi" w:cstheme="minorHAnsi"/>
        </w:rPr>
        <w:t xml:space="preserve"> per hour according to BLS. </w:t>
      </w:r>
      <w:hyperlink r:id="rId10" w:anchor="00-0000" w:history="1">
        <w:r w:rsidRPr="00A548AC">
          <w:rPr>
            <w:rStyle w:val="Hyperlink"/>
            <w:rFonts w:asciiTheme="minorHAnsi" w:hAnsiTheme="minorHAnsi" w:cstheme="minorHAnsi"/>
          </w:rPr>
          <w:t>https://www.bls.gov/oes/current/oes_nat.htm#00-0000</w:t>
        </w:r>
      </w:hyperlink>
      <w:r w:rsidRPr="00A548AC">
        <w:rPr>
          <w:rFonts w:asciiTheme="minorHAnsi" w:hAnsiTheme="minorHAnsi" w:cstheme="minorHAnsi"/>
        </w:rPr>
        <w:t> </w:t>
      </w:r>
      <w:r>
        <w:rPr>
          <w:rFonts w:asciiTheme="minorHAnsi" w:hAnsiTheme="minorHAnsi" w:cstheme="minorHAnsi"/>
        </w:rPr>
        <w:t>.</w:t>
      </w:r>
    </w:p>
    <w:p w:rsidR="0026704F" w:rsidRPr="009C37AF" w:rsidP="009C37AF" w14:paraId="3E7A3F23"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F8633A" w:rsidRPr="00F8633A" w:rsidP="00F8633A" w14:paraId="7DBD598A" w14:textId="77777777">
      <w:pPr>
        <w:ind w:left="720"/>
        <w:rPr>
          <w:rFonts w:asciiTheme="minorHAnsi" w:hAnsiTheme="minorHAnsi" w:cstheme="minorHAnsi"/>
          <w:szCs w:val="24"/>
        </w:rPr>
      </w:pPr>
      <w:bookmarkStart w:id="9" w:name="_Hlk23155973"/>
      <w:r w:rsidRPr="00F8633A">
        <w:rPr>
          <w:rFonts w:asciiTheme="minorHAnsi" w:hAnsiTheme="minorHAnsi" w:cstheme="minorHAnsi"/>
          <w:szCs w:val="24"/>
        </w:rPr>
        <w:t>There are no capital/startup costs to respondents, nor are there any annual costs to respondents associated with operating or maintaining systems or purchasing services.</w:t>
      </w:r>
    </w:p>
    <w:bookmarkEnd w:id="9"/>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F8633A" w:rsidRPr="00F8633A" w:rsidP="00F8633A" w14:paraId="0DEEF2B4" w14:textId="77777777">
      <w:pPr>
        <w:ind w:left="720"/>
        <w:rPr>
          <w:rFonts w:asciiTheme="minorHAnsi" w:hAnsiTheme="minorHAnsi" w:cstheme="minorHAnsi"/>
          <w:sz w:val="22"/>
        </w:rPr>
      </w:pPr>
      <w:r w:rsidRPr="00F8633A">
        <w:rPr>
          <w:rFonts w:asciiTheme="minorHAnsi" w:hAnsiTheme="minorHAnsi" w:cstheme="minorHAnsi"/>
        </w:rPr>
        <w:t xml:space="preserve">There is no significant annualized cost to the federal government.  The Department’s contract with its TEACH Grant servicer is not based on a fee-for-service model; rather, the Department pays the servicer based on performance metrics.  The government incurs no additional costs merely as a result of this information collection. </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RPr="00075FCD" w:rsidP="00534B4A" w14:paraId="64280F04" w14:textId="6D0CCC1E">
            <w:pPr>
              <w:tabs>
                <w:tab w:val="left" w:pos="-720"/>
              </w:tabs>
              <w:suppressAutoHyphens/>
              <w:rPr>
                <w:rFonts w:ascii="Times New Roman" w:hAnsi="Times New Roman"/>
                <w:bCs/>
                <w:szCs w:val="24"/>
              </w:rPr>
            </w:pPr>
            <w:r w:rsidRPr="00075FCD">
              <w:rPr>
                <w:rFonts w:ascii="Times New Roman" w:hAnsi="Times New Roman"/>
                <w:bCs/>
                <w:szCs w:val="24"/>
              </w:rPr>
              <w:t>+6,000</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F8633A" w:rsidRPr="00F8633A" w:rsidP="00F8633A" w14:paraId="0D2267EE" w14:textId="33641876">
      <w:pPr>
        <w:ind w:left="720"/>
        <w:rPr>
          <w:rFonts w:asciiTheme="minorHAnsi" w:hAnsiTheme="minorHAnsi" w:cstheme="minorHAnsi"/>
          <w:szCs w:val="24"/>
        </w:rPr>
      </w:pPr>
      <w:bookmarkStart w:id="10" w:name="_Hlk23156042"/>
      <w:r w:rsidRPr="00F8633A">
        <w:rPr>
          <w:rFonts w:asciiTheme="minorHAnsi" w:hAnsiTheme="minorHAnsi" w:cstheme="minorHAnsi"/>
          <w:szCs w:val="24"/>
        </w:rPr>
        <w:t xml:space="preserve">The Department is requesting </w:t>
      </w:r>
      <w:r w:rsidR="00392CF2">
        <w:rPr>
          <w:rFonts w:asciiTheme="minorHAnsi" w:hAnsiTheme="minorHAnsi" w:cstheme="minorHAnsi"/>
          <w:szCs w:val="24"/>
        </w:rPr>
        <w:t>an extension without</w:t>
      </w:r>
      <w:r w:rsidRPr="00F8633A">
        <w:rPr>
          <w:rFonts w:asciiTheme="minorHAnsi" w:hAnsiTheme="minorHAnsi" w:cstheme="minorHAnsi"/>
          <w:szCs w:val="24"/>
        </w:rPr>
        <w:t xml:space="preserve"> change due.  This collection </w:t>
      </w:r>
      <w:r w:rsidR="00392CF2">
        <w:rPr>
          <w:rFonts w:asciiTheme="minorHAnsi" w:hAnsiTheme="minorHAnsi" w:cstheme="minorHAnsi"/>
          <w:szCs w:val="24"/>
        </w:rPr>
        <w:t>remains an</w:t>
      </w:r>
      <w:r w:rsidRPr="00F8633A">
        <w:rPr>
          <w:rFonts w:asciiTheme="minorHAnsi" w:hAnsiTheme="minorHAnsi" w:cstheme="minorHAnsi"/>
          <w:szCs w:val="24"/>
        </w:rPr>
        <w:t xml:space="preserve"> estimated 13,131 </w:t>
      </w:r>
      <w:r w:rsidR="00392CF2">
        <w:rPr>
          <w:rFonts w:asciiTheme="minorHAnsi" w:hAnsiTheme="minorHAnsi" w:cstheme="minorHAnsi"/>
          <w:szCs w:val="24"/>
        </w:rPr>
        <w:t xml:space="preserve">burden </w:t>
      </w:r>
      <w:r w:rsidRPr="00F8633A">
        <w:rPr>
          <w:rFonts w:asciiTheme="minorHAnsi" w:hAnsiTheme="minorHAnsi" w:cstheme="minorHAnsi"/>
          <w:szCs w:val="24"/>
        </w:rPr>
        <w:t xml:space="preserve">hours for </w:t>
      </w:r>
      <w:r w:rsidR="00392CF2">
        <w:rPr>
          <w:rFonts w:asciiTheme="minorHAnsi" w:hAnsiTheme="minorHAnsi" w:cstheme="minorHAnsi"/>
          <w:szCs w:val="24"/>
        </w:rPr>
        <w:t>6</w:t>
      </w:r>
      <w:r w:rsidRPr="00F8633A">
        <w:rPr>
          <w:rFonts w:asciiTheme="minorHAnsi" w:hAnsiTheme="minorHAnsi" w:cstheme="minorHAnsi"/>
          <w:szCs w:val="24"/>
        </w:rPr>
        <w:t>6,236 respondents and 77,109 responses.</w:t>
      </w:r>
      <w:r w:rsidR="00075FCD">
        <w:rPr>
          <w:rFonts w:asciiTheme="minorHAnsi" w:hAnsiTheme="minorHAnsi" w:cstheme="minorHAnsi"/>
          <w:szCs w:val="24"/>
        </w:rPr>
        <w:t xml:space="preserve">  </w:t>
      </w:r>
      <w:r w:rsidRPr="00075FCD" w:rsidR="00075FCD">
        <w:rPr>
          <w:rFonts w:asciiTheme="minorHAnsi" w:hAnsiTheme="minorHAnsi" w:cstheme="minorHAnsi"/>
          <w:szCs w:val="24"/>
        </w:rPr>
        <w:t>The previous filing had incorrect addition of the number of responses and was mis-totaled to 71,109.  The correct number of responses is 77,109.  This filing corrects that mathematical error.</w:t>
      </w:r>
    </w:p>
    <w:bookmarkEnd w:id="10"/>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F8633A" w:rsidRPr="00F8633A" w:rsidP="00F8633A" w14:paraId="085AF1F2" w14:textId="77777777">
      <w:pPr>
        <w:ind w:left="720"/>
        <w:rPr>
          <w:rFonts w:asciiTheme="minorHAnsi" w:hAnsiTheme="minorHAnsi" w:cstheme="minorHAnsi"/>
          <w:szCs w:val="24"/>
        </w:rPr>
      </w:pPr>
      <w:bookmarkStart w:id="11" w:name="_Hlk23156086"/>
      <w:r w:rsidRPr="00F8633A">
        <w:rPr>
          <w:rFonts w:asciiTheme="minorHAnsi" w:hAnsiTheme="minorHAnsi" w:cstheme="minorHAnsi"/>
          <w:szCs w:val="24"/>
        </w:rPr>
        <w:t>The results of this information collection will not be published.</w:t>
      </w:r>
    </w:p>
    <w:bookmarkEnd w:id="11"/>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F8633A" w:rsidRPr="00F8633A" w:rsidP="00F8633A" w14:paraId="36403760" w14:textId="77777777">
      <w:pPr>
        <w:ind w:left="720"/>
        <w:rPr>
          <w:rFonts w:asciiTheme="minorHAnsi" w:hAnsiTheme="minorHAnsi" w:cstheme="minorHAnsi"/>
          <w:szCs w:val="24"/>
        </w:rPr>
      </w:pPr>
      <w:bookmarkStart w:id="12" w:name="_Hlk23156101"/>
      <w:r w:rsidRPr="00F8633A">
        <w:rPr>
          <w:rFonts w:asciiTheme="minorHAnsi" w:hAnsiTheme="minorHAnsi" w:cstheme="minorHAnsi"/>
          <w:szCs w:val="24"/>
        </w:rPr>
        <w:t>The Department is not seeking this approval.</w:t>
      </w:r>
    </w:p>
    <w:bookmarkEnd w:id="12"/>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F8633A" w:rsidRPr="00F8633A" w:rsidP="00F8633A" w14:paraId="66B6C04C" w14:textId="77777777">
      <w:pPr>
        <w:ind w:left="720"/>
        <w:rPr>
          <w:rFonts w:asciiTheme="minorHAnsi" w:hAnsiTheme="minorHAnsi" w:cstheme="minorHAnsi"/>
          <w:szCs w:val="24"/>
        </w:rPr>
      </w:pPr>
      <w:bookmarkStart w:id="13" w:name="_Hlk23156118"/>
      <w:r w:rsidRPr="00F8633A">
        <w:rPr>
          <w:rFonts w:asciiTheme="minorHAnsi" w:hAnsiTheme="minorHAnsi" w:cstheme="minorHAnsi"/>
          <w:szCs w:val="24"/>
        </w:rPr>
        <w:t>The Department is not requesting any exceptions to the Certification for Paperwork Reduction Act Submissions.</w:t>
      </w:r>
    </w:p>
    <w:bookmarkEnd w:id="13"/>
    <w:p w:rsidR="00AA5138" w:rsidRPr="00F8633A" w:rsidP="00F8633A" w14:paraId="1D395179" w14:textId="6AF57C84">
      <w:pPr>
        <w:tabs>
          <w:tab w:val="left" w:pos="-720"/>
        </w:tabs>
        <w:suppressAutoHyphens/>
        <w:ind w:left="720"/>
        <w:rPr>
          <w:rFonts w:asciiTheme="minorHAnsi" w:hAnsiTheme="minorHAnsi" w:cstheme="minorHAnsi"/>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1E7013A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535839">
      <w:rPr>
        <w:rFonts w:ascii="Times New Roman" w:hAnsi="Times New Roman"/>
        <w:szCs w:val="24"/>
      </w:rPr>
      <w:t>1845</w:t>
    </w:r>
    <w:r w:rsidR="007C700A">
      <w:rPr>
        <w:rFonts w:ascii="Times New Roman" w:hAnsi="Times New Roman"/>
        <w:szCs w:val="24"/>
      </w:rPr>
      <w:t>-</w:t>
    </w:r>
    <w:r w:rsidR="00535839">
      <w:rPr>
        <w:rFonts w:ascii="Times New Roman" w:hAnsi="Times New Roman"/>
        <w:szCs w:val="24"/>
      </w:rPr>
      <w:t>0157</w:t>
    </w:r>
    <w:r w:rsidR="00E22FD3">
      <w:rPr>
        <w:rFonts w:ascii="Times New Roman" w:hAnsi="Times New Roman"/>
        <w:szCs w:val="24"/>
      </w:rPr>
      <w:tab/>
    </w:r>
    <w:r w:rsidRPr="00C875E8">
      <w:rPr>
        <w:rFonts w:ascii="Times New Roman" w:hAnsi="Times New Roman"/>
        <w:szCs w:val="24"/>
      </w:rPr>
      <w:t xml:space="preserve">Revised: </w:t>
    </w:r>
    <w:r w:rsidR="00F273D5">
      <w:rPr>
        <w:rFonts w:ascii="Times New Roman" w:hAnsi="Times New Roman"/>
        <w:szCs w:val="24"/>
      </w:rPr>
      <w:t>8/2</w:t>
    </w:r>
    <w:r w:rsidR="00E51009">
      <w:rPr>
        <w:rFonts w:ascii="Times New Roman" w:hAnsi="Times New Roman"/>
        <w:szCs w:val="24"/>
      </w:rPr>
      <w:t>3</w:t>
    </w:r>
    <w:r w:rsidR="00340F7F">
      <w:rPr>
        <w:rFonts w:ascii="Times New Roman" w:hAnsi="Times New Roman"/>
        <w:szCs w:val="24"/>
      </w:rPr>
      <w:t>/2023</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75FCD"/>
    <w:rsid w:val="00087919"/>
    <w:rsid w:val="00093017"/>
    <w:rsid w:val="000A0907"/>
    <w:rsid w:val="001824F3"/>
    <w:rsid w:val="001A6AE0"/>
    <w:rsid w:val="001C73C0"/>
    <w:rsid w:val="001E79BD"/>
    <w:rsid w:val="002225CC"/>
    <w:rsid w:val="00224A3B"/>
    <w:rsid w:val="00240A39"/>
    <w:rsid w:val="00246FE9"/>
    <w:rsid w:val="00250100"/>
    <w:rsid w:val="00262A69"/>
    <w:rsid w:val="0026704F"/>
    <w:rsid w:val="00270AF7"/>
    <w:rsid w:val="002979D4"/>
    <w:rsid w:val="002A3221"/>
    <w:rsid w:val="002C3520"/>
    <w:rsid w:val="002E14E0"/>
    <w:rsid w:val="002F55E5"/>
    <w:rsid w:val="0032078A"/>
    <w:rsid w:val="0032539E"/>
    <w:rsid w:val="00340F7F"/>
    <w:rsid w:val="003772A6"/>
    <w:rsid w:val="00386054"/>
    <w:rsid w:val="003860E4"/>
    <w:rsid w:val="00392CF2"/>
    <w:rsid w:val="00394C69"/>
    <w:rsid w:val="003B1545"/>
    <w:rsid w:val="003E0A2D"/>
    <w:rsid w:val="00412915"/>
    <w:rsid w:val="00442E07"/>
    <w:rsid w:val="0052073E"/>
    <w:rsid w:val="005218F6"/>
    <w:rsid w:val="00534B4A"/>
    <w:rsid w:val="00535839"/>
    <w:rsid w:val="0055328A"/>
    <w:rsid w:val="00575DDA"/>
    <w:rsid w:val="00581C11"/>
    <w:rsid w:val="005D28E6"/>
    <w:rsid w:val="005F4E11"/>
    <w:rsid w:val="00616E9C"/>
    <w:rsid w:val="00642871"/>
    <w:rsid w:val="0068567A"/>
    <w:rsid w:val="006A292A"/>
    <w:rsid w:val="006A38F7"/>
    <w:rsid w:val="006A4EBB"/>
    <w:rsid w:val="006B4172"/>
    <w:rsid w:val="00713B69"/>
    <w:rsid w:val="00755D99"/>
    <w:rsid w:val="00756FD3"/>
    <w:rsid w:val="00765392"/>
    <w:rsid w:val="00790E3E"/>
    <w:rsid w:val="007A5F49"/>
    <w:rsid w:val="007C0A4C"/>
    <w:rsid w:val="007C700A"/>
    <w:rsid w:val="007F6104"/>
    <w:rsid w:val="00800D30"/>
    <w:rsid w:val="00807D1A"/>
    <w:rsid w:val="00834A62"/>
    <w:rsid w:val="00861EBD"/>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D6715"/>
    <w:rsid w:val="009E3E86"/>
    <w:rsid w:val="00A118A2"/>
    <w:rsid w:val="00A23F26"/>
    <w:rsid w:val="00A4001C"/>
    <w:rsid w:val="00A40AAB"/>
    <w:rsid w:val="00A46D01"/>
    <w:rsid w:val="00A548AC"/>
    <w:rsid w:val="00A671BA"/>
    <w:rsid w:val="00A70816"/>
    <w:rsid w:val="00A73590"/>
    <w:rsid w:val="00A7636D"/>
    <w:rsid w:val="00A9138E"/>
    <w:rsid w:val="00AA5138"/>
    <w:rsid w:val="00AC1C89"/>
    <w:rsid w:val="00AD28A7"/>
    <w:rsid w:val="00AD381B"/>
    <w:rsid w:val="00AF5B5B"/>
    <w:rsid w:val="00AF5D1A"/>
    <w:rsid w:val="00B00D69"/>
    <w:rsid w:val="00B017F9"/>
    <w:rsid w:val="00B07213"/>
    <w:rsid w:val="00B10A05"/>
    <w:rsid w:val="00B54167"/>
    <w:rsid w:val="00B62E06"/>
    <w:rsid w:val="00B632BF"/>
    <w:rsid w:val="00B64B1D"/>
    <w:rsid w:val="00B6729C"/>
    <w:rsid w:val="00B9671B"/>
    <w:rsid w:val="00BA1D31"/>
    <w:rsid w:val="00BB03CE"/>
    <w:rsid w:val="00BC1A67"/>
    <w:rsid w:val="00C164D3"/>
    <w:rsid w:val="00C20670"/>
    <w:rsid w:val="00C224FD"/>
    <w:rsid w:val="00C86713"/>
    <w:rsid w:val="00C875E8"/>
    <w:rsid w:val="00C92035"/>
    <w:rsid w:val="00CB5C94"/>
    <w:rsid w:val="00CC2A72"/>
    <w:rsid w:val="00CC3FB5"/>
    <w:rsid w:val="00CD2067"/>
    <w:rsid w:val="00CD36F7"/>
    <w:rsid w:val="00CD47BC"/>
    <w:rsid w:val="00D34984"/>
    <w:rsid w:val="00D36C35"/>
    <w:rsid w:val="00D75313"/>
    <w:rsid w:val="00DA4B39"/>
    <w:rsid w:val="00E16ACD"/>
    <w:rsid w:val="00E17134"/>
    <w:rsid w:val="00E22FD3"/>
    <w:rsid w:val="00E25EBC"/>
    <w:rsid w:val="00E51009"/>
    <w:rsid w:val="00E66550"/>
    <w:rsid w:val="00E877BF"/>
    <w:rsid w:val="00EA1767"/>
    <w:rsid w:val="00EB0929"/>
    <w:rsid w:val="00EB0FA5"/>
    <w:rsid w:val="00EC01DD"/>
    <w:rsid w:val="00EC35E3"/>
    <w:rsid w:val="00ED7195"/>
    <w:rsid w:val="00EF4C67"/>
    <w:rsid w:val="00F0414F"/>
    <w:rsid w:val="00F070F3"/>
    <w:rsid w:val="00F27302"/>
    <w:rsid w:val="00F273D5"/>
    <w:rsid w:val="00F27AAF"/>
    <w:rsid w:val="00F31BEC"/>
    <w:rsid w:val="00F5782B"/>
    <w:rsid w:val="00F73131"/>
    <w:rsid w:val="00F74288"/>
    <w:rsid w:val="00F8633A"/>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3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2979D4"/>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02e41e38-1731-4866-b09a-6257d8bc047f"/>
    <ds:schemaRef ds:uri="http://schemas.microsoft.com/office/2006/documentManagement/types"/>
    <ds:schemaRef ds:uri="http://purl.org/dc/elements/1.1/"/>
    <ds:schemaRef ds:uri="http://schemas.microsoft.com/office/infopath/2007/PartnerControls"/>
    <ds:schemaRef ds:uri="http://purl.org/dc/dcmitype/"/>
    <ds:schemaRef ds:uri="f87c7b8b-c0e7-4b77-a067-2c707fd1239f"/>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3317</Words>
  <Characters>18910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2023-08-24T10:50:00Z</dcterms:created>
  <dcterms:modified xsi:type="dcterms:W3CDTF">2023-08-24T10:50:00Z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