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F5BE8" w:rsidRPr="00AA6A82" w:rsidP="00AA6A82" w14:paraId="07FB85BC" w14:textId="737BD67D">
      <w:pPr>
        <w:pStyle w:val="Heading5"/>
        <w:framePr w:hSpace="0" w:wrap="auto" w:vAnchor="margin" w:hAnchor="text" w:yAlign="inline"/>
        <w:spacing w:after="120" w:line="276" w:lineRule="auto"/>
        <w:rPr>
          <w:rFonts w:ascii="Calibri" w:hAnsi="Calibri" w:cs="Calibri"/>
          <w:b w:val="0"/>
          <w:sz w:val="22"/>
        </w:rPr>
      </w:pPr>
      <w:r w:rsidRPr="00AA6A82">
        <w:rPr>
          <w:rFonts w:ascii="Calibri" w:hAnsi="Calibri" w:cs="Calibri"/>
          <w:b w:val="0"/>
          <w:sz w:val="22"/>
        </w:rPr>
        <w:t xml:space="preserve">June </w:t>
      </w:r>
      <w:r w:rsidR="00861AE1">
        <w:rPr>
          <w:rFonts w:ascii="Calibri" w:hAnsi="Calibri" w:cs="Calibri"/>
          <w:b w:val="0"/>
          <w:sz w:val="22"/>
        </w:rPr>
        <w:t>2</w:t>
      </w:r>
      <w:r w:rsidR="00206B29">
        <w:rPr>
          <w:rFonts w:ascii="Calibri" w:hAnsi="Calibri" w:cs="Calibri"/>
          <w:b w:val="0"/>
          <w:sz w:val="22"/>
        </w:rPr>
        <w:t>6</w:t>
      </w:r>
      <w:r w:rsidRPr="00AA6A82">
        <w:rPr>
          <w:rFonts w:ascii="Calibri" w:hAnsi="Calibri" w:cs="Calibri"/>
          <w:b w:val="0"/>
          <w:sz w:val="22"/>
        </w:rPr>
        <w:t>, 2023</w:t>
      </w:r>
    </w:p>
    <w:p w:rsidR="001F5BE8" w:rsidRPr="00AA6A82" w:rsidP="009069DC" w14:paraId="6C457502" w14:textId="75959ED7">
      <w:pPr>
        <w:pStyle w:val="Heading5"/>
        <w:framePr w:hSpace="0" w:wrap="auto" w:vAnchor="margin" w:hAnchor="text" w:yAlign="inline"/>
        <w:spacing w:line="276" w:lineRule="auto"/>
        <w:rPr>
          <w:rFonts w:ascii="Calibri" w:hAnsi="Calibri" w:cs="Calibri"/>
          <w:b w:val="0"/>
          <w:sz w:val="22"/>
        </w:rPr>
      </w:pPr>
      <w:r w:rsidRPr="00AA6A82">
        <w:rPr>
          <w:rFonts w:ascii="Calibri" w:hAnsi="Calibri" w:cs="Calibri"/>
          <w:b w:val="0"/>
          <w:sz w:val="22"/>
        </w:rPr>
        <w:t>TO:</w:t>
      </w:r>
      <w:r w:rsidRPr="00AA6A82">
        <w:rPr>
          <w:sz w:val="22"/>
        </w:rPr>
        <w:tab/>
      </w:r>
      <w:r w:rsidRPr="00AA6A82">
        <w:rPr>
          <w:rFonts w:ascii="Calibri" w:hAnsi="Calibri" w:cs="Calibri"/>
          <w:b w:val="0"/>
          <w:sz w:val="22"/>
        </w:rPr>
        <w:tab/>
        <w:t>Office of Information and Regulatory Affairs</w:t>
      </w:r>
    </w:p>
    <w:p w:rsidR="001F5BE8" w:rsidRPr="00AA6A82" w:rsidP="00AA6A82" w14:paraId="3FA6CF94" w14:textId="77777777">
      <w:pPr>
        <w:pStyle w:val="Heading5"/>
        <w:framePr w:hSpace="0" w:wrap="auto" w:vAnchor="margin" w:hAnchor="text" w:yAlign="inline"/>
        <w:spacing w:after="120" w:line="276" w:lineRule="auto"/>
        <w:ind w:left="720" w:firstLine="720"/>
        <w:rPr>
          <w:rFonts w:ascii="Calibri" w:hAnsi="Calibri" w:cs="Calibri"/>
          <w:b w:val="0"/>
          <w:bCs/>
          <w:sz w:val="22"/>
        </w:rPr>
      </w:pPr>
      <w:r w:rsidRPr="00AA6A82">
        <w:rPr>
          <w:rFonts w:ascii="Calibri" w:hAnsi="Calibri" w:cs="Calibri"/>
          <w:b w:val="0"/>
          <w:bCs/>
          <w:sz w:val="22"/>
        </w:rPr>
        <w:t xml:space="preserve">Office of Management and Budget </w:t>
      </w:r>
    </w:p>
    <w:p w:rsidR="001F5BE8" w:rsidRPr="00AA6A82" w:rsidP="009069DC" w14:paraId="3A76EC35" w14:textId="77777777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bCs/>
          <w:sz w:val="22"/>
          <w:szCs w:val="22"/>
        </w:rPr>
        <w:t>THROUGH:</w:t>
      </w:r>
      <w:r w:rsidRPr="00AA6A82">
        <w:rPr>
          <w:rFonts w:ascii="Calibri" w:hAnsi="Calibri" w:cs="Calibri"/>
          <w:bCs/>
          <w:sz w:val="22"/>
          <w:szCs w:val="22"/>
        </w:rPr>
        <w:tab/>
      </w:r>
      <w:r w:rsidRPr="00AA6A82">
        <w:rPr>
          <w:rFonts w:ascii="Calibri" w:hAnsi="Calibri" w:cs="Calibri"/>
          <w:sz w:val="22"/>
          <w:szCs w:val="22"/>
        </w:rPr>
        <w:t xml:space="preserve">Strategic Collections and Clearance </w:t>
      </w:r>
    </w:p>
    <w:p w:rsidR="001F5BE8" w:rsidRPr="00AA6A82" w:rsidP="009069DC" w14:paraId="7F507F99" w14:textId="77777777">
      <w:pPr>
        <w:spacing w:after="0" w:line="276" w:lineRule="auto"/>
        <w:ind w:left="144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 xml:space="preserve">Governance and Strategy Division </w:t>
      </w:r>
    </w:p>
    <w:p w:rsidR="001F5BE8" w:rsidRPr="00AA6A82" w:rsidP="009069DC" w14:paraId="4E3C0253" w14:textId="77777777">
      <w:pPr>
        <w:spacing w:after="0" w:line="276" w:lineRule="auto"/>
        <w:ind w:left="144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>Office of Chief Data Officer</w:t>
      </w:r>
    </w:p>
    <w:p w:rsidR="001F5BE8" w:rsidRPr="00AA6A82" w:rsidP="009069DC" w14:paraId="6F31F9CC" w14:textId="77777777">
      <w:pPr>
        <w:spacing w:after="0" w:line="276" w:lineRule="auto"/>
        <w:ind w:left="144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>Office of Planning, Evaluation and Policy Development</w:t>
      </w:r>
    </w:p>
    <w:p w:rsidR="001F5BE8" w:rsidRPr="00AA6A82" w:rsidP="00AA6A82" w14:paraId="6B490A88" w14:textId="77777777">
      <w:pPr>
        <w:spacing w:line="276" w:lineRule="auto"/>
        <w:ind w:left="144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>U.S. Department of Education</w:t>
      </w:r>
    </w:p>
    <w:p w:rsidR="001F5BE8" w:rsidRPr="00AA6A82" w:rsidP="009069DC" w14:paraId="071AE3CE" w14:textId="7777777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>FROM:</w:t>
      </w:r>
      <w:r w:rsidRPr="00AA6A82">
        <w:rPr>
          <w:sz w:val="22"/>
          <w:szCs w:val="22"/>
        </w:rPr>
        <w:tab/>
      </w:r>
      <w:r w:rsidRPr="00AA6A82">
        <w:rPr>
          <w:sz w:val="22"/>
          <w:szCs w:val="22"/>
        </w:rPr>
        <w:tab/>
      </w:r>
      <w:r w:rsidRPr="00AA6A82">
        <w:rPr>
          <w:rFonts w:ascii="Calibri" w:hAnsi="Calibri" w:cs="Calibri"/>
          <w:sz w:val="22"/>
          <w:szCs w:val="22"/>
        </w:rPr>
        <w:t xml:space="preserve">Melanie E. Storey, Director </w:t>
      </w:r>
    </w:p>
    <w:p w:rsidR="001F5BE8" w:rsidRPr="00AA6A82" w:rsidP="009069DC" w14:paraId="2DA20C9C" w14:textId="77777777">
      <w:pPr>
        <w:pStyle w:val="Default"/>
        <w:spacing w:line="276" w:lineRule="auto"/>
        <w:ind w:left="144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 xml:space="preserve">Policy Implementation and Oversight </w:t>
      </w:r>
    </w:p>
    <w:p w:rsidR="001F5BE8" w:rsidRPr="00AA6A82" w:rsidP="009069DC" w14:paraId="3CCA8E0B" w14:textId="77777777">
      <w:pPr>
        <w:pStyle w:val="Default"/>
        <w:spacing w:line="276" w:lineRule="auto"/>
        <w:ind w:left="144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 xml:space="preserve">Federal Student Aid </w:t>
      </w:r>
    </w:p>
    <w:p w:rsidR="001F5BE8" w:rsidRPr="00AA6A82" w:rsidP="00AA6A82" w14:paraId="41B81FE0" w14:textId="77777777">
      <w:pPr>
        <w:spacing w:line="276" w:lineRule="auto"/>
        <w:ind w:left="720" w:firstLine="720"/>
        <w:rPr>
          <w:rFonts w:ascii="Calibri" w:hAnsi="Calibri" w:cs="Calibri"/>
          <w:bCs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>U.S. Department of Education</w:t>
      </w:r>
    </w:p>
    <w:p w:rsidR="001F5BE8" w:rsidRPr="00AA6A82" w:rsidP="00AA6A82" w14:paraId="09021D40" w14:textId="193D05A0">
      <w:pPr>
        <w:spacing w:line="276" w:lineRule="auto"/>
        <w:ind w:left="1440" w:hanging="144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>RE:</w:t>
      </w:r>
      <w:r w:rsidRPr="00AA6A82">
        <w:rPr>
          <w:sz w:val="22"/>
          <w:szCs w:val="22"/>
        </w:rPr>
        <w:tab/>
      </w:r>
      <w:r w:rsidRPr="00AA6A82">
        <w:rPr>
          <w:rFonts w:ascii="Calibri" w:hAnsi="Calibri" w:cs="Calibri"/>
          <w:sz w:val="22"/>
          <w:szCs w:val="22"/>
        </w:rPr>
        <w:t xml:space="preserve">Request for emergency clearance by </w:t>
      </w:r>
      <w:r w:rsidR="00861AE1">
        <w:rPr>
          <w:rFonts w:ascii="Calibri" w:hAnsi="Calibri" w:cs="Calibri"/>
          <w:sz w:val="22"/>
          <w:szCs w:val="22"/>
        </w:rPr>
        <w:t>June 29, 2023</w:t>
      </w:r>
      <w:r w:rsidRPr="00AA6A82">
        <w:rPr>
          <w:rFonts w:ascii="Calibri" w:hAnsi="Calibri" w:cs="Calibri"/>
          <w:sz w:val="22"/>
          <w:szCs w:val="22"/>
        </w:rPr>
        <w:t xml:space="preserve"> for the collection </w:t>
      </w:r>
      <w:r w:rsidRPr="00AA6A82" w:rsidR="00945E41">
        <w:rPr>
          <w:rFonts w:ascii="Calibri" w:hAnsi="Calibri" w:cs="Calibri"/>
          <w:sz w:val="22"/>
          <w:szCs w:val="22"/>
        </w:rPr>
        <w:t xml:space="preserve">under OMB No. </w:t>
      </w:r>
      <w:r w:rsidRPr="00AA6A82">
        <w:rPr>
          <w:rFonts w:ascii="Calibri" w:hAnsi="Calibri" w:cs="Calibri"/>
          <w:sz w:val="22"/>
          <w:szCs w:val="22"/>
        </w:rPr>
        <w:t>1845-0</w:t>
      </w:r>
      <w:r w:rsidRPr="00AA6A82" w:rsidR="00945E41">
        <w:rPr>
          <w:rFonts w:ascii="Calibri" w:hAnsi="Calibri" w:cs="Calibri"/>
          <w:sz w:val="22"/>
          <w:szCs w:val="22"/>
        </w:rPr>
        <w:t>0</w:t>
      </w:r>
      <w:r w:rsidR="00206B29">
        <w:rPr>
          <w:rFonts w:ascii="Calibri" w:hAnsi="Calibri" w:cs="Calibri"/>
          <w:sz w:val="22"/>
          <w:szCs w:val="22"/>
        </w:rPr>
        <w:t>65</w:t>
      </w:r>
      <w:r w:rsidRPr="00AA6A82">
        <w:rPr>
          <w:rFonts w:ascii="Calibri" w:hAnsi="Calibri" w:cs="Calibri"/>
          <w:sz w:val="22"/>
          <w:szCs w:val="22"/>
        </w:rPr>
        <w:t xml:space="preserve"> associated with the </w:t>
      </w:r>
      <w:r w:rsidRPr="009662E1" w:rsidR="00B87B8D">
        <w:rPr>
          <w:rFonts w:asciiTheme="minorHAnsi" w:hAnsiTheme="minorHAnsi" w:cstheme="minorHAnsi"/>
          <w:i/>
          <w:iCs/>
          <w:sz w:val="22"/>
          <w:szCs w:val="22"/>
        </w:rPr>
        <w:t>Discharge Application: Total and Permanent Disability</w:t>
      </w:r>
      <w:r w:rsidRPr="00AA6A82" w:rsidR="00945E41">
        <w:rPr>
          <w:rFonts w:ascii="Calibri" w:hAnsi="Calibri" w:cs="Calibri"/>
          <w:sz w:val="22"/>
          <w:szCs w:val="22"/>
        </w:rPr>
        <w:t xml:space="preserve"> and </w:t>
      </w:r>
      <w:r w:rsidRPr="009662E1" w:rsidR="00B05400">
        <w:rPr>
          <w:rFonts w:asciiTheme="minorHAnsi" w:hAnsiTheme="minorHAnsi" w:cstheme="minorHAnsi"/>
          <w:i/>
          <w:iCs/>
          <w:sz w:val="22"/>
          <w:szCs w:val="22"/>
        </w:rPr>
        <w:t>Applicant Representative Designation: Total and Permanent Disability</w:t>
      </w:r>
      <w:r w:rsidRPr="00AA6A82" w:rsidR="00945E41">
        <w:rPr>
          <w:rFonts w:ascii="Calibri" w:hAnsi="Calibri" w:cs="Calibri"/>
          <w:sz w:val="22"/>
          <w:szCs w:val="22"/>
        </w:rPr>
        <w:t>.</w:t>
      </w:r>
    </w:p>
    <w:p w:rsidR="00533EBB" w:rsidRPr="00AA6A82" w:rsidP="00AA6A82" w14:paraId="1F314AC3" w14:textId="016CD73E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A6A82">
        <w:rPr>
          <w:rFonts w:asciiTheme="minorHAnsi" w:hAnsiTheme="minorHAnsi" w:cstheme="minorHAnsi"/>
          <w:sz w:val="22"/>
          <w:szCs w:val="22"/>
        </w:rPr>
        <w:t xml:space="preserve">Pursuant to the Office of Management and Budget (OMB) procedures established at 5 CFR part 1320, the U.S. Department of Education (Department) requests that the </w:t>
      </w:r>
      <w:r w:rsidRPr="00AA6A82" w:rsidR="00B545C6">
        <w:rPr>
          <w:rFonts w:asciiTheme="minorHAnsi" w:hAnsiTheme="minorHAnsi" w:cstheme="minorHAnsi"/>
          <w:sz w:val="22"/>
          <w:szCs w:val="22"/>
        </w:rPr>
        <w:t>information collection 1845-</w:t>
      </w:r>
      <w:r w:rsidRPr="00AA6A82" w:rsidR="009E6AD6">
        <w:rPr>
          <w:rFonts w:asciiTheme="minorHAnsi" w:hAnsiTheme="minorHAnsi" w:cstheme="minorHAnsi"/>
          <w:sz w:val="22"/>
          <w:szCs w:val="22"/>
        </w:rPr>
        <w:t>00</w:t>
      </w:r>
      <w:r w:rsidR="00AE631F">
        <w:rPr>
          <w:rFonts w:asciiTheme="minorHAnsi" w:hAnsiTheme="minorHAnsi" w:cstheme="minorHAnsi"/>
          <w:sz w:val="22"/>
          <w:szCs w:val="22"/>
        </w:rPr>
        <w:t>65</w:t>
      </w:r>
      <w:r w:rsidRPr="00AA6A82">
        <w:rPr>
          <w:rFonts w:asciiTheme="minorHAnsi" w:hAnsiTheme="minorHAnsi" w:cstheme="minorHAnsi"/>
          <w:sz w:val="22"/>
          <w:szCs w:val="22"/>
        </w:rPr>
        <w:t xml:space="preserve">, </w:t>
      </w:r>
      <w:r w:rsidRPr="009662E1" w:rsidR="00AE631F">
        <w:rPr>
          <w:rFonts w:asciiTheme="minorHAnsi" w:hAnsiTheme="minorHAnsi" w:cstheme="minorHAnsi"/>
          <w:i/>
          <w:iCs/>
          <w:sz w:val="22"/>
          <w:szCs w:val="22"/>
        </w:rPr>
        <w:t>Discharge Application: Total and Permanent Disability</w:t>
      </w:r>
      <w:r w:rsidRPr="00AA6A82" w:rsidR="00AE631F">
        <w:rPr>
          <w:rFonts w:ascii="Calibri" w:hAnsi="Calibri" w:cs="Calibri"/>
          <w:sz w:val="22"/>
          <w:szCs w:val="22"/>
        </w:rPr>
        <w:t xml:space="preserve"> and </w:t>
      </w:r>
      <w:r w:rsidRPr="009662E1" w:rsidR="00AE631F">
        <w:rPr>
          <w:rFonts w:asciiTheme="minorHAnsi" w:hAnsiTheme="minorHAnsi" w:cstheme="minorHAnsi"/>
          <w:i/>
          <w:iCs/>
          <w:sz w:val="22"/>
          <w:szCs w:val="22"/>
        </w:rPr>
        <w:t>Applicant Representative Designation: Total and Permanent Disability</w:t>
      </w:r>
      <w:r w:rsidRPr="00AA6A82">
        <w:rPr>
          <w:rFonts w:asciiTheme="minorHAnsi" w:hAnsiTheme="minorHAnsi" w:cstheme="minorHAnsi"/>
          <w:sz w:val="22"/>
          <w:szCs w:val="22"/>
        </w:rPr>
        <w:t>, be processed in accordance with 5 CFR 1320.13 Emergency Processing.</w:t>
      </w:r>
      <w:r w:rsidRPr="00AA6A82">
        <w:rPr>
          <w:rFonts w:asciiTheme="minorHAnsi" w:hAnsiTheme="minorHAnsi" w:cstheme="minorHAnsi"/>
          <w:sz w:val="22"/>
          <w:szCs w:val="22"/>
        </w:rPr>
        <w:t xml:space="preserve"> </w:t>
      </w:r>
      <w:r w:rsidRPr="00AA6A82">
        <w:rPr>
          <w:rFonts w:ascii="Calibri" w:hAnsi="Calibri" w:cs="Calibri"/>
          <w:sz w:val="22"/>
          <w:szCs w:val="22"/>
        </w:rPr>
        <w:t xml:space="preserve">We are also requesting that the full clearance package be filed at the same time and note that the Department will initiate the 60-day public comment period upon notification of emergency approval. </w:t>
      </w:r>
    </w:p>
    <w:p w:rsidR="001F5BE8" w:rsidRPr="00AA6A82" w:rsidP="00AA6A82" w14:paraId="037E4A54" w14:textId="3B0B35B5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 xml:space="preserve">On November 1, 2022 the U.S. Department of Education published a </w:t>
      </w:r>
      <w:r w:rsidR="00A732E8">
        <w:rPr>
          <w:rFonts w:ascii="Calibri" w:hAnsi="Calibri" w:cs="Calibri"/>
          <w:sz w:val="22"/>
          <w:szCs w:val="22"/>
        </w:rPr>
        <w:t>f</w:t>
      </w:r>
      <w:r w:rsidRPr="00AA6A82">
        <w:rPr>
          <w:rFonts w:ascii="Calibri" w:hAnsi="Calibri" w:cs="Calibri"/>
          <w:sz w:val="22"/>
          <w:szCs w:val="22"/>
        </w:rPr>
        <w:t xml:space="preserve">inal </w:t>
      </w:r>
      <w:r w:rsidR="00A732E8">
        <w:rPr>
          <w:rFonts w:ascii="Calibri" w:hAnsi="Calibri" w:cs="Calibri"/>
          <w:sz w:val="22"/>
          <w:szCs w:val="22"/>
        </w:rPr>
        <w:t>r</w:t>
      </w:r>
      <w:r w:rsidRPr="00AA6A82">
        <w:rPr>
          <w:rFonts w:ascii="Calibri" w:hAnsi="Calibri" w:cs="Calibri"/>
          <w:sz w:val="22"/>
          <w:szCs w:val="22"/>
        </w:rPr>
        <w:t>ule (</w:t>
      </w:r>
      <w:r w:rsidR="00A732E8">
        <w:rPr>
          <w:rFonts w:ascii="Calibri" w:hAnsi="Calibri" w:cs="Calibri"/>
          <w:sz w:val="22"/>
          <w:szCs w:val="22"/>
        </w:rPr>
        <w:t xml:space="preserve">87 FR </w:t>
      </w:r>
      <w:r w:rsidRPr="00AA6A82">
        <w:rPr>
          <w:rFonts w:ascii="Calibri" w:hAnsi="Calibri" w:cs="Calibri"/>
          <w:sz w:val="22"/>
          <w:szCs w:val="22"/>
        </w:rPr>
        <w:t xml:space="preserve">65904) that finalized regulatory changes </w:t>
      </w:r>
      <w:r w:rsidRPr="00AA6A82" w:rsidR="00C92EED">
        <w:rPr>
          <w:rFonts w:ascii="Calibri" w:hAnsi="Calibri" w:cs="Calibri"/>
          <w:sz w:val="22"/>
          <w:szCs w:val="22"/>
        </w:rPr>
        <w:t>resulting from t</w:t>
      </w:r>
      <w:r w:rsidRPr="00AA6A82">
        <w:rPr>
          <w:rFonts w:ascii="Calibri" w:hAnsi="Calibri" w:cs="Calibri"/>
          <w:sz w:val="22"/>
          <w:szCs w:val="22"/>
        </w:rPr>
        <w:t xml:space="preserve">he </w:t>
      </w:r>
      <w:r w:rsidRPr="00AA6A82" w:rsidR="00C92EED">
        <w:rPr>
          <w:rFonts w:ascii="Calibri" w:hAnsi="Calibri" w:cs="Calibri"/>
          <w:sz w:val="22"/>
          <w:szCs w:val="22"/>
        </w:rPr>
        <w:t>n</w:t>
      </w:r>
      <w:r w:rsidRPr="00AA6A82">
        <w:rPr>
          <w:rFonts w:ascii="Calibri" w:hAnsi="Calibri" w:cs="Calibri"/>
          <w:sz w:val="22"/>
          <w:szCs w:val="22"/>
        </w:rPr>
        <w:t xml:space="preserve">egotiated </w:t>
      </w:r>
      <w:r w:rsidRPr="00AA6A82" w:rsidR="00C92EED">
        <w:rPr>
          <w:rFonts w:ascii="Calibri" w:hAnsi="Calibri" w:cs="Calibri"/>
          <w:sz w:val="22"/>
          <w:szCs w:val="22"/>
        </w:rPr>
        <w:t>r</w:t>
      </w:r>
      <w:r w:rsidRPr="00AA6A82">
        <w:rPr>
          <w:rFonts w:ascii="Calibri" w:hAnsi="Calibri" w:cs="Calibri"/>
          <w:sz w:val="22"/>
          <w:szCs w:val="22"/>
        </w:rPr>
        <w:t>ulemaking sessions that took place in October, November, and December 2021. Under the Master Calendar, these final regulations take effect July 1, 2023.</w:t>
      </w:r>
    </w:p>
    <w:p w:rsidR="001F5BE8" w:rsidRPr="00AA6A82" w:rsidP="00AA6A82" w14:paraId="65363E9E" w14:textId="6E440C34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>The final rule include</w:t>
      </w:r>
      <w:r w:rsidRPr="00AA6A82" w:rsidR="00B545C6">
        <w:rPr>
          <w:rFonts w:ascii="Calibri" w:hAnsi="Calibri" w:cs="Calibri"/>
          <w:sz w:val="22"/>
          <w:szCs w:val="22"/>
        </w:rPr>
        <w:t>s</w:t>
      </w:r>
      <w:r w:rsidRPr="00AA6A82">
        <w:rPr>
          <w:rFonts w:ascii="Calibri" w:hAnsi="Calibri" w:cs="Calibri"/>
          <w:sz w:val="22"/>
          <w:szCs w:val="22"/>
        </w:rPr>
        <w:t xml:space="preserve"> revisions to the regulations </w:t>
      </w:r>
      <w:r w:rsidR="00BC25E1">
        <w:rPr>
          <w:rFonts w:ascii="Calibri" w:hAnsi="Calibri" w:cs="Calibri"/>
          <w:sz w:val="22"/>
          <w:szCs w:val="22"/>
        </w:rPr>
        <w:t xml:space="preserve">at </w:t>
      </w:r>
      <w:r w:rsidR="004B0C21">
        <w:rPr>
          <w:rFonts w:ascii="Calibri" w:hAnsi="Calibri" w:cs="Calibri"/>
          <w:sz w:val="22"/>
          <w:szCs w:val="22"/>
        </w:rPr>
        <w:t>34 CFR 685.213</w:t>
      </w:r>
      <w:r w:rsidR="0014044B">
        <w:rPr>
          <w:rFonts w:ascii="Calibri" w:hAnsi="Calibri" w:cs="Calibri"/>
          <w:sz w:val="22"/>
          <w:szCs w:val="22"/>
        </w:rPr>
        <w:t>, 34 CFR 682.402</w:t>
      </w:r>
      <w:r w:rsidR="00E71F73">
        <w:rPr>
          <w:rFonts w:ascii="Calibri" w:hAnsi="Calibri" w:cs="Calibri"/>
          <w:sz w:val="22"/>
          <w:szCs w:val="22"/>
        </w:rPr>
        <w:t xml:space="preserve">(c), </w:t>
      </w:r>
      <w:r w:rsidR="006475E7">
        <w:rPr>
          <w:rFonts w:ascii="Calibri" w:hAnsi="Calibri" w:cs="Calibri"/>
          <w:sz w:val="22"/>
          <w:szCs w:val="22"/>
        </w:rPr>
        <w:t>34 CFR 674.</w:t>
      </w:r>
      <w:r w:rsidR="00F76224">
        <w:rPr>
          <w:rFonts w:ascii="Calibri" w:hAnsi="Calibri" w:cs="Calibri"/>
          <w:sz w:val="22"/>
          <w:szCs w:val="22"/>
        </w:rPr>
        <w:t>61(b), and 34 CFR 686.</w:t>
      </w:r>
      <w:r w:rsidR="0004186F">
        <w:rPr>
          <w:rFonts w:ascii="Calibri" w:hAnsi="Calibri" w:cs="Calibri"/>
          <w:sz w:val="22"/>
          <w:szCs w:val="22"/>
        </w:rPr>
        <w:t xml:space="preserve">42(b) </w:t>
      </w:r>
      <w:r w:rsidR="009151A1">
        <w:rPr>
          <w:rFonts w:ascii="Calibri" w:hAnsi="Calibri" w:cs="Calibri"/>
          <w:sz w:val="22"/>
          <w:szCs w:val="22"/>
        </w:rPr>
        <w:t xml:space="preserve">that govern the </w:t>
      </w:r>
      <w:r w:rsidR="00BE7A96">
        <w:rPr>
          <w:rFonts w:ascii="Calibri" w:hAnsi="Calibri" w:cs="Calibri"/>
          <w:sz w:val="22"/>
          <w:szCs w:val="22"/>
        </w:rPr>
        <w:t>discharge of federal student loans and</w:t>
      </w:r>
      <w:r w:rsidR="002E5815">
        <w:rPr>
          <w:rFonts w:ascii="Calibri" w:hAnsi="Calibri" w:cs="Calibri"/>
          <w:sz w:val="22"/>
          <w:szCs w:val="22"/>
        </w:rPr>
        <w:t xml:space="preserve"> Teacher Education Assistance for College and Higher Education (TEACH) Grant service obligations</w:t>
      </w:r>
      <w:r w:rsidR="00CD275E">
        <w:rPr>
          <w:rFonts w:ascii="Calibri" w:hAnsi="Calibri" w:cs="Calibri"/>
          <w:sz w:val="22"/>
          <w:szCs w:val="22"/>
        </w:rPr>
        <w:t xml:space="preserve"> based on the borrower’s or grant recipient’s total and permanent disability (TPD). </w:t>
      </w:r>
      <w:r w:rsidR="00FC4737">
        <w:rPr>
          <w:rFonts w:ascii="Calibri" w:hAnsi="Calibri" w:cs="Calibri"/>
          <w:sz w:val="22"/>
          <w:szCs w:val="22"/>
        </w:rPr>
        <w:t>The revisions include the following:</w:t>
      </w:r>
    </w:p>
    <w:p w:rsidR="00AA6A82" w:rsidRPr="00AA6A82" w:rsidP="00AA6A82" w14:paraId="392A0B4B" w14:textId="601BA0C2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Expansion of the types of Social Security Administration (SSA) disability determinations that qualify a borrower or TEACH Grant recipient for TPD discharge;</w:t>
      </w:r>
    </w:p>
    <w:p w:rsidR="00AA6A82" w:rsidRPr="00AA6A82" w:rsidP="00AA6A82" w14:paraId="1D001710" w14:textId="23C92FDB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Elimination of the requirement for borrowers who receive TPD discharges based on SSA determinations or a physician’s certification to provide documentation of their annual earnings from employment during the 3-year post-discharge monitoring period; and</w:t>
      </w:r>
    </w:p>
    <w:p w:rsidR="00AA6A82" w:rsidRPr="00DD60F8" w:rsidP="00DD60F8" w14:paraId="5442D267" w14:textId="0AEF1D24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Expansion of the categories of medical professionals who may certify an individual’s TPD discharge application.</w:t>
      </w:r>
    </w:p>
    <w:p w:rsidR="00D06078" w:rsidRPr="00AA6A82" w:rsidP="00AA6A82" w14:paraId="661ECE7F" w14:textId="71B04B99">
      <w:pPr>
        <w:spacing w:line="276" w:lineRule="auto"/>
        <w:ind w:firstLine="720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T</w:t>
      </w:r>
      <w:r w:rsidRPr="00AA6A82" w:rsidR="001F5BE8">
        <w:rPr>
          <w:rFonts w:ascii="Calibri" w:hAnsi="Calibri" w:cs="Calibri"/>
          <w:sz w:val="22"/>
          <w:szCs w:val="22"/>
        </w:rPr>
        <w:t xml:space="preserve">he </w:t>
      </w:r>
      <w:r>
        <w:rPr>
          <w:rFonts w:ascii="Calibri" w:hAnsi="Calibri" w:cs="Calibri"/>
          <w:sz w:val="22"/>
          <w:szCs w:val="22"/>
        </w:rPr>
        <w:t>f</w:t>
      </w:r>
      <w:r w:rsidRPr="00AA6A82" w:rsidR="001F5BE8">
        <w:rPr>
          <w:rFonts w:ascii="Calibri" w:hAnsi="Calibri" w:cs="Calibri"/>
          <w:sz w:val="22"/>
          <w:szCs w:val="22"/>
        </w:rPr>
        <w:t xml:space="preserve">inal </w:t>
      </w:r>
      <w:r>
        <w:rPr>
          <w:rFonts w:ascii="Calibri" w:hAnsi="Calibri" w:cs="Calibri"/>
          <w:sz w:val="22"/>
          <w:szCs w:val="22"/>
        </w:rPr>
        <w:t>r</w:t>
      </w:r>
      <w:r w:rsidRPr="00AA6A82" w:rsidR="001F5BE8">
        <w:rPr>
          <w:rFonts w:ascii="Calibri" w:hAnsi="Calibri" w:cs="Calibri"/>
          <w:sz w:val="22"/>
          <w:szCs w:val="22"/>
        </w:rPr>
        <w:t xml:space="preserve">ule included substantial changes to several </w:t>
      </w:r>
      <w:r w:rsidRPr="00AA6A82">
        <w:rPr>
          <w:rFonts w:ascii="Calibri" w:hAnsi="Calibri" w:cs="Calibri"/>
          <w:sz w:val="22"/>
          <w:szCs w:val="22"/>
        </w:rPr>
        <w:t xml:space="preserve">other </w:t>
      </w:r>
      <w:r w:rsidRPr="00AA6A82" w:rsidR="001F5BE8">
        <w:rPr>
          <w:rFonts w:ascii="Calibri" w:hAnsi="Calibri" w:cs="Calibri"/>
          <w:sz w:val="22"/>
          <w:szCs w:val="22"/>
        </w:rPr>
        <w:t xml:space="preserve">federal student aid programs that required the Department to assess the </w:t>
      </w:r>
      <w:r w:rsidR="00A30C90">
        <w:rPr>
          <w:rFonts w:ascii="Calibri" w:hAnsi="Calibri" w:cs="Calibri"/>
          <w:sz w:val="22"/>
          <w:szCs w:val="22"/>
        </w:rPr>
        <w:t xml:space="preserve">overall </w:t>
      </w:r>
      <w:r w:rsidRPr="00AA6A82" w:rsidR="001F5BE8">
        <w:rPr>
          <w:rFonts w:ascii="Calibri" w:hAnsi="Calibri" w:cs="Calibri"/>
          <w:sz w:val="22"/>
          <w:szCs w:val="22"/>
        </w:rPr>
        <w:t xml:space="preserve">implementation impacts and system change </w:t>
      </w:r>
      <w:r w:rsidRPr="00AA6A82" w:rsidR="001F5BE8">
        <w:rPr>
          <w:rFonts w:ascii="Calibri" w:hAnsi="Calibri" w:cs="Calibri"/>
          <w:sz w:val="22"/>
          <w:szCs w:val="22"/>
        </w:rPr>
        <w:t>requirements necessary to implement the new regulations. Develop</w:t>
      </w:r>
      <w:r w:rsidR="00D63954">
        <w:rPr>
          <w:rFonts w:ascii="Calibri" w:hAnsi="Calibri" w:cs="Calibri"/>
          <w:sz w:val="22"/>
          <w:szCs w:val="22"/>
        </w:rPr>
        <w:t>ment of</w:t>
      </w:r>
      <w:r w:rsidRPr="00AA6A82" w:rsidR="001F5BE8">
        <w:rPr>
          <w:rFonts w:ascii="Calibri" w:hAnsi="Calibri" w:cs="Calibri"/>
          <w:sz w:val="22"/>
          <w:szCs w:val="22"/>
        </w:rPr>
        <w:t xml:space="preserve"> the</w:t>
      </w:r>
      <w:r w:rsidR="00A30C90">
        <w:rPr>
          <w:rFonts w:ascii="Calibri" w:hAnsi="Calibri" w:cs="Calibri"/>
          <w:sz w:val="22"/>
          <w:szCs w:val="22"/>
        </w:rPr>
        <w:t>se</w:t>
      </w:r>
      <w:r w:rsidRPr="00AA6A82" w:rsidR="001F5BE8">
        <w:rPr>
          <w:rFonts w:ascii="Calibri" w:hAnsi="Calibri" w:cs="Calibri"/>
          <w:sz w:val="22"/>
          <w:szCs w:val="22"/>
        </w:rPr>
        <w:t xml:space="preserve"> requirements across multiple systems must be </w:t>
      </w:r>
      <w:r w:rsidR="00D63954">
        <w:rPr>
          <w:rFonts w:ascii="Calibri" w:hAnsi="Calibri" w:cs="Calibri"/>
          <w:sz w:val="22"/>
          <w:szCs w:val="22"/>
        </w:rPr>
        <w:t xml:space="preserve">closely integrated </w:t>
      </w:r>
      <w:r w:rsidRPr="00AA6A82" w:rsidR="001F5BE8">
        <w:rPr>
          <w:rFonts w:ascii="Calibri" w:hAnsi="Calibri" w:cs="Calibri"/>
          <w:sz w:val="22"/>
          <w:szCs w:val="22"/>
        </w:rPr>
        <w:t xml:space="preserve">with the development of </w:t>
      </w:r>
      <w:r w:rsidR="001E59DC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TPD discharge forms and other </w:t>
      </w:r>
      <w:r w:rsidRPr="00AA6A82" w:rsidR="001F5BE8">
        <w:rPr>
          <w:rFonts w:ascii="Calibri" w:hAnsi="Calibri" w:cs="Calibri"/>
          <w:sz w:val="22"/>
          <w:szCs w:val="22"/>
        </w:rPr>
        <w:t xml:space="preserve">forms </w:t>
      </w:r>
      <w:r w:rsidR="001E59DC">
        <w:rPr>
          <w:rFonts w:ascii="Calibri" w:hAnsi="Calibri" w:cs="Calibri"/>
          <w:sz w:val="22"/>
          <w:szCs w:val="22"/>
        </w:rPr>
        <w:t>that are needed t</w:t>
      </w:r>
      <w:r w:rsidRPr="00AA6A82" w:rsidR="001F5BE8">
        <w:rPr>
          <w:rFonts w:ascii="Calibri" w:hAnsi="Calibri" w:cs="Calibri"/>
          <w:sz w:val="22"/>
          <w:szCs w:val="22"/>
        </w:rPr>
        <w:t xml:space="preserve">o support the changes.  </w:t>
      </w:r>
    </w:p>
    <w:p w:rsidR="00533EBB" w:rsidRPr="00AA6A82" w:rsidP="00AA6A82" w14:paraId="6CB198E7" w14:textId="6683364D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AA6A82">
        <w:rPr>
          <w:rFonts w:ascii="Calibri" w:hAnsi="Calibri" w:cs="Calibri"/>
          <w:sz w:val="22"/>
          <w:szCs w:val="22"/>
        </w:rPr>
        <w:t xml:space="preserve">At the time of the </w:t>
      </w:r>
      <w:r w:rsidR="009924BA">
        <w:rPr>
          <w:rFonts w:ascii="Calibri" w:hAnsi="Calibri" w:cs="Calibri"/>
          <w:sz w:val="22"/>
          <w:szCs w:val="22"/>
        </w:rPr>
        <w:t>f</w:t>
      </w:r>
      <w:r w:rsidRPr="00AA6A82">
        <w:rPr>
          <w:rFonts w:ascii="Calibri" w:hAnsi="Calibri" w:cs="Calibri"/>
          <w:sz w:val="22"/>
          <w:szCs w:val="22"/>
        </w:rPr>
        <w:t xml:space="preserve">inal </w:t>
      </w:r>
      <w:r w:rsidR="009924BA">
        <w:rPr>
          <w:rFonts w:ascii="Calibri" w:hAnsi="Calibri" w:cs="Calibri"/>
          <w:sz w:val="22"/>
          <w:szCs w:val="22"/>
        </w:rPr>
        <w:t>r</w:t>
      </w:r>
      <w:r w:rsidRPr="00AA6A82">
        <w:rPr>
          <w:rFonts w:ascii="Calibri" w:hAnsi="Calibri" w:cs="Calibri"/>
          <w:sz w:val="22"/>
          <w:szCs w:val="22"/>
        </w:rPr>
        <w:t xml:space="preserve">ule’s publication, the Paperwork Reduction Act of 1995 (PRA) section indicated that the regulatory changes would require updates to the current </w:t>
      </w:r>
      <w:r w:rsidRPr="009662E1" w:rsidR="00F03A87">
        <w:rPr>
          <w:rFonts w:asciiTheme="minorHAnsi" w:hAnsiTheme="minorHAnsi" w:cstheme="minorHAnsi"/>
          <w:i/>
          <w:iCs/>
          <w:sz w:val="22"/>
          <w:szCs w:val="22"/>
        </w:rPr>
        <w:t>Discharge Application: Total and Permanent Disability</w:t>
      </w:r>
      <w:r w:rsidR="00B431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6A82">
        <w:rPr>
          <w:rFonts w:ascii="Calibri" w:hAnsi="Calibri" w:cs="Calibri"/>
          <w:sz w:val="22"/>
          <w:szCs w:val="22"/>
        </w:rPr>
        <w:t>cleared through Information Collection Request (ICR) 1845-0</w:t>
      </w:r>
      <w:r w:rsidR="0076288F">
        <w:rPr>
          <w:rFonts w:ascii="Calibri" w:hAnsi="Calibri" w:cs="Calibri"/>
          <w:sz w:val="22"/>
          <w:szCs w:val="22"/>
        </w:rPr>
        <w:t>0</w:t>
      </w:r>
      <w:r w:rsidR="00B43183">
        <w:rPr>
          <w:rFonts w:ascii="Calibri" w:hAnsi="Calibri" w:cs="Calibri"/>
          <w:sz w:val="22"/>
          <w:szCs w:val="22"/>
        </w:rPr>
        <w:t>65</w:t>
      </w:r>
      <w:r w:rsidRPr="00AA6A82">
        <w:rPr>
          <w:rFonts w:ascii="Calibri" w:hAnsi="Calibri" w:cs="Calibri"/>
          <w:sz w:val="22"/>
          <w:szCs w:val="22"/>
        </w:rPr>
        <w:t xml:space="preserve">. The PRA </w:t>
      </w:r>
      <w:r w:rsidR="00833E95">
        <w:rPr>
          <w:rFonts w:ascii="Calibri" w:hAnsi="Calibri" w:cs="Calibri"/>
          <w:sz w:val="22"/>
          <w:szCs w:val="22"/>
        </w:rPr>
        <w:t xml:space="preserve">section </w:t>
      </w:r>
      <w:r w:rsidRPr="00AA6A82">
        <w:rPr>
          <w:rFonts w:ascii="Calibri" w:hAnsi="Calibri" w:cs="Calibri"/>
          <w:sz w:val="22"/>
          <w:szCs w:val="22"/>
        </w:rPr>
        <w:t xml:space="preserve">indicated that a full public clearance opportunity would be made for the updated </w:t>
      </w:r>
      <w:r w:rsidR="00833E95">
        <w:rPr>
          <w:rFonts w:ascii="Calibri" w:hAnsi="Calibri" w:cs="Calibri"/>
          <w:sz w:val="22"/>
          <w:szCs w:val="22"/>
        </w:rPr>
        <w:t>and new forms</w:t>
      </w:r>
      <w:r w:rsidRPr="00AA6A82">
        <w:rPr>
          <w:rFonts w:ascii="Calibri" w:hAnsi="Calibri" w:cs="Calibri"/>
          <w:sz w:val="22"/>
          <w:szCs w:val="22"/>
        </w:rPr>
        <w:t>, allowing the public 60</w:t>
      </w:r>
      <w:r w:rsidR="001739C1">
        <w:rPr>
          <w:rFonts w:ascii="Calibri" w:hAnsi="Calibri" w:cs="Calibri"/>
          <w:sz w:val="22"/>
          <w:szCs w:val="22"/>
        </w:rPr>
        <w:t>-</w:t>
      </w:r>
      <w:r w:rsidRPr="00AA6A82">
        <w:rPr>
          <w:rFonts w:ascii="Calibri" w:hAnsi="Calibri" w:cs="Calibri"/>
          <w:sz w:val="22"/>
          <w:szCs w:val="22"/>
        </w:rPr>
        <w:t xml:space="preserve"> and 30</w:t>
      </w:r>
      <w:r w:rsidR="001739C1">
        <w:rPr>
          <w:rFonts w:ascii="Calibri" w:hAnsi="Calibri" w:cs="Calibri"/>
          <w:sz w:val="22"/>
          <w:szCs w:val="22"/>
        </w:rPr>
        <w:t>-</w:t>
      </w:r>
      <w:r w:rsidRPr="00AA6A82">
        <w:rPr>
          <w:rFonts w:ascii="Calibri" w:hAnsi="Calibri" w:cs="Calibri"/>
          <w:sz w:val="22"/>
          <w:szCs w:val="22"/>
        </w:rPr>
        <w:t>day comment periods to review and provide comments on the form</w:t>
      </w:r>
      <w:r w:rsidR="004C092B">
        <w:rPr>
          <w:rFonts w:ascii="Calibri" w:hAnsi="Calibri" w:cs="Calibri"/>
          <w:sz w:val="22"/>
          <w:szCs w:val="22"/>
        </w:rPr>
        <w:t>s</w:t>
      </w:r>
      <w:r w:rsidRPr="00AA6A82">
        <w:rPr>
          <w:rFonts w:ascii="Calibri" w:hAnsi="Calibri" w:cs="Calibri"/>
          <w:sz w:val="22"/>
          <w:szCs w:val="22"/>
        </w:rPr>
        <w:t>.</w:t>
      </w:r>
      <w:r w:rsidR="00F46281">
        <w:rPr>
          <w:rFonts w:ascii="Calibri" w:hAnsi="Calibri" w:cs="Calibri"/>
          <w:sz w:val="22"/>
          <w:szCs w:val="22"/>
        </w:rPr>
        <w:t xml:space="preserve"> </w:t>
      </w:r>
    </w:p>
    <w:p w:rsidR="00B545C6" w:rsidRPr="00AA6A82" w:rsidP="00AA6A82" w14:paraId="4A79987E" w14:textId="5B3D0122">
      <w:pPr>
        <w:spacing w:line="276" w:lineRule="auto"/>
        <w:ind w:firstLine="720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6A82">
        <w:rPr>
          <w:rFonts w:ascii="Calibri" w:hAnsi="Calibri" w:cs="Calibri"/>
          <w:sz w:val="22"/>
          <w:szCs w:val="22"/>
        </w:rPr>
        <w:t xml:space="preserve">If the Department were required to put the collection through the normal clearance process, we would be unable to implement the </w:t>
      </w:r>
      <w:r w:rsidRPr="00AA6A82" w:rsidR="00533EBB">
        <w:rPr>
          <w:rFonts w:ascii="Calibri" w:hAnsi="Calibri" w:cs="Calibri"/>
          <w:sz w:val="22"/>
          <w:szCs w:val="22"/>
        </w:rPr>
        <w:t>required regulatory changes by July 1, 2023</w:t>
      </w:r>
      <w:r w:rsidR="00ED0938">
        <w:rPr>
          <w:rFonts w:ascii="Calibri" w:hAnsi="Calibri" w:cs="Calibri"/>
          <w:sz w:val="22"/>
          <w:szCs w:val="22"/>
        </w:rPr>
        <w:t>,</w:t>
      </w:r>
      <w:r w:rsidRPr="00AA6A82" w:rsidR="00533EBB">
        <w:rPr>
          <w:rFonts w:ascii="Calibri" w:hAnsi="Calibri" w:cs="Calibri"/>
          <w:sz w:val="22"/>
          <w:szCs w:val="22"/>
        </w:rPr>
        <w:t xml:space="preserve"> </w:t>
      </w:r>
      <w:r w:rsidRPr="00AA6A82">
        <w:rPr>
          <w:rFonts w:ascii="Calibri" w:hAnsi="Calibri" w:cs="Calibri"/>
          <w:sz w:val="22"/>
          <w:szCs w:val="22"/>
        </w:rPr>
        <w:t xml:space="preserve">resulting in several months of delays in providing eligible borrowers </w:t>
      </w:r>
      <w:r w:rsidR="000574C2">
        <w:rPr>
          <w:rFonts w:ascii="Calibri" w:hAnsi="Calibri" w:cs="Calibri"/>
          <w:sz w:val="22"/>
          <w:szCs w:val="22"/>
        </w:rPr>
        <w:t xml:space="preserve">with the benefits of the amended </w:t>
      </w:r>
      <w:r w:rsidR="00A60FA6">
        <w:rPr>
          <w:rFonts w:ascii="Calibri" w:hAnsi="Calibri" w:cs="Calibri"/>
          <w:sz w:val="22"/>
          <w:szCs w:val="22"/>
        </w:rPr>
        <w:t>TPD</w:t>
      </w:r>
      <w:r w:rsidR="000574C2">
        <w:rPr>
          <w:rFonts w:ascii="Calibri" w:hAnsi="Calibri" w:cs="Calibri"/>
          <w:sz w:val="22"/>
          <w:szCs w:val="22"/>
        </w:rPr>
        <w:t xml:space="preserve"> discharge regulations </w:t>
      </w:r>
      <w:r w:rsidRPr="00AA6A82">
        <w:rPr>
          <w:rFonts w:ascii="Calibri" w:hAnsi="Calibri" w:cs="Calibri"/>
          <w:sz w:val="22"/>
          <w:szCs w:val="22"/>
        </w:rPr>
        <w:t>and not meeting the requirements of the Master Calendar. Any delay in discharging loans for eligible borrowers would increase the potential for public harm through delayed financial relief to borrowers</w:t>
      </w:r>
      <w:r w:rsidR="000946E0">
        <w:rPr>
          <w:rFonts w:ascii="Calibri" w:hAnsi="Calibri" w:cs="Calibri"/>
          <w:sz w:val="22"/>
          <w:szCs w:val="22"/>
        </w:rPr>
        <w:t xml:space="preserve"> who would qualify for discharge of their loans under the terms of the amended regulations. </w:t>
      </w:r>
      <w:r w:rsidRPr="00AA6A82">
        <w:rPr>
          <w:rFonts w:ascii="Calibri" w:hAnsi="Calibri" w:cs="Calibri"/>
          <w:sz w:val="22"/>
          <w:szCs w:val="22"/>
        </w:rPr>
        <w:t xml:space="preserve">As a result, in order to meet the </w:t>
      </w:r>
      <w:r w:rsidR="005063D1">
        <w:rPr>
          <w:rFonts w:ascii="Calibri" w:hAnsi="Calibri" w:cs="Calibri"/>
          <w:sz w:val="22"/>
          <w:szCs w:val="22"/>
        </w:rPr>
        <w:t>July 1, 20</w:t>
      </w:r>
      <w:r w:rsidR="00727A0D">
        <w:rPr>
          <w:rFonts w:ascii="Calibri" w:hAnsi="Calibri" w:cs="Calibri"/>
          <w:sz w:val="22"/>
          <w:szCs w:val="22"/>
        </w:rPr>
        <w:t>2</w:t>
      </w:r>
      <w:r w:rsidR="005063D1">
        <w:rPr>
          <w:rFonts w:ascii="Calibri" w:hAnsi="Calibri" w:cs="Calibri"/>
          <w:sz w:val="22"/>
          <w:szCs w:val="22"/>
        </w:rPr>
        <w:t xml:space="preserve">3 </w:t>
      </w:r>
      <w:r w:rsidRPr="00AA6A82">
        <w:rPr>
          <w:rFonts w:ascii="Calibri" w:hAnsi="Calibri" w:cs="Calibri"/>
          <w:sz w:val="22"/>
          <w:szCs w:val="22"/>
        </w:rPr>
        <w:t xml:space="preserve">implementation </w:t>
      </w:r>
      <w:r w:rsidR="005063D1">
        <w:rPr>
          <w:rFonts w:ascii="Calibri" w:hAnsi="Calibri" w:cs="Calibri"/>
          <w:sz w:val="22"/>
          <w:szCs w:val="22"/>
        </w:rPr>
        <w:t>date as required by the Master Calendar</w:t>
      </w:r>
      <w:r w:rsidRPr="00AA6A82">
        <w:rPr>
          <w:rFonts w:ascii="Calibri" w:hAnsi="Calibri" w:cs="Calibri"/>
          <w:sz w:val="22"/>
          <w:szCs w:val="22"/>
        </w:rPr>
        <w:t xml:space="preserve">, the Department is requesting </w:t>
      </w:r>
      <w:r w:rsidRPr="00AA6A8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that OMB approve the collection associated with the implementation of the </w:t>
      </w:r>
      <w:r w:rsidR="0039042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TPD </w:t>
      </w:r>
      <w:r w:rsidR="00F435A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discharge forms </w:t>
      </w:r>
      <w:r w:rsidRPr="00AA6A8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using the emergency clearance procedures. </w:t>
      </w:r>
    </w:p>
    <w:p w:rsidR="00966D95" w:rsidRPr="001739C1" w:rsidP="00AA6A82" w14:paraId="08377038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Sect="009B008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4376" w14:paraId="0E225812" w14:textId="631A0F92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– Request for Emergency Clearance (1845-0058)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647CDD"/>
    <w:multiLevelType w:val="hybridMultilevel"/>
    <w:tmpl w:val="E07453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653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E8"/>
    <w:rsid w:val="0004186F"/>
    <w:rsid w:val="000574C2"/>
    <w:rsid w:val="000946E0"/>
    <w:rsid w:val="000A3721"/>
    <w:rsid w:val="000B4E80"/>
    <w:rsid w:val="000E55F9"/>
    <w:rsid w:val="000F6DC8"/>
    <w:rsid w:val="0014044B"/>
    <w:rsid w:val="00156211"/>
    <w:rsid w:val="00161918"/>
    <w:rsid w:val="001739C1"/>
    <w:rsid w:val="001E59DC"/>
    <w:rsid w:val="001F5BE8"/>
    <w:rsid w:val="00206B29"/>
    <w:rsid w:val="002228B1"/>
    <w:rsid w:val="00222E23"/>
    <w:rsid w:val="0024215C"/>
    <w:rsid w:val="0024736D"/>
    <w:rsid w:val="00290827"/>
    <w:rsid w:val="002B35C8"/>
    <w:rsid w:val="002D5D3B"/>
    <w:rsid w:val="002E5815"/>
    <w:rsid w:val="0032047A"/>
    <w:rsid w:val="00347CC2"/>
    <w:rsid w:val="003532B3"/>
    <w:rsid w:val="00371C0D"/>
    <w:rsid w:val="0039042E"/>
    <w:rsid w:val="004906C6"/>
    <w:rsid w:val="004A1018"/>
    <w:rsid w:val="004B0C21"/>
    <w:rsid w:val="004C092B"/>
    <w:rsid w:val="005063D1"/>
    <w:rsid w:val="005200CB"/>
    <w:rsid w:val="00533EBB"/>
    <w:rsid w:val="00572B40"/>
    <w:rsid w:val="005E5739"/>
    <w:rsid w:val="006475E7"/>
    <w:rsid w:val="00665091"/>
    <w:rsid w:val="00680DCD"/>
    <w:rsid w:val="00697DD1"/>
    <w:rsid w:val="006B27B8"/>
    <w:rsid w:val="00727A0D"/>
    <w:rsid w:val="0076288F"/>
    <w:rsid w:val="0082644A"/>
    <w:rsid w:val="00833E95"/>
    <w:rsid w:val="0083707B"/>
    <w:rsid w:val="00861AE1"/>
    <w:rsid w:val="008C32E1"/>
    <w:rsid w:val="008C7EFF"/>
    <w:rsid w:val="009069DC"/>
    <w:rsid w:val="009151A1"/>
    <w:rsid w:val="00945E41"/>
    <w:rsid w:val="009662E1"/>
    <w:rsid w:val="00966D95"/>
    <w:rsid w:val="00967D62"/>
    <w:rsid w:val="009924BA"/>
    <w:rsid w:val="00994376"/>
    <w:rsid w:val="00995A06"/>
    <w:rsid w:val="009B0080"/>
    <w:rsid w:val="009E6AD6"/>
    <w:rsid w:val="00A30C90"/>
    <w:rsid w:val="00A60FA6"/>
    <w:rsid w:val="00A732E8"/>
    <w:rsid w:val="00AA6A82"/>
    <w:rsid w:val="00AE631F"/>
    <w:rsid w:val="00B05400"/>
    <w:rsid w:val="00B43183"/>
    <w:rsid w:val="00B545C6"/>
    <w:rsid w:val="00B87B8D"/>
    <w:rsid w:val="00BC25E1"/>
    <w:rsid w:val="00BE7A96"/>
    <w:rsid w:val="00BF3784"/>
    <w:rsid w:val="00C1444A"/>
    <w:rsid w:val="00C66FC1"/>
    <w:rsid w:val="00C7572F"/>
    <w:rsid w:val="00C92EED"/>
    <w:rsid w:val="00CC2EE5"/>
    <w:rsid w:val="00CD275E"/>
    <w:rsid w:val="00D06078"/>
    <w:rsid w:val="00D276A1"/>
    <w:rsid w:val="00D63954"/>
    <w:rsid w:val="00DD60B4"/>
    <w:rsid w:val="00DD60F8"/>
    <w:rsid w:val="00E71F73"/>
    <w:rsid w:val="00EA2D74"/>
    <w:rsid w:val="00ED0938"/>
    <w:rsid w:val="00EF0DF8"/>
    <w:rsid w:val="00F03A87"/>
    <w:rsid w:val="00F04191"/>
    <w:rsid w:val="00F435A5"/>
    <w:rsid w:val="00F46281"/>
    <w:rsid w:val="00F76224"/>
    <w:rsid w:val="00FC4737"/>
    <w:rsid w:val="00FE75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28CCF2"/>
  <w15:chartTrackingRefBased/>
  <w15:docId w15:val="{16342358-E9C1-4C2F-A876-80D9ECA4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BE8"/>
    <w:pPr>
      <w:widowControl w:val="0"/>
      <w:autoSpaceDE w:val="0"/>
      <w:autoSpaceDN w:val="0"/>
      <w:adjustRightInd w:val="0"/>
      <w:spacing w:after="120" w:line="288" w:lineRule="auto"/>
    </w:pPr>
    <w:rPr>
      <w:rFonts w:ascii="Arial" w:eastAsia="Times New Roman" w:hAnsi="Arial" w:cs="Arial"/>
      <w:sz w:val="20"/>
      <w:szCs w:val="20"/>
    </w:rPr>
  </w:style>
  <w:style w:type="paragraph" w:styleId="Heading5">
    <w:name w:val="heading 5"/>
    <w:next w:val="Normal"/>
    <w:link w:val="Heading5Char"/>
    <w:uiPriority w:val="9"/>
    <w:unhideWhenUsed/>
    <w:rsid w:val="001F5BE8"/>
    <w:pPr>
      <w:framePr w:hSpace="180" w:wrap="around" w:vAnchor="text" w:hAnchor="margin" w:y="-48"/>
      <w:spacing w:after="0" w:line="240" w:lineRule="auto"/>
      <w:outlineLvl w:val="4"/>
    </w:pPr>
    <w:rPr>
      <w:rFonts w:ascii="Arial" w:eastAsia="Times New Roman" w:hAnsi="Arial" w:cs="Arial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5BE8"/>
    <w:rPr>
      <w:rFonts w:ascii="Arial" w:eastAsia="Times New Roman" w:hAnsi="Arial" w:cs="Arial"/>
      <w:b/>
      <w:iCs/>
      <w:sz w:val="20"/>
    </w:rPr>
  </w:style>
  <w:style w:type="paragraph" w:customStyle="1" w:styleId="Default">
    <w:name w:val="Default"/>
    <w:rsid w:val="001F5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1F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B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F5BE8"/>
    <w:rPr>
      <w:rFonts w:ascii="Arial" w:eastAsia="Times New Roman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1F5BE8"/>
  </w:style>
  <w:style w:type="paragraph" w:styleId="ListParagraph">
    <w:name w:val="List Paragraph"/>
    <w:basedOn w:val="Normal"/>
    <w:uiPriority w:val="34"/>
    <w:qFormat/>
    <w:rsid w:val="00AA6A82"/>
    <w:pPr>
      <w:widowControl/>
      <w:autoSpaceDE/>
      <w:autoSpaceDN/>
      <w:adjustRightInd/>
      <w:spacing w:after="0" w:line="240" w:lineRule="auto"/>
      <w:ind w:left="720"/>
      <w:contextualSpacing/>
    </w:pPr>
    <w:rPr>
      <w:rFonts w:ascii="Courier" w:hAnsi="Courier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9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76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7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d10e23a-f09c-45e3-849e-438a97faa086" xsi:nil="true"/>
    <lcf76f155ced4ddcb4097134ff3c332f xmlns="bd10e23a-f09c-45e3-849e-438a97faa086">
      <Terms xmlns="http://schemas.microsoft.com/office/infopath/2007/PartnerControls"/>
    </lcf76f155ced4ddcb4097134ff3c332f>
    <TaxCatchAll xmlns="2a2db8c4-56ab-4882-a5d0-0fe8165c66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CB7AC5ECDD740B487BE4C07570BE9" ma:contentTypeVersion="17" ma:contentTypeDescription="Create a new document." ma:contentTypeScope="" ma:versionID="a674c8b02f4fa87eb08795e7a91c5fd2">
  <xsd:schema xmlns:xsd="http://www.w3.org/2001/XMLSchema" xmlns:xs="http://www.w3.org/2001/XMLSchema" xmlns:p="http://schemas.microsoft.com/office/2006/metadata/properties" xmlns:ns2="bd10e23a-f09c-45e3-849e-438a97faa086" xmlns:ns3="a9a93928-7ac7-4c2f-90e6-3a0e778b9dd0" xmlns:ns4="2a2db8c4-56ab-4882-a5d0-0fe8165c6658" targetNamespace="http://schemas.microsoft.com/office/2006/metadata/properties" ma:root="true" ma:fieldsID="9067bdef2badbaa991face2dc638b6fa" ns2:_="" ns3:_="" ns4:_="">
    <xsd:import namespace="bd10e23a-f09c-45e3-849e-438a97faa086"/>
    <xsd:import namespace="a9a93928-7ac7-4c2f-90e6-3a0e778b9dd0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e23a-f09c-45e3-849e-438a97faa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Choice">
          <xsd:enumeration value="Open"/>
          <xsd:enumeration value="Closed 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3928-7ac7-4c2f-90e6-3a0e778b9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fbe5a1-b04b-4699-b925-cad621dcbb93}" ma:internalName="TaxCatchAll" ma:showField="CatchAllData" ma:web="a9a93928-7ac7-4c2f-90e6-3a0e778b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A3C6F-5921-4B79-9250-B5C5266BF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22F96-0778-40DC-AFCC-91323CF340E2}">
  <ds:schemaRefs>
    <ds:schemaRef ds:uri="bd10e23a-f09c-45e3-849e-438a97faa08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2a2db8c4-56ab-4882-a5d0-0fe8165c6658"/>
    <ds:schemaRef ds:uri="a9a93928-7ac7-4c2f-90e6-3a0e778b9dd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59CC54-A956-4E34-BF32-38B772A7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e23a-f09c-45e3-849e-438a97faa086"/>
    <ds:schemaRef ds:uri="a9a93928-7ac7-4c2f-90e6-3a0e778b9dd0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dcterms:created xsi:type="dcterms:W3CDTF">2023-06-28T18:42:00Z</dcterms:created>
  <dcterms:modified xsi:type="dcterms:W3CDTF">2023-06-28T18:42:00Z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0x01010024DCB7AC5ECDD740B487BE4C07570BE9</vt:lpwstr>
  </property>
</Properties>
</file>