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1844" w:rsidP="00191844" w14:paraId="1F783F01" w14:textId="2B2F1B85">
      <w:pPr>
        <w:pStyle w:val="Caption"/>
        <w:jc w:val="center"/>
        <w:rPr>
          <w:rFonts w:ascii="Times New Roman" w:hAnsi="Times New Roman"/>
          <w:color w:val="000000" w:themeColor="text1"/>
          <w:sz w:val="24"/>
          <w:szCs w:val="24"/>
        </w:rPr>
      </w:pPr>
      <w:r>
        <w:rPr>
          <w:rFonts w:ascii="Times New Roman" w:hAnsi="Times New Roman"/>
          <w:color w:val="000000" w:themeColor="text1"/>
          <w:sz w:val="24"/>
          <w:szCs w:val="24"/>
        </w:rPr>
        <w:t>1870-0505</w:t>
      </w:r>
    </w:p>
    <w:p w:rsidR="00191844" w:rsidP="00191844" w14:paraId="52BB28F9" w14:textId="21F0A561">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p w:rsidR="002D4529" w:rsidRPr="006A1E0A" w:rsidP="002D4529" w14:paraId="6AC00B41" w14:textId="77777777">
      <w:pPr>
        <w:tabs>
          <w:tab w:val="left" w:pos="-720"/>
          <w:tab w:val="left" w:pos="810"/>
        </w:tabs>
        <w:suppressAutoHyphens/>
        <w:rPr>
          <w:rFonts w:ascii="Times New Roman" w:hAnsi="Times New Roman"/>
          <w:szCs w:val="24"/>
        </w:rPr>
      </w:pPr>
      <w:r w:rsidRPr="006A1E0A">
        <w:rPr>
          <w:rFonts w:ascii="Times New Roman" w:hAnsi="Times New Roman"/>
          <w:szCs w:val="24"/>
        </w:rPr>
        <w:t xml:space="preserve">Section 106.45(b)(2):  </w:t>
      </w:r>
      <w:r w:rsidRPr="006A1E0A">
        <w:rPr>
          <w:rFonts w:ascii="Times New Roman" w:hAnsi="Times New Roman"/>
          <w:i/>
          <w:iCs/>
          <w:szCs w:val="24"/>
        </w:rPr>
        <w:t xml:space="preserve">Notice of Allegations </w:t>
      </w:r>
      <w:r w:rsidRPr="006A1E0A">
        <w:rPr>
          <w:rFonts w:ascii="Times New Roman" w:hAnsi="Times New Roman"/>
          <w:szCs w:val="24"/>
        </w:rPr>
        <w:t xml:space="preserve">requires all recipients, upon receipt of a formal complaint, to provide written notice to the complainant and the respondent, informing the parties of the recipient’s grievance process and providing sufficient details of the sexual harassment allegations being investigated.  </w:t>
      </w:r>
    </w:p>
    <w:p w:rsidR="002D4529" w:rsidRPr="006A1E0A" w:rsidP="002D4529" w14:paraId="647C9A7F" w14:textId="77777777">
      <w:pPr>
        <w:tabs>
          <w:tab w:val="left" w:pos="-720"/>
          <w:tab w:val="left" w:pos="810"/>
        </w:tabs>
        <w:suppressAutoHyphens/>
        <w:ind w:left="720"/>
        <w:rPr>
          <w:rStyle w:val="a"/>
          <w:rFonts w:ascii="Times New Roman" w:hAnsi="Times New Roman"/>
          <w:szCs w:val="24"/>
        </w:rPr>
      </w:pPr>
    </w:p>
    <w:p w:rsidR="002D4529" w:rsidRPr="006A1E0A" w:rsidP="002D4529" w14:paraId="1B3FEAD5" w14:textId="77777777">
      <w:pPr>
        <w:tabs>
          <w:tab w:val="left" w:pos="-720"/>
          <w:tab w:val="left" w:pos="810"/>
        </w:tabs>
        <w:suppressAutoHyphens/>
        <w:rPr>
          <w:rStyle w:val="a"/>
          <w:rFonts w:ascii="Times New Roman" w:hAnsi="Times New Roman"/>
          <w:szCs w:val="24"/>
        </w:rPr>
      </w:pPr>
      <w:r w:rsidRPr="006A1E0A">
        <w:rPr>
          <w:rStyle w:val="a"/>
          <w:rFonts w:ascii="Times New Roman" w:hAnsi="Times New Roman"/>
          <w:szCs w:val="24"/>
        </w:rPr>
        <w:t xml:space="preserve">For the activity required under final section 34 CFR 106.45(b)(2), the Department estimates the number of affected respondents to be 16,606 LEAs, 6,766 IHEs and 600 other </w:t>
      </w:r>
      <w:r w:rsidRPr="006A1E0A">
        <w:rPr>
          <w:rFonts w:ascii="Times New Roman" w:hAnsi="Times New Roman"/>
          <w:szCs w:val="24"/>
        </w:rPr>
        <w:t>entities that are recipients of Federal financial assistance</w:t>
      </w:r>
      <w:r w:rsidRPr="006A1E0A">
        <w:rPr>
          <w:rStyle w:val="a"/>
          <w:rFonts w:ascii="Times New Roman" w:hAnsi="Times New Roman"/>
          <w:szCs w:val="24"/>
        </w:rPr>
        <w:t>; each under a burden of the required notices of 1.5 hours; with an annual hour burden estimated at 35,958 hours in Year 1 and 0 hours in subsequent years (23,972 respondents x 1.5 hours = 35,958).  The estimated costs to the respondents are a total of $2,650,654.</w:t>
      </w:r>
    </w:p>
    <w:p w:rsidR="002D4529" w:rsidRPr="006A1E0A" w:rsidP="002D4529" w14:paraId="7E20A80B" w14:textId="77777777">
      <w:pPr>
        <w:tabs>
          <w:tab w:val="left" w:pos="-720"/>
          <w:tab w:val="left" w:pos="810"/>
        </w:tabs>
        <w:suppressAutoHyphens/>
        <w:ind w:left="720"/>
        <w:rPr>
          <w:rStyle w:val="a"/>
          <w:rFonts w:ascii="Times New Roman" w:hAnsi="Times New Roman"/>
          <w:szCs w:val="24"/>
        </w:rPr>
      </w:pPr>
    </w:p>
    <w:p w:rsidR="002D4529" w:rsidRPr="006A1E0A" w:rsidP="002D4529" w14:paraId="45DBB6D1" w14:textId="77777777">
      <w:pPr>
        <w:tabs>
          <w:tab w:val="left" w:pos="-720"/>
          <w:tab w:val="left" w:pos="810"/>
        </w:tabs>
        <w:suppressAutoHyphens/>
        <w:rPr>
          <w:rFonts w:ascii="Times New Roman" w:hAnsi="Times New Roman"/>
        </w:rPr>
      </w:pPr>
      <w:r w:rsidRPr="006A1E0A">
        <w:rPr>
          <w:rFonts w:ascii="Times New Roman" w:hAnsi="Times New Roman"/>
          <w:szCs w:val="24"/>
        </w:rPr>
        <w:t xml:space="preserve">Section 106.45(b)(9):  </w:t>
      </w:r>
      <w:r w:rsidRPr="006A1E0A">
        <w:rPr>
          <w:rFonts w:ascii="Times New Roman" w:hAnsi="Times New Roman"/>
          <w:i/>
          <w:iCs/>
          <w:szCs w:val="24"/>
        </w:rPr>
        <w:t xml:space="preserve">Informal resolution </w:t>
      </w:r>
      <w:r w:rsidRPr="006A1E0A">
        <w:rPr>
          <w:rFonts w:ascii="Times New Roman" w:hAnsi="Times New Roman"/>
        </w:rPr>
        <w:t>requires that recipients who wish to provide parties with the option of informal resolution of formal complaints, may offer this option to the parties but may only proceed by: first, providing the parties with written notice disclosing the sexual harassment allegations, the requirements of an informal resolution process, any consequences from participating in the informal resolution process; and second, obtaining the parties’ voluntary, written consent to the informal resolution process.</w:t>
      </w:r>
    </w:p>
    <w:p w:rsidR="002D4529" w:rsidRPr="006A1E0A" w:rsidP="002D4529" w14:paraId="19013D7B" w14:textId="77777777">
      <w:pPr>
        <w:tabs>
          <w:tab w:val="left" w:pos="-720"/>
          <w:tab w:val="left" w:pos="810"/>
        </w:tabs>
        <w:suppressAutoHyphens/>
        <w:ind w:left="720"/>
        <w:rPr>
          <w:rStyle w:val="a"/>
          <w:rFonts w:ascii="Times New Roman" w:hAnsi="Times New Roman"/>
          <w:szCs w:val="24"/>
        </w:rPr>
      </w:pPr>
    </w:p>
    <w:p w:rsidR="002D4529" w:rsidRPr="006A1E0A" w:rsidP="002D4529" w14:paraId="5FA04B15" w14:textId="77777777">
      <w:pPr>
        <w:tabs>
          <w:tab w:val="left" w:pos="-720"/>
          <w:tab w:val="left" w:pos="810"/>
          <w:tab w:val="left" w:pos="1710"/>
        </w:tabs>
        <w:suppressAutoHyphens/>
        <w:rPr>
          <w:rStyle w:val="a"/>
          <w:rFonts w:ascii="Times New Roman" w:hAnsi="Times New Roman"/>
          <w:szCs w:val="24"/>
        </w:rPr>
      </w:pPr>
      <w:r w:rsidRPr="006A1E0A">
        <w:rPr>
          <w:rStyle w:val="a"/>
          <w:rFonts w:ascii="Times New Roman" w:hAnsi="Times New Roman"/>
          <w:szCs w:val="24"/>
        </w:rPr>
        <w:t>For the activity required under final section 34 CFR 106.45(b)(9), the Department estimates the number of affected respondents to be 16,606 LEAs, 6,766 IHEs and 600 other entities that are recipients of Federal financial assistance; each under a burden of  the required notices of 1.5 hours; with an annual hour burden estimated at 35,958 hours in Year 1 and 0 hours in subsequent years (23,972 respondents x 1.5 hours = 35,958).  The estimated costs to the respondents are a total of $2,650,654.</w:t>
      </w:r>
    </w:p>
    <w:p w:rsidR="002D4529" w:rsidRPr="006A1E0A" w:rsidP="002D4529" w14:paraId="236D55B3" w14:textId="77777777">
      <w:pPr>
        <w:tabs>
          <w:tab w:val="left" w:pos="-720"/>
          <w:tab w:val="left" w:pos="810"/>
        </w:tabs>
        <w:suppressAutoHyphens/>
        <w:ind w:left="720"/>
        <w:rPr>
          <w:rStyle w:val="a"/>
          <w:rFonts w:ascii="Times New Roman" w:hAnsi="Times New Roman"/>
          <w:szCs w:val="24"/>
        </w:rPr>
      </w:pPr>
    </w:p>
    <w:p w:rsidR="002D4529" w:rsidRPr="006A1E0A" w:rsidP="002D4529" w14:paraId="347D6B2D" w14:textId="77777777">
      <w:pPr>
        <w:tabs>
          <w:tab w:val="left" w:pos="-720"/>
          <w:tab w:val="left" w:pos="810"/>
        </w:tabs>
        <w:suppressAutoHyphens/>
        <w:rPr>
          <w:rStyle w:val="a"/>
          <w:rFonts w:ascii="Times New Roman" w:hAnsi="Times New Roman"/>
          <w:szCs w:val="24"/>
        </w:rPr>
      </w:pPr>
      <w:r w:rsidRPr="006A1E0A">
        <w:rPr>
          <w:rFonts w:ascii="Times New Roman" w:hAnsi="Times New Roman"/>
          <w:szCs w:val="24"/>
        </w:rPr>
        <w:t xml:space="preserve">Section 106.45(b)(10):  </w:t>
      </w:r>
      <w:r w:rsidRPr="006A1E0A">
        <w:rPr>
          <w:rFonts w:ascii="Times New Roman" w:hAnsi="Times New Roman"/>
          <w:i/>
          <w:iCs/>
          <w:szCs w:val="24"/>
        </w:rPr>
        <w:t xml:space="preserve">Recordkeeping </w:t>
      </w:r>
      <w:r w:rsidRPr="006A1E0A">
        <w:rPr>
          <w:rFonts w:ascii="Times New Roman" w:hAnsi="Times New Roman"/>
        </w:rPr>
        <w:t xml:space="preserve">requires recipients to maintain certain documentation regarding their Title IX activities.  </w:t>
      </w:r>
    </w:p>
    <w:p w:rsidR="002D4529" w:rsidRPr="006A1E0A" w:rsidP="002D4529" w14:paraId="4A856B33" w14:textId="77777777">
      <w:pPr>
        <w:tabs>
          <w:tab w:val="left" w:pos="-720"/>
        </w:tabs>
        <w:suppressAutoHyphens/>
        <w:ind w:left="720"/>
        <w:rPr>
          <w:rStyle w:val="a"/>
          <w:rFonts w:ascii="Times New Roman" w:hAnsi="Times New Roman"/>
          <w:szCs w:val="24"/>
        </w:rPr>
      </w:pPr>
    </w:p>
    <w:p w:rsidR="002D4529" w:rsidRPr="006A1E0A" w:rsidP="002D4529" w14:paraId="7B6E52CC"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 xml:space="preserve">For the activity required under final section 34 CFR 106.45(b)(10), the Department estimates the number of affected respondents to be 16,606 LEAs, 6,766 IHEs and 600 other entities that are recipients of Federal financial assistance; each under a burden of recordkeeping of 12 hours for the LEAs and other entities and 104 hours for IHEs in the first year of these regulations with an annual hour burden estimated at 910,316 hours and $39,114,530 in Year 1.   </w:t>
      </w:r>
    </w:p>
    <w:p w:rsidR="002D4529" w:rsidRPr="006A1E0A" w:rsidP="002D4529" w14:paraId="526B630E" w14:textId="77777777">
      <w:pPr>
        <w:tabs>
          <w:tab w:val="left" w:pos="-720"/>
        </w:tabs>
        <w:suppressAutoHyphens/>
        <w:ind w:left="720"/>
        <w:rPr>
          <w:rStyle w:val="a"/>
          <w:rFonts w:ascii="Times New Roman" w:hAnsi="Times New Roman"/>
          <w:szCs w:val="24"/>
        </w:rPr>
      </w:pPr>
    </w:p>
    <w:p w:rsidR="002D4529" w:rsidRPr="006A1E0A" w:rsidP="002D4529" w14:paraId="7CC3EF2B"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For the activity required under final section 34 CFR 106.45(b)(10), the Department estimates the number of affected respondents to be 16,606 LEAs, 6,766 IHEs and 600 other entities that are recipients of Federal financial assistance; each under a burden of recordkeeping of 6 hours for the LEAs and other entities and 52 hours for IHEs in Years 2-3 to recognize the difference between development and maintenance</w:t>
      </w:r>
      <w:r>
        <w:rPr>
          <w:rStyle w:val="a"/>
          <w:rFonts w:ascii="Times New Roman" w:hAnsi="Times New Roman"/>
          <w:szCs w:val="24"/>
        </w:rPr>
        <w:t xml:space="preserve"> of a recordkeeping system</w:t>
      </w:r>
      <w:r w:rsidRPr="006A1E0A">
        <w:rPr>
          <w:rStyle w:val="a"/>
          <w:rFonts w:ascii="Times New Roman" w:hAnsi="Times New Roman"/>
          <w:szCs w:val="24"/>
        </w:rPr>
        <w:t>.   The estimated annual burden is 455,068 hours and $15,189,260 for a total in years 2-3 of an estimated burden of 910,136 hours and $30,378,520.</w:t>
      </w:r>
    </w:p>
    <w:p w:rsidR="002D4529" w:rsidRPr="006A1E0A" w:rsidP="002D4529" w14:paraId="03BB31B8" w14:textId="77777777">
      <w:pPr>
        <w:tabs>
          <w:tab w:val="left" w:pos="-720"/>
        </w:tabs>
        <w:suppressAutoHyphens/>
        <w:ind w:left="720"/>
        <w:rPr>
          <w:rStyle w:val="a"/>
          <w:rFonts w:ascii="Times New Roman" w:hAnsi="Times New Roman"/>
          <w:szCs w:val="24"/>
        </w:rPr>
      </w:pPr>
    </w:p>
    <w:p w:rsidR="002D4529" w:rsidRPr="006A1E0A" w:rsidP="002D4529" w14:paraId="3F6F254D" w14:textId="77777777">
      <w:pPr>
        <w:tabs>
          <w:tab w:val="left" w:pos="-720"/>
        </w:tabs>
        <w:suppressAutoHyphens/>
        <w:rPr>
          <w:rStyle w:val="a"/>
          <w:rFonts w:ascii="Times New Roman" w:hAnsi="Times New Roman"/>
          <w:szCs w:val="24"/>
        </w:rPr>
      </w:pPr>
      <w:r w:rsidRPr="006A1E0A">
        <w:rPr>
          <w:rStyle w:val="a"/>
          <w:rFonts w:ascii="Times New Roman" w:hAnsi="Times New Roman"/>
          <w:szCs w:val="24"/>
        </w:rPr>
        <w:t>For Section 106.45(b)(10) in Years 1-3, we estimate a total of 1,820,272 hours and $69,493,050 costs for 23,972 respondents.</w:t>
      </w:r>
    </w:p>
    <w:p w:rsidR="002D4529" w:rsidP="002D4529" w14:paraId="25F6E36D" w14:textId="77777777">
      <w:pPr>
        <w:tabs>
          <w:tab w:val="left" w:pos="-720"/>
        </w:tabs>
        <w:suppressAutoHyphens/>
        <w:ind w:left="720"/>
        <w:rPr>
          <w:rStyle w:val="a"/>
          <w:rFonts w:asciiTheme="minorHAnsi" w:hAnsiTheme="minorHAnsi" w:cstheme="minorHAnsi"/>
          <w:szCs w:val="24"/>
        </w:rPr>
      </w:pPr>
    </w:p>
    <w:p w:rsidR="002D4529" w:rsidRPr="006A1E0A" w:rsidP="002D4529" w14:paraId="0B7F8805" w14:textId="77777777">
      <w:pPr>
        <w:tabs>
          <w:tab w:val="left" w:pos="-720"/>
        </w:tabs>
        <w:suppressAutoHyphens/>
        <w:rPr>
          <w:rFonts w:ascii="Times New Roman" w:hAnsi="Times New Roman"/>
          <w:b/>
          <w:sz w:val="26"/>
          <w:szCs w:val="26"/>
        </w:rPr>
      </w:pPr>
      <w:r w:rsidRPr="006A1E0A">
        <w:rPr>
          <w:rStyle w:val="a"/>
          <w:rFonts w:ascii="Times New Roman" w:hAnsi="Times New Roman"/>
          <w:szCs w:val="24"/>
        </w:rPr>
        <w:t>For all of the sections above the three-year calculations are 23,972 respondents with 119,860 responses at 1,892,188 burden hours for an estimated $74,794,358 costs.  See the table below</w:t>
      </w:r>
    </w:p>
    <w:p w:rsidR="002D4529" w:rsidRPr="002D4529" w:rsidP="002D4529" w14:paraId="2805349C" w14:textId="77777777"/>
    <w:tbl>
      <w:tblPr>
        <w:tblStyle w:val="GridTableLight"/>
        <w:tblpPr w:leftFromText="180" w:rightFromText="180" w:vertAnchor="text" w:horzAnchor="margin" w:tblpXSpec="center" w:tblpY="174"/>
        <w:tblW w:w="9355" w:type="dxa"/>
        <w:tblLayout w:type="fixed"/>
        <w:tblLook w:val="0020"/>
      </w:tblPr>
      <w:tblGrid>
        <w:gridCol w:w="2705"/>
        <w:gridCol w:w="1275"/>
        <w:gridCol w:w="1080"/>
        <w:gridCol w:w="1235"/>
        <w:gridCol w:w="1260"/>
        <w:gridCol w:w="1800"/>
      </w:tblGrid>
      <w:tr w14:paraId="3FDBD496" w14:textId="77777777" w:rsidTr="00653902">
        <w:tblPrEx>
          <w:tblW w:w="9355" w:type="dxa"/>
          <w:tblLayout w:type="fixed"/>
          <w:tblLook w:val="0020"/>
        </w:tblPrEx>
        <w:trPr>
          <w:tblHeader/>
        </w:trPr>
        <w:tc>
          <w:tcPr>
            <w:tcW w:w="2705" w:type="dxa"/>
            <w:vAlign w:val="center"/>
          </w:tcPr>
          <w:p w:rsidR="00191844" w:rsidP="00653902" w14:paraId="711FBA76" w14:textId="77777777">
            <w:pPr>
              <w:jc w:val="center"/>
              <w:rPr>
                <w:rFonts w:ascii="Times New Roman" w:hAnsi="Times New Roman"/>
                <w:sz w:val="20"/>
              </w:rPr>
            </w:pPr>
          </w:p>
          <w:p w:rsidR="00191844" w:rsidP="00653902" w14:paraId="6941312F" w14:textId="77777777">
            <w:pPr>
              <w:jc w:val="center"/>
              <w:rPr>
                <w:rFonts w:ascii="Times New Roman" w:hAnsi="Times New Roman"/>
                <w:sz w:val="20"/>
              </w:rPr>
            </w:pPr>
          </w:p>
          <w:p w:rsidR="00191844" w:rsidRPr="007F6104" w:rsidP="00653902" w14:paraId="0508BCB5"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vAlign w:val="center"/>
          </w:tcPr>
          <w:p w:rsidR="00191844" w:rsidRPr="007F6104" w:rsidP="00653902" w14:paraId="3B3C1D0F"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191844" w:rsidP="00653902" w14:paraId="0C338FDC" w14:textId="77777777">
            <w:pPr>
              <w:jc w:val="center"/>
              <w:rPr>
                <w:rFonts w:ascii="Times New Roman" w:hAnsi="Times New Roman"/>
                <w:sz w:val="20"/>
              </w:rPr>
            </w:pPr>
          </w:p>
          <w:p w:rsidR="00191844" w:rsidP="00653902" w14:paraId="3122A25F" w14:textId="77777777">
            <w:pPr>
              <w:jc w:val="center"/>
              <w:rPr>
                <w:rFonts w:ascii="Times New Roman" w:hAnsi="Times New Roman"/>
                <w:sz w:val="20"/>
              </w:rPr>
            </w:pPr>
          </w:p>
          <w:p w:rsidR="00191844" w:rsidRPr="007F6104" w:rsidP="00653902" w14:paraId="18BBD9E0" w14:textId="77777777">
            <w:pPr>
              <w:jc w:val="center"/>
              <w:rPr>
                <w:rFonts w:ascii="Times New Roman" w:hAnsi="Times New Roman"/>
                <w:sz w:val="20"/>
              </w:rPr>
            </w:pPr>
            <w:r w:rsidRPr="007F6104">
              <w:rPr>
                <w:rFonts w:ascii="Times New Roman" w:hAnsi="Times New Roman"/>
                <w:sz w:val="20"/>
              </w:rPr>
              <w:t>Number of Responses</w:t>
            </w:r>
          </w:p>
        </w:tc>
        <w:tc>
          <w:tcPr>
            <w:tcW w:w="1235" w:type="dxa"/>
            <w:vAlign w:val="center"/>
          </w:tcPr>
          <w:p w:rsidR="00191844" w:rsidP="00653902" w14:paraId="79A22529" w14:textId="77777777">
            <w:pPr>
              <w:jc w:val="center"/>
              <w:rPr>
                <w:rFonts w:ascii="Times New Roman" w:hAnsi="Times New Roman"/>
                <w:sz w:val="20"/>
              </w:rPr>
            </w:pPr>
          </w:p>
          <w:p w:rsidR="00191844" w:rsidRPr="007F6104" w:rsidP="00653902" w14:paraId="5C789E56"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vAlign w:val="center"/>
          </w:tcPr>
          <w:p w:rsidR="00191844" w:rsidP="00653902" w14:paraId="1A5F409B" w14:textId="77777777">
            <w:pPr>
              <w:jc w:val="center"/>
              <w:rPr>
                <w:rFonts w:ascii="Times New Roman" w:hAnsi="Times New Roman"/>
                <w:sz w:val="20"/>
              </w:rPr>
            </w:pPr>
          </w:p>
          <w:p w:rsidR="00191844" w:rsidRPr="007F6104" w:rsidP="00653902" w14:paraId="533E3B58"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800" w:type="dxa"/>
            <w:vAlign w:val="center"/>
          </w:tcPr>
          <w:p w:rsidR="00191844" w:rsidP="00653902" w14:paraId="15779249" w14:textId="77777777">
            <w:pPr>
              <w:jc w:val="center"/>
              <w:rPr>
                <w:rFonts w:ascii="Times New Roman" w:hAnsi="Times New Roman"/>
                <w:sz w:val="20"/>
              </w:rPr>
            </w:pPr>
          </w:p>
          <w:p w:rsidR="00191844" w:rsidP="00653902" w14:paraId="2733C2E7" w14:textId="77777777">
            <w:pPr>
              <w:jc w:val="center"/>
              <w:rPr>
                <w:rFonts w:ascii="Times New Roman" w:hAnsi="Times New Roman"/>
                <w:sz w:val="20"/>
              </w:rPr>
            </w:pPr>
          </w:p>
          <w:p w:rsidR="00191844" w:rsidRPr="007F6104" w:rsidP="00653902" w14:paraId="07C8DD3B"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3AC3990" w14:textId="77777777" w:rsidTr="00653902">
        <w:tblPrEx>
          <w:tblW w:w="9355" w:type="dxa"/>
          <w:tblLayout w:type="fixed"/>
          <w:tblLook w:val="0020"/>
        </w:tblPrEx>
        <w:tc>
          <w:tcPr>
            <w:tcW w:w="2705" w:type="dxa"/>
          </w:tcPr>
          <w:p w:rsidR="00191844" w:rsidRPr="006A1E0A" w:rsidP="00653902" w14:paraId="6F774226" w14:textId="77777777">
            <w:pPr>
              <w:rPr>
                <w:rFonts w:ascii="Times New Roman" w:hAnsi="Times New Roman"/>
                <w:szCs w:val="24"/>
              </w:rPr>
            </w:pPr>
            <w:r w:rsidRPr="006A1E0A">
              <w:rPr>
                <w:rFonts w:ascii="Times New Roman" w:hAnsi="Times New Roman"/>
                <w:szCs w:val="24"/>
              </w:rPr>
              <w:t>106.45(b)(2)   Year 1</w:t>
            </w:r>
          </w:p>
        </w:tc>
        <w:tc>
          <w:tcPr>
            <w:tcW w:w="1275" w:type="dxa"/>
          </w:tcPr>
          <w:p w:rsidR="00191844" w:rsidRPr="006A1E0A" w:rsidP="00653902" w14:paraId="4D31ACD5" w14:textId="77777777">
            <w:pPr>
              <w:jc w:val="right"/>
              <w:rPr>
                <w:rFonts w:ascii="Times New Roman" w:hAnsi="Times New Roman"/>
                <w:szCs w:val="24"/>
              </w:rPr>
            </w:pPr>
            <w:r w:rsidRPr="006A1E0A">
              <w:rPr>
                <w:rFonts w:ascii="Times New Roman" w:hAnsi="Times New Roman"/>
                <w:szCs w:val="24"/>
              </w:rPr>
              <w:t>23,972</w:t>
            </w:r>
          </w:p>
        </w:tc>
        <w:tc>
          <w:tcPr>
            <w:tcW w:w="1080" w:type="dxa"/>
          </w:tcPr>
          <w:p w:rsidR="00191844" w:rsidRPr="006A1E0A" w:rsidP="00653902" w14:paraId="05C03921" w14:textId="77777777">
            <w:pPr>
              <w:jc w:val="right"/>
              <w:rPr>
                <w:rFonts w:ascii="Times New Roman" w:hAnsi="Times New Roman"/>
                <w:szCs w:val="24"/>
              </w:rPr>
            </w:pPr>
            <w:r w:rsidRPr="006A1E0A">
              <w:rPr>
                <w:rFonts w:ascii="Times New Roman" w:hAnsi="Times New Roman"/>
                <w:szCs w:val="24"/>
              </w:rPr>
              <w:t>23,972</w:t>
            </w:r>
          </w:p>
        </w:tc>
        <w:tc>
          <w:tcPr>
            <w:tcW w:w="1235" w:type="dxa"/>
          </w:tcPr>
          <w:p w:rsidR="00191844" w:rsidRPr="006A1E0A" w:rsidP="00653902" w14:paraId="3A5C60FC" w14:textId="77777777">
            <w:pPr>
              <w:jc w:val="center"/>
              <w:rPr>
                <w:rFonts w:ascii="Times New Roman" w:hAnsi="Times New Roman"/>
                <w:szCs w:val="24"/>
              </w:rPr>
            </w:pPr>
            <w:r w:rsidRPr="006A1E0A">
              <w:rPr>
                <w:rFonts w:ascii="Times New Roman" w:hAnsi="Times New Roman"/>
                <w:szCs w:val="24"/>
              </w:rPr>
              <w:t>1.5</w:t>
            </w:r>
          </w:p>
        </w:tc>
        <w:tc>
          <w:tcPr>
            <w:tcW w:w="1260" w:type="dxa"/>
          </w:tcPr>
          <w:p w:rsidR="00191844" w:rsidRPr="006A1E0A" w:rsidP="00653902" w14:paraId="05016DA8" w14:textId="77777777">
            <w:pPr>
              <w:jc w:val="right"/>
              <w:rPr>
                <w:rFonts w:ascii="Times New Roman" w:hAnsi="Times New Roman"/>
                <w:szCs w:val="24"/>
              </w:rPr>
            </w:pPr>
            <w:r w:rsidRPr="006A1E0A">
              <w:rPr>
                <w:rStyle w:val="a"/>
                <w:rFonts w:ascii="Times New Roman" w:hAnsi="Times New Roman"/>
                <w:szCs w:val="24"/>
              </w:rPr>
              <w:t>35,958</w:t>
            </w:r>
          </w:p>
        </w:tc>
        <w:tc>
          <w:tcPr>
            <w:tcW w:w="1800" w:type="dxa"/>
          </w:tcPr>
          <w:p w:rsidR="00191844" w:rsidRPr="006A1E0A" w:rsidP="00653902" w14:paraId="22D86BCC" w14:textId="77777777">
            <w:pPr>
              <w:jc w:val="right"/>
              <w:rPr>
                <w:rFonts w:ascii="Times New Roman" w:hAnsi="Times New Roman"/>
                <w:szCs w:val="24"/>
              </w:rPr>
            </w:pPr>
            <w:r w:rsidRPr="006A1E0A">
              <w:rPr>
                <w:rStyle w:val="a"/>
                <w:rFonts w:ascii="Times New Roman" w:hAnsi="Times New Roman"/>
                <w:szCs w:val="24"/>
              </w:rPr>
              <w:t>$2,650,654</w:t>
            </w:r>
          </w:p>
        </w:tc>
      </w:tr>
      <w:tr w14:paraId="108459ED" w14:textId="77777777" w:rsidTr="00653902">
        <w:tblPrEx>
          <w:tblW w:w="9355" w:type="dxa"/>
          <w:tblLayout w:type="fixed"/>
          <w:tblLook w:val="0020"/>
        </w:tblPrEx>
        <w:tc>
          <w:tcPr>
            <w:tcW w:w="2705" w:type="dxa"/>
          </w:tcPr>
          <w:p w:rsidR="00191844" w:rsidRPr="006A1E0A" w:rsidP="00653902" w14:paraId="61293BF3" w14:textId="77777777">
            <w:pPr>
              <w:rPr>
                <w:rFonts w:ascii="Times New Roman" w:hAnsi="Times New Roman"/>
                <w:szCs w:val="24"/>
              </w:rPr>
            </w:pPr>
            <w:r w:rsidRPr="006A1E0A">
              <w:rPr>
                <w:rFonts w:ascii="Times New Roman" w:hAnsi="Times New Roman"/>
                <w:szCs w:val="24"/>
              </w:rPr>
              <w:t>106.45(b)(9)   Year 1</w:t>
            </w:r>
          </w:p>
        </w:tc>
        <w:tc>
          <w:tcPr>
            <w:tcW w:w="1275" w:type="dxa"/>
          </w:tcPr>
          <w:p w:rsidR="00191844" w:rsidRPr="006A1E0A" w:rsidP="00653902" w14:paraId="05EDD609"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1038DB4F" w14:textId="77777777">
            <w:pPr>
              <w:jc w:val="right"/>
              <w:rPr>
                <w:rFonts w:ascii="Times New Roman" w:hAnsi="Times New Roman"/>
                <w:szCs w:val="24"/>
              </w:rPr>
            </w:pPr>
            <w:r w:rsidRPr="006A1E0A">
              <w:rPr>
                <w:rFonts w:ascii="Times New Roman" w:hAnsi="Times New Roman"/>
                <w:szCs w:val="24"/>
              </w:rPr>
              <w:t>23,972</w:t>
            </w:r>
          </w:p>
        </w:tc>
        <w:tc>
          <w:tcPr>
            <w:tcW w:w="1235" w:type="dxa"/>
          </w:tcPr>
          <w:p w:rsidR="00191844" w:rsidRPr="006A1E0A" w:rsidP="00653902" w14:paraId="7042167A" w14:textId="77777777">
            <w:pPr>
              <w:jc w:val="center"/>
              <w:rPr>
                <w:rFonts w:ascii="Times New Roman" w:hAnsi="Times New Roman"/>
                <w:szCs w:val="24"/>
              </w:rPr>
            </w:pPr>
            <w:r w:rsidRPr="006A1E0A">
              <w:rPr>
                <w:rFonts w:ascii="Times New Roman" w:hAnsi="Times New Roman"/>
                <w:szCs w:val="24"/>
              </w:rPr>
              <w:t>1.5</w:t>
            </w:r>
          </w:p>
        </w:tc>
        <w:tc>
          <w:tcPr>
            <w:tcW w:w="1260" w:type="dxa"/>
          </w:tcPr>
          <w:p w:rsidR="00191844" w:rsidRPr="006A1E0A" w:rsidP="00653902" w14:paraId="326529AD" w14:textId="77777777">
            <w:pPr>
              <w:jc w:val="right"/>
              <w:rPr>
                <w:rStyle w:val="a"/>
                <w:rFonts w:ascii="Times New Roman" w:hAnsi="Times New Roman"/>
                <w:szCs w:val="24"/>
              </w:rPr>
            </w:pPr>
            <w:r w:rsidRPr="006A1E0A">
              <w:rPr>
                <w:rStyle w:val="a"/>
                <w:rFonts w:ascii="Times New Roman" w:hAnsi="Times New Roman"/>
                <w:szCs w:val="24"/>
              </w:rPr>
              <w:t>35,958</w:t>
            </w:r>
          </w:p>
        </w:tc>
        <w:tc>
          <w:tcPr>
            <w:tcW w:w="1800" w:type="dxa"/>
          </w:tcPr>
          <w:p w:rsidR="00191844" w:rsidRPr="006A1E0A" w:rsidP="00653902" w14:paraId="6DFCA64A" w14:textId="77777777">
            <w:pPr>
              <w:jc w:val="right"/>
              <w:rPr>
                <w:rStyle w:val="a"/>
                <w:rFonts w:ascii="Times New Roman" w:hAnsi="Times New Roman"/>
                <w:szCs w:val="24"/>
              </w:rPr>
            </w:pPr>
            <w:r w:rsidRPr="006A1E0A">
              <w:rPr>
                <w:rStyle w:val="a"/>
                <w:rFonts w:ascii="Times New Roman" w:hAnsi="Times New Roman"/>
                <w:szCs w:val="24"/>
              </w:rPr>
              <w:t>$2,650,654</w:t>
            </w:r>
          </w:p>
        </w:tc>
      </w:tr>
      <w:tr w14:paraId="67081CFA" w14:textId="77777777" w:rsidTr="00653902">
        <w:tblPrEx>
          <w:tblW w:w="9355" w:type="dxa"/>
          <w:tblLayout w:type="fixed"/>
          <w:tblLook w:val="0020"/>
        </w:tblPrEx>
        <w:tc>
          <w:tcPr>
            <w:tcW w:w="2705" w:type="dxa"/>
          </w:tcPr>
          <w:p w:rsidR="00191844" w:rsidRPr="006A1E0A" w:rsidP="00653902" w14:paraId="407A8215" w14:textId="77777777">
            <w:pPr>
              <w:rPr>
                <w:rFonts w:ascii="Times New Roman" w:hAnsi="Times New Roman"/>
                <w:szCs w:val="24"/>
              </w:rPr>
            </w:pPr>
            <w:r w:rsidRPr="006A1E0A">
              <w:rPr>
                <w:rFonts w:ascii="Times New Roman" w:hAnsi="Times New Roman"/>
                <w:szCs w:val="24"/>
              </w:rPr>
              <w:t>106.45(b)(10) Year 1</w:t>
            </w:r>
          </w:p>
        </w:tc>
        <w:tc>
          <w:tcPr>
            <w:tcW w:w="1275" w:type="dxa"/>
          </w:tcPr>
          <w:p w:rsidR="00191844" w:rsidRPr="006A1E0A" w:rsidP="00653902" w14:paraId="36DD472E"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62008A99" w14:textId="77777777">
            <w:pPr>
              <w:jc w:val="right"/>
              <w:rPr>
                <w:rFonts w:ascii="Times New Roman" w:hAnsi="Times New Roman"/>
                <w:szCs w:val="24"/>
              </w:rPr>
            </w:pPr>
            <w:r w:rsidRPr="006A1E0A">
              <w:rPr>
                <w:rFonts w:ascii="Times New Roman" w:hAnsi="Times New Roman"/>
                <w:szCs w:val="24"/>
              </w:rPr>
              <w:t>16,606</w:t>
            </w:r>
          </w:p>
        </w:tc>
        <w:tc>
          <w:tcPr>
            <w:tcW w:w="1235" w:type="dxa"/>
          </w:tcPr>
          <w:p w:rsidR="00191844" w:rsidRPr="006A1E0A" w:rsidP="00653902" w14:paraId="49D1F615" w14:textId="77777777">
            <w:pPr>
              <w:jc w:val="center"/>
              <w:rPr>
                <w:rFonts w:ascii="Times New Roman" w:hAnsi="Times New Roman"/>
                <w:szCs w:val="24"/>
              </w:rPr>
            </w:pPr>
            <w:r w:rsidRPr="006A1E0A">
              <w:rPr>
                <w:rFonts w:ascii="Times New Roman" w:hAnsi="Times New Roman"/>
                <w:szCs w:val="24"/>
              </w:rPr>
              <w:t>12</w:t>
            </w:r>
          </w:p>
        </w:tc>
        <w:tc>
          <w:tcPr>
            <w:tcW w:w="1260" w:type="dxa"/>
          </w:tcPr>
          <w:p w:rsidR="00191844" w:rsidRPr="006A1E0A" w:rsidP="00653902" w14:paraId="16DA700E" w14:textId="77777777">
            <w:pPr>
              <w:jc w:val="right"/>
              <w:rPr>
                <w:rStyle w:val="a"/>
                <w:rFonts w:ascii="Times New Roman" w:hAnsi="Times New Roman"/>
                <w:szCs w:val="24"/>
              </w:rPr>
            </w:pPr>
            <w:r w:rsidRPr="006A1E0A">
              <w:rPr>
                <w:rStyle w:val="a"/>
                <w:rFonts w:ascii="Times New Roman" w:hAnsi="Times New Roman"/>
                <w:szCs w:val="24"/>
              </w:rPr>
              <w:t>199,272</w:t>
            </w:r>
          </w:p>
        </w:tc>
        <w:tc>
          <w:tcPr>
            <w:tcW w:w="1800" w:type="dxa"/>
          </w:tcPr>
          <w:p w:rsidR="00191844" w:rsidRPr="006A1E0A" w:rsidP="00653902" w14:paraId="55097631" w14:textId="77777777">
            <w:pPr>
              <w:jc w:val="right"/>
              <w:rPr>
                <w:rStyle w:val="a"/>
                <w:rFonts w:ascii="Times New Roman" w:hAnsi="Times New Roman"/>
                <w:szCs w:val="24"/>
              </w:rPr>
            </w:pPr>
            <w:r w:rsidRPr="006A1E0A">
              <w:rPr>
                <w:rStyle w:val="a"/>
                <w:rFonts w:ascii="Times New Roman" w:hAnsi="Times New Roman"/>
                <w:szCs w:val="24"/>
              </w:rPr>
              <w:t>*</w:t>
            </w:r>
          </w:p>
        </w:tc>
      </w:tr>
      <w:tr w14:paraId="11534E2D" w14:textId="77777777" w:rsidTr="00653902">
        <w:tblPrEx>
          <w:tblW w:w="9355" w:type="dxa"/>
          <w:tblLayout w:type="fixed"/>
          <w:tblLook w:val="0020"/>
        </w:tblPrEx>
        <w:tc>
          <w:tcPr>
            <w:tcW w:w="2705" w:type="dxa"/>
          </w:tcPr>
          <w:p w:rsidR="00191844" w:rsidRPr="006A1E0A" w:rsidP="00653902" w14:paraId="3D4C813B" w14:textId="77777777">
            <w:pPr>
              <w:rPr>
                <w:rFonts w:ascii="Times New Roman" w:hAnsi="Times New Roman"/>
                <w:szCs w:val="24"/>
              </w:rPr>
            </w:pPr>
            <w:r w:rsidRPr="006A1E0A">
              <w:rPr>
                <w:rFonts w:ascii="Times New Roman" w:hAnsi="Times New Roman"/>
                <w:szCs w:val="24"/>
              </w:rPr>
              <w:t>106.45(b)(10) Year 1</w:t>
            </w:r>
          </w:p>
        </w:tc>
        <w:tc>
          <w:tcPr>
            <w:tcW w:w="1275" w:type="dxa"/>
          </w:tcPr>
          <w:p w:rsidR="00191844" w:rsidRPr="006A1E0A" w:rsidP="00653902" w14:paraId="3B06892E"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04C96DE6" w14:textId="77777777">
            <w:pPr>
              <w:jc w:val="right"/>
              <w:rPr>
                <w:rFonts w:ascii="Times New Roman" w:hAnsi="Times New Roman"/>
                <w:szCs w:val="24"/>
              </w:rPr>
            </w:pPr>
            <w:r w:rsidRPr="006A1E0A">
              <w:rPr>
                <w:rFonts w:ascii="Times New Roman" w:hAnsi="Times New Roman"/>
                <w:szCs w:val="24"/>
              </w:rPr>
              <w:t>6,766</w:t>
            </w:r>
          </w:p>
        </w:tc>
        <w:tc>
          <w:tcPr>
            <w:tcW w:w="1235" w:type="dxa"/>
          </w:tcPr>
          <w:p w:rsidR="00191844" w:rsidRPr="006A1E0A" w:rsidP="00653902" w14:paraId="3E89CF45" w14:textId="77777777">
            <w:pPr>
              <w:jc w:val="center"/>
              <w:rPr>
                <w:rFonts w:ascii="Times New Roman" w:hAnsi="Times New Roman"/>
                <w:szCs w:val="24"/>
              </w:rPr>
            </w:pPr>
            <w:r w:rsidRPr="006A1E0A">
              <w:rPr>
                <w:rFonts w:ascii="Times New Roman" w:hAnsi="Times New Roman"/>
                <w:szCs w:val="24"/>
              </w:rPr>
              <w:t>104</w:t>
            </w:r>
          </w:p>
        </w:tc>
        <w:tc>
          <w:tcPr>
            <w:tcW w:w="1260" w:type="dxa"/>
          </w:tcPr>
          <w:p w:rsidR="00191844" w:rsidRPr="006A1E0A" w:rsidP="00653902" w14:paraId="47E1652E" w14:textId="77777777">
            <w:pPr>
              <w:jc w:val="right"/>
              <w:rPr>
                <w:rStyle w:val="a"/>
                <w:rFonts w:ascii="Times New Roman" w:hAnsi="Times New Roman"/>
                <w:szCs w:val="24"/>
              </w:rPr>
            </w:pPr>
            <w:r w:rsidRPr="006A1E0A">
              <w:rPr>
                <w:rStyle w:val="a"/>
                <w:rFonts w:ascii="Times New Roman" w:hAnsi="Times New Roman"/>
                <w:szCs w:val="24"/>
              </w:rPr>
              <w:t>703,664</w:t>
            </w:r>
          </w:p>
        </w:tc>
        <w:tc>
          <w:tcPr>
            <w:tcW w:w="1800" w:type="dxa"/>
          </w:tcPr>
          <w:p w:rsidR="00191844" w:rsidRPr="006A1E0A" w:rsidP="00653902" w14:paraId="2CF36AC2" w14:textId="77777777">
            <w:pPr>
              <w:jc w:val="right"/>
              <w:rPr>
                <w:rStyle w:val="a"/>
                <w:rFonts w:ascii="Times New Roman" w:hAnsi="Times New Roman"/>
                <w:szCs w:val="24"/>
              </w:rPr>
            </w:pPr>
            <w:r w:rsidRPr="006A1E0A">
              <w:rPr>
                <w:rStyle w:val="a"/>
                <w:rFonts w:ascii="Times New Roman" w:hAnsi="Times New Roman"/>
                <w:szCs w:val="24"/>
              </w:rPr>
              <w:t>*</w:t>
            </w:r>
          </w:p>
        </w:tc>
      </w:tr>
      <w:tr w14:paraId="5D0E710A" w14:textId="77777777" w:rsidTr="00653902">
        <w:tblPrEx>
          <w:tblW w:w="9355" w:type="dxa"/>
          <w:tblLayout w:type="fixed"/>
          <w:tblLook w:val="0020"/>
        </w:tblPrEx>
        <w:tc>
          <w:tcPr>
            <w:tcW w:w="2705" w:type="dxa"/>
          </w:tcPr>
          <w:p w:rsidR="00191844" w:rsidRPr="006A1E0A" w:rsidP="00653902" w14:paraId="43EAC294" w14:textId="77777777">
            <w:pPr>
              <w:rPr>
                <w:rFonts w:ascii="Times New Roman" w:hAnsi="Times New Roman"/>
                <w:szCs w:val="24"/>
              </w:rPr>
            </w:pPr>
            <w:r w:rsidRPr="006A1E0A">
              <w:rPr>
                <w:rFonts w:ascii="Times New Roman" w:hAnsi="Times New Roman"/>
                <w:szCs w:val="24"/>
              </w:rPr>
              <w:t>106.45(b)(10) Year 1</w:t>
            </w:r>
          </w:p>
        </w:tc>
        <w:tc>
          <w:tcPr>
            <w:tcW w:w="1275" w:type="dxa"/>
          </w:tcPr>
          <w:p w:rsidR="00191844" w:rsidRPr="006A1E0A" w:rsidP="00653902" w14:paraId="20378461"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0CDE4433" w14:textId="77777777">
            <w:pPr>
              <w:jc w:val="right"/>
              <w:rPr>
                <w:rFonts w:ascii="Times New Roman" w:hAnsi="Times New Roman"/>
                <w:szCs w:val="24"/>
              </w:rPr>
            </w:pPr>
            <w:r w:rsidRPr="006A1E0A">
              <w:rPr>
                <w:rFonts w:ascii="Times New Roman" w:hAnsi="Times New Roman"/>
                <w:szCs w:val="24"/>
              </w:rPr>
              <w:t>600</w:t>
            </w:r>
          </w:p>
        </w:tc>
        <w:tc>
          <w:tcPr>
            <w:tcW w:w="1235" w:type="dxa"/>
          </w:tcPr>
          <w:p w:rsidR="00191844" w:rsidRPr="006A1E0A" w:rsidP="00653902" w14:paraId="45EB0C87" w14:textId="77777777">
            <w:pPr>
              <w:jc w:val="center"/>
              <w:rPr>
                <w:rFonts w:ascii="Times New Roman" w:hAnsi="Times New Roman"/>
                <w:szCs w:val="24"/>
              </w:rPr>
            </w:pPr>
            <w:r w:rsidRPr="006A1E0A">
              <w:rPr>
                <w:rFonts w:ascii="Times New Roman" w:hAnsi="Times New Roman"/>
                <w:szCs w:val="24"/>
              </w:rPr>
              <w:t>12</w:t>
            </w:r>
          </w:p>
        </w:tc>
        <w:tc>
          <w:tcPr>
            <w:tcW w:w="1260" w:type="dxa"/>
          </w:tcPr>
          <w:p w:rsidR="00191844" w:rsidRPr="006A1E0A" w:rsidP="00653902" w14:paraId="654C7321" w14:textId="77777777">
            <w:pPr>
              <w:jc w:val="right"/>
              <w:rPr>
                <w:rStyle w:val="a"/>
                <w:rFonts w:ascii="Times New Roman" w:hAnsi="Times New Roman"/>
                <w:szCs w:val="24"/>
              </w:rPr>
            </w:pPr>
            <w:r w:rsidRPr="006A1E0A">
              <w:rPr>
                <w:rStyle w:val="a"/>
                <w:rFonts w:ascii="Times New Roman" w:hAnsi="Times New Roman"/>
                <w:szCs w:val="24"/>
              </w:rPr>
              <w:t>7,200</w:t>
            </w:r>
          </w:p>
        </w:tc>
        <w:tc>
          <w:tcPr>
            <w:tcW w:w="1800" w:type="dxa"/>
          </w:tcPr>
          <w:p w:rsidR="00191844" w:rsidRPr="006A1E0A" w:rsidP="00653902" w14:paraId="40E99BE5" w14:textId="77777777">
            <w:pPr>
              <w:jc w:val="right"/>
              <w:rPr>
                <w:rStyle w:val="a"/>
                <w:rFonts w:ascii="Times New Roman" w:hAnsi="Times New Roman"/>
                <w:szCs w:val="24"/>
              </w:rPr>
            </w:pPr>
            <w:r w:rsidRPr="006A1E0A">
              <w:rPr>
                <w:rStyle w:val="a"/>
                <w:rFonts w:ascii="Times New Roman" w:hAnsi="Times New Roman"/>
                <w:szCs w:val="24"/>
              </w:rPr>
              <w:t>$39,114,530</w:t>
            </w:r>
          </w:p>
        </w:tc>
      </w:tr>
      <w:tr w14:paraId="106F994B" w14:textId="77777777" w:rsidTr="00653902">
        <w:tblPrEx>
          <w:tblW w:w="9355" w:type="dxa"/>
          <w:tblLayout w:type="fixed"/>
          <w:tblLook w:val="0020"/>
        </w:tblPrEx>
        <w:tc>
          <w:tcPr>
            <w:tcW w:w="2705" w:type="dxa"/>
          </w:tcPr>
          <w:p w:rsidR="00191844" w:rsidRPr="006A1E0A" w:rsidP="00653902" w14:paraId="0E13661A" w14:textId="77777777">
            <w:pPr>
              <w:rPr>
                <w:rFonts w:ascii="Times New Roman" w:hAnsi="Times New Roman"/>
                <w:szCs w:val="24"/>
              </w:rPr>
            </w:pPr>
            <w:r w:rsidRPr="006A1E0A">
              <w:rPr>
                <w:rFonts w:ascii="Times New Roman" w:hAnsi="Times New Roman"/>
                <w:szCs w:val="24"/>
              </w:rPr>
              <w:t>106.45(b)(10) Years 2 &amp; 3</w:t>
            </w:r>
          </w:p>
        </w:tc>
        <w:tc>
          <w:tcPr>
            <w:tcW w:w="1275" w:type="dxa"/>
          </w:tcPr>
          <w:p w:rsidR="00191844" w:rsidRPr="006A1E0A" w:rsidP="00653902" w14:paraId="1940A247"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5F9E456C" w14:textId="77777777">
            <w:pPr>
              <w:jc w:val="right"/>
              <w:rPr>
                <w:rFonts w:ascii="Times New Roman" w:hAnsi="Times New Roman"/>
                <w:szCs w:val="24"/>
              </w:rPr>
            </w:pPr>
            <w:r w:rsidRPr="006A1E0A">
              <w:rPr>
                <w:rFonts w:ascii="Times New Roman" w:hAnsi="Times New Roman"/>
                <w:szCs w:val="24"/>
              </w:rPr>
              <w:t>33,212</w:t>
            </w:r>
          </w:p>
        </w:tc>
        <w:tc>
          <w:tcPr>
            <w:tcW w:w="1235" w:type="dxa"/>
          </w:tcPr>
          <w:p w:rsidR="00191844" w:rsidRPr="006A1E0A" w:rsidP="00653902" w14:paraId="55DA32F3" w14:textId="77777777">
            <w:pPr>
              <w:jc w:val="center"/>
              <w:rPr>
                <w:rFonts w:ascii="Times New Roman" w:hAnsi="Times New Roman"/>
                <w:szCs w:val="24"/>
              </w:rPr>
            </w:pPr>
            <w:r w:rsidRPr="006A1E0A">
              <w:rPr>
                <w:rFonts w:ascii="Times New Roman" w:hAnsi="Times New Roman"/>
                <w:szCs w:val="24"/>
              </w:rPr>
              <w:t>6</w:t>
            </w:r>
          </w:p>
        </w:tc>
        <w:tc>
          <w:tcPr>
            <w:tcW w:w="1260" w:type="dxa"/>
          </w:tcPr>
          <w:p w:rsidR="00191844" w:rsidRPr="006A1E0A" w:rsidP="00653902" w14:paraId="2EE171A4" w14:textId="77777777">
            <w:pPr>
              <w:jc w:val="right"/>
              <w:rPr>
                <w:rStyle w:val="a"/>
                <w:rFonts w:ascii="Times New Roman" w:hAnsi="Times New Roman"/>
                <w:szCs w:val="24"/>
              </w:rPr>
            </w:pPr>
            <w:r w:rsidRPr="006A1E0A">
              <w:rPr>
                <w:rStyle w:val="a"/>
                <w:rFonts w:ascii="Times New Roman" w:hAnsi="Times New Roman"/>
                <w:szCs w:val="24"/>
              </w:rPr>
              <w:t>199,727</w:t>
            </w:r>
          </w:p>
        </w:tc>
        <w:tc>
          <w:tcPr>
            <w:tcW w:w="1800" w:type="dxa"/>
          </w:tcPr>
          <w:p w:rsidR="00191844" w:rsidRPr="006A1E0A" w:rsidP="00653902" w14:paraId="19D1607F" w14:textId="77777777">
            <w:pPr>
              <w:jc w:val="right"/>
              <w:rPr>
                <w:rStyle w:val="a"/>
                <w:rFonts w:ascii="Times New Roman" w:hAnsi="Times New Roman"/>
                <w:szCs w:val="24"/>
              </w:rPr>
            </w:pPr>
            <w:r w:rsidRPr="006A1E0A">
              <w:rPr>
                <w:rStyle w:val="a"/>
                <w:rFonts w:ascii="Times New Roman" w:hAnsi="Times New Roman"/>
                <w:szCs w:val="24"/>
              </w:rPr>
              <w:t>**</w:t>
            </w:r>
          </w:p>
        </w:tc>
      </w:tr>
      <w:tr w14:paraId="0403C3E0" w14:textId="77777777" w:rsidTr="00653902">
        <w:tblPrEx>
          <w:tblW w:w="9355" w:type="dxa"/>
          <w:tblLayout w:type="fixed"/>
          <w:tblLook w:val="0020"/>
        </w:tblPrEx>
        <w:tc>
          <w:tcPr>
            <w:tcW w:w="2705" w:type="dxa"/>
          </w:tcPr>
          <w:p w:rsidR="00191844" w:rsidRPr="006A1E0A" w:rsidP="00653902" w14:paraId="24588BB8" w14:textId="77777777">
            <w:pPr>
              <w:rPr>
                <w:rFonts w:ascii="Times New Roman" w:hAnsi="Times New Roman"/>
                <w:szCs w:val="24"/>
              </w:rPr>
            </w:pPr>
            <w:r w:rsidRPr="006A1E0A">
              <w:rPr>
                <w:rFonts w:ascii="Times New Roman" w:hAnsi="Times New Roman"/>
                <w:szCs w:val="24"/>
              </w:rPr>
              <w:t>106.45(b)(10) Years 2 &amp; 3</w:t>
            </w:r>
          </w:p>
        </w:tc>
        <w:tc>
          <w:tcPr>
            <w:tcW w:w="1275" w:type="dxa"/>
          </w:tcPr>
          <w:p w:rsidR="00191844" w:rsidRPr="006A1E0A" w:rsidP="00653902" w14:paraId="73F4D188"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12173762" w14:textId="77777777">
            <w:pPr>
              <w:jc w:val="right"/>
              <w:rPr>
                <w:rFonts w:ascii="Times New Roman" w:hAnsi="Times New Roman"/>
                <w:szCs w:val="24"/>
              </w:rPr>
            </w:pPr>
            <w:r w:rsidRPr="006A1E0A">
              <w:rPr>
                <w:rFonts w:ascii="Times New Roman" w:hAnsi="Times New Roman"/>
                <w:szCs w:val="24"/>
              </w:rPr>
              <w:t>13,532</w:t>
            </w:r>
          </w:p>
        </w:tc>
        <w:tc>
          <w:tcPr>
            <w:tcW w:w="1235" w:type="dxa"/>
          </w:tcPr>
          <w:p w:rsidR="00191844" w:rsidRPr="006A1E0A" w:rsidP="00653902" w14:paraId="1FB47083" w14:textId="77777777">
            <w:pPr>
              <w:jc w:val="center"/>
              <w:rPr>
                <w:rFonts w:ascii="Times New Roman" w:hAnsi="Times New Roman"/>
                <w:szCs w:val="24"/>
              </w:rPr>
            </w:pPr>
            <w:r w:rsidRPr="006A1E0A">
              <w:rPr>
                <w:rFonts w:ascii="Times New Roman" w:hAnsi="Times New Roman"/>
                <w:szCs w:val="24"/>
              </w:rPr>
              <w:t>52</w:t>
            </w:r>
          </w:p>
        </w:tc>
        <w:tc>
          <w:tcPr>
            <w:tcW w:w="1260" w:type="dxa"/>
          </w:tcPr>
          <w:p w:rsidR="00191844" w:rsidRPr="006A1E0A" w:rsidP="00653902" w14:paraId="684D171F" w14:textId="77777777">
            <w:pPr>
              <w:jc w:val="right"/>
              <w:rPr>
                <w:rStyle w:val="a"/>
                <w:rFonts w:ascii="Times New Roman" w:hAnsi="Times New Roman"/>
                <w:szCs w:val="24"/>
              </w:rPr>
            </w:pPr>
            <w:r w:rsidRPr="006A1E0A">
              <w:rPr>
                <w:rStyle w:val="a"/>
                <w:rFonts w:ascii="Times New Roman" w:hAnsi="Times New Roman"/>
                <w:szCs w:val="24"/>
              </w:rPr>
              <w:t>703,664</w:t>
            </w:r>
          </w:p>
        </w:tc>
        <w:tc>
          <w:tcPr>
            <w:tcW w:w="1800" w:type="dxa"/>
          </w:tcPr>
          <w:p w:rsidR="00191844" w:rsidRPr="006A1E0A" w:rsidP="00653902" w14:paraId="707CEFAD" w14:textId="77777777">
            <w:pPr>
              <w:jc w:val="right"/>
              <w:rPr>
                <w:rStyle w:val="a"/>
                <w:rFonts w:ascii="Times New Roman" w:hAnsi="Times New Roman"/>
                <w:szCs w:val="24"/>
              </w:rPr>
            </w:pPr>
            <w:r w:rsidRPr="006A1E0A">
              <w:rPr>
                <w:rStyle w:val="a"/>
                <w:rFonts w:ascii="Times New Roman" w:hAnsi="Times New Roman"/>
                <w:szCs w:val="24"/>
              </w:rPr>
              <w:t>**</w:t>
            </w:r>
          </w:p>
        </w:tc>
      </w:tr>
      <w:tr w14:paraId="5C4BFBDC" w14:textId="77777777" w:rsidTr="00653902">
        <w:tblPrEx>
          <w:tblW w:w="9355" w:type="dxa"/>
          <w:tblLayout w:type="fixed"/>
          <w:tblLook w:val="0020"/>
        </w:tblPrEx>
        <w:tc>
          <w:tcPr>
            <w:tcW w:w="2705" w:type="dxa"/>
          </w:tcPr>
          <w:p w:rsidR="00191844" w:rsidRPr="006A1E0A" w:rsidP="00653902" w14:paraId="1F7E1DF3" w14:textId="77777777">
            <w:pPr>
              <w:rPr>
                <w:rFonts w:ascii="Times New Roman" w:hAnsi="Times New Roman"/>
                <w:szCs w:val="24"/>
              </w:rPr>
            </w:pPr>
            <w:r w:rsidRPr="006A1E0A">
              <w:rPr>
                <w:rFonts w:ascii="Times New Roman" w:hAnsi="Times New Roman"/>
                <w:szCs w:val="24"/>
              </w:rPr>
              <w:t>106.45(b)(10) Years 2 &amp; 3</w:t>
            </w:r>
          </w:p>
        </w:tc>
        <w:tc>
          <w:tcPr>
            <w:tcW w:w="1275" w:type="dxa"/>
          </w:tcPr>
          <w:p w:rsidR="00191844" w:rsidRPr="006A1E0A" w:rsidP="00653902" w14:paraId="444FC83F" w14:textId="77777777">
            <w:pPr>
              <w:jc w:val="center"/>
              <w:rPr>
                <w:rFonts w:ascii="Times New Roman" w:hAnsi="Times New Roman"/>
                <w:szCs w:val="24"/>
              </w:rPr>
            </w:pPr>
            <w:r w:rsidRPr="006A1E0A">
              <w:rPr>
                <w:rFonts w:ascii="Times New Roman" w:hAnsi="Times New Roman"/>
                <w:szCs w:val="24"/>
              </w:rPr>
              <w:t>+</w:t>
            </w:r>
          </w:p>
        </w:tc>
        <w:tc>
          <w:tcPr>
            <w:tcW w:w="1080" w:type="dxa"/>
          </w:tcPr>
          <w:p w:rsidR="00191844" w:rsidRPr="006A1E0A" w:rsidP="00653902" w14:paraId="43C1F1FA" w14:textId="77777777">
            <w:pPr>
              <w:jc w:val="right"/>
              <w:rPr>
                <w:rFonts w:ascii="Times New Roman" w:hAnsi="Times New Roman"/>
                <w:szCs w:val="24"/>
              </w:rPr>
            </w:pPr>
            <w:r w:rsidRPr="006A1E0A">
              <w:rPr>
                <w:rFonts w:ascii="Times New Roman" w:hAnsi="Times New Roman"/>
                <w:szCs w:val="24"/>
              </w:rPr>
              <w:t>1,200</w:t>
            </w:r>
          </w:p>
        </w:tc>
        <w:tc>
          <w:tcPr>
            <w:tcW w:w="1235" w:type="dxa"/>
          </w:tcPr>
          <w:p w:rsidR="00191844" w:rsidRPr="006A1E0A" w:rsidP="00653902" w14:paraId="026CDC8A" w14:textId="77777777">
            <w:pPr>
              <w:jc w:val="center"/>
              <w:rPr>
                <w:rFonts w:ascii="Times New Roman" w:hAnsi="Times New Roman"/>
                <w:szCs w:val="24"/>
              </w:rPr>
            </w:pPr>
            <w:r w:rsidRPr="006A1E0A">
              <w:rPr>
                <w:rFonts w:ascii="Times New Roman" w:hAnsi="Times New Roman"/>
                <w:szCs w:val="24"/>
              </w:rPr>
              <w:t>6</w:t>
            </w:r>
          </w:p>
        </w:tc>
        <w:tc>
          <w:tcPr>
            <w:tcW w:w="1260" w:type="dxa"/>
          </w:tcPr>
          <w:p w:rsidR="00191844" w:rsidRPr="006A1E0A" w:rsidP="00653902" w14:paraId="25555002" w14:textId="77777777">
            <w:pPr>
              <w:jc w:val="right"/>
              <w:rPr>
                <w:rStyle w:val="a"/>
                <w:rFonts w:ascii="Times New Roman" w:hAnsi="Times New Roman"/>
                <w:szCs w:val="24"/>
              </w:rPr>
            </w:pPr>
            <w:r w:rsidRPr="006A1E0A">
              <w:rPr>
                <w:rStyle w:val="a"/>
                <w:rFonts w:ascii="Times New Roman" w:hAnsi="Times New Roman"/>
                <w:szCs w:val="24"/>
              </w:rPr>
              <w:t>7,200</w:t>
            </w:r>
          </w:p>
        </w:tc>
        <w:tc>
          <w:tcPr>
            <w:tcW w:w="1800" w:type="dxa"/>
          </w:tcPr>
          <w:p w:rsidR="00191844" w:rsidRPr="006A1E0A" w:rsidP="00653902" w14:paraId="54EB2735" w14:textId="77777777">
            <w:pPr>
              <w:jc w:val="right"/>
              <w:rPr>
                <w:rStyle w:val="a"/>
                <w:rFonts w:ascii="Times New Roman" w:hAnsi="Times New Roman"/>
                <w:szCs w:val="24"/>
              </w:rPr>
            </w:pPr>
            <w:r w:rsidRPr="006A1E0A">
              <w:rPr>
                <w:rStyle w:val="a"/>
                <w:rFonts w:ascii="Times New Roman" w:hAnsi="Times New Roman"/>
                <w:szCs w:val="24"/>
              </w:rPr>
              <w:t>$30,378,520</w:t>
            </w:r>
          </w:p>
        </w:tc>
      </w:tr>
      <w:tr w14:paraId="54D3C874" w14:textId="77777777" w:rsidTr="00653902">
        <w:tblPrEx>
          <w:tblW w:w="9355" w:type="dxa"/>
          <w:tblLayout w:type="fixed"/>
          <w:tblLook w:val="0020"/>
        </w:tblPrEx>
        <w:tc>
          <w:tcPr>
            <w:tcW w:w="2705" w:type="dxa"/>
          </w:tcPr>
          <w:p w:rsidR="00191844" w:rsidRPr="006A1E0A" w:rsidP="00653902" w14:paraId="6A0A1E6E" w14:textId="77777777">
            <w:pPr>
              <w:rPr>
                <w:rFonts w:ascii="Times New Roman" w:hAnsi="Times New Roman"/>
                <w:szCs w:val="24"/>
              </w:rPr>
            </w:pPr>
            <w:r w:rsidRPr="006A1E0A">
              <w:rPr>
                <w:rFonts w:ascii="Times New Roman" w:hAnsi="Times New Roman"/>
                <w:szCs w:val="24"/>
              </w:rPr>
              <w:t>TOTALS</w:t>
            </w:r>
          </w:p>
        </w:tc>
        <w:tc>
          <w:tcPr>
            <w:tcW w:w="1275" w:type="dxa"/>
          </w:tcPr>
          <w:p w:rsidR="00191844" w:rsidRPr="006A1E0A" w:rsidP="00653902" w14:paraId="213E574D" w14:textId="77777777">
            <w:pPr>
              <w:jc w:val="right"/>
              <w:rPr>
                <w:rFonts w:ascii="Times New Roman" w:hAnsi="Times New Roman"/>
                <w:szCs w:val="24"/>
              </w:rPr>
            </w:pPr>
            <w:r w:rsidRPr="006A1E0A">
              <w:rPr>
                <w:rFonts w:ascii="Times New Roman" w:hAnsi="Times New Roman"/>
                <w:szCs w:val="24"/>
              </w:rPr>
              <w:t>23,972</w:t>
            </w:r>
          </w:p>
        </w:tc>
        <w:tc>
          <w:tcPr>
            <w:tcW w:w="1080" w:type="dxa"/>
          </w:tcPr>
          <w:p w:rsidR="00191844" w:rsidRPr="006A1E0A" w:rsidP="00653902" w14:paraId="6FA7E9AE" w14:textId="77777777">
            <w:pPr>
              <w:jc w:val="right"/>
              <w:rPr>
                <w:rFonts w:ascii="Times New Roman" w:hAnsi="Times New Roman"/>
                <w:szCs w:val="24"/>
              </w:rPr>
            </w:pPr>
            <w:r w:rsidRPr="006A1E0A">
              <w:rPr>
                <w:rFonts w:ascii="Times New Roman" w:hAnsi="Times New Roman"/>
                <w:szCs w:val="24"/>
              </w:rPr>
              <w:t>119,860</w:t>
            </w:r>
          </w:p>
        </w:tc>
        <w:tc>
          <w:tcPr>
            <w:tcW w:w="1235" w:type="dxa"/>
          </w:tcPr>
          <w:p w:rsidR="00191844" w:rsidRPr="006A1E0A" w:rsidP="00653902" w14:paraId="17BCA7B5" w14:textId="77777777">
            <w:pPr>
              <w:jc w:val="center"/>
              <w:rPr>
                <w:rFonts w:ascii="Times New Roman" w:hAnsi="Times New Roman"/>
                <w:szCs w:val="24"/>
              </w:rPr>
            </w:pPr>
          </w:p>
        </w:tc>
        <w:tc>
          <w:tcPr>
            <w:tcW w:w="1260" w:type="dxa"/>
          </w:tcPr>
          <w:p w:rsidR="00191844" w:rsidRPr="006A1E0A" w:rsidP="00653902" w14:paraId="3B7A8905" w14:textId="77777777">
            <w:pPr>
              <w:jc w:val="right"/>
              <w:rPr>
                <w:rStyle w:val="a"/>
                <w:rFonts w:ascii="Times New Roman" w:hAnsi="Times New Roman"/>
                <w:szCs w:val="24"/>
              </w:rPr>
            </w:pPr>
            <w:r w:rsidRPr="006A1E0A">
              <w:rPr>
                <w:rStyle w:val="a"/>
                <w:rFonts w:ascii="Times New Roman" w:hAnsi="Times New Roman"/>
                <w:szCs w:val="24"/>
              </w:rPr>
              <w:t>1,892,188</w:t>
            </w:r>
          </w:p>
        </w:tc>
        <w:tc>
          <w:tcPr>
            <w:tcW w:w="1800" w:type="dxa"/>
          </w:tcPr>
          <w:p w:rsidR="00191844" w:rsidRPr="006A1E0A" w:rsidP="00653902" w14:paraId="66E75C7B" w14:textId="77777777">
            <w:pPr>
              <w:jc w:val="right"/>
              <w:rPr>
                <w:rStyle w:val="a"/>
                <w:rFonts w:ascii="Times New Roman" w:hAnsi="Times New Roman"/>
                <w:szCs w:val="24"/>
              </w:rPr>
            </w:pPr>
            <w:r w:rsidRPr="006A1E0A">
              <w:rPr>
                <w:rStyle w:val="a"/>
                <w:rFonts w:ascii="Times New Roman" w:hAnsi="Times New Roman"/>
                <w:szCs w:val="24"/>
              </w:rPr>
              <w:t>$74,794,358</w:t>
            </w:r>
          </w:p>
        </w:tc>
      </w:tr>
    </w:tbl>
    <w:p w:rsidR="005C3C37" w14:paraId="0F99FA5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44"/>
    <w:rsid w:val="00191844"/>
    <w:rsid w:val="002D4529"/>
    <w:rsid w:val="005C3C37"/>
    <w:rsid w:val="00653902"/>
    <w:rsid w:val="006A1E0A"/>
    <w:rsid w:val="007F6104"/>
    <w:rsid w:val="00920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C6F7BB"/>
  <w15:chartTrackingRefBased/>
  <w15:docId w15:val="{3CCAF6F7-8EE7-4FC6-A7E9-67CD518B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44"/>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91844"/>
    <w:pPr>
      <w:spacing w:after="200"/>
    </w:pPr>
    <w:rPr>
      <w:b/>
      <w:bCs/>
      <w:color w:val="4F81BD"/>
      <w:sz w:val="18"/>
      <w:szCs w:val="18"/>
    </w:rPr>
  </w:style>
  <w:style w:type="character" w:customStyle="1" w:styleId="a">
    <w:name w:val="À"/>
    <w:uiPriority w:val="99"/>
    <w:rsid w:val="00191844"/>
    <w:rPr>
      <w:rFonts w:cs="Times New Roman"/>
    </w:rPr>
  </w:style>
  <w:style w:type="table" w:styleId="GridTableLight">
    <w:name w:val="Grid Table Light"/>
    <w:basedOn w:val="TableNormal"/>
    <w:uiPriority w:val="40"/>
    <w:rsid w:val="0019184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Stephanie</dc:creator>
  <cp:lastModifiedBy>Valentine, Stephanie</cp:lastModifiedBy>
  <cp:revision>1</cp:revision>
  <dcterms:created xsi:type="dcterms:W3CDTF">2023-09-25T17:59:00Z</dcterms:created>
  <dcterms:modified xsi:type="dcterms:W3CDTF">2023-09-25T18:14:00Z</dcterms:modified>
</cp:coreProperties>
</file>