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0A5842B5" w14:textId="7777777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C575A2">
        <w:rPr>
          <w:rFonts w:ascii="Times New Roman" w:hAnsi="Times New Roman"/>
          <w:szCs w:val="24"/>
        </w:rPr>
        <w:t>1870-</w:t>
      </w:r>
      <w:r w:rsidR="006A1E0A">
        <w:rPr>
          <w:rFonts w:ascii="Times New Roman" w:hAnsi="Times New Roman"/>
          <w:szCs w:val="24"/>
        </w:rPr>
        <w:t>0505</w:t>
      </w:r>
    </w:p>
    <w:p w:rsidR="00EA1767" w:rsidRPr="00AD381B" w:rsidP="006B4172" w14:paraId="7703DB3D" w14:textId="77777777">
      <w:pPr>
        <w:pStyle w:val="Header"/>
        <w:rPr>
          <w:rFonts w:ascii="Times New Roman" w:hAnsi="Times New Roman"/>
          <w:color w:val="FFFFFF" w:themeColor="background1"/>
          <w:szCs w:val="24"/>
        </w:rPr>
      </w:pPr>
      <w:r w:rsidRPr="00B0119A">
        <w:rPr>
          <w:rFonts w:ascii="Times New Roman" w:hAnsi="Times New Roman"/>
          <w:szCs w:val="24"/>
        </w:rPr>
        <w:t xml:space="preserve">Revised: </w:t>
      </w:r>
      <w:r w:rsidRPr="00B0119A" w:rsidR="00C575A2">
        <w:rPr>
          <w:rFonts w:ascii="Times New Roman" w:hAnsi="Times New Roman"/>
          <w:szCs w:val="24"/>
        </w:rPr>
        <w:t>1870-AA14</w:t>
      </w:r>
    </w:p>
    <w:p w:rsidR="00043C32" w:rsidRPr="00AD381B" w:rsidP="00AD381B" w14:paraId="69FEA9EB" w14:textId="77777777">
      <w:pPr>
        <w:pStyle w:val="Heading1"/>
        <w:rPr>
          <w:sz w:val="24"/>
          <w:szCs w:val="24"/>
        </w:rPr>
      </w:pPr>
      <w:r w:rsidRPr="00AD381B">
        <w:rPr>
          <w:sz w:val="24"/>
          <w:szCs w:val="24"/>
        </w:rPr>
        <w:t>SUPPORTING STATEMENT</w:t>
      </w:r>
    </w:p>
    <w:p w:rsidR="00043C32" w:rsidRPr="00AD381B" w:rsidP="00AD381B" w14:paraId="69C998D3" w14:textId="77777777">
      <w:pPr>
        <w:pStyle w:val="Heading1"/>
        <w:rPr>
          <w:sz w:val="24"/>
          <w:szCs w:val="24"/>
        </w:rPr>
      </w:pPr>
      <w:r w:rsidRPr="00AD381B">
        <w:rPr>
          <w:sz w:val="24"/>
          <w:szCs w:val="24"/>
        </w:rPr>
        <w:t>FOR PAPERWORK REDUCTION ACT SUBMISSION</w:t>
      </w:r>
    </w:p>
    <w:p w:rsidR="00043C32" w:rsidRPr="00AD381B" w:rsidP="00AD381B" w14:paraId="75F8CB8A" w14:textId="77777777">
      <w:pPr>
        <w:tabs>
          <w:tab w:val="left" w:pos="0"/>
        </w:tabs>
        <w:suppressAutoHyphens/>
        <w:rPr>
          <w:rFonts w:ascii="Times New Roman" w:hAnsi="Times New Roman"/>
          <w:szCs w:val="24"/>
        </w:rPr>
      </w:pPr>
    </w:p>
    <w:p w:rsidR="00EA1767" w:rsidRPr="00B0119A" w:rsidP="00AD381B" w14:paraId="64A554C2"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w:t>
      </w:r>
      <w:r w:rsidRPr="00B0119A">
        <w:rPr>
          <w:rFonts w:ascii="Times New Roman" w:hAnsi="Times New Roman"/>
          <w:b/>
          <w:szCs w:val="24"/>
        </w:rPr>
        <w:t xml:space="preserve">extension, reinstatement with change, reinstatement without change). If revised, briefly specify the changes.  If a rulemaking is involved, </w:t>
      </w:r>
      <w:r w:rsidRPr="00B0119A" w:rsidR="006A38F7">
        <w:rPr>
          <w:rFonts w:ascii="Times New Roman" w:hAnsi="Times New Roman"/>
          <w:b/>
          <w:szCs w:val="24"/>
        </w:rPr>
        <w:t xml:space="preserve">list </w:t>
      </w:r>
      <w:r w:rsidRPr="00B0119A">
        <w:rPr>
          <w:rFonts w:ascii="Times New Roman" w:hAnsi="Times New Roman"/>
          <w:b/>
          <w:szCs w:val="24"/>
        </w:rPr>
        <w:t xml:space="preserve">the sections </w:t>
      </w:r>
      <w:r w:rsidRPr="00B0119A" w:rsidR="006A38F7">
        <w:rPr>
          <w:rFonts w:ascii="Times New Roman" w:hAnsi="Times New Roman"/>
          <w:b/>
          <w:szCs w:val="24"/>
        </w:rPr>
        <w:t>with a brief description of the information collection requirement, and/</w:t>
      </w:r>
      <w:r w:rsidRPr="00B0119A">
        <w:rPr>
          <w:rFonts w:ascii="Times New Roman" w:hAnsi="Times New Roman"/>
          <w:b/>
          <w:szCs w:val="24"/>
        </w:rPr>
        <w:t>or change</w:t>
      </w:r>
      <w:r w:rsidRPr="00B0119A" w:rsidR="006A38F7">
        <w:rPr>
          <w:rFonts w:ascii="Times New Roman" w:hAnsi="Times New Roman"/>
          <w:b/>
          <w:szCs w:val="24"/>
        </w:rPr>
        <w:t>s to</w:t>
      </w:r>
      <w:r w:rsidRPr="00B0119A">
        <w:rPr>
          <w:rFonts w:ascii="Times New Roman" w:hAnsi="Times New Roman"/>
          <w:b/>
          <w:szCs w:val="24"/>
        </w:rPr>
        <w:t xml:space="preserve"> sections, if applicable.</w:t>
      </w:r>
    </w:p>
    <w:p w:rsidR="00DF17FE" w:rsidRPr="00B0119A" w:rsidP="00255D35" w14:paraId="35B17869" w14:textId="77777777">
      <w:pPr>
        <w:rPr>
          <w:rFonts w:ascii="Times New Roman" w:hAnsi="Times New Roman"/>
          <w:szCs w:val="24"/>
        </w:rPr>
      </w:pPr>
    </w:p>
    <w:p w:rsidR="00C575A2" w:rsidRPr="001B77ED" w:rsidP="001B77ED" w14:paraId="74651721" w14:textId="77777777">
      <w:pPr>
        <w:rPr>
          <w:rFonts w:ascii="Times New Roman" w:hAnsi="Times New Roman"/>
        </w:rPr>
      </w:pPr>
      <w:r w:rsidRPr="001B77ED">
        <w:rPr>
          <w:rFonts w:ascii="Times New Roman" w:hAnsi="Times New Roman"/>
        </w:rPr>
        <w:t xml:space="preserve">This is </w:t>
      </w:r>
      <w:r w:rsidR="009C19EA">
        <w:rPr>
          <w:rFonts w:ascii="Times New Roman" w:hAnsi="Times New Roman"/>
        </w:rPr>
        <w:t xml:space="preserve">an </w:t>
      </w:r>
      <w:r w:rsidRPr="00905CE4" w:rsidR="009C19EA">
        <w:rPr>
          <w:rFonts w:ascii="Times New Roman" w:hAnsi="Times New Roman"/>
          <w:color w:val="FF0000"/>
        </w:rPr>
        <w:t>extension</w:t>
      </w:r>
      <w:r w:rsidR="009C19EA">
        <w:rPr>
          <w:rFonts w:ascii="Times New Roman" w:hAnsi="Times New Roman"/>
        </w:rPr>
        <w:t xml:space="preserve"> </w:t>
      </w:r>
      <w:r w:rsidRPr="001B77ED">
        <w:rPr>
          <w:rFonts w:ascii="Times New Roman" w:hAnsi="Times New Roman"/>
        </w:rPr>
        <w:t>of an existing collection under OMB Control No. 1870-0505</w:t>
      </w:r>
      <w:r w:rsidR="009C19EA">
        <w:rPr>
          <w:rFonts w:ascii="Times New Roman" w:hAnsi="Times New Roman"/>
        </w:rPr>
        <w:t xml:space="preserve"> </w:t>
      </w:r>
      <w:r w:rsidRPr="00905CE4" w:rsidR="009C19EA">
        <w:rPr>
          <w:rFonts w:ascii="Times New Roman" w:hAnsi="Times New Roman"/>
          <w:color w:val="FF0000"/>
        </w:rPr>
        <w:t xml:space="preserve">since the currently approved collection is expiring </w:t>
      </w:r>
      <w:r w:rsidRPr="00B41DCF" w:rsidR="009C19EA">
        <w:rPr>
          <w:rFonts w:ascii="Times New Roman" w:hAnsi="Times New Roman"/>
          <w:color w:val="FF0000"/>
        </w:rPr>
        <w:t>12/</w:t>
      </w:r>
      <w:r w:rsidRPr="00B41DCF" w:rsidR="00EB6FA7">
        <w:rPr>
          <w:rFonts w:ascii="Times New Roman" w:hAnsi="Times New Roman"/>
          <w:color w:val="FF0000"/>
        </w:rPr>
        <w:t>31/</w:t>
      </w:r>
      <w:r w:rsidRPr="00905CE4" w:rsidR="009C19EA">
        <w:rPr>
          <w:rFonts w:ascii="Times New Roman" w:hAnsi="Times New Roman"/>
          <w:color w:val="FF0000"/>
        </w:rPr>
        <w:t>2023</w:t>
      </w:r>
      <w:r w:rsidRPr="001B77ED">
        <w:rPr>
          <w:rFonts w:ascii="Times New Roman" w:hAnsi="Times New Roman"/>
        </w:rPr>
        <w:t xml:space="preserve">. This collection was originally submitted by the U.S. Department of Education (the Department) in December 2018 in connection with a Notice of Proposed Rulemaking for the Nondiscrimination on the Basis of Sex in Education Programs or Activities Receiving Federal Financial Assistance to propose amendments to the Department’s implementing regulations for Title IX of the Education Amendments of 1972.  (ICR Reference No. 201811-1870-001).  The Department finalized its rulemaking in May 2020 and the ICR was approved by OMB on December 8, 2020 (ICR Reference No. 202005-1870-001). </w:t>
      </w:r>
      <w:r w:rsidRPr="00905CE4" w:rsidR="009C19EA">
        <w:rPr>
          <w:rFonts w:ascii="Times New Roman" w:hAnsi="Times New Roman"/>
          <w:color w:val="FF0000"/>
        </w:rPr>
        <w:t>There ha</w:t>
      </w:r>
      <w:r w:rsidRPr="00B41DCF" w:rsidR="00EB6FA7">
        <w:rPr>
          <w:rFonts w:ascii="Times New Roman" w:hAnsi="Times New Roman"/>
          <w:color w:val="FF0000"/>
        </w:rPr>
        <w:t>ve</w:t>
      </w:r>
      <w:r w:rsidRPr="00905CE4" w:rsidR="009C19EA">
        <w:rPr>
          <w:rFonts w:ascii="Times New Roman" w:hAnsi="Times New Roman"/>
          <w:color w:val="FF0000"/>
        </w:rPr>
        <w:t xml:space="preserve"> been no changes to this currently approved ICR; </w:t>
      </w:r>
      <w:r w:rsidR="009C19EA">
        <w:rPr>
          <w:rFonts w:ascii="Times New Roman" w:hAnsi="Times New Roman"/>
        </w:rPr>
        <w:t>the current</w:t>
      </w:r>
      <w:r w:rsidRPr="001B77ED">
        <w:rPr>
          <w:rFonts w:ascii="Times New Roman" w:hAnsi="Times New Roman"/>
        </w:rPr>
        <w:t xml:space="preserve"> regulations that require the collection of information are set forth below. </w:t>
      </w:r>
    </w:p>
    <w:p w:rsidR="00C575A2" w:rsidRPr="00C575A2" w:rsidP="00C575A2" w14:paraId="653535A9" w14:textId="77777777">
      <w:pPr>
        <w:pStyle w:val="ListParagraph"/>
        <w:contextualSpacing w:val="0"/>
        <w:rPr>
          <w:rFonts w:ascii="Times New Roman" w:hAnsi="Times New Roman"/>
          <w:szCs w:val="24"/>
        </w:rPr>
      </w:pPr>
    </w:p>
    <w:p w:rsidR="00C575A2" w:rsidRPr="00C575A2" w:rsidP="00C575A2" w14:paraId="45588B28" w14:textId="77777777">
      <w:pPr>
        <w:rPr>
          <w:rFonts w:ascii="Times New Roman" w:hAnsi="Times New Roman"/>
          <w:szCs w:val="24"/>
        </w:rPr>
      </w:pPr>
      <w:r w:rsidRPr="00C575A2">
        <w:rPr>
          <w:rFonts w:ascii="Times New Roman" w:hAnsi="Times New Roman"/>
          <w:szCs w:val="24"/>
        </w:rPr>
        <w:t xml:space="preserve">Section 106.45(b)(2) </w:t>
      </w:r>
      <w:r w:rsidRPr="00C575A2">
        <w:rPr>
          <w:rFonts w:ascii="Times New Roman" w:hAnsi="Times New Roman"/>
          <w:i/>
          <w:iCs/>
          <w:szCs w:val="24"/>
        </w:rPr>
        <w:t xml:space="preserve">Notice of Allegations </w:t>
      </w:r>
      <w:r w:rsidRPr="00C575A2">
        <w:rPr>
          <w:rFonts w:ascii="Times New Roman" w:hAnsi="Times New Roman"/>
          <w:szCs w:val="24"/>
        </w:rPr>
        <w:t>requires all recipients, upon receipt of a formal complaint, to provide written notice to the complainant and the respondent, informing the parties of the recipient’s grievance process and providing sufficient details of the sexual harassment allegations being investigated.  This written notice will help ensure that the nature and scope of the investigation, and the recipient’s procedures, are clearly understood by the parties at the commencement of an investigation.</w:t>
      </w:r>
    </w:p>
    <w:p w:rsidR="00C575A2" w:rsidRPr="00C575A2" w:rsidP="00C575A2" w14:paraId="70DF538C" w14:textId="77777777">
      <w:pPr>
        <w:pStyle w:val="ListParagraph"/>
        <w:contextualSpacing w:val="0"/>
        <w:rPr>
          <w:rFonts w:ascii="Times New Roman" w:hAnsi="Times New Roman"/>
          <w:szCs w:val="24"/>
        </w:rPr>
      </w:pPr>
    </w:p>
    <w:p w:rsidR="00C575A2" w:rsidRPr="00C575A2" w:rsidP="00C575A2" w14:paraId="42950FC8" w14:textId="77777777">
      <w:pPr>
        <w:pStyle w:val="Default"/>
      </w:pPr>
      <w:r w:rsidRPr="00C575A2">
        <w:t xml:space="preserve">Section 106.45(b)(9) </w:t>
      </w:r>
      <w:r w:rsidRPr="00C575A2">
        <w:rPr>
          <w:i/>
          <w:iCs/>
        </w:rPr>
        <w:t>Informal resolution</w:t>
      </w:r>
      <w:r w:rsidRPr="00C575A2">
        <w:t xml:space="preserve"> requires that recipients who wish to provide parties with the option of informal resolution of formal complaints, may offer this option to the parties but may only proceed by: first, providing the parties with written notice disclosing the sexual harassment allegations, the requirements of an informal resolution process, any consequences from participating in the informal resolution process; and second, obtaining the parties’ voluntary, written consent to the informal resolution process.  This provision permits—but does not require—recipients to allow for voluntary participation in an informal resolution as a method of resolving the allegations raised in formal complaints without completing the investigation and adjudication.  Additionally, recipients may not offer or facilitate an informal resolution process to resolve allegations that an employee sexually harassed a student.</w:t>
      </w:r>
    </w:p>
    <w:p w:rsidR="00C575A2" w:rsidRPr="00C575A2" w:rsidP="00C575A2" w14:paraId="6B8B311D" w14:textId="77777777">
      <w:pPr>
        <w:pStyle w:val="ListParagraph"/>
        <w:contextualSpacing w:val="0"/>
        <w:rPr>
          <w:rFonts w:ascii="Times New Roman" w:hAnsi="Times New Roman"/>
          <w:szCs w:val="24"/>
        </w:rPr>
      </w:pPr>
    </w:p>
    <w:p w:rsidR="00C575A2" w:rsidRPr="00C575A2" w:rsidP="00C575A2" w14:paraId="55E80DFC" w14:textId="77777777">
      <w:pPr>
        <w:pStyle w:val="Default"/>
        <w:rPr>
          <w:color w:val="auto"/>
        </w:rPr>
      </w:pPr>
      <w:r w:rsidRPr="00C575A2">
        <w:t xml:space="preserve">Section 106.45(b)(10) requires recipients to maintain certain documentation regarding their Title IX activities.  Recipients would be required to maintain for a period of seven years records of: sexual harassment investigations, including any determination regarding responsibility and any audio or audiovisual recording or transcript required under § 106.45(b)(6)(i), any disciplinary </w:t>
      </w:r>
      <w:r w:rsidRPr="00C575A2">
        <w:t xml:space="preserve">sanctions imposed on the respondent, and any remedies provided to the complainant designed to restore or preserve equal access to the recipient’s education program or activity; any appeal and the result therefrom; any informal resolution; and all materials used to train Title IX Coordinators, investigators, decision-makers, and any person who facilitates an informal resolution process.  Additionally, for each response required under § 106.44(a), a recipient must create, and maintain for a period of seven years, records of any actions, including any supportive measures, taken in response to a report or formal complaint of </w:t>
      </w:r>
      <w:r w:rsidRPr="00C575A2">
        <w:rPr>
          <w:color w:val="auto"/>
        </w:rPr>
        <w:t xml:space="preserve">sexual harassment. </w:t>
      </w:r>
    </w:p>
    <w:p w:rsidR="00C575A2" w:rsidRPr="00C575A2" w:rsidP="00C575A2" w14:paraId="426D5E7A" w14:textId="77777777">
      <w:pPr>
        <w:pStyle w:val="Default"/>
        <w:ind w:left="720"/>
        <w:rPr>
          <w:color w:val="auto"/>
        </w:rPr>
      </w:pPr>
    </w:p>
    <w:p w:rsidR="00C575A2" w:rsidRPr="00C575A2" w:rsidP="00C575A2" w14:paraId="78CE57AB" w14:textId="77777777">
      <w:pPr>
        <w:pStyle w:val="Default"/>
      </w:pPr>
      <w:r w:rsidRPr="00C575A2">
        <w:rPr>
          <w:color w:val="auto"/>
        </w:rPr>
        <w:t xml:space="preserve">In each instance, the recipient must document the basis for its conclusion that its response was not deliberately indifferent, and document that it has taken measures designed to restore or preserve equal access to the recipient’s education program or activity.  The Department clarifies in these final regulations that if a recipient does not provide a complainant with supportive measures, then such documentation must include the reasons why such a response was not clearly unreasonable in light of the known circumstances.  This information will allow a recipient and OCR to assess on a longitudinal basis the prevalence of sexual harassment affecting access to a recipient’s programs and activities, whether a recipient is complying with Title IX when responding to reports and formal complaints of sexual harassment, and the necessity for additional or different measures, including any remedial actions under § 106.3(a). </w:t>
      </w:r>
    </w:p>
    <w:p w:rsidR="00C575A2" w:rsidRPr="00C575A2" w:rsidP="00C575A2" w14:paraId="1F0623CC" w14:textId="77777777">
      <w:pPr>
        <w:pStyle w:val="ListParagraph"/>
        <w:contextualSpacing w:val="0"/>
        <w:rPr>
          <w:rFonts w:ascii="Times New Roman" w:hAnsi="Times New Roman"/>
          <w:szCs w:val="24"/>
        </w:rPr>
      </w:pPr>
    </w:p>
    <w:p w:rsidR="00C575A2" w:rsidRPr="00C575A2" w:rsidP="00C575A2" w14:paraId="49981982" w14:textId="77777777">
      <w:pPr>
        <w:rPr>
          <w:rFonts w:ascii="Times New Roman" w:hAnsi="Times New Roman"/>
          <w:szCs w:val="24"/>
        </w:rPr>
      </w:pPr>
      <w:r w:rsidRPr="00C575A2">
        <w:rPr>
          <w:rFonts w:ascii="Times New Roman" w:hAnsi="Times New Roman"/>
          <w:szCs w:val="24"/>
        </w:rPr>
        <w:t>The Secretary has authority to regulate, with regard to discrimination on the basis of sex, specifically under 20 USC 1682 and generally under 20 USC 1221e-3 and 3474.</w:t>
      </w:r>
    </w:p>
    <w:p w:rsidR="00AD381B" w:rsidRPr="00255D35" w:rsidP="00255D35" w14:paraId="6B17663E" w14:textId="77777777">
      <w:pPr>
        <w:suppressAutoHyphens/>
        <w:spacing w:line="240" w:lineRule="exact"/>
        <w:rPr>
          <w:rFonts w:ascii="Times New Roman" w:hAnsi="Times New Roman"/>
          <w:szCs w:val="24"/>
        </w:rPr>
      </w:pPr>
    </w:p>
    <w:p w:rsidR="00AD381B" w:rsidRPr="00AD381B" w:rsidP="00AD381B" w14:paraId="7BBA4671" w14:textId="77777777">
      <w:pPr>
        <w:pStyle w:val="ListParagraph"/>
        <w:suppressAutoHyphens/>
        <w:spacing w:line="240" w:lineRule="exact"/>
        <w:contextualSpacing w:val="0"/>
        <w:rPr>
          <w:rFonts w:ascii="Times New Roman" w:hAnsi="Times New Roman"/>
          <w:szCs w:val="24"/>
        </w:rPr>
      </w:pPr>
    </w:p>
    <w:p w:rsidR="00AD381B" w:rsidRPr="00C575A2" w:rsidP="00AD381B" w14:paraId="342D48E0"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C575A2" w:rsidP="00C575A2" w14:paraId="48517B89" w14:textId="77777777">
      <w:pPr>
        <w:tabs>
          <w:tab w:val="left" w:pos="-720"/>
        </w:tabs>
        <w:suppressAutoHyphens/>
        <w:rPr>
          <w:rFonts w:asciiTheme="minorHAnsi" w:hAnsiTheme="minorHAnsi" w:cstheme="minorHAnsi"/>
          <w:szCs w:val="24"/>
        </w:rPr>
      </w:pPr>
    </w:p>
    <w:p w:rsidR="00C575A2" w:rsidP="00C575A2" w14:paraId="78FD1F84" w14:textId="77777777">
      <w:pPr>
        <w:tabs>
          <w:tab w:val="left" w:pos="-720"/>
        </w:tabs>
        <w:suppressAutoHyphens/>
        <w:rPr>
          <w:rFonts w:ascii="Times New Roman" w:hAnsi="Times New Roman"/>
          <w:szCs w:val="24"/>
        </w:rPr>
      </w:pPr>
      <w:r w:rsidRPr="00C575A2">
        <w:rPr>
          <w:rFonts w:ascii="Times New Roman" w:hAnsi="Times New Roman"/>
          <w:szCs w:val="24"/>
        </w:rPr>
        <w:t>The information collected regarding documentation of a recipient’s Title IX activities will allow recipients, students and employees, among others, and the Department to assess on a longitudinal basis the prevalence of sexual harassment affecting access to a recipient’s programs and activities, whether a recipient is complying with Title IX when responding to reports and formal complaints of sexual harassment, including offering supportive measures to complainants, and the need for additional or different training.  The information collected and given to parties involved in sexual harassment reports and formal complaints relating to procedural rights ensure that the nature and scope of any investigation of a formal complaint is understood by all parties; and ensure that parties understand the process and consequences of voluntarily participating in any informal resolution of a formal complaint.</w:t>
      </w:r>
    </w:p>
    <w:p w:rsidR="00255D35" w:rsidP="00C575A2" w14:paraId="21AF089C" w14:textId="77777777">
      <w:pPr>
        <w:tabs>
          <w:tab w:val="left" w:pos="-720"/>
        </w:tabs>
        <w:suppressAutoHyphens/>
        <w:rPr>
          <w:rFonts w:ascii="Times New Roman" w:hAnsi="Times New Roman"/>
          <w:szCs w:val="24"/>
        </w:rPr>
      </w:pPr>
    </w:p>
    <w:p w:rsidR="00255D35" w:rsidRPr="00C575A2" w:rsidP="00C575A2" w14:paraId="52EA13AD" w14:textId="77777777">
      <w:pPr>
        <w:tabs>
          <w:tab w:val="left" w:pos="-720"/>
        </w:tabs>
        <w:suppressAutoHyphens/>
        <w:rPr>
          <w:rFonts w:ascii="Times New Roman" w:hAnsi="Times New Roman"/>
          <w:szCs w:val="24"/>
        </w:rPr>
      </w:pPr>
      <w:r w:rsidRPr="00081E74">
        <w:rPr>
          <w:rFonts w:ascii="Times New Roman" w:hAnsi="Times New Roman"/>
          <w:szCs w:val="24"/>
        </w:rPr>
        <w:t>The Department has reviewed documentation maintained by recipients pursuant to the current regulations’ recordkeeping requirements in the course of enforcement investigations conducted by the Department’s Office for Civil Rights (OCR) to determine whether a recipient is in compliance with the Department’s Title IX regulations.</w:t>
      </w:r>
      <w:r w:rsidRPr="00255D35">
        <w:rPr>
          <w:rFonts w:ascii="Times New Roman" w:hAnsi="Times New Roman"/>
          <w:szCs w:val="24"/>
        </w:rPr>
        <w:t>   </w:t>
      </w:r>
    </w:p>
    <w:p w:rsidR="00043C32" w:rsidRPr="00AD381B" w:rsidP="00AD381B" w14:paraId="7901A6DD" w14:textId="77777777">
      <w:pPr>
        <w:suppressAutoHyphens/>
        <w:spacing w:line="240" w:lineRule="exact"/>
        <w:rPr>
          <w:rFonts w:ascii="Times New Roman" w:hAnsi="Times New Roman"/>
          <w:szCs w:val="24"/>
        </w:rPr>
      </w:pPr>
    </w:p>
    <w:p w:rsidR="00043C32" w:rsidRPr="00AD381B" w:rsidP="00AD381B" w14:paraId="4F6B7661"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w:t>
      </w:r>
      <w:r w:rsidR="006A38F7">
        <w:rPr>
          <w:rFonts w:ascii="Times New Roman" w:hAnsi="Times New Roman"/>
          <w:b/>
          <w:szCs w:val="24"/>
        </w:rPr>
        <w:t xml:space="preserve">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8A93815" w14:textId="77777777">
      <w:pPr>
        <w:pStyle w:val="ListParagraph"/>
        <w:tabs>
          <w:tab w:val="left" w:pos="-720"/>
        </w:tabs>
        <w:suppressAutoHyphens/>
        <w:contextualSpacing w:val="0"/>
        <w:rPr>
          <w:rFonts w:ascii="Times New Roman" w:hAnsi="Times New Roman"/>
          <w:szCs w:val="24"/>
        </w:rPr>
      </w:pPr>
    </w:p>
    <w:p w:rsidR="00C575A2" w:rsidRPr="00C575A2" w:rsidP="00C575A2" w14:paraId="3ED97D75" w14:textId="77777777">
      <w:pPr>
        <w:tabs>
          <w:tab w:val="left" w:pos="-720"/>
        </w:tabs>
        <w:suppressAutoHyphens/>
        <w:rPr>
          <w:rFonts w:ascii="Times New Roman" w:hAnsi="Times New Roman"/>
          <w:szCs w:val="24"/>
        </w:rPr>
      </w:pPr>
      <w:r w:rsidRPr="00C575A2">
        <w:rPr>
          <w:rFonts w:ascii="Times New Roman" w:hAnsi="Times New Roman"/>
          <w:szCs w:val="24"/>
        </w:rPr>
        <w:t>No electronic processes are required to collect data regarding these information collection activities, although in the ordinary course of an enforcement investigation (at such time as the requirements of the final rule have become effective) the Department may inquire with a respondent via email about the documents maintained by the respondent in compliance with the recordkeeping and written notice requirements in the final rule.</w:t>
      </w:r>
    </w:p>
    <w:p w:rsidR="00AD381B" w:rsidP="00AD381B" w14:paraId="38AEC6B3" w14:textId="77777777">
      <w:pPr>
        <w:pStyle w:val="ListParagraph"/>
        <w:tabs>
          <w:tab w:val="left" w:pos="-720"/>
        </w:tabs>
        <w:suppressAutoHyphens/>
        <w:contextualSpacing w:val="0"/>
        <w:rPr>
          <w:rFonts w:ascii="Times New Roman" w:hAnsi="Times New Roman"/>
          <w:szCs w:val="24"/>
        </w:rPr>
      </w:pPr>
    </w:p>
    <w:p w:rsidR="00AD381B" w:rsidP="00AD381B" w14:paraId="240988A9"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C575A2" w14:paraId="1CCC87C0" w14:textId="77777777">
      <w:pPr>
        <w:tabs>
          <w:tab w:val="left" w:pos="-720"/>
        </w:tabs>
        <w:suppressAutoHyphens/>
        <w:rPr>
          <w:rFonts w:ascii="Times New Roman" w:hAnsi="Times New Roman"/>
          <w:b/>
          <w:szCs w:val="24"/>
        </w:rPr>
      </w:pPr>
    </w:p>
    <w:p w:rsidR="00C575A2" w:rsidRPr="00255D35" w:rsidP="00C575A2" w14:paraId="6D8087BF" w14:textId="77777777">
      <w:pPr>
        <w:tabs>
          <w:tab w:val="left" w:pos="-720"/>
        </w:tabs>
        <w:suppressAutoHyphens/>
        <w:rPr>
          <w:rFonts w:ascii="Times New Roman" w:hAnsi="Times New Roman"/>
          <w:szCs w:val="24"/>
        </w:rPr>
      </w:pPr>
      <w:r w:rsidRPr="00C575A2">
        <w:rPr>
          <w:rFonts w:ascii="Times New Roman" w:hAnsi="Times New Roman"/>
          <w:szCs w:val="24"/>
        </w:rPr>
        <w:t>The Department is not aware of existing sources of the information required under the collection activities.</w:t>
      </w:r>
    </w:p>
    <w:p w:rsidR="00043C32" w:rsidP="00AD381B" w14:paraId="76E490A9"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398EA15A" w14:textId="77777777">
      <w:pPr>
        <w:pStyle w:val="ListParagraph"/>
        <w:contextualSpacing w:val="0"/>
        <w:rPr>
          <w:rFonts w:ascii="Times New Roman" w:hAnsi="Times New Roman"/>
          <w:szCs w:val="24"/>
        </w:rPr>
      </w:pPr>
    </w:p>
    <w:p w:rsidR="00C575A2" w:rsidRPr="00C575A2" w:rsidP="00C575A2" w14:paraId="2FD0BA36" w14:textId="77777777">
      <w:pPr>
        <w:rPr>
          <w:rFonts w:ascii="Times New Roman" w:hAnsi="Times New Roman"/>
          <w:szCs w:val="24"/>
        </w:rPr>
      </w:pPr>
      <w:r w:rsidRPr="00C575A2">
        <w:rPr>
          <w:rFonts w:ascii="Times New Roman" w:hAnsi="Times New Roman"/>
          <w:szCs w:val="24"/>
        </w:rPr>
        <w:t>The final collection activities would affect small entities who are recipients of federal financial assistance.  The final rule minimizes the burdens on small entities by not requiring particular collection techniques or forms of information technology, leaving small entities flexibility to select the techniques and technology least burdensome for their needs.</w:t>
      </w:r>
    </w:p>
    <w:p w:rsidR="00AD381B" w:rsidRPr="00C575A2" w:rsidP="00C575A2" w14:paraId="75846C27" w14:textId="77777777">
      <w:pPr>
        <w:rPr>
          <w:rFonts w:ascii="Times New Roman" w:hAnsi="Times New Roman"/>
          <w:szCs w:val="24"/>
        </w:rPr>
      </w:pPr>
    </w:p>
    <w:p w:rsidR="00043C32" w:rsidP="00AD381B" w14:paraId="7435F965"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C575A2" w:rsidP="00C575A2" w14:paraId="55AD80D1" w14:textId="77777777">
      <w:pPr>
        <w:tabs>
          <w:tab w:val="left" w:pos="-720"/>
        </w:tabs>
        <w:suppressAutoHyphens/>
        <w:rPr>
          <w:rFonts w:asciiTheme="minorHAnsi" w:hAnsiTheme="minorHAnsi" w:cstheme="minorHAnsi"/>
          <w:szCs w:val="24"/>
        </w:rPr>
      </w:pPr>
    </w:p>
    <w:p w:rsidR="00C575A2" w:rsidP="00C575A2" w14:paraId="7C33A5C4" w14:textId="77777777">
      <w:pPr>
        <w:tabs>
          <w:tab w:val="left" w:pos="-720"/>
        </w:tabs>
        <w:suppressAutoHyphens/>
        <w:rPr>
          <w:rFonts w:ascii="Times New Roman" w:hAnsi="Times New Roman"/>
          <w:szCs w:val="24"/>
        </w:rPr>
      </w:pPr>
      <w:r w:rsidRPr="00C575A2">
        <w:rPr>
          <w:rFonts w:ascii="Times New Roman" w:hAnsi="Times New Roman"/>
          <w:szCs w:val="24"/>
        </w:rPr>
        <w:t xml:space="preserve">The collection </w:t>
      </w:r>
      <w:r w:rsidRPr="00D222F0">
        <w:rPr>
          <w:rFonts w:ascii="Times New Roman" w:hAnsi="Times New Roman"/>
          <w:szCs w:val="24"/>
        </w:rPr>
        <w:t xml:space="preserve">activities under the final rule </w:t>
      </w:r>
      <w:r w:rsidRPr="00D222F0" w:rsidR="00255D35">
        <w:rPr>
          <w:rFonts w:ascii="Times New Roman" w:hAnsi="Times New Roman"/>
          <w:szCs w:val="24"/>
        </w:rPr>
        <w:t>are important to effectuate the statutory purpose of Title IX, to assist recipients in tracking the effectiveness of their compliance with Title IX, and to assist the Department in reviewing recipients’ compliance with Title IX.  Without the proposed recordkeeping requirements, the Department would have less reliable access to documentation detailing a recipient’s activities to comply with Title IX in its enforcement of Title IX and its implementing regulations.</w:t>
      </w:r>
      <w:r w:rsidRPr="00255D35" w:rsidR="00255D35">
        <w:rPr>
          <w:rFonts w:ascii="Times New Roman" w:hAnsi="Times New Roman"/>
          <w:szCs w:val="24"/>
        </w:rPr>
        <w:t>    </w:t>
      </w:r>
    </w:p>
    <w:p w:rsidR="00255D35" w:rsidRPr="00C575A2" w:rsidP="00C575A2" w14:paraId="646B5A38" w14:textId="77777777">
      <w:pPr>
        <w:tabs>
          <w:tab w:val="left" w:pos="-720"/>
        </w:tabs>
        <w:suppressAutoHyphens/>
        <w:rPr>
          <w:rFonts w:ascii="Times New Roman" w:hAnsi="Times New Roman"/>
          <w:b/>
          <w:szCs w:val="24"/>
        </w:rPr>
      </w:pPr>
    </w:p>
    <w:p w:rsidR="00043C32" w:rsidRPr="00AD381B" w:rsidP="00AD381B" w14:paraId="057106AA"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C1965F2" w14:textId="77777777">
      <w:pPr>
        <w:tabs>
          <w:tab w:val="left" w:pos="-720"/>
        </w:tabs>
        <w:suppressAutoHyphens/>
        <w:rPr>
          <w:rFonts w:ascii="Times New Roman" w:hAnsi="Times New Roman"/>
          <w:b/>
          <w:szCs w:val="24"/>
        </w:rPr>
      </w:pPr>
    </w:p>
    <w:p w:rsidR="00043C32" w:rsidRPr="00AD381B" w:rsidP="00AD381B" w14:paraId="5568EBF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3531A159" w14:textId="77777777">
      <w:pPr>
        <w:numPr>
          <w:ilvl w:val="12"/>
          <w:numId w:val="0"/>
        </w:numPr>
        <w:tabs>
          <w:tab w:val="left" w:pos="-720"/>
        </w:tabs>
        <w:suppressAutoHyphens/>
        <w:ind w:left="340"/>
        <w:rPr>
          <w:rFonts w:ascii="Times New Roman" w:hAnsi="Times New Roman"/>
          <w:b/>
          <w:szCs w:val="24"/>
        </w:rPr>
      </w:pPr>
    </w:p>
    <w:p w:rsidR="00043C32" w:rsidRPr="00AD381B" w:rsidP="00AD381B" w14:paraId="4C07B0C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5E153C72" w14:textId="77777777">
      <w:pPr>
        <w:numPr>
          <w:ilvl w:val="12"/>
          <w:numId w:val="0"/>
        </w:numPr>
        <w:tabs>
          <w:tab w:val="left" w:pos="-720"/>
        </w:tabs>
        <w:suppressAutoHyphens/>
        <w:rPr>
          <w:rFonts w:ascii="Times New Roman" w:hAnsi="Times New Roman"/>
          <w:b/>
          <w:szCs w:val="24"/>
        </w:rPr>
      </w:pPr>
    </w:p>
    <w:p w:rsidR="00043C32" w:rsidRPr="00AD381B" w:rsidP="00AD381B" w14:paraId="6FBCDB2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3B310731" w14:textId="77777777">
      <w:pPr>
        <w:numPr>
          <w:ilvl w:val="12"/>
          <w:numId w:val="0"/>
        </w:numPr>
        <w:tabs>
          <w:tab w:val="left" w:pos="-720"/>
        </w:tabs>
        <w:suppressAutoHyphens/>
        <w:rPr>
          <w:rFonts w:ascii="Times New Roman" w:hAnsi="Times New Roman"/>
          <w:b/>
          <w:szCs w:val="24"/>
        </w:rPr>
      </w:pPr>
    </w:p>
    <w:p w:rsidR="00043C32" w:rsidRPr="00AD381B" w:rsidP="00AD381B" w14:paraId="62EDC55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56B8223F" w14:textId="77777777">
      <w:pPr>
        <w:numPr>
          <w:ilvl w:val="12"/>
          <w:numId w:val="0"/>
        </w:numPr>
        <w:tabs>
          <w:tab w:val="left" w:pos="-720"/>
        </w:tabs>
        <w:suppressAutoHyphens/>
        <w:rPr>
          <w:rFonts w:ascii="Times New Roman" w:hAnsi="Times New Roman"/>
          <w:b/>
          <w:szCs w:val="24"/>
        </w:rPr>
      </w:pPr>
    </w:p>
    <w:p w:rsidR="00043C32" w:rsidRPr="00AD381B" w:rsidP="00AD381B" w14:paraId="7106B8F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29F26253" w14:textId="77777777">
      <w:pPr>
        <w:numPr>
          <w:ilvl w:val="12"/>
          <w:numId w:val="0"/>
        </w:numPr>
        <w:tabs>
          <w:tab w:val="left" w:pos="-720"/>
        </w:tabs>
        <w:suppressAutoHyphens/>
        <w:rPr>
          <w:rFonts w:ascii="Times New Roman" w:hAnsi="Times New Roman"/>
          <w:b/>
          <w:szCs w:val="24"/>
        </w:rPr>
      </w:pPr>
    </w:p>
    <w:p w:rsidR="00043C32" w:rsidRPr="00AD381B" w:rsidP="00AD381B" w14:paraId="52B2E36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33CA59FB" w14:textId="77777777">
      <w:pPr>
        <w:numPr>
          <w:ilvl w:val="12"/>
          <w:numId w:val="0"/>
        </w:numPr>
        <w:tabs>
          <w:tab w:val="left" w:pos="-720"/>
        </w:tabs>
        <w:suppressAutoHyphens/>
        <w:rPr>
          <w:rFonts w:ascii="Times New Roman" w:hAnsi="Times New Roman"/>
          <w:b/>
          <w:szCs w:val="24"/>
        </w:rPr>
      </w:pPr>
    </w:p>
    <w:p w:rsidR="00043C32" w:rsidRPr="00AD381B" w:rsidP="00AD381B" w14:paraId="74EAC62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6DC19DF0" w14:textId="77777777">
      <w:pPr>
        <w:numPr>
          <w:ilvl w:val="12"/>
          <w:numId w:val="0"/>
        </w:numPr>
        <w:tabs>
          <w:tab w:val="left" w:pos="-720"/>
        </w:tabs>
        <w:suppressAutoHyphens/>
        <w:rPr>
          <w:rFonts w:ascii="Times New Roman" w:hAnsi="Times New Roman"/>
          <w:b/>
          <w:szCs w:val="24"/>
        </w:rPr>
      </w:pPr>
    </w:p>
    <w:p w:rsidR="00043C32" w:rsidP="00AD381B" w14:paraId="37D4E81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C575A2" w14:paraId="7DD977F9" w14:textId="77777777">
      <w:pPr>
        <w:rPr>
          <w:rFonts w:ascii="Times New Roman" w:hAnsi="Times New Roman"/>
          <w:b/>
          <w:szCs w:val="24"/>
        </w:rPr>
      </w:pPr>
    </w:p>
    <w:p w:rsidR="00C575A2" w:rsidRPr="00C575A2" w:rsidP="00C575A2" w14:paraId="1ADC8AB0" w14:textId="77777777">
      <w:pPr>
        <w:rPr>
          <w:rFonts w:ascii="Times New Roman" w:hAnsi="Times New Roman"/>
          <w:bCs/>
          <w:szCs w:val="24"/>
        </w:rPr>
      </w:pPr>
      <w:r>
        <w:rPr>
          <w:rFonts w:ascii="Times New Roman" w:hAnsi="Times New Roman"/>
          <w:bCs/>
          <w:szCs w:val="24"/>
        </w:rPr>
        <w:t xml:space="preserve">There are no special circumstances. </w:t>
      </w:r>
    </w:p>
    <w:p w:rsidR="00AD381B" w:rsidRPr="00AD381B" w:rsidP="00AD381B" w14:paraId="19C145E6" w14:textId="77777777">
      <w:pPr>
        <w:tabs>
          <w:tab w:val="left" w:pos="-720"/>
        </w:tabs>
        <w:suppressAutoHyphens/>
        <w:rPr>
          <w:rFonts w:ascii="Times New Roman" w:hAnsi="Times New Roman"/>
          <w:szCs w:val="24"/>
        </w:rPr>
      </w:pPr>
    </w:p>
    <w:p w:rsidR="00D75313" w:rsidP="00AD381B" w14:paraId="26A358B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38FBF0B"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1CA10348"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807A56A"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0861BF8F"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28FE8194"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persons outside the agency to obtain their views on the availability of data, frequency of collection, the clarity of instruction and record </w:t>
      </w:r>
      <w:r w:rsidRPr="00AD381B">
        <w:rPr>
          <w:rStyle w:val="a"/>
          <w:rFonts w:ascii="Times New Roman" w:hAnsi="Times New Roman"/>
          <w:b/>
          <w:szCs w:val="24"/>
        </w:rPr>
        <w:t>keeping, disclosure, or reporting format (if any), and on the data elements to be recorded, disclosed, or reported.</w:t>
      </w:r>
    </w:p>
    <w:p w:rsidR="00043C32" w:rsidRPr="00AD381B" w:rsidP="00AD381B" w14:paraId="46BDE02F" w14:textId="77777777">
      <w:pPr>
        <w:tabs>
          <w:tab w:val="left" w:pos="-720"/>
        </w:tabs>
        <w:suppressAutoHyphens/>
        <w:rPr>
          <w:rStyle w:val="a"/>
          <w:rFonts w:ascii="Times New Roman" w:hAnsi="Times New Roman"/>
          <w:b/>
          <w:szCs w:val="24"/>
        </w:rPr>
      </w:pPr>
    </w:p>
    <w:p w:rsidR="00043C32" w:rsidP="00AD381B" w14:paraId="7D4E479B"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3F1E1206" w14:textId="77777777">
      <w:pPr>
        <w:tabs>
          <w:tab w:val="left" w:pos="-720"/>
        </w:tabs>
        <w:suppressAutoHyphens/>
        <w:ind w:left="720"/>
        <w:rPr>
          <w:rFonts w:ascii="Times New Roman" w:hAnsi="Times New Roman"/>
          <w:b/>
          <w:szCs w:val="24"/>
        </w:rPr>
      </w:pPr>
    </w:p>
    <w:p w:rsidR="002F0523" w:rsidRPr="002F0523" w:rsidP="002F0523" w14:paraId="7FA64ED0" w14:textId="65E9A8B2">
      <w:pPr>
        <w:tabs>
          <w:tab w:val="left" w:pos="-720"/>
        </w:tabs>
        <w:suppressAutoHyphens/>
        <w:rPr>
          <w:rStyle w:val="a"/>
          <w:rFonts w:ascii="Times New Roman" w:hAnsi="Times New Roman"/>
          <w:szCs w:val="24"/>
        </w:rPr>
      </w:pPr>
      <w:r>
        <w:rPr>
          <w:rStyle w:val="a"/>
          <w:rFonts w:ascii="Times New Roman" w:hAnsi="Times New Roman"/>
          <w:color w:val="FF0000"/>
          <w:szCs w:val="24"/>
        </w:rPr>
        <w:t xml:space="preserve">A </w:t>
      </w:r>
      <w:r>
        <w:rPr>
          <w:rStyle w:val="a"/>
          <w:rFonts w:ascii="Times New Roman" w:hAnsi="Times New Roman"/>
          <w:color w:val="FF0000"/>
          <w:szCs w:val="24"/>
        </w:rPr>
        <w:t>60 day</w:t>
      </w:r>
      <w:r>
        <w:rPr>
          <w:rStyle w:val="a"/>
          <w:rFonts w:ascii="Times New Roman" w:hAnsi="Times New Roman"/>
          <w:color w:val="FF0000"/>
          <w:szCs w:val="24"/>
        </w:rPr>
        <w:t xml:space="preserve"> notice was published in the Federal Register on September 29, 2023 (88 FR 67266). There were no public comments. </w:t>
      </w:r>
      <w:r w:rsidRPr="00CF1D9E" w:rsidR="00000000">
        <w:rPr>
          <w:rStyle w:val="a"/>
          <w:rFonts w:ascii="Times New Roman" w:hAnsi="Times New Roman"/>
          <w:color w:val="FF0000"/>
          <w:szCs w:val="24"/>
        </w:rPr>
        <w:t xml:space="preserve">A </w:t>
      </w:r>
      <w:r w:rsidRPr="00CF1D9E" w:rsidR="00000000">
        <w:rPr>
          <w:rStyle w:val="a"/>
          <w:rFonts w:ascii="Times New Roman" w:hAnsi="Times New Roman"/>
          <w:color w:val="FF0000"/>
          <w:szCs w:val="24"/>
        </w:rPr>
        <w:t>30 day</w:t>
      </w:r>
      <w:r w:rsidRPr="00CF1D9E" w:rsidR="00000000">
        <w:rPr>
          <w:rStyle w:val="a"/>
          <w:rFonts w:ascii="Times New Roman" w:hAnsi="Times New Roman"/>
          <w:color w:val="FF0000"/>
          <w:szCs w:val="24"/>
        </w:rPr>
        <w:t xml:space="preserve"> comment period notice will follow.</w:t>
      </w:r>
      <w:r w:rsidR="00000000">
        <w:rPr>
          <w:rStyle w:val="a"/>
          <w:rFonts w:ascii="Times New Roman" w:hAnsi="Times New Roman"/>
          <w:szCs w:val="24"/>
        </w:rPr>
        <w:t xml:space="preserve"> </w:t>
      </w:r>
      <w:r w:rsidRPr="002F0523" w:rsidR="00250D4B">
        <w:rPr>
          <w:rStyle w:val="a"/>
          <w:rFonts w:ascii="Times New Roman" w:hAnsi="Times New Roman"/>
          <w:szCs w:val="24"/>
        </w:rPr>
        <w:t xml:space="preserve">Consultation with representatives of those entities from whom information is to be obtained or those who must compile records was made available through the </w:t>
      </w:r>
      <w:r w:rsidR="00255D35">
        <w:rPr>
          <w:rStyle w:val="a"/>
          <w:rFonts w:ascii="Times New Roman" w:hAnsi="Times New Roman"/>
          <w:szCs w:val="24"/>
        </w:rPr>
        <w:t xml:space="preserve">2018 </w:t>
      </w:r>
      <w:r w:rsidRPr="002F0523" w:rsidR="00250D4B">
        <w:rPr>
          <w:rStyle w:val="a"/>
          <w:rFonts w:ascii="Times New Roman" w:hAnsi="Times New Roman"/>
          <w:szCs w:val="24"/>
        </w:rPr>
        <w:t xml:space="preserve">NPRM comment period.  Comments regarding burden were received and are noted in the preamble of the Final Rule.  Changes were made to the initial estimated burden, respondents and responses based on changes made to the regulations.  </w:t>
      </w:r>
    </w:p>
    <w:p w:rsidR="00E66550" w:rsidP="00AD381B" w14:paraId="2A2A6B37" w14:textId="77777777">
      <w:pPr>
        <w:tabs>
          <w:tab w:val="left" w:pos="-720"/>
        </w:tabs>
        <w:suppressAutoHyphens/>
        <w:ind w:left="720"/>
        <w:rPr>
          <w:rFonts w:ascii="Times New Roman" w:hAnsi="Times New Roman"/>
          <w:szCs w:val="24"/>
        </w:rPr>
      </w:pPr>
    </w:p>
    <w:p w:rsidR="00043C32" w:rsidP="00AD381B" w14:paraId="385FD4F4"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4F79626A" w14:textId="77777777">
      <w:pPr>
        <w:pStyle w:val="ListParagraph"/>
        <w:tabs>
          <w:tab w:val="left" w:pos="-720"/>
        </w:tabs>
        <w:suppressAutoHyphens/>
        <w:contextualSpacing w:val="0"/>
        <w:rPr>
          <w:rFonts w:ascii="Times New Roman" w:hAnsi="Times New Roman"/>
          <w:b/>
          <w:szCs w:val="24"/>
        </w:rPr>
      </w:pPr>
    </w:p>
    <w:p w:rsidR="00920F63" w:rsidP="002F0523" w14:paraId="7EC16B2C" w14:textId="77777777">
      <w:pPr>
        <w:tabs>
          <w:tab w:val="left" w:pos="-720"/>
        </w:tabs>
        <w:suppressAutoHyphens/>
        <w:rPr>
          <w:rFonts w:ascii="Times New Roman" w:hAnsi="Times New Roman"/>
          <w:bCs/>
          <w:szCs w:val="24"/>
        </w:rPr>
      </w:pPr>
      <w:r>
        <w:rPr>
          <w:rFonts w:ascii="Times New Roman" w:hAnsi="Times New Roman"/>
          <w:bCs/>
          <w:szCs w:val="24"/>
        </w:rPr>
        <w:t xml:space="preserve">No gifts or incentives will be provided to respondents. </w:t>
      </w:r>
    </w:p>
    <w:p w:rsidR="002F0523" w:rsidRPr="002F0523" w:rsidP="002F0523" w14:paraId="5D39820D" w14:textId="77777777">
      <w:pPr>
        <w:tabs>
          <w:tab w:val="left" w:pos="-720"/>
        </w:tabs>
        <w:suppressAutoHyphens/>
        <w:rPr>
          <w:rFonts w:ascii="Times New Roman" w:hAnsi="Times New Roman"/>
          <w:bCs/>
          <w:szCs w:val="24"/>
        </w:rPr>
      </w:pPr>
    </w:p>
    <w:p w:rsidR="00043C32" w:rsidRPr="00D75313" w:rsidP="00AD381B" w14:paraId="023F0B5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920F63" w14:paraId="47A38BB5" w14:textId="77777777">
      <w:pPr>
        <w:tabs>
          <w:tab w:val="left" w:pos="-720"/>
        </w:tabs>
        <w:suppressAutoHyphens/>
        <w:rPr>
          <w:rFonts w:ascii="Times New Roman" w:hAnsi="Times New Roman"/>
          <w:b/>
          <w:szCs w:val="24"/>
        </w:rPr>
      </w:pPr>
    </w:p>
    <w:p w:rsidR="00920F63" w:rsidRPr="00920F63" w:rsidP="00E25EBC" w14:paraId="68337CF0" w14:textId="77777777">
      <w:pPr>
        <w:tabs>
          <w:tab w:val="left" w:pos="-720"/>
        </w:tabs>
        <w:suppressAutoHyphens/>
        <w:rPr>
          <w:rFonts w:ascii="Times New Roman" w:hAnsi="Times New Roman"/>
          <w:szCs w:val="24"/>
        </w:rPr>
      </w:pPr>
      <w:r>
        <w:rPr>
          <w:rFonts w:ascii="Times New Roman" w:hAnsi="Times New Roman"/>
          <w:szCs w:val="24"/>
        </w:rPr>
        <w:t xml:space="preserve">There are no assurances of confidentiality. </w:t>
      </w:r>
    </w:p>
    <w:p w:rsidR="00043C32" w:rsidP="00AD381B" w14:paraId="1A4D0065"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w:t>
      </w:r>
      <w:r w:rsidRPr="00920F63">
        <w:rPr>
          <w:rFonts w:ascii="Times New Roman" w:hAnsi="Times New Roman"/>
          <w:b/>
          <w:szCs w:val="24"/>
        </w:rPr>
        <w:t>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1714EA2D" w14:textId="77777777">
      <w:pPr>
        <w:tabs>
          <w:tab w:val="left" w:pos="-720"/>
        </w:tabs>
        <w:suppressAutoHyphens/>
        <w:rPr>
          <w:rFonts w:ascii="Times New Roman" w:hAnsi="Times New Roman"/>
          <w:b/>
          <w:szCs w:val="24"/>
        </w:rPr>
      </w:pPr>
    </w:p>
    <w:p w:rsidR="006A1E0A" w:rsidRPr="006A1E0A" w:rsidP="006A1E0A" w14:paraId="18687EC4" w14:textId="77777777">
      <w:pPr>
        <w:tabs>
          <w:tab w:val="left" w:pos="-720"/>
        </w:tabs>
        <w:suppressAutoHyphens/>
        <w:rPr>
          <w:rFonts w:ascii="Times New Roman" w:hAnsi="Times New Roman"/>
          <w:szCs w:val="24"/>
        </w:rPr>
      </w:pPr>
      <w:r w:rsidRPr="006A1E0A">
        <w:rPr>
          <w:rFonts w:ascii="Times New Roman" w:hAnsi="Times New Roman"/>
          <w:szCs w:val="24"/>
        </w:rPr>
        <w:t>Given the nature of the issues being reported (i.e., sexual harassment allegations), the recordkeeping and reporting will contain discussions of a sensitive nature.  In order to effectively follow the regulations every effort will be made to protect the information provided in statements and reports and only allow access to those who require it to meet the regulations.</w:t>
      </w:r>
    </w:p>
    <w:p w:rsidR="00920F63" w:rsidRPr="00920F63" w:rsidP="00920F63" w14:paraId="7BD3E470" w14:textId="77777777">
      <w:pPr>
        <w:tabs>
          <w:tab w:val="left" w:pos="-720"/>
        </w:tabs>
        <w:suppressAutoHyphens/>
        <w:ind w:left="180"/>
        <w:rPr>
          <w:rFonts w:ascii="Times New Roman" w:hAnsi="Times New Roman"/>
          <w:szCs w:val="24"/>
        </w:rPr>
      </w:pPr>
    </w:p>
    <w:p w:rsidR="00043C32" w:rsidRPr="00920F63" w:rsidP="00AD381B" w14:paraId="0AEFA895"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27231467" w14:textId="77777777">
      <w:pPr>
        <w:tabs>
          <w:tab w:val="left" w:pos="-720"/>
        </w:tabs>
        <w:suppressAutoHyphens/>
        <w:rPr>
          <w:rStyle w:val="a"/>
          <w:rFonts w:ascii="Times New Roman" w:hAnsi="Times New Roman"/>
          <w:b/>
          <w:szCs w:val="24"/>
        </w:rPr>
      </w:pPr>
    </w:p>
    <w:p w:rsidR="00C224FD" w:rsidP="00C224FD" w14:paraId="07D276B5"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3020B594"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71E2AE9A"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205140DC"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831F596"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FA76823" w14:textId="77777777">
      <w:pPr>
        <w:tabs>
          <w:tab w:val="left" w:pos="-720"/>
          <w:tab w:val="left" w:pos="1247"/>
        </w:tabs>
        <w:suppressAutoHyphens/>
        <w:rPr>
          <w:rStyle w:val="a"/>
          <w:rFonts w:ascii="Times New Roman" w:hAnsi="Times New Roman"/>
          <w:b/>
          <w:szCs w:val="24"/>
        </w:rPr>
      </w:pPr>
    </w:p>
    <w:p w:rsidR="00946126" w:rsidP="00946126" w14:paraId="3452EF17"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6A1E0A" w:rsidRPr="006A1E0A" w:rsidP="006A1E0A" w14:paraId="6CAB202B" w14:textId="77777777">
      <w:pPr>
        <w:tabs>
          <w:tab w:val="left" w:pos="-720"/>
          <w:tab w:val="left" w:pos="810"/>
        </w:tabs>
        <w:suppressAutoHyphens/>
        <w:rPr>
          <w:rFonts w:ascii="Times New Roman" w:hAnsi="Times New Roman"/>
          <w:szCs w:val="24"/>
        </w:rPr>
      </w:pPr>
    </w:p>
    <w:p w:rsidR="006A1E0A" w:rsidRPr="006A1E0A" w:rsidP="006A1E0A" w14:paraId="7BFDF127" w14:textId="77777777">
      <w:pPr>
        <w:tabs>
          <w:tab w:val="left" w:pos="-720"/>
          <w:tab w:val="left" w:pos="810"/>
        </w:tabs>
        <w:suppressAutoHyphens/>
        <w:rPr>
          <w:rFonts w:ascii="Times New Roman" w:hAnsi="Times New Roman"/>
          <w:szCs w:val="24"/>
        </w:rPr>
      </w:pPr>
      <w:r w:rsidRPr="006A1E0A">
        <w:rPr>
          <w:rFonts w:ascii="Times New Roman" w:hAnsi="Times New Roman"/>
          <w:szCs w:val="24"/>
        </w:rPr>
        <w:t xml:space="preserve">Section 106.45(b)(2):  </w:t>
      </w:r>
      <w:r w:rsidRPr="006A1E0A">
        <w:rPr>
          <w:rFonts w:ascii="Times New Roman" w:hAnsi="Times New Roman"/>
          <w:i/>
          <w:iCs/>
          <w:szCs w:val="24"/>
        </w:rPr>
        <w:t xml:space="preserve">Notice of Allegations </w:t>
      </w:r>
      <w:r w:rsidRPr="006A1E0A">
        <w:rPr>
          <w:rFonts w:ascii="Times New Roman" w:hAnsi="Times New Roman"/>
          <w:szCs w:val="24"/>
        </w:rPr>
        <w:t xml:space="preserve">requires all recipients, upon receipt of a formal complaint, to provide written notice to the complainant and the respondent, informing the parties of the recipient’s grievance process and providing sufficient details of the sexual harassment allegations being investigated.  </w:t>
      </w:r>
    </w:p>
    <w:p w:rsidR="006A1E0A" w:rsidRPr="006A1E0A" w:rsidP="006A1E0A" w14:paraId="581955C9" w14:textId="77777777">
      <w:pPr>
        <w:tabs>
          <w:tab w:val="left" w:pos="-720"/>
          <w:tab w:val="left" w:pos="810"/>
        </w:tabs>
        <w:suppressAutoHyphens/>
        <w:ind w:left="720"/>
        <w:rPr>
          <w:rStyle w:val="a"/>
          <w:rFonts w:ascii="Times New Roman" w:hAnsi="Times New Roman"/>
          <w:szCs w:val="24"/>
        </w:rPr>
      </w:pPr>
    </w:p>
    <w:p w:rsidR="006A1E0A" w:rsidRPr="006A1E0A" w:rsidP="006A1E0A" w14:paraId="5EFCDA28" w14:textId="77777777">
      <w:pPr>
        <w:tabs>
          <w:tab w:val="left" w:pos="-720"/>
          <w:tab w:val="left" w:pos="810"/>
        </w:tabs>
        <w:suppressAutoHyphens/>
        <w:rPr>
          <w:rStyle w:val="a"/>
          <w:rFonts w:ascii="Times New Roman" w:hAnsi="Times New Roman"/>
          <w:szCs w:val="24"/>
        </w:rPr>
      </w:pPr>
      <w:r w:rsidRPr="006A1E0A">
        <w:rPr>
          <w:rStyle w:val="a"/>
          <w:rFonts w:ascii="Times New Roman" w:hAnsi="Times New Roman"/>
          <w:szCs w:val="24"/>
        </w:rPr>
        <w:t xml:space="preserve">For the activity required under final section 34 CFR 106.45(b)(2), the Department estimates the number of affected respondents to be 16,606 LEAs, 6,766 IHEs and 600 other </w:t>
      </w:r>
      <w:r w:rsidRPr="006A1E0A">
        <w:rPr>
          <w:rFonts w:ascii="Times New Roman" w:hAnsi="Times New Roman"/>
          <w:szCs w:val="24"/>
        </w:rPr>
        <w:t>entities that are recipients of Federal financial assistance</w:t>
      </w:r>
      <w:r w:rsidRPr="006A1E0A">
        <w:rPr>
          <w:rStyle w:val="a"/>
          <w:rFonts w:ascii="Times New Roman" w:hAnsi="Times New Roman"/>
          <w:szCs w:val="24"/>
        </w:rPr>
        <w:t>; each under a burden of the required notices of 1.5 hours; with an annual hour burden estimated at 35,958 hours in Year 1 and 0 hours in subsequent years (23,972 respondents x 1.5 hours = 35,958).  The estimated costs to the respondents are a total of $2,650,654.</w:t>
      </w:r>
    </w:p>
    <w:p w:rsidR="006A1E0A" w:rsidRPr="006A1E0A" w:rsidP="006A1E0A" w14:paraId="254A1E14" w14:textId="77777777">
      <w:pPr>
        <w:tabs>
          <w:tab w:val="left" w:pos="-720"/>
          <w:tab w:val="left" w:pos="810"/>
        </w:tabs>
        <w:suppressAutoHyphens/>
        <w:ind w:left="720"/>
        <w:rPr>
          <w:rStyle w:val="a"/>
          <w:rFonts w:ascii="Times New Roman" w:hAnsi="Times New Roman"/>
          <w:szCs w:val="24"/>
        </w:rPr>
      </w:pPr>
    </w:p>
    <w:p w:rsidR="006A1E0A" w:rsidRPr="006A1E0A" w:rsidP="006A1E0A" w14:paraId="2770AE2C" w14:textId="77777777">
      <w:pPr>
        <w:tabs>
          <w:tab w:val="left" w:pos="-720"/>
          <w:tab w:val="left" w:pos="810"/>
        </w:tabs>
        <w:suppressAutoHyphens/>
        <w:rPr>
          <w:rFonts w:ascii="Times New Roman" w:hAnsi="Times New Roman"/>
        </w:rPr>
      </w:pPr>
      <w:r w:rsidRPr="006A1E0A">
        <w:rPr>
          <w:rFonts w:ascii="Times New Roman" w:hAnsi="Times New Roman"/>
          <w:szCs w:val="24"/>
        </w:rPr>
        <w:t xml:space="preserve">Section 106.45(b)(9):  </w:t>
      </w:r>
      <w:r w:rsidRPr="006A1E0A">
        <w:rPr>
          <w:rFonts w:ascii="Times New Roman" w:hAnsi="Times New Roman"/>
          <w:i/>
          <w:iCs/>
          <w:szCs w:val="24"/>
        </w:rPr>
        <w:t xml:space="preserve">Informal resolution </w:t>
      </w:r>
      <w:r w:rsidRPr="006A1E0A">
        <w:rPr>
          <w:rFonts w:ascii="Times New Roman" w:hAnsi="Times New Roman"/>
        </w:rPr>
        <w:t>requires that recipients who wish to provide parties with the option of informal resolution of formal complaints, may offer this option to the parties but may only proceed by: first, providing the parties with written notice disclosing the sexual harassment allegations, the requirements of an informal resolution process, any consequences from participating in the informal resolution process; and second, obtaining the parties’ voluntary, written consent to the informal resolution process.</w:t>
      </w:r>
    </w:p>
    <w:p w:rsidR="006A1E0A" w:rsidRPr="006A1E0A" w:rsidP="006A1E0A" w14:paraId="28D69DB6" w14:textId="77777777">
      <w:pPr>
        <w:tabs>
          <w:tab w:val="left" w:pos="-720"/>
          <w:tab w:val="left" w:pos="810"/>
        </w:tabs>
        <w:suppressAutoHyphens/>
        <w:ind w:left="720"/>
        <w:rPr>
          <w:rStyle w:val="a"/>
          <w:rFonts w:ascii="Times New Roman" w:hAnsi="Times New Roman"/>
          <w:szCs w:val="24"/>
        </w:rPr>
      </w:pPr>
    </w:p>
    <w:p w:rsidR="006A1E0A" w:rsidRPr="006A1E0A" w:rsidP="006A1E0A" w14:paraId="4C6D0CC8" w14:textId="77777777">
      <w:pPr>
        <w:tabs>
          <w:tab w:val="left" w:pos="-720"/>
          <w:tab w:val="left" w:pos="810"/>
          <w:tab w:val="left" w:pos="1710"/>
        </w:tabs>
        <w:suppressAutoHyphens/>
        <w:rPr>
          <w:rStyle w:val="a"/>
          <w:rFonts w:ascii="Times New Roman" w:hAnsi="Times New Roman"/>
          <w:szCs w:val="24"/>
        </w:rPr>
      </w:pPr>
      <w:r w:rsidRPr="006A1E0A">
        <w:rPr>
          <w:rStyle w:val="a"/>
          <w:rFonts w:ascii="Times New Roman" w:hAnsi="Times New Roman"/>
          <w:szCs w:val="24"/>
        </w:rPr>
        <w:t>For the activity required under final section 34 CFR 106.45(b)(9), the Department estimates the number of affected respondents to be 16,606 LEAs, 6,766 IHEs and 600 other entities that are recipients of Federal financial assistance; each under a burden of  the required notices of 1.5 hours; with an annual hour burden estimated at 35,958 hours in Year 1 and 0 hours in subsequent years (23,972 respondents x 1.5 hours = 35,958).  The estimated costs to the respondents are a total of $2,650,654.</w:t>
      </w:r>
    </w:p>
    <w:p w:rsidR="006A1E0A" w:rsidRPr="006A1E0A" w:rsidP="006A1E0A" w14:paraId="0E90414E" w14:textId="77777777">
      <w:pPr>
        <w:tabs>
          <w:tab w:val="left" w:pos="-720"/>
          <w:tab w:val="left" w:pos="810"/>
        </w:tabs>
        <w:suppressAutoHyphens/>
        <w:ind w:left="720"/>
        <w:rPr>
          <w:rStyle w:val="a"/>
          <w:rFonts w:ascii="Times New Roman" w:hAnsi="Times New Roman"/>
          <w:szCs w:val="24"/>
        </w:rPr>
      </w:pPr>
    </w:p>
    <w:p w:rsidR="006A1E0A" w:rsidRPr="006A1E0A" w:rsidP="006A1E0A" w14:paraId="4F260F59" w14:textId="77777777">
      <w:pPr>
        <w:tabs>
          <w:tab w:val="left" w:pos="-720"/>
          <w:tab w:val="left" w:pos="810"/>
        </w:tabs>
        <w:suppressAutoHyphens/>
        <w:rPr>
          <w:rStyle w:val="a"/>
          <w:rFonts w:ascii="Times New Roman" w:hAnsi="Times New Roman"/>
          <w:szCs w:val="24"/>
        </w:rPr>
      </w:pPr>
      <w:r w:rsidRPr="006A1E0A">
        <w:rPr>
          <w:rFonts w:ascii="Times New Roman" w:hAnsi="Times New Roman"/>
          <w:szCs w:val="24"/>
        </w:rPr>
        <w:t xml:space="preserve">Section 106.45(b)(10):  </w:t>
      </w:r>
      <w:r w:rsidRPr="006A1E0A">
        <w:rPr>
          <w:rFonts w:ascii="Times New Roman" w:hAnsi="Times New Roman"/>
          <w:i/>
          <w:iCs/>
          <w:szCs w:val="24"/>
        </w:rPr>
        <w:t xml:space="preserve">Recordkeeping </w:t>
      </w:r>
      <w:r w:rsidRPr="006A1E0A">
        <w:rPr>
          <w:rFonts w:ascii="Times New Roman" w:hAnsi="Times New Roman"/>
        </w:rPr>
        <w:t xml:space="preserve">requires recipients to maintain certain documentation regarding their Title IX activities.  </w:t>
      </w:r>
    </w:p>
    <w:p w:rsidR="006A1E0A" w:rsidRPr="006A1E0A" w:rsidP="006A1E0A" w14:paraId="0227A426" w14:textId="77777777">
      <w:pPr>
        <w:tabs>
          <w:tab w:val="left" w:pos="-720"/>
        </w:tabs>
        <w:suppressAutoHyphens/>
        <w:ind w:left="720"/>
        <w:rPr>
          <w:rStyle w:val="a"/>
          <w:rFonts w:ascii="Times New Roman" w:hAnsi="Times New Roman"/>
          <w:szCs w:val="24"/>
        </w:rPr>
      </w:pPr>
    </w:p>
    <w:p w:rsidR="006A1E0A" w:rsidRPr="006A1E0A" w:rsidP="006A1E0A" w14:paraId="45D0FEFA" w14:textId="77777777">
      <w:pPr>
        <w:tabs>
          <w:tab w:val="left" w:pos="-720"/>
        </w:tabs>
        <w:suppressAutoHyphens/>
        <w:rPr>
          <w:rStyle w:val="a"/>
          <w:rFonts w:ascii="Times New Roman" w:hAnsi="Times New Roman"/>
          <w:szCs w:val="24"/>
        </w:rPr>
      </w:pPr>
      <w:r w:rsidRPr="006A1E0A">
        <w:rPr>
          <w:rStyle w:val="a"/>
          <w:rFonts w:ascii="Times New Roman" w:hAnsi="Times New Roman"/>
          <w:szCs w:val="24"/>
        </w:rPr>
        <w:t xml:space="preserve">For the activity required under final section 34 CFR 106.45(b)(10), the Department estimates the number of affected respondents to be 16,606 LEAs, 6,766 IHEs and 600 other entities that are recipients of Federal financial assistance; each under a burden of recordkeeping of 12 hours for the LEAs and other entities and 104 hours for IHEs in the first year of these regulations with an annual hour burden estimated at 910,316 hours and $39,114,530 in Year 1.   </w:t>
      </w:r>
    </w:p>
    <w:p w:rsidR="006A1E0A" w:rsidRPr="006A1E0A" w:rsidP="006A1E0A" w14:paraId="7DD28700" w14:textId="77777777">
      <w:pPr>
        <w:tabs>
          <w:tab w:val="left" w:pos="-720"/>
        </w:tabs>
        <w:suppressAutoHyphens/>
        <w:ind w:left="720"/>
        <w:rPr>
          <w:rStyle w:val="a"/>
          <w:rFonts w:ascii="Times New Roman" w:hAnsi="Times New Roman"/>
          <w:szCs w:val="24"/>
        </w:rPr>
      </w:pPr>
    </w:p>
    <w:p w:rsidR="006A1E0A" w:rsidRPr="006A1E0A" w:rsidP="006A1E0A" w14:paraId="1091F51A" w14:textId="77777777">
      <w:pPr>
        <w:tabs>
          <w:tab w:val="left" w:pos="-720"/>
        </w:tabs>
        <w:suppressAutoHyphens/>
        <w:rPr>
          <w:rStyle w:val="a"/>
          <w:rFonts w:ascii="Times New Roman" w:hAnsi="Times New Roman"/>
          <w:szCs w:val="24"/>
        </w:rPr>
      </w:pPr>
      <w:r w:rsidRPr="006A1E0A">
        <w:rPr>
          <w:rStyle w:val="a"/>
          <w:rFonts w:ascii="Times New Roman" w:hAnsi="Times New Roman"/>
          <w:szCs w:val="24"/>
        </w:rPr>
        <w:t>For the activity required under final section 34 CFR 106.45(b)(10), the Department estimates the number of affected respondents to be 16,606 LEAs, 6,766 IHEs and 600 other entities that are recipients of Federal financial assistance; each under a burden of recordkeeping of 6 hours for the LEAs and other entities and 52 hours for IHEs in Years 2-3 to recognize the difference between development and maintenance</w:t>
      </w:r>
      <w:r w:rsidR="00FD5C76">
        <w:rPr>
          <w:rStyle w:val="a"/>
          <w:rFonts w:ascii="Times New Roman" w:hAnsi="Times New Roman"/>
          <w:szCs w:val="24"/>
        </w:rPr>
        <w:t xml:space="preserve"> of a recordkeeping system</w:t>
      </w:r>
      <w:r w:rsidRPr="006A1E0A">
        <w:rPr>
          <w:rStyle w:val="a"/>
          <w:rFonts w:ascii="Times New Roman" w:hAnsi="Times New Roman"/>
          <w:szCs w:val="24"/>
        </w:rPr>
        <w:t>.   The estimated annual burden is 455,068 hours and $15,189,260 for a total in years 2-3 of an estimated burden of 910,136 hours and $30,378,520.</w:t>
      </w:r>
    </w:p>
    <w:p w:rsidR="006A1E0A" w:rsidRPr="006A1E0A" w:rsidP="006A1E0A" w14:paraId="4A74A1B7" w14:textId="77777777">
      <w:pPr>
        <w:tabs>
          <w:tab w:val="left" w:pos="-720"/>
        </w:tabs>
        <w:suppressAutoHyphens/>
        <w:ind w:left="720"/>
        <w:rPr>
          <w:rStyle w:val="a"/>
          <w:rFonts w:ascii="Times New Roman" w:hAnsi="Times New Roman"/>
          <w:szCs w:val="24"/>
        </w:rPr>
      </w:pPr>
    </w:p>
    <w:p w:rsidR="006A1E0A" w:rsidRPr="006A1E0A" w:rsidP="006A1E0A" w14:paraId="776CB6F4" w14:textId="77777777">
      <w:pPr>
        <w:tabs>
          <w:tab w:val="left" w:pos="-720"/>
        </w:tabs>
        <w:suppressAutoHyphens/>
        <w:rPr>
          <w:rStyle w:val="a"/>
          <w:rFonts w:ascii="Times New Roman" w:hAnsi="Times New Roman"/>
          <w:szCs w:val="24"/>
        </w:rPr>
      </w:pPr>
      <w:r w:rsidRPr="006A1E0A">
        <w:rPr>
          <w:rStyle w:val="a"/>
          <w:rFonts w:ascii="Times New Roman" w:hAnsi="Times New Roman"/>
          <w:szCs w:val="24"/>
        </w:rPr>
        <w:t>For Section 106.45(b)(10) in Years 1-3, we estimate a total of 1,820,272 hours and $69,493,050 costs for 23,972 respondents.</w:t>
      </w:r>
    </w:p>
    <w:p w:rsidR="006A1E0A" w:rsidP="006A1E0A" w14:paraId="20B3A7CD" w14:textId="77777777">
      <w:pPr>
        <w:tabs>
          <w:tab w:val="left" w:pos="-720"/>
        </w:tabs>
        <w:suppressAutoHyphens/>
        <w:ind w:left="720"/>
        <w:rPr>
          <w:rStyle w:val="a"/>
          <w:rFonts w:asciiTheme="minorHAnsi" w:hAnsiTheme="minorHAnsi" w:cstheme="minorHAnsi"/>
          <w:szCs w:val="24"/>
        </w:rPr>
      </w:pPr>
    </w:p>
    <w:p w:rsidR="006A1E0A" w:rsidRPr="006A1E0A" w:rsidP="006A1E0A" w14:paraId="27393260" w14:textId="77777777">
      <w:pPr>
        <w:tabs>
          <w:tab w:val="left" w:pos="-720"/>
        </w:tabs>
        <w:suppressAutoHyphens/>
        <w:rPr>
          <w:rFonts w:ascii="Times New Roman" w:hAnsi="Times New Roman"/>
          <w:b/>
          <w:sz w:val="26"/>
          <w:szCs w:val="26"/>
        </w:rPr>
      </w:pPr>
      <w:r w:rsidRPr="006A1E0A">
        <w:rPr>
          <w:rStyle w:val="a"/>
          <w:rFonts w:ascii="Times New Roman" w:hAnsi="Times New Roman"/>
          <w:szCs w:val="24"/>
        </w:rPr>
        <w:t>For all of the sections above the three-year calculations are 23,972 respondents with 119,860 responses at 1,892,188 burden hours for an estimated $74,794,358 costs.  See the table below</w:t>
      </w:r>
    </w:p>
    <w:p w:rsidR="00920F63" w:rsidP="00920F63" w14:paraId="584E4A9D" w14:textId="77777777">
      <w:pPr>
        <w:pStyle w:val="ListParagraph"/>
        <w:tabs>
          <w:tab w:val="left" w:pos="-720"/>
        </w:tabs>
        <w:suppressAutoHyphens/>
        <w:rPr>
          <w:rStyle w:val="a"/>
          <w:rFonts w:ascii="Times New Roman" w:hAnsi="Times New Roman"/>
          <w:szCs w:val="24"/>
        </w:rPr>
      </w:pPr>
    </w:p>
    <w:p w:rsidR="00ED7195" w:rsidRPr="00920F63" w:rsidP="00756FD3" w14:paraId="4E915CA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355" w:type="dxa"/>
        <w:tblLayout w:type="fixed"/>
        <w:tblLook w:val="0020"/>
      </w:tblPr>
      <w:tblGrid>
        <w:gridCol w:w="2705"/>
        <w:gridCol w:w="1275"/>
        <w:gridCol w:w="1080"/>
        <w:gridCol w:w="1235"/>
        <w:gridCol w:w="1260"/>
        <w:gridCol w:w="1800"/>
      </w:tblGrid>
      <w:tr w14:paraId="0B950EFF" w14:textId="77777777" w:rsidTr="00C92F87">
        <w:tblPrEx>
          <w:tblW w:w="9355" w:type="dxa"/>
          <w:tblLayout w:type="fixed"/>
          <w:tblLook w:val="0020"/>
        </w:tblPrEx>
        <w:trPr>
          <w:tblHeader/>
        </w:trPr>
        <w:tc>
          <w:tcPr>
            <w:tcW w:w="2705" w:type="dxa"/>
            <w:vAlign w:val="center"/>
          </w:tcPr>
          <w:p w:rsidR="006A1E0A" w:rsidP="00C92F87" w14:paraId="399C308F" w14:textId="77777777">
            <w:pPr>
              <w:jc w:val="center"/>
              <w:rPr>
                <w:rFonts w:ascii="Times New Roman" w:hAnsi="Times New Roman"/>
                <w:sz w:val="20"/>
              </w:rPr>
            </w:pPr>
          </w:p>
          <w:p w:rsidR="006A1E0A" w:rsidP="00C92F87" w14:paraId="37FFB923" w14:textId="77777777">
            <w:pPr>
              <w:jc w:val="center"/>
              <w:rPr>
                <w:rFonts w:ascii="Times New Roman" w:hAnsi="Times New Roman"/>
                <w:sz w:val="20"/>
              </w:rPr>
            </w:pPr>
          </w:p>
          <w:p w:rsidR="006A1E0A" w:rsidRPr="007F6104" w:rsidP="00C92F87" w14:paraId="686E4FBA"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vAlign w:val="center"/>
          </w:tcPr>
          <w:p w:rsidR="006A1E0A" w:rsidRPr="007F6104" w:rsidP="00C92F87" w14:paraId="6AF56E8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6A1E0A" w:rsidP="00C92F87" w14:paraId="649D4631" w14:textId="77777777">
            <w:pPr>
              <w:jc w:val="center"/>
              <w:rPr>
                <w:rFonts w:ascii="Times New Roman" w:hAnsi="Times New Roman"/>
                <w:sz w:val="20"/>
              </w:rPr>
            </w:pPr>
          </w:p>
          <w:p w:rsidR="006A1E0A" w:rsidP="00C92F87" w14:paraId="009AC568" w14:textId="77777777">
            <w:pPr>
              <w:jc w:val="center"/>
              <w:rPr>
                <w:rFonts w:ascii="Times New Roman" w:hAnsi="Times New Roman"/>
                <w:sz w:val="20"/>
              </w:rPr>
            </w:pPr>
          </w:p>
          <w:p w:rsidR="006A1E0A" w:rsidRPr="007F6104" w:rsidP="00C92F87" w14:paraId="4C93E712" w14:textId="77777777">
            <w:pPr>
              <w:jc w:val="center"/>
              <w:rPr>
                <w:rFonts w:ascii="Times New Roman" w:hAnsi="Times New Roman"/>
                <w:sz w:val="20"/>
              </w:rPr>
            </w:pPr>
            <w:r w:rsidRPr="007F6104">
              <w:rPr>
                <w:rFonts w:ascii="Times New Roman" w:hAnsi="Times New Roman"/>
                <w:sz w:val="20"/>
              </w:rPr>
              <w:t>Number of Responses</w:t>
            </w:r>
          </w:p>
        </w:tc>
        <w:tc>
          <w:tcPr>
            <w:tcW w:w="1235" w:type="dxa"/>
            <w:vAlign w:val="center"/>
          </w:tcPr>
          <w:p w:rsidR="006A1E0A" w:rsidP="00C92F87" w14:paraId="61147188" w14:textId="77777777">
            <w:pPr>
              <w:jc w:val="center"/>
              <w:rPr>
                <w:rFonts w:ascii="Times New Roman" w:hAnsi="Times New Roman"/>
                <w:sz w:val="20"/>
              </w:rPr>
            </w:pPr>
          </w:p>
          <w:p w:rsidR="006A1E0A" w:rsidRPr="007F6104" w:rsidP="00C92F87" w14:paraId="68546B76"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vAlign w:val="center"/>
          </w:tcPr>
          <w:p w:rsidR="006A1E0A" w:rsidP="00C92F87" w14:paraId="09AB6DC7" w14:textId="77777777">
            <w:pPr>
              <w:jc w:val="center"/>
              <w:rPr>
                <w:rFonts w:ascii="Times New Roman" w:hAnsi="Times New Roman"/>
                <w:sz w:val="20"/>
              </w:rPr>
            </w:pPr>
          </w:p>
          <w:p w:rsidR="006A1E0A" w:rsidRPr="007F6104" w:rsidP="00C92F87" w14:paraId="109F31F4"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800" w:type="dxa"/>
            <w:vAlign w:val="center"/>
          </w:tcPr>
          <w:p w:rsidR="006A1E0A" w:rsidP="00C92F87" w14:paraId="464C1C21" w14:textId="77777777">
            <w:pPr>
              <w:jc w:val="center"/>
              <w:rPr>
                <w:rFonts w:ascii="Times New Roman" w:hAnsi="Times New Roman"/>
                <w:sz w:val="20"/>
              </w:rPr>
            </w:pPr>
          </w:p>
          <w:p w:rsidR="006A1E0A" w:rsidP="00C92F87" w14:paraId="70E00A8F" w14:textId="77777777">
            <w:pPr>
              <w:jc w:val="center"/>
              <w:rPr>
                <w:rFonts w:ascii="Times New Roman" w:hAnsi="Times New Roman"/>
                <w:sz w:val="20"/>
              </w:rPr>
            </w:pPr>
          </w:p>
          <w:p w:rsidR="006A1E0A" w:rsidRPr="007F6104" w:rsidP="00C92F87" w14:paraId="5E01F15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0B02BD6B" w14:textId="77777777" w:rsidTr="00C92F87">
        <w:tblPrEx>
          <w:tblW w:w="9355" w:type="dxa"/>
          <w:tblLayout w:type="fixed"/>
          <w:tblLook w:val="0020"/>
        </w:tblPrEx>
        <w:tc>
          <w:tcPr>
            <w:tcW w:w="2705" w:type="dxa"/>
          </w:tcPr>
          <w:p w:rsidR="006A1E0A" w:rsidRPr="006A1E0A" w:rsidP="00C92F87" w14:paraId="706D056E" w14:textId="77777777">
            <w:pPr>
              <w:rPr>
                <w:rFonts w:ascii="Times New Roman" w:hAnsi="Times New Roman"/>
                <w:szCs w:val="24"/>
              </w:rPr>
            </w:pPr>
            <w:r w:rsidRPr="006A1E0A">
              <w:rPr>
                <w:rFonts w:ascii="Times New Roman" w:hAnsi="Times New Roman"/>
                <w:szCs w:val="24"/>
              </w:rPr>
              <w:t>106.45(b)(2)   Year 1</w:t>
            </w:r>
          </w:p>
        </w:tc>
        <w:tc>
          <w:tcPr>
            <w:tcW w:w="1275" w:type="dxa"/>
          </w:tcPr>
          <w:p w:rsidR="006A1E0A" w:rsidRPr="006A1E0A" w:rsidP="00C92F87" w14:paraId="21764107" w14:textId="77777777">
            <w:pPr>
              <w:jc w:val="right"/>
              <w:rPr>
                <w:rFonts w:ascii="Times New Roman" w:hAnsi="Times New Roman"/>
                <w:szCs w:val="24"/>
              </w:rPr>
            </w:pPr>
            <w:r w:rsidRPr="006A1E0A">
              <w:rPr>
                <w:rFonts w:ascii="Times New Roman" w:hAnsi="Times New Roman"/>
                <w:szCs w:val="24"/>
              </w:rPr>
              <w:t>23,972</w:t>
            </w:r>
          </w:p>
        </w:tc>
        <w:tc>
          <w:tcPr>
            <w:tcW w:w="1080" w:type="dxa"/>
          </w:tcPr>
          <w:p w:rsidR="006A1E0A" w:rsidRPr="006A1E0A" w:rsidP="00C92F87" w14:paraId="50A96AF4" w14:textId="77777777">
            <w:pPr>
              <w:jc w:val="right"/>
              <w:rPr>
                <w:rFonts w:ascii="Times New Roman" w:hAnsi="Times New Roman"/>
                <w:szCs w:val="24"/>
              </w:rPr>
            </w:pPr>
            <w:r w:rsidRPr="006A1E0A">
              <w:rPr>
                <w:rFonts w:ascii="Times New Roman" w:hAnsi="Times New Roman"/>
                <w:szCs w:val="24"/>
              </w:rPr>
              <w:t>23,972</w:t>
            </w:r>
          </w:p>
        </w:tc>
        <w:tc>
          <w:tcPr>
            <w:tcW w:w="1235" w:type="dxa"/>
          </w:tcPr>
          <w:p w:rsidR="006A1E0A" w:rsidRPr="006A1E0A" w:rsidP="00C92F87" w14:paraId="0E790270" w14:textId="77777777">
            <w:pPr>
              <w:jc w:val="center"/>
              <w:rPr>
                <w:rFonts w:ascii="Times New Roman" w:hAnsi="Times New Roman"/>
                <w:szCs w:val="24"/>
              </w:rPr>
            </w:pPr>
            <w:r w:rsidRPr="006A1E0A">
              <w:rPr>
                <w:rFonts w:ascii="Times New Roman" w:hAnsi="Times New Roman"/>
                <w:szCs w:val="24"/>
              </w:rPr>
              <w:t>1.5</w:t>
            </w:r>
          </w:p>
        </w:tc>
        <w:tc>
          <w:tcPr>
            <w:tcW w:w="1260" w:type="dxa"/>
          </w:tcPr>
          <w:p w:rsidR="006A1E0A" w:rsidRPr="006A1E0A" w:rsidP="00C92F87" w14:paraId="535F3676" w14:textId="77777777">
            <w:pPr>
              <w:jc w:val="right"/>
              <w:rPr>
                <w:rFonts w:ascii="Times New Roman" w:hAnsi="Times New Roman"/>
                <w:szCs w:val="24"/>
              </w:rPr>
            </w:pPr>
            <w:r w:rsidRPr="006A1E0A">
              <w:rPr>
                <w:rStyle w:val="a"/>
                <w:rFonts w:ascii="Times New Roman" w:hAnsi="Times New Roman"/>
                <w:szCs w:val="24"/>
              </w:rPr>
              <w:t>35,958</w:t>
            </w:r>
          </w:p>
        </w:tc>
        <w:tc>
          <w:tcPr>
            <w:tcW w:w="1800" w:type="dxa"/>
          </w:tcPr>
          <w:p w:rsidR="006A1E0A" w:rsidRPr="006A1E0A" w:rsidP="00C92F87" w14:paraId="06B93A6B" w14:textId="77777777">
            <w:pPr>
              <w:jc w:val="right"/>
              <w:rPr>
                <w:rFonts w:ascii="Times New Roman" w:hAnsi="Times New Roman"/>
                <w:szCs w:val="24"/>
              </w:rPr>
            </w:pPr>
            <w:r w:rsidRPr="006A1E0A">
              <w:rPr>
                <w:rStyle w:val="a"/>
                <w:rFonts w:ascii="Times New Roman" w:hAnsi="Times New Roman"/>
                <w:szCs w:val="24"/>
              </w:rPr>
              <w:t>$2,650,654</w:t>
            </w:r>
          </w:p>
        </w:tc>
      </w:tr>
      <w:tr w14:paraId="3D061756" w14:textId="77777777" w:rsidTr="00C92F87">
        <w:tblPrEx>
          <w:tblW w:w="9355" w:type="dxa"/>
          <w:tblLayout w:type="fixed"/>
          <w:tblLook w:val="0020"/>
        </w:tblPrEx>
        <w:tc>
          <w:tcPr>
            <w:tcW w:w="2705" w:type="dxa"/>
          </w:tcPr>
          <w:p w:rsidR="006A1E0A" w:rsidRPr="006A1E0A" w:rsidP="00C92F87" w14:paraId="03295B3C" w14:textId="77777777">
            <w:pPr>
              <w:rPr>
                <w:rFonts w:ascii="Times New Roman" w:hAnsi="Times New Roman"/>
                <w:szCs w:val="24"/>
              </w:rPr>
            </w:pPr>
            <w:r w:rsidRPr="006A1E0A">
              <w:rPr>
                <w:rFonts w:ascii="Times New Roman" w:hAnsi="Times New Roman"/>
                <w:szCs w:val="24"/>
              </w:rPr>
              <w:t>106.45(b)(9)   Year 1</w:t>
            </w:r>
          </w:p>
        </w:tc>
        <w:tc>
          <w:tcPr>
            <w:tcW w:w="1275" w:type="dxa"/>
          </w:tcPr>
          <w:p w:rsidR="006A1E0A" w:rsidRPr="006A1E0A" w:rsidP="00C92F87" w14:paraId="649DCA76" w14:textId="77777777">
            <w:pPr>
              <w:jc w:val="center"/>
              <w:rPr>
                <w:rFonts w:ascii="Times New Roman" w:hAnsi="Times New Roman"/>
                <w:szCs w:val="24"/>
              </w:rPr>
            </w:pPr>
            <w:r w:rsidRPr="006A1E0A">
              <w:rPr>
                <w:rFonts w:ascii="Times New Roman" w:hAnsi="Times New Roman"/>
                <w:szCs w:val="24"/>
              </w:rPr>
              <w:t>+</w:t>
            </w:r>
          </w:p>
        </w:tc>
        <w:tc>
          <w:tcPr>
            <w:tcW w:w="1080" w:type="dxa"/>
          </w:tcPr>
          <w:p w:rsidR="006A1E0A" w:rsidRPr="006A1E0A" w:rsidP="00C92F87" w14:paraId="146CFD85" w14:textId="77777777">
            <w:pPr>
              <w:jc w:val="right"/>
              <w:rPr>
                <w:rFonts w:ascii="Times New Roman" w:hAnsi="Times New Roman"/>
                <w:szCs w:val="24"/>
              </w:rPr>
            </w:pPr>
            <w:r w:rsidRPr="006A1E0A">
              <w:rPr>
                <w:rFonts w:ascii="Times New Roman" w:hAnsi="Times New Roman"/>
                <w:szCs w:val="24"/>
              </w:rPr>
              <w:t>23,972</w:t>
            </w:r>
          </w:p>
        </w:tc>
        <w:tc>
          <w:tcPr>
            <w:tcW w:w="1235" w:type="dxa"/>
          </w:tcPr>
          <w:p w:rsidR="006A1E0A" w:rsidRPr="006A1E0A" w:rsidP="00C92F87" w14:paraId="344689F8" w14:textId="77777777">
            <w:pPr>
              <w:jc w:val="center"/>
              <w:rPr>
                <w:rFonts w:ascii="Times New Roman" w:hAnsi="Times New Roman"/>
                <w:szCs w:val="24"/>
              </w:rPr>
            </w:pPr>
            <w:r w:rsidRPr="006A1E0A">
              <w:rPr>
                <w:rFonts w:ascii="Times New Roman" w:hAnsi="Times New Roman"/>
                <w:szCs w:val="24"/>
              </w:rPr>
              <w:t>1.5</w:t>
            </w:r>
          </w:p>
        </w:tc>
        <w:tc>
          <w:tcPr>
            <w:tcW w:w="1260" w:type="dxa"/>
          </w:tcPr>
          <w:p w:rsidR="006A1E0A" w:rsidRPr="006A1E0A" w:rsidP="00C92F87" w14:paraId="1127C0D8" w14:textId="77777777">
            <w:pPr>
              <w:jc w:val="right"/>
              <w:rPr>
                <w:rStyle w:val="a"/>
                <w:rFonts w:ascii="Times New Roman" w:hAnsi="Times New Roman"/>
                <w:szCs w:val="24"/>
              </w:rPr>
            </w:pPr>
            <w:r w:rsidRPr="006A1E0A">
              <w:rPr>
                <w:rStyle w:val="a"/>
                <w:rFonts w:ascii="Times New Roman" w:hAnsi="Times New Roman"/>
                <w:szCs w:val="24"/>
              </w:rPr>
              <w:t>35,958</w:t>
            </w:r>
          </w:p>
        </w:tc>
        <w:tc>
          <w:tcPr>
            <w:tcW w:w="1800" w:type="dxa"/>
          </w:tcPr>
          <w:p w:rsidR="006A1E0A" w:rsidRPr="006A1E0A" w:rsidP="00C92F87" w14:paraId="3D1DD877" w14:textId="77777777">
            <w:pPr>
              <w:jc w:val="right"/>
              <w:rPr>
                <w:rStyle w:val="a"/>
                <w:rFonts w:ascii="Times New Roman" w:hAnsi="Times New Roman"/>
                <w:szCs w:val="24"/>
              </w:rPr>
            </w:pPr>
            <w:r w:rsidRPr="006A1E0A">
              <w:rPr>
                <w:rStyle w:val="a"/>
                <w:rFonts w:ascii="Times New Roman" w:hAnsi="Times New Roman"/>
                <w:szCs w:val="24"/>
              </w:rPr>
              <w:t>$2,650,654</w:t>
            </w:r>
          </w:p>
        </w:tc>
      </w:tr>
      <w:tr w14:paraId="19A41609" w14:textId="77777777" w:rsidTr="00C92F87">
        <w:tblPrEx>
          <w:tblW w:w="9355" w:type="dxa"/>
          <w:tblLayout w:type="fixed"/>
          <w:tblLook w:val="0020"/>
        </w:tblPrEx>
        <w:tc>
          <w:tcPr>
            <w:tcW w:w="2705" w:type="dxa"/>
          </w:tcPr>
          <w:p w:rsidR="006A1E0A" w:rsidRPr="006A1E0A" w:rsidP="00C92F87" w14:paraId="2DBA0A5F" w14:textId="77777777">
            <w:pPr>
              <w:rPr>
                <w:rFonts w:ascii="Times New Roman" w:hAnsi="Times New Roman"/>
                <w:szCs w:val="24"/>
              </w:rPr>
            </w:pPr>
            <w:r w:rsidRPr="006A1E0A">
              <w:rPr>
                <w:rFonts w:ascii="Times New Roman" w:hAnsi="Times New Roman"/>
                <w:szCs w:val="24"/>
              </w:rPr>
              <w:t>106.45(b)(10) Year 1</w:t>
            </w:r>
          </w:p>
        </w:tc>
        <w:tc>
          <w:tcPr>
            <w:tcW w:w="1275" w:type="dxa"/>
          </w:tcPr>
          <w:p w:rsidR="006A1E0A" w:rsidRPr="006A1E0A" w:rsidP="00C92F87" w14:paraId="552CA6F7" w14:textId="77777777">
            <w:pPr>
              <w:jc w:val="center"/>
              <w:rPr>
                <w:rFonts w:ascii="Times New Roman" w:hAnsi="Times New Roman"/>
                <w:szCs w:val="24"/>
              </w:rPr>
            </w:pPr>
            <w:r w:rsidRPr="006A1E0A">
              <w:rPr>
                <w:rFonts w:ascii="Times New Roman" w:hAnsi="Times New Roman"/>
                <w:szCs w:val="24"/>
              </w:rPr>
              <w:t>+</w:t>
            </w:r>
          </w:p>
        </w:tc>
        <w:tc>
          <w:tcPr>
            <w:tcW w:w="1080" w:type="dxa"/>
          </w:tcPr>
          <w:p w:rsidR="006A1E0A" w:rsidRPr="006A1E0A" w:rsidP="00C92F87" w14:paraId="2D0E445F" w14:textId="77777777">
            <w:pPr>
              <w:jc w:val="right"/>
              <w:rPr>
                <w:rFonts w:ascii="Times New Roman" w:hAnsi="Times New Roman"/>
                <w:szCs w:val="24"/>
              </w:rPr>
            </w:pPr>
            <w:r w:rsidRPr="006A1E0A">
              <w:rPr>
                <w:rFonts w:ascii="Times New Roman" w:hAnsi="Times New Roman"/>
                <w:szCs w:val="24"/>
              </w:rPr>
              <w:t>16,606</w:t>
            </w:r>
          </w:p>
        </w:tc>
        <w:tc>
          <w:tcPr>
            <w:tcW w:w="1235" w:type="dxa"/>
          </w:tcPr>
          <w:p w:rsidR="006A1E0A" w:rsidRPr="006A1E0A" w:rsidP="00C92F87" w14:paraId="1761C6E8" w14:textId="77777777">
            <w:pPr>
              <w:jc w:val="center"/>
              <w:rPr>
                <w:rFonts w:ascii="Times New Roman" w:hAnsi="Times New Roman"/>
                <w:szCs w:val="24"/>
              </w:rPr>
            </w:pPr>
            <w:r w:rsidRPr="006A1E0A">
              <w:rPr>
                <w:rFonts w:ascii="Times New Roman" w:hAnsi="Times New Roman"/>
                <w:szCs w:val="24"/>
              </w:rPr>
              <w:t>12</w:t>
            </w:r>
          </w:p>
        </w:tc>
        <w:tc>
          <w:tcPr>
            <w:tcW w:w="1260" w:type="dxa"/>
          </w:tcPr>
          <w:p w:rsidR="006A1E0A" w:rsidRPr="006A1E0A" w:rsidP="00C92F87" w14:paraId="1D187652" w14:textId="77777777">
            <w:pPr>
              <w:jc w:val="right"/>
              <w:rPr>
                <w:rStyle w:val="a"/>
                <w:rFonts w:ascii="Times New Roman" w:hAnsi="Times New Roman"/>
                <w:szCs w:val="24"/>
              </w:rPr>
            </w:pPr>
            <w:r w:rsidRPr="006A1E0A">
              <w:rPr>
                <w:rStyle w:val="a"/>
                <w:rFonts w:ascii="Times New Roman" w:hAnsi="Times New Roman"/>
                <w:szCs w:val="24"/>
              </w:rPr>
              <w:t>199,272</w:t>
            </w:r>
          </w:p>
        </w:tc>
        <w:tc>
          <w:tcPr>
            <w:tcW w:w="1800" w:type="dxa"/>
          </w:tcPr>
          <w:p w:rsidR="006A1E0A" w:rsidRPr="006A1E0A" w:rsidP="00C92F87" w14:paraId="4E7FD891" w14:textId="77777777">
            <w:pPr>
              <w:jc w:val="right"/>
              <w:rPr>
                <w:rStyle w:val="a"/>
                <w:rFonts w:ascii="Times New Roman" w:hAnsi="Times New Roman"/>
                <w:szCs w:val="24"/>
              </w:rPr>
            </w:pPr>
            <w:r w:rsidRPr="006A1E0A">
              <w:rPr>
                <w:rStyle w:val="a"/>
                <w:rFonts w:ascii="Times New Roman" w:hAnsi="Times New Roman"/>
                <w:szCs w:val="24"/>
              </w:rPr>
              <w:t>*</w:t>
            </w:r>
          </w:p>
        </w:tc>
      </w:tr>
      <w:tr w14:paraId="3708B978" w14:textId="77777777" w:rsidTr="00C92F87">
        <w:tblPrEx>
          <w:tblW w:w="9355" w:type="dxa"/>
          <w:tblLayout w:type="fixed"/>
          <w:tblLook w:val="0020"/>
        </w:tblPrEx>
        <w:tc>
          <w:tcPr>
            <w:tcW w:w="2705" w:type="dxa"/>
          </w:tcPr>
          <w:p w:rsidR="006A1E0A" w:rsidRPr="006A1E0A" w:rsidP="00C92F87" w14:paraId="46EE0533" w14:textId="77777777">
            <w:pPr>
              <w:rPr>
                <w:rFonts w:ascii="Times New Roman" w:hAnsi="Times New Roman"/>
                <w:szCs w:val="24"/>
              </w:rPr>
            </w:pPr>
            <w:r w:rsidRPr="006A1E0A">
              <w:rPr>
                <w:rFonts w:ascii="Times New Roman" w:hAnsi="Times New Roman"/>
                <w:szCs w:val="24"/>
              </w:rPr>
              <w:t>106.45(b)(10) Year 1</w:t>
            </w:r>
          </w:p>
        </w:tc>
        <w:tc>
          <w:tcPr>
            <w:tcW w:w="1275" w:type="dxa"/>
          </w:tcPr>
          <w:p w:rsidR="006A1E0A" w:rsidRPr="006A1E0A" w:rsidP="00C92F87" w14:paraId="344A5CA1" w14:textId="77777777">
            <w:pPr>
              <w:jc w:val="center"/>
              <w:rPr>
                <w:rFonts w:ascii="Times New Roman" w:hAnsi="Times New Roman"/>
                <w:szCs w:val="24"/>
              </w:rPr>
            </w:pPr>
            <w:r w:rsidRPr="006A1E0A">
              <w:rPr>
                <w:rFonts w:ascii="Times New Roman" w:hAnsi="Times New Roman"/>
                <w:szCs w:val="24"/>
              </w:rPr>
              <w:t>+</w:t>
            </w:r>
          </w:p>
        </w:tc>
        <w:tc>
          <w:tcPr>
            <w:tcW w:w="1080" w:type="dxa"/>
          </w:tcPr>
          <w:p w:rsidR="006A1E0A" w:rsidRPr="006A1E0A" w:rsidP="00C92F87" w14:paraId="23D063EF" w14:textId="77777777">
            <w:pPr>
              <w:jc w:val="right"/>
              <w:rPr>
                <w:rFonts w:ascii="Times New Roman" w:hAnsi="Times New Roman"/>
                <w:szCs w:val="24"/>
              </w:rPr>
            </w:pPr>
            <w:r w:rsidRPr="006A1E0A">
              <w:rPr>
                <w:rFonts w:ascii="Times New Roman" w:hAnsi="Times New Roman"/>
                <w:szCs w:val="24"/>
              </w:rPr>
              <w:t>6,766</w:t>
            </w:r>
          </w:p>
        </w:tc>
        <w:tc>
          <w:tcPr>
            <w:tcW w:w="1235" w:type="dxa"/>
          </w:tcPr>
          <w:p w:rsidR="006A1E0A" w:rsidRPr="006A1E0A" w:rsidP="00C92F87" w14:paraId="0C967A54" w14:textId="77777777">
            <w:pPr>
              <w:jc w:val="center"/>
              <w:rPr>
                <w:rFonts w:ascii="Times New Roman" w:hAnsi="Times New Roman"/>
                <w:szCs w:val="24"/>
              </w:rPr>
            </w:pPr>
            <w:r w:rsidRPr="006A1E0A">
              <w:rPr>
                <w:rFonts w:ascii="Times New Roman" w:hAnsi="Times New Roman"/>
                <w:szCs w:val="24"/>
              </w:rPr>
              <w:t>104</w:t>
            </w:r>
          </w:p>
        </w:tc>
        <w:tc>
          <w:tcPr>
            <w:tcW w:w="1260" w:type="dxa"/>
          </w:tcPr>
          <w:p w:rsidR="006A1E0A" w:rsidRPr="006A1E0A" w:rsidP="00C92F87" w14:paraId="03DFAC54" w14:textId="77777777">
            <w:pPr>
              <w:jc w:val="right"/>
              <w:rPr>
                <w:rStyle w:val="a"/>
                <w:rFonts w:ascii="Times New Roman" w:hAnsi="Times New Roman"/>
                <w:szCs w:val="24"/>
              </w:rPr>
            </w:pPr>
            <w:r w:rsidRPr="006A1E0A">
              <w:rPr>
                <w:rStyle w:val="a"/>
                <w:rFonts w:ascii="Times New Roman" w:hAnsi="Times New Roman"/>
                <w:szCs w:val="24"/>
              </w:rPr>
              <w:t>703,664</w:t>
            </w:r>
          </w:p>
        </w:tc>
        <w:tc>
          <w:tcPr>
            <w:tcW w:w="1800" w:type="dxa"/>
          </w:tcPr>
          <w:p w:rsidR="006A1E0A" w:rsidRPr="006A1E0A" w:rsidP="00C92F87" w14:paraId="36E2D4C1" w14:textId="77777777">
            <w:pPr>
              <w:jc w:val="right"/>
              <w:rPr>
                <w:rStyle w:val="a"/>
                <w:rFonts w:ascii="Times New Roman" w:hAnsi="Times New Roman"/>
                <w:szCs w:val="24"/>
              </w:rPr>
            </w:pPr>
            <w:r w:rsidRPr="006A1E0A">
              <w:rPr>
                <w:rStyle w:val="a"/>
                <w:rFonts w:ascii="Times New Roman" w:hAnsi="Times New Roman"/>
                <w:szCs w:val="24"/>
              </w:rPr>
              <w:t>*</w:t>
            </w:r>
          </w:p>
        </w:tc>
      </w:tr>
      <w:tr w14:paraId="20882F15" w14:textId="77777777" w:rsidTr="00C92F87">
        <w:tblPrEx>
          <w:tblW w:w="9355" w:type="dxa"/>
          <w:tblLayout w:type="fixed"/>
          <w:tblLook w:val="0020"/>
        </w:tblPrEx>
        <w:tc>
          <w:tcPr>
            <w:tcW w:w="2705" w:type="dxa"/>
          </w:tcPr>
          <w:p w:rsidR="006A1E0A" w:rsidRPr="006A1E0A" w:rsidP="00C92F87" w14:paraId="64C003C3" w14:textId="77777777">
            <w:pPr>
              <w:rPr>
                <w:rFonts w:ascii="Times New Roman" w:hAnsi="Times New Roman"/>
                <w:szCs w:val="24"/>
              </w:rPr>
            </w:pPr>
            <w:r w:rsidRPr="006A1E0A">
              <w:rPr>
                <w:rFonts w:ascii="Times New Roman" w:hAnsi="Times New Roman"/>
                <w:szCs w:val="24"/>
              </w:rPr>
              <w:t>106.45(b)(10) Year 1</w:t>
            </w:r>
          </w:p>
        </w:tc>
        <w:tc>
          <w:tcPr>
            <w:tcW w:w="1275" w:type="dxa"/>
          </w:tcPr>
          <w:p w:rsidR="006A1E0A" w:rsidRPr="006A1E0A" w:rsidP="00C92F87" w14:paraId="355D4182" w14:textId="77777777">
            <w:pPr>
              <w:jc w:val="center"/>
              <w:rPr>
                <w:rFonts w:ascii="Times New Roman" w:hAnsi="Times New Roman"/>
                <w:szCs w:val="24"/>
              </w:rPr>
            </w:pPr>
            <w:r w:rsidRPr="006A1E0A">
              <w:rPr>
                <w:rFonts w:ascii="Times New Roman" w:hAnsi="Times New Roman"/>
                <w:szCs w:val="24"/>
              </w:rPr>
              <w:t>+</w:t>
            </w:r>
          </w:p>
        </w:tc>
        <w:tc>
          <w:tcPr>
            <w:tcW w:w="1080" w:type="dxa"/>
          </w:tcPr>
          <w:p w:rsidR="006A1E0A" w:rsidRPr="006A1E0A" w:rsidP="00C92F87" w14:paraId="55A6E0C2" w14:textId="77777777">
            <w:pPr>
              <w:jc w:val="right"/>
              <w:rPr>
                <w:rFonts w:ascii="Times New Roman" w:hAnsi="Times New Roman"/>
                <w:szCs w:val="24"/>
              </w:rPr>
            </w:pPr>
            <w:r w:rsidRPr="006A1E0A">
              <w:rPr>
                <w:rFonts w:ascii="Times New Roman" w:hAnsi="Times New Roman"/>
                <w:szCs w:val="24"/>
              </w:rPr>
              <w:t>600</w:t>
            </w:r>
          </w:p>
        </w:tc>
        <w:tc>
          <w:tcPr>
            <w:tcW w:w="1235" w:type="dxa"/>
          </w:tcPr>
          <w:p w:rsidR="006A1E0A" w:rsidRPr="006A1E0A" w:rsidP="00C92F87" w14:paraId="7E0945B8" w14:textId="77777777">
            <w:pPr>
              <w:jc w:val="center"/>
              <w:rPr>
                <w:rFonts w:ascii="Times New Roman" w:hAnsi="Times New Roman"/>
                <w:szCs w:val="24"/>
              </w:rPr>
            </w:pPr>
            <w:r w:rsidRPr="006A1E0A">
              <w:rPr>
                <w:rFonts w:ascii="Times New Roman" w:hAnsi="Times New Roman"/>
                <w:szCs w:val="24"/>
              </w:rPr>
              <w:t>12</w:t>
            </w:r>
          </w:p>
        </w:tc>
        <w:tc>
          <w:tcPr>
            <w:tcW w:w="1260" w:type="dxa"/>
          </w:tcPr>
          <w:p w:rsidR="006A1E0A" w:rsidRPr="006A1E0A" w:rsidP="00C92F87" w14:paraId="44C49C7A" w14:textId="77777777">
            <w:pPr>
              <w:jc w:val="right"/>
              <w:rPr>
                <w:rStyle w:val="a"/>
                <w:rFonts w:ascii="Times New Roman" w:hAnsi="Times New Roman"/>
                <w:szCs w:val="24"/>
              </w:rPr>
            </w:pPr>
            <w:r w:rsidRPr="006A1E0A">
              <w:rPr>
                <w:rStyle w:val="a"/>
                <w:rFonts w:ascii="Times New Roman" w:hAnsi="Times New Roman"/>
                <w:szCs w:val="24"/>
              </w:rPr>
              <w:t>7,200</w:t>
            </w:r>
          </w:p>
        </w:tc>
        <w:tc>
          <w:tcPr>
            <w:tcW w:w="1800" w:type="dxa"/>
          </w:tcPr>
          <w:p w:rsidR="006A1E0A" w:rsidRPr="006A1E0A" w:rsidP="00C92F87" w14:paraId="45B3DF3E" w14:textId="77777777">
            <w:pPr>
              <w:jc w:val="right"/>
              <w:rPr>
                <w:rStyle w:val="a"/>
                <w:rFonts w:ascii="Times New Roman" w:hAnsi="Times New Roman"/>
                <w:szCs w:val="24"/>
              </w:rPr>
            </w:pPr>
            <w:r w:rsidRPr="006A1E0A">
              <w:rPr>
                <w:rStyle w:val="a"/>
                <w:rFonts w:ascii="Times New Roman" w:hAnsi="Times New Roman"/>
                <w:szCs w:val="24"/>
              </w:rPr>
              <w:t>$39,114,530</w:t>
            </w:r>
          </w:p>
        </w:tc>
      </w:tr>
      <w:tr w14:paraId="41A54827" w14:textId="77777777" w:rsidTr="00C92F87">
        <w:tblPrEx>
          <w:tblW w:w="9355" w:type="dxa"/>
          <w:tblLayout w:type="fixed"/>
          <w:tblLook w:val="0020"/>
        </w:tblPrEx>
        <w:tc>
          <w:tcPr>
            <w:tcW w:w="2705" w:type="dxa"/>
          </w:tcPr>
          <w:p w:rsidR="006A1E0A" w:rsidRPr="006A1E0A" w:rsidP="00C92F87" w14:paraId="2382FF23" w14:textId="77777777">
            <w:pPr>
              <w:rPr>
                <w:rFonts w:ascii="Times New Roman" w:hAnsi="Times New Roman"/>
                <w:szCs w:val="24"/>
              </w:rPr>
            </w:pPr>
            <w:r w:rsidRPr="006A1E0A">
              <w:rPr>
                <w:rFonts w:ascii="Times New Roman" w:hAnsi="Times New Roman"/>
                <w:szCs w:val="24"/>
              </w:rPr>
              <w:t>106.45(b)(10) Years 2 &amp; 3</w:t>
            </w:r>
          </w:p>
        </w:tc>
        <w:tc>
          <w:tcPr>
            <w:tcW w:w="1275" w:type="dxa"/>
          </w:tcPr>
          <w:p w:rsidR="006A1E0A" w:rsidRPr="006A1E0A" w:rsidP="00C92F87" w14:paraId="7382B8A1" w14:textId="77777777">
            <w:pPr>
              <w:jc w:val="center"/>
              <w:rPr>
                <w:rFonts w:ascii="Times New Roman" w:hAnsi="Times New Roman"/>
                <w:szCs w:val="24"/>
              </w:rPr>
            </w:pPr>
            <w:r w:rsidRPr="006A1E0A">
              <w:rPr>
                <w:rFonts w:ascii="Times New Roman" w:hAnsi="Times New Roman"/>
                <w:szCs w:val="24"/>
              </w:rPr>
              <w:t>+</w:t>
            </w:r>
          </w:p>
        </w:tc>
        <w:tc>
          <w:tcPr>
            <w:tcW w:w="1080" w:type="dxa"/>
          </w:tcPr>
          <w:p w:rsidR="006A1E0A" w:rsidRPr="006A1E0A" w:rsidP="00C92F87" w14:paraId="78F1ED4C" w14:textId="77777777">
            <w:pPr>
              <w:jc w:val="right"/>
              <w:rPr>
                <w:rFonts w:ascii="Times New Roman" w:hAnsi="Times New Roman"/>
                <w:szCs w:val="24"/>
              </w:rPr>
            </w:pPr>
            <w:r w:rsidRPr="006A1E0A">
              <w:rPr>
                <w:rFonts w:ascii="Times New Roman" w:hAnsi="Times New Roman"/>
                <w:szCs w:val="24"/>
              </w:rPr>
              <w:t>33,212</w:t>
            </w:r>
          </w:p>
        </w:tc>
        <w:tc>
          <w:tcPr>
            <w:tcW w:w="1235" w:type="dxa"/>
          </w:tcPr>
          <w:p w:rsidR="006A1E0A" w:rsidRPr="006A1E0A" w:rsidP="00C92F87" w14:paraId="742983B4" w14:textId="77777777">
            <w:pPr>
              <w:jc w:val="center"/>
              <w:rPr>
                <w:rFonts w:ascii="Times New Roman" w:hAnsi="Times New Roman"/>
                <w:szCs w:val="24"/>
              </w:rPr>
            </w:pPr>
            <w:r w:rsidRPr="006A1E0A">
              <w:rPr>
                <w:rFonts w:ascii="Times New Roman" w:hAnsi="Times New Roman"/>
                <w:szCs w:val="24"/>
              </w:rPr>
              <w:t>6</w:t>
            </w:r>
          </w:p>
        </w:tc>
        <w:tc>
          <w:tcPr>
            <w:tcW w:w="1260" w:type="dxa"/>
          </w:tcPr>
          <w:p w:rsidR="006A1E0A" w:rsidRPr="006A1E0A" w:rsidP="00C92F87" w14:paraId="77AE7D69" w14:textId="77777777">
            <w:pPr>
              <w:jc w:val="right"/>
              <w:rPr>
                <w:rStyle w:val="a"/>
                <w:rFonts w:ascii="Times New Roman" w:hAnsi="Times New Roman"/>
                <w:szCs w:val="24"/>
              </w:rPr>
            </w:pPr>
            <w:r w:rsidRPr="006A1E0A">
              <w:rPr>
                <w:rStyle w:val="a"/>
                <w:rFonts w:ascii="Times New Roman" w:hAnsi="Times New Roman"/>
                <w:szCs w:val="24"/>
              </w:rPr>
              <w:t>199,727</w:t>
            </w:r>
          </w:p>
        </w:tc>
        <w:tc>
          <w:tcPr>
            <w:tcW w:w="1800" w:type="dxa"/>
          </w:tcPr>
          <w:p w:rsidR="006A1E0A" w:rsidRPr="006A1E0A" w:rsidP="00C92F87" w14:paraId="7C0E0A12" w14:textId="77777777">
            <w:pPr>
              <w:jc w:val="right"/>
              <w:rPr>
                <w:rStyle w:val="a"/>
                <w:rFonts w:ascii="Times New Roman" w:hAnsi="Times New Roman"/>
                <w:szCs w:val="24"/>
              </w:rPr>
            </w:pPr>
            <w:r w:rsidRPr="006A1E0A">
              <w:rPr>
                <w:rStyle w:val="a"/>
                <w:rFonts w:ascii="Times New Roman" w:hAnsi="Times New Roman"/>
                <w:szCs w:val="24"/>
              </w:rPr>
              <w:t>**</w:t>
            </w:r>
          </w:p>
        </w:tc>
      </w:tr>
      <w:tr w14:paraId="1324B33D" w14:textId="77777777" w:rsidTr="00C92F87">
        <w:tblPrEx>
          <w:tblW w:w="9355" w:type="dxa"/>
          <w:tblLayout w:type="fixed"/>
          <w:tblLook w:val="0020"/>
        </w:tblPrEx>
        <w:tc>
          <w:tcPr>
            <w:tcW w:w="2705" w:type="dxa"/>
          </w:tcPr>
          <w:p w:rsidR="006A1E0A" w:rsidRPr="006A1E0A" w:rsidP="00C92F87" w14:paraId="7CCDE47E" w14:textId="77777777">
            <w:pPr>
              <w:rPr>
                <w:rFonts w:ascii="Times New Roman" w:hAnsi="Times New Roman"/>
                <w:szCs w:val="24"/>
              </w:rPr>
            </w:pPr>
            <w:r w:rsidRPr="006A1E0A">
              <w:rPr>
                <w:rFonts w:ascii="Times New Roman" w:hAnsi="Times New Roman"/>
                <w:szCs w:val="24"/>
              </w:rPr>
              <w:t>106.45(b)(10) Years 2 &amp; 3</w:t>
            </w:r>
          </w:p>
        </w:tc>
        <w:tc>
          <w:tcPr>
            <w:tcW w:w="1275" w:type="dxa"/>
          </w:tcPr>
          <w:p w:rsidR="006A1E0A" w:rsidRPr="006A1E0A" w:rsidP="00C92F87" w14:paraId="01C3BE4C" w14:textId="77777777">
            <w:pPr>
              <w:jc w:val="center"/>
              <w:rPr>
                <w:rFonts w:ascii="Times New Roman" w:hAnsi="Times New Roman"/>
                <w:szCs w:val="24"/>
              </w:rPr>
            </w:pPr>
            <w:r w:rsidRPr="006A1E0A">
              <w:rPr>
                <w:rFonts w:ascii="Times New Roman" w:hAnsi="Times New Roman"/>
                <w:szCs w:val="24"/>
              </w:rPr>
              <w:t>+</w:t>
            </w:r>
          </w:p>
        </w:tc>
        <w:tc>
          <w:tcPr>
            <w:tcW w:w="1080" w:type="dxa"/>
          </w:tcPr>
          <w:p w:rsidR="006A1E0A" w:rsidRPr="006A1E0A" w:rsidP="00C92F87" w14:paraId="4D681B49" w14:textId="77777777">
            <w:pPr>
              <w:jc w:val="right"/>
              <w:rPr>
                <w:rFonts w:ascii="Times New Roman" w:hAnsi="Times New Roman"/>
                <w:szCs w:val="24"/>
              </w:rPr>
            </w:pPr>
            <w:r w:rsidRPr="006A1E0A">
              <w:rPr>
                <w:rFonts w:ascii="Times New Roman" w:hAnsi="Times New Roman"/>
                <w:szCs w:val="24"/>
              </w:rPr>
              <w:t>13,532</w:t>
            </w:r>
          </w:p>
        </w:tc>
        <w:tc>
          <w:tcPr>
            <w:tcW w:w="1235" w:type="dxa"/>
          </w:tcPr>
          <w:p w:rsidR="006A1E0A" w:rsidRPr="006A1E0A" w:rsidP="00C92F87" w14:paraId="2DEBA9C6" w14:textId="77777777">
            <w:pPr>
              <w:jc w:val="center"/>
              <w:rPr>
                <w:rFonts w:ascii="Times New Roman" w:hAnsi="Times New Roman"/>
                <w:szCs w:val="24"/>
              </w:rPr>
            </w:pPr>
            <w:r w:rsidRPr="006A1E0A">
              <w:rPr>
                <w:rFonts w:ascii="Times New Roman" w:hAnsi="Times New Roman"/>
                <w:szCs w:val="24"/>
              </w:rPr>
              <w:t>52</w:t>
            </w:r>
          </w:p>
        </w:tc>
        <w:tc>
          <w:tcPr>
            <w:tcW w:w="1260" w:type="dxa"/>
          </w:tcPr>
          <w:p w:rsidR="006A1E0A" w:rsidRPr="006A1E0A" w:rsidP="00C92F87" w14:paraId="44DCCAC6" w14:textId="77777777">
            <w:pPr>
              <w:jc w:val="right"/>
              <w:rPr>
                <w:rStyle w:val="a"/>
                <w:rFonts w:ascii="Times New Roman" w:hAnsi="Times New Roman"/>
                <w:szCs w:val="24"/>
              </w:rPr>
            </w:pPr>
            <w:r w:rsidRPr="006A1E0A">
              <w:rPr>
                <w:rStyle w:val="a"/>
                <w:rFonts w:ascii="Times New Roman" w:hAnsi="Times New Roman"/>
                <w:szCs w:val="24"/>
              </w:rPr>
              <w:t>703,664</w:t>
            </w:r>
          </w:p>
        </w:tc>
        <w:tc>
          <w:tcPr>
            <w:tcW w:w="1800" w:type="dxa"/>
          </w:tcPr>
          <w:p w:rsidR="006A1E0A" w:rsidRPr="006A1E0A" w:rsidP="00C92F87" w14:paraId="655BF075" w14:textId="77777777">
            <w:pPr>
              <w:jc w:val="right"/>
              <w:rPr>
                <w:rStyle w:val="a"/>
                <w:rFonts w:ascii="Times New Roman" w:hAnsi="Times New Roman"/>
                <w:szCs w:val="24"/>
              </w:rPr>
            </w:pPr>
            <w:r w:rsidRPr="006A1E0A">
              <w:rPr>
                <w:rStyle w:val="a"/>
                <w:rFonts w:ascii="Times New Roman" w:hAnsi="Times New Roman"/>
                <w:szCs w:val="24"/>
              </w:rPr>
              <w:t>**</w:t>
            </w:r>
          </w:p>
        </w:tc>
      </w:tr>
      <w:tr w14:paraId="257F0E31" w14:textId="77777777" w:rsidTr="00C92F87">
        <w:tblPrEx>
          <w:tblW w:w="9355" w:type="dxa"/>
          <w:tblLayout w:type="fixed"/>
          <w:tblLook w:val="0020"/>
        </w:tblPrEx>
        <w:tc>
          <w:tcPr>
            <w:tcW w:w="2705" w:type="dxa"/>
          </w:tcPr>
          <w:p w:rsidR="006A1E0A" w:rsidRPr="006A1E0A" w:rsidP="00C92F87" w14:paraId="01FCF2DF" w14:textId="77777777">
            <w:pPr>
              <w:rPr>
                <w:rFonts w:ascii="Times New Roman" w:hAnsi="Times New Roman"/>
                <w:szCs w:val="24"/>
              </w:rPr>
            </w:pPr>
            <w:r w:rsidRPr="006A1E0A">
              <w:rPr>
                <w:rFonts w:ascii="Times New Roman" w:hAnsi="Times New Roman"/>
                <w:szCs w:val="24"/>
              </w:rPr>
              <w:t>106.45(b)(10) Years 2 &amp; 3</w:t>
            </w:r>
          </w:p>
        </w:tc>
        <w:tc>
          <w:tcPr>
            <w:tcW w:w="1275" w:type="dxa"/>
          </w:tcPr>
          <w:p w:rsidR="006A1E0A" w:rsidRPr="006A1E0A" w:rsidP="00C92F87" w14:paraId="5FFE01F8" w14:textId="77777777">
            <w:pPr>
              <w:jc w:val="center"/>
              <w:rPr>
                <w:rFonts w:ascii="Times New Roman" w:hAnsi="Times New Roman"/>
                <w:szCs w:val="24"/>
              </w:rPr>
            </w:pPr>
            <w:r w:rsidRPr="006A1E0A">
              <w:rPr>
                <w:rFonts w:ascii="Times New Roman" w:hAnsi="Times New Roman"/>
                <w:szCs w:val="24"/>
              </w:rPr>
              <w:t>+</w:t>
            </w:r>
          </w:p>
        </w:tc>
        <w:tc>
          <w:tcPr>
            <w:tcW w:w="1080" w:type="dxa"/>
          </w:tcPr>
          <w:p w:rsidR="006A1E0A" w:rsidRPr="006A1E0A" w:rsidP="00C92F87" w14:paraId="2E9E6056" w14:textId="77777777">
            <w:pPr>
              <w:jc w:val="right"/>
              <w:rPr>
                <w:rFonts w:ascii="Times New Roman" w:hAnsi="Times New Roman"/>
                <w:szCs w:val="24"/>
              </w:rPr>
            </w:pPr>
            <w:r w:rsidRPr="006A1E0A">
              <w:rPr>
                <w:rFonts w:ascii="Times New Roman" w:hAnsi="Times New Roman"/>
                <w:szCs w:val="24"/>
              </w:rPr>
              <w:t>1,200</w:t>
            </w:r>
          </w:p>
        </w:tc>
        <w:tc>
          <w:tcPr>
            <w:tcW w:w="1235" w:type="dxa"/>
          </w:tcPr>
          <w:p w:rsidR="006A1E0A" w:rsidRPr="006A1E0A" w:rsidP="00C92F87" w14:paraId="0CE29A89" w14:textId="77777777">
            <w:pPr>
              <w:jc w:val="center"/>
              <w:rPr>
                <w:rFonts w:ascii="Times New Roman" w:hAnsi="Times New Roman"/>
                <w:szCs w:val="24"/>
              </w:rPr>
            </w:pPr>
            <w:r w:rsidRPr="006A1E0A">
              <w:rPr>
                <w:rFonts w:ascii="Times New Roman" w:hAnsi="Times New Roman"/>
                <w:szCs w:val="24"/>
              </w:rPr>
              <w:t>6</w:t>
            </w:r>
          </w:p>
        </w:tc>
        <w:tc>
          <w:tcPr>
            <w:tcW w:w="1260" w:type="dxa"/>
          </w:tcPr>
          <w:p w:rsidR="006A1E0A" w:rsidRPr="006A1E0A" w:rsidP="00C92F87" w14:paraId="6C4F44B2" w14:textId="77777777">
            <w:pPr>
              <w:jc w:val="right"/>
              <w:rPr>
                <w:rStyle w:val="a"/>
                <w:rFonts w:ascii="Times New Roman" w:hAnsi="Times New Roman"/>
                <w:szCs w:val="24"/>
              </w:rPr>
            </w:pPr>
            <w:r w:rsidRPr="006A1E0A">
              <w:rPr>
                <w:rStyle w:val="a"/>
                <w:rFonts w:ascii="Times New Roman" w:hAnsi="Times New Roman"/>
                <w:szCs w:val="24"/>
              </w:rPr>
              <w:t>7,200</w:t>
            </w:r>
          </w:p>
        </w:tc>
        <w:tc>
          <w:tcPr>
            <w:tcW w:w="1800" w:type="dxa"/>
          </w:tcPr>
          <w:p w:rsidR="006A1E0A" w:rsidRPr="006A1E0A" w:rsidP="00C92F87" w14:paraId="380B5315" w14:textId="77777777">
            <w:pPr>
              <w:jc w:val="right"/>
              <w:rPr>
                <w:rStyle w:val="a"/>
                <w:rFonts w:ascii="Times New Roman" w:hAnsi="Times New Roman"/>
                <w:szCs w:val="24"/>
              </w:rPr>
            </w:pPr>
            <w:r w:rsidRPr="006A1E0A">
              <w:rPr>
                <w:rStyle w:val="a"/>
                <w:rFonts w:ascii="Times New Roman" w:hAnsi="Times New Roman"/>
                <w:szCs w:val="24"/>
              </w:rPr>
              <w:t>$30,378,520</w:t>
            </w:r>
          </w:p>
        </w:tc>
      </w:tr>
      <w:tr w14:paraId="1E66823E" w14:textId="77777777" w:rsidTr="00C92F87">
        <w:tblPrEx>
          <w:tblW w:w="9355" w:type="dxa"/>
          <w:tblLayout w:type="fixed"/>
          <w:tblLook w:val="0020"/>
        </w:tblPrEx>
        <w:tc>
          <w:tcPr>
            <w:tcW w:w="2705" w:type="dxa"/>
          </w:tcPr>
          <w:p w:rsidR="006A1E0A" w:rsidRPr="006A1E0A" w:rsidP="00C92F87" w14:paraId="1650452C" w14:textId="77777777">
            <w:pPr>
              <w:rPr>
                <w:rFonts w:ascii="Times New Roman" w:hAnsi="Times New Roman"/>
                <w:szCs w:val="24"/>
              </w:rPr>
            </w:pPr>
            <w:r w:rsidRPr="006A1E0A">
              <w:rPr>
                <w:rFonts w:ascii="Times New Roman" w:hAnsi="Times New Roman"/>
                <w:szCs w:val="24"/>
              </w:rPr>
              <w:t>TOTALS</w:t>
            </w:r>
          </w:p>
        </w:tc>
        <w:tc>
          <w:tcPr>
            <w:tcW w:w="1275" w:type="dxa"/>
          </w:tcPr>
          <w:p w:rsidR="006A1E0A" w:rsidRPr="006A1E0A" w:rsidP="00C92F87" w14:paraId="207A5485" w14:textId="77777777">
            <w:pPr>
              <w:jc w:val="right"/>
              <w:rPr>
                <w:rFonts w:ascii="Times New Roman" w:hAnsi="Times New Roman"/>
                <w:szCs w:val="24"/>
              </w:rPr>
            </w:pPr>
            <w:r w:rsidRPr="006A1E0A">
              <w:rPr>
                <w:rFonts w:ascii="Times New Roman" w:hAnsi="Times New Roman"/>
                <w:szCs w:val="24"/>
              </w:rPr>
              <w:t>23,972</w:t>
            </w:r>
          </w:p>
        </w:tc>
        <w:tc>
          <w:tcPr>
            <w:tcW w:w="1080" w:type="dxa"/>
          </w:tcPr>
          <w:p w:rsidR="006A1E0A" w:rsidRPr="006A1E0A" w:rsidP="00C92F87" w14:paraId="10093A40" w14:textId="77777777">
            <w:pPr>
              <w:jc w:val="right"/>
              <w:rPr>
                <w:rFonts w:ascii="Times New Roman" w:hAnsi="Times New Roman"/>
                <w:szCs w:val="24"/>
              </w:rPr>
            </w:pPr>
            <w:r w:rsidRPr="006A1E0A">
              <w:rPr>
                <w:rFonts w:ascii="Times New Roman" w:hAnsi="Times New Roman"/>
                <w:szCs w:val="24"/>
              </w:rPr>
              <w:t>119,860</w:t>
            </w:r>
          </w:p>
        </w:tc>
        <w:tc>
          <w:tcPr>
            <w:tcW w:w="1235" w:type="dxa"/>
          </w:tcPr>
          <w:p w:rsidR="006A1E0A" w:rsidRPr="006A1E0A" w:rsidP="00C92F87" w14:paraId="4D0C6B1D" w14:textId="77777777">
            <w:pPr>
              <w:jc w:val="center"/>
              <w:rPr>
                <w:rFonts w:ascii="Times New Roman" w:hAnsi="Times New Roman"/>
                <w:szCs w:val="24"/>
              </w:rPr>
            </w:pPr>
          </w:p>
        </w:tc>
        <w:tc>
          <w:tcPr>
            <w:tcW w:w="1260" w:type="dxa"/>
          </w:tcPr>
          <w:p w:rsidR="006A1E0A" w:rsidRPr="006A1E0A" w:rsidP="00C92F87" w14:paraId="70760469" w14:textId="77777777">
            <w:pPr>
              <w:jc w:val="right"/>
              <w:rPr>
                <w:rStyle w:val="a"/>
                <w:rFonts w:ascii="Times New Roman" w:hAnsi="Times New Roman"/>
                <w:szCs w:val="24"/>
              </w:rPr>
            </w:pPr>
            <w:r w:rsidRPr="006A1E0A">
              <w:rPr>
                <w:rStyle w:val="a"/>
                <w:rFonts w:ascii="Times New Roman" w:hAnsi="Times New Roman"/>
                <w:szCs w:val="24"/>
              </w:rPr>
              <w:t>1,892,188</w:t>
            </w:r>
          </w:p>
        </w:tc>
        <w:tc>
          <w:tcPr>
            <w:tcW w:w="1800" w:type="dxa"/>
          </w:tcPr>
          <w:p w:rsidR="006A1E0A" w:rsidRPr="006A1E0A" w:rsidP="00C92F87" w14:paraId="7A9417EB" w14:textId="77777777">
            <w:pPr>
              <w:jc w:val="right"/>
              <w:rPr>
                <w:rStyle w:val="a"/>
                <w:rFonts w:ascii="Times New Roman" w:hAnsi="Times New Roman"/>
                <w:szCs w:val="24"/>
              </w:rPr>
            </w:pPr>
            <w:r w:rsidRPr="006A1E0A">
              <w:rPr>
                <w:rStyle w:val="a"/>
                <w:rFonts w:ascii="Times New Roman" w:hAnsi="Times New Roman"/>
                <w:szCs w:val="24"/>
              </w:rPr>
              <w:t>$74,794,358</w:t>
            </w:r>
          </w:p>
        </w:tc>
      </w:tr>
    </w:tbl>
    <w:p w:rsidR="001A6AE0" w:rsidRPr="006A1E0A" w:rsidP="000446F5" w14:paraId="5D9F3F57" w14:textId="77777777">
      <w:pPr>
        <w:pStyle w:val="ListParagraph"/>
        <w:tabs>
          <w:tab w:val="left" w:pos="-720"/>
        </w:tabs>
        <w:suppressAutoHyphens/>
        <w:ind w:left="-864" w:right="-864"/>
        <w:rPr>
          <w:rStyle w:val="a"/>
          <w:rFonts w:ascii="Times New Roman" w:hAnsi="Times New Roman"/>
          <w:b/>
          <w:bCs/>
          <w:i/>
          <w:iCs/>
          <w:szCs w:val="24"/>
        </w:rPr>
      </w:pPr>
    </w:p>
    <w:p w:rsidR="006A1E0A" w:rsidRPr="006A1E0A" w:rsidP="006A1E0A" w14:paraId="414DDD00" w14:textId="77777777">
      <w:pPr>
        <w:tabs>
          <w:tab w:val="left" w:pos="-720"/>
        </w:tabs>
        <w:suppressAutoHyphens/>
        <w:ind w:left="720"/>
        <w:rPr>
          <w:rStyle w:val="a"/>
          <w:rFonts w:ascii="Times New Roman" w:hAnsi="Times New Roman"/>
          <w:szCs w:val="24"/>
        </w:rPr>
      </w:pPr>
      <w:r w:rsidRPr="006A1E0A">
        <w:rPr>
          <w:rStyle w:val="a"/>
          <w:rFonts w:ascii="Times New Roman" w:hAnsi="Times New Roman"/>
          <w:szCs w:val="24"/>
        </w:rPr>
        <w:t>+ Is used to avoid double counting the actual universe of estimated respondents.</w:t>
      </w:r>
    </w:p>
    <w:p w:rsidR="006A1E0A" w:rsidRPr="006A1E0A" w:rsidP="006A1E0A" w14:paraId="63240E28" w14:textId="77777777">
      <w:pPr>
        <w:tabs>
          <w:tab w:val="left" w:pos="-720"/>
        </w:tabs>
        <w:suppressAutoHyphens/>
        <w:rPr>
          <w:rStyle w:val="a"/>
          <w:rFonts w:ascii="Times New Roman" w:hAnsi="Times New Roman"/>
          <w:szCs w:val="24"/>
        </w:rPr>
      </w:pPr>
      <w:r w:rsidRPr="006A1E0A">
        <w:rPr>
          <w:rStyle w:val="a"/>
          <w:rFonts w:ascii="Times New Roman" w:hAnsi="Times New Roman"/>
          <w:szCs w:val="24"/>
        </w:rPr>
        <w:tab/>
        <w:t>*The estimated annual cost was calculated as a total for all three subcategories of respondents.</w:t>
      </w:r>
    </w:p>
    <w:p w:rsidR="006A1E0A" w:rsidRPr="006A1E0A" w:rsidP="006A1E0A" w14:paraId="79400778" w14:textId="77777777">
      <w:pPr>
        <w:tabs>
          <w:tab w:val="left" w:pos="-720"/>
        </w:tabs>
        <w:suppressAutoHyphens/>
        <w:rPr>
          <w:rStyle w:val="a"/>
          <w:rFonts w:ascii="Times New Roman" w:hAnsi="Times New Roman"/>
          <w:szCs w:val="24"/>
        </w:rPr>
      </w:pPr>
      <w:r w:rsidRPr="006A1E0A">
        <w:rPr>
          <w:rStyle w:val="a"/>
          <w:rFonts w:ascii="Times New Roman" w:hAnsi="Times New Roman"/>
          <w:szCs w:val="24"/>
        </w:rPr>
        <w:tab/>
        <w:t>**The estimated annual cost for year 2 and 3 is $15,189,260 for each year</w:t>
      </w:r>
    </w:p>
    <w:p w:rsidR="006A1E0A" w:rsidP="000446F5" w14:paraId="286B78DC" w14:textId="77777777">
      <w:pPr>
        <w:pStyle w:val="ListParagraph"/>
        <w:tabs>
          <w:tab w:val="left" w:pos="-720"/>
        </w:tabs>
        <w:suppressAutoHyphens/>
        <w:ind w:left="-864" w:right="-864"/>
        <w:rPr>
          <w:rStyle w:val="a"/>
          <w:rFonts w:ascii="Times New Roman" w:hAnsi="Times New Roman"/>
          <w:b/>
          <w:bCs/>
          <w:i/>
          <w:iCs/>
          <w:sz w:val="22"/>
          <w:szCs w:val="22"/>
        </w:rPr>
      </w:pPr>
    </w:p>
    <w:p w:rsidR="006A1E0A" w:rsidP="000446F5" w14:paraId="3E0869E9" w14:textId="77777777">
      <w:pPr>
        <w:pStyle w:val="ListParagraph"/>
        <w:tabs>
          <w:tab w:val="left" w:pos="-720"/>
        </w:tabs>
        <w:suppressAutoHyphens/>
        <w:ind w:left="-864" w:right="-864"/>
        <w:rPr>
          <w:rStyle w:val="a"/>
          <w:rFonts w:ascii="Times New Roman" w:hAnsi="Times New Roman"/>
          <w:b/>
          <w:bCs/>
          <w:i/>
          <w:iCs/>
          <w:sz w:val="22"/>
          <w:szCs w:val="22"/>
        </w:rPr>
      </w:pPr>
    </w:p>
    <w:p w:rsidR="00F31BEC" w:rsidRPr="00AF5D1A" w:rsidP="000446F5" w14:paraId="63D3EF4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48E61C2" w14:textId="77777777">
      <w:pPr>
        <w:pStyle w:val="ListParagraph"/>
        <w:tabs>
          <w:tab w:val="left" w:pos="-720"/>
        </w:tabs>
        <w:suppressAutoHyphens/>
        <w:rPr>
          <w:rStyle w:val="a"/>
          <w:rFonts w:ascii="Times New Roman" w:hAnsi="Times New Roman"/>
          <w:szCs w:val="24"/>
        </w:rPr>
      </w:pPr>
    </w:p>
    <w:p w:rsidR="00043C32" w:rsidRPr="00ED7195" w:rsidP="00AD381B" w14:paraId="754944D0"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16E1CAA3" w14:textId="77777777">
      <w:pPr>
        <w:tabs>
          <w:tab w:val="left" w:pos="-720"/>
        </w:tabs>
        <w:suppressAutoHyphens/>
        <w:rPr>
          <w:rFonts w:ascii="Times New Roman" w:hAnsi="Times New Roman"/>
          <w:b/>
          <w:szCs w:val="24"/>
        </w:rPr>
      </w:pPr>
    </w:p>
    <w:p w:rsidR="00043C32" w:rsidRPr="00ED7195" w:rsidP="00AD381B" w14:paraId="6F27986B"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D0F2C77" w14:textId="77777777">
      <w:pPr>
        <w:numPr>
          <w:ilvl w:val="12"/>
          <w:numId w:val="0"/>
        </w:numPr>
        <w:tabs>
          <w:tab w:val="left" w:pos="-720"/>
        </w:tabs>
        <w:suppressAutoHyphens/>
        <w:ind w:left="340"/>
        <w:rPr>
          <w:rFonts w:ascii="Times New Roman" w:hAnsi="Times New Roman"/>
          <w:szCs w:val="24"/>
        </w:rPr>
      </w:pPr>
    </w:p>
    <w:p w:rsidR="00043C32" w:rsidRPr="00ED7195" w:rsidP="00AD381B" w14:paraId="2A29CB24"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w:t>
      </w:r>
      <w:r w:rsidRPr="00ED7195">
        <w:rPr>
          <w:rFonts w:ascii="Times New Roman" w:hAnsi="Times New Roman"/>
          <w:b/>
          <w:szCs w:val="24"/>
        </w:rPr>
        <w:t>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2062EBDD" w14:textId="77777777">
      <w:pPr>
        <w:tabs>
          <w:tab w:val="left" w:pos="-720"/>
          <w:tab w:val="left" w:pos="1247"/>
        </w:tabs>
        <w:suppressAutoHyphens/>
        <w:ind w:left="340"/>
        <w:rPr>
          <w:rFonts w:ascii="Times New Roman" w:hAnsi="Times New Roman"/>
          <w:b/>
          <w:szCs w:val="24"/>
        </w:rPr>
      </w:pPr>
    </w:p>
    <w:p w:rsidR="00043C32" w:rsidRPr="00ED7195" w:rsidP="00AD381B" w14:paraId="0DFF3137"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120FB9BD" w14:textId="77777777">
      <w:pPr>
        <w:tabs>
          <w:tab w:val="left" w:pos="-720"/>
        </w:tabs>
        <w:suppressAutoHyphens/>
        <w:rPr>
          <w:rFonts w:ascii="Times New Roman" w:hAnsi="Times New Roman"/>
          <w:b/>
          <w:szCs w:val="24"/>
        </w:rPr>
      </w:pPr>
    </w:p>
    <w:p w:rsidR="00043C32" w:rsidRPr="00ED7195" w:rsidP="00AD381B" w14:paraId="00554854"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2C468A0"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23EE9F1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145AED5C" w14:textId="77777777">
      <w:pPr>
        <w:tabs>
          <w:tab w:val="left" w:pos="-720"/>
        </w:tabs>
        <w:suppressAutoHyphens/>
        <w:rPr>
          <w:rFonts w:ascii="Times New Roman" w:hAnsi="Times New Roman"/>
          <w:szCs w:val="24"/>
        </w:rPr>
      </w:pPr>
    </w:p>
    <w:p w:rsidR="006A1E0A" w:rsidP="00AD381B" w14:paraId="7F50A362" w14:textId="77777777">
      <w:pPr>
        <w:tabs>
          <w:tab w:val="left" w:pos="-720"/>
        </w:tabs>
        <w:suppressAutoHyphens/>
        <w:rPr>
          <w:rFonts w:ascii="Times New Roman" w:hAnsi="Times New Roman"/>
          <w:szCs w:val="24"/>
        </w:rPr>
      </w:pPr>
      <w:r>
        <w:rPr>
          <w:rFonts w:ascii="Times New Roman" w:hAnsi="Times New Roman"/>
          <w:szCs w:val="24"/>
        </w:rPr>
        <w:t xml:space="preserve">There are no costs to respondents not recorded in item 12. </w:t>
      </w:r>
    </w:p>
    <w:p w:rsidR="006A1E0A" w:rsidP="00AD381B" w14:paraId="5398D2F2" w14:textId="77777777">
      <w:pPr>
        <w:tabs>
          <w:tab w:val="left" w:pos="-720"/>
        </w:tabs>
        <w:suppressAutoHyphens/>
        <w:rPr>
          <w:rFonts w:ascii="Times New Roman" w:hAnsi="Times New Roman"/>
          <w:szCs w:val="24"/>
        </w:rPr>
      </w:pPr>
    </w:p>
    <w:p w:rsidR="00043C32" w:rsidRPr="00534B4A" w:rsidP="00AD381B" w14:paraId="28E180E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6E1BFD54" w14:textId="77777777">
      <w:pPr>
        <w:tabs>
          <w:tab w:val="left" w:pos="-720"/>
        </w:tabs>
        <w:suppressAutoHyphens/>
        <w:rPr>
          <w:rFonts w:ascii="Times New Roman" w:hAnsi="Times New Roman"/>
          <w:szCs w:val="24"/>
        </w:rPr>
      </w:pPr>
    </w:p>
    <w:p w:rsidR="006A1E0A" w:rsidP="00534B4A" w14:paraId="42D27BAC" w14:textId="77777777">
      <w:pPr>
        <w:tabs>
          <w:tab w:val="left" w:pos="-720"/>
        </w:tabs>
        <w:suppressAutoHyphens/>
        <w:rPr>
          <w:rFonts w:ascii="Times New Roman" w:hAnsi="Times New Roman"/>
          <w:szCs w:val="24"/>
        </w:rPr>
      </w:pPr>
      <w:r>
        <w:rPr>
          <w:rFonts w:ascii="Times New Roman" w:hAnsi="Times New Roman"/>
          <w:szCs w:val="24"/>
        </w:rPr>
        <w:t xml:space="preserve">There are no costs to the Federal government. </w:t>
      </w:r>
    </w:p>
    <w:p w:rsidR="00534B4A" w:rsidP="00534B4A" w14:paraId="1FDF4E94" w14:textId="77777777">
      <w:pPr>
        <w:pStyle w:val="ListParagraph"/>
        <w:tabs>
          <w:tab w:val="left" w:pos="-720"/>
        </w:tabs>
        <w:suppressAutoHyphens/>
        <w:ind w:left="907"/>
        <w:contextualSpacing w:val="0"/>
        <w:rPr>
          <w:rFonts w:ascii="Times New Roman" w:hAnsi="Times New Roman"/>
          <w:szCs w:val="24"/>
        </w:rPr>
      </w:pPr>
    </w:p>
    <w:p w:rsidR="00800D30" w:rsidP="00800D30" w14:paraId="54D6361E"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38E6F923" w14:textId="77777777">
      <w:pPr>
        <w:pStyle w:val="ListParagraph"/>
        <w:tabs>
          <w:tab w:val="left" w:pos="-720"/>
        </w:tabs>
        <w:suppressAutoHyphens/>
        <w:contextualSpacing w:val="0"/>
        <w:rPr>
          <w:rFonts w:ascii="Times New Roman" w:hAnsi="Times New Roman"/>
          <w:b/>
          <w:szCs w:val="24"/>
        </w:rPr>
      </w:pPr>
    </w:p>
    <w:p w:rsidR="00800D30" w:rsidRPr="00756FD3" w:rsidP="00800D30" w14:paraId="0FF07E32"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18260C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07C5B73" w14:textId="77777777" w:rsidTr="0052073E">
        <w:tblPrEx>
          <w:tblW w:w="9445" w:type="dxa"/>
          <w:tblLook w:val="04A0"/>
        </w:tblPrEx>
        <w:tc>
          <w:tcPr>
            <w:tcW w:w="2048" w:type="dxa"/>
            <w:shd w:val="clear" w:color="auto" w:fill="D9D9D9" w:themeFill="background1" w:themeFillShade="D9"/>
          </w:tcPr>
          <w:p w:rsidR="0052073E" w:rsidP="00534B4A" w14:paraId="06C4BBC9" w14:textId="77777777">
            <w:pPr>
              <w:tabs>
                <w:tab w:val="left" w:pos="-720"/>
              </w:tabs>
              <w:suppressAutoHyphens/>
              <w:rPr>
                <w:rFonts w:ascii="Times New Roman" w:hAnsi="Times New Roman"/>
                <w:b/>
                <w:szCs w:val="24"/>
              </w:rPr>
            </w:pPr>
          </w:p>
        </w:tc>
        <w:tc>
          <w:tcPr>
            <w:tcW w:w="2048" w:type="dxa"/>
          </w:tcPr>
          <w:p w:rsidR="0052073E" w:rsidP="00534B4A" w14:paraId="4464B5CE"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69F8AFB"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11A3B5A6"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423694D6" w14:textId="77777777" w:rsidTr="0052073E">
        <w:tblPrEx>
          <w:tblW w:w="9445" w:type="dxa"/>
          <w:tblLook w:val="04A0"/>
        </w:tblPrEx>
        <w:tc>
          <w:tcPr>
            <w:tcW w:w="2048" w:type="dxa"/>
          </w:tcPr>
          <w:p w:rsidR="0052073E" w:rsidP="00534B4A" w14:paraId="4DCD22D1"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1BD962C" w14:textId="77777777">
            <w:pPr>
              <w:tabs>
                <w:tab w:val="left" w:pos="-720"/>
              </w:tabs>
              <w:suppressAutoHyphens/>
              <w:rPr>
                <w:rFonts w:ascii="Times New Roman" w:hAnsi="Times New Roman"/>
                <w:b/>
                <w:szCs w:val="24"/>
              </w:rPr>
            </w:pPr>
          </w:p>
        </w:tc>
        <w:tc>
          <w:tcPr>
            <w:tcW w:w="2829" w:type="dxa"/>
          </w:tcPr>
          <w:p w:rsidR="0052073E" w:rsidP="00534B4A" w14:paraId="7137058D" w14:textId="77777777">
            <w:pPr>
              <w:tabs>
                <w:tab w:val="left" w:pos="-720"/>
              </w:tabs>
              <w:suppressAutoHyphens/>
              <w:rPr>
                <w:rFonts w:ascii="Times New Roman" w:hAnsi="Times New Roman"/>
                <w:b/>
                <w:szCs w:val="24"/>
              </w:rPr>
            </w:pPr>
          </w:p>
        </w:tc>
        <w:tc>
          <w:tcPr>
            <w:tcW w:w="2520" w:type="dxa"/>
          </w:tcPr>
          <w:p w:rsidR="0052073E" w:rsidP="00534B4A" w14:paraId="66DCDDD1" w14:textId="77777777">
            <w:pPr>
              <w:tabs>
                <w:tab w:val="left" w:pos="-720"/>
              </w:tabs>
              <w:suppressAutoHyphens/>
              <w:rPr>
                <w:rFonts w:ascii="Times New Roman" w:hAnsi="Times New Roman"/>
                <w:b/>
                <w:szCs w:val="24"/>
              </w:rPr>
            </w:pPr>
          </w:p>
        </w:tc>
      </w:tr>
      <w:tr w14:paraId="53B5DA6A" w14:textId="77777777" w:rsidTr="0052073E">
        <w:tblPrEx>
          <w:tblW w:w="9445" w:type="dxa"/>
          <w:tblLook w:val="04A0"/>
        </w:tblPrEx>
        <w:tc>
          <w:tcPr>
            <w:tcW w:w="2048" w:type="dxa"/>
          </w:tcPr>
          <w:p w:rsidR="0052073E" w:rsidP="00534B4A" w14:paraId="42F89D86"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6BFF7F8" w14:textId="77777777">
            <w:pPr>
              <w:tabs>
                <w:tab w:val="left" w:pos="-720"/>
              </w:tabs>
              <w:suppressAutoHyphens/>
              <w:rPr>
                <w:rFonts w:ascii="Times New Roman" w:hAnsi="Times New Roman"/>
                <w:b/>
                <w:szCs w:val="24"/>
              </w:rPr>
            </w:pPr>
          </w:p>
        </w:tc>
        <w:tc>
          <w:tcPr>
            <w:tcW w:w="2829" w:type="dxa"/>
          </w:tcPr>
          <w:p w:rsidR="0052073E" w:rsidP="00534B4A" w14:paraId="1D98BA37" w14:textId="77777777">
            <w:pPr>
              <w:tabs>
                <w:tab w:val="left" w:pos="-720"/>
              </w:tabs>
              <w:suppressAutoHyphens/>
              <w:rPr>
                <w:rFonts w:ascii="Times New Roman" w:hAnsi="Times New Roman"/>
                <w:b/>
                <w:szCs w:val="24"/>
              </w:rPr>
            </w:pPr>
          </w:p>
        </w:tc>
        <w:tc>
          <w:tcPr>
            <w:tcW w:w="2520" w:type="dxa"/>
          </w:tcPr>
          <w:p w:rsidR="0052073E" w:rsidP="00534B4A" w14:paraId="072C90A6" w14:textId="77777777">
            <w:pPr>
              <w:tabs>
                <w:tab w:val="left" w:pos="-720"/>
              </w:tabs>
              <w:suppressAutoHyphens/>
              <w:rPr>
                <w:rFonts w:ascii="Times New Roman" w:hAnsi="Times New Roman"/>
                <w:b/>
                <w:szCs w:val="24"/>
              </w:rPr>
            </w:pPr>
          </w:p>
        </w:tc>
      </w:tr>
      <w:tr w14:paraId="337A8227" w14:textId="77777777" w:rsidTr="0052073E">
        <w:tblPrEx>
          <w:tblW w:w="9445" w:type="dxa"/>
          <w:tblLook w:val="04A0"/>
        </w:tblPrEx>
        <w:tc>
          <w:tcPr>
            <w:tcW w:w="2048" w:type="dxa"/>
          </w:tcPr>
          <w:p w:rsidR="0052073E" w:rsidP="00534B4A" w14:paraId="0288F17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AA55892" w14:textId="77777777">
            <w:pPr>
              <w:tabs>
                <w:tab w:val="left" w:pos="-720"/>
              </w:tabs>
              <w:suppressAutoHyphens/>
              <w:rPr>
                <w:rFonts w:ascii="Times New Roman" w:hAnsi="Times New Roman"/>
                <w:b/>
                <w:szCs w:val="24"/>
              </w:rPr>
            </w:pPr>
          </w:p>
        </w:tc>
        <w:tc>
          <w:tcPr>
            <w:tcW w:w="2829" w:type="dxa"/>
          </w:tcPr>
          <w:p w:rsidR="0052073E" w:rsidP="00534B4A" w14:paraId="1443C52A" w14:textId="77777777">
            <w:pPr>
              <w:tabs>
                <w:tab w:val="left" w:pos="-720"/>
              </w:tabs>
              <w:suppressAutoHyphens/>
              <w:rPr>
                <w:rFonts w:ascii="Times New Roman" w:hAnsi="Times New Roman"/>
                <w:b/>
                <w:szCs w:val="24"/>
              </w:rPr>
            </w:pPr>
          </w:p>
        </w:tc>
        <w:tc>
          <w:tcPr>
            <w:tcW w:w="2520" w:type="dxa"/>
          </w:tcPr>
          <w:p w:rsidR="0052073E" w:rsidP="00534B4A" w14:paraId="06EFAADD" w14:textId="77777777">
            <w:pPr>
              <w:tabs>
                <w:tab w:val="left" w:pos="-720"/>
              </w:tabs>
              <w:suppressAutoHyphens/>
              <w:rPr>
                <w:rFonts w:ascii="Times New Roman" w:hAnsi="Times New Roman"/>
                <w:b/>
                <w:szCs w:val="24"/>
              </w:rPr>
            </w:pPr>
          </w:p>
        </w:tc>
      </w:tr>
    </w:tbl>
    <w:p w:rsidR="00F27AAF" w:rsidP="00534B4A" w14:paraId="7DDFEFE6" w14:textId="77777777">
      <w:pPr>
        <w:tabs>
          <w:tab w:val="left" w:pos="-720"/>
        </w:tabs>
        <w:suppressAutoHyphens/>
        <w:rPr>
          <w:rFonts w:ascii="Times New Roman" w:hAnsi="Times New Roman"/>
          <w:b/>
          <w:szCs w:val="24"/>
        </w:rPr>
      </w:pPr>
    </w:p>
    <w:p w:rsidR="00E75810" w:rsidP="00E75810" w14:paraId="130353AD" w14:textId="77777777">
      <w:pPr>
        <w:pStyle w:val="ListParagraph"/>
        <w:tabs>
          <w:tab w:val="left" w:pos="-720"/>
        </w:tabs>
        <w:suppressAutoHyphens/>
        <w:contextualSpacing w:val="0"/>
        <w:rPr>
          <w:rFonts w:ascii="Times New Roman" w:hAnsi="Times New Roman"/>
          <w:b/>
          <w:szCs w:val="24"/>
        </w:rPr>
      </w:pPr>
    </w:p>
    <w:p w:rsidR="00E75810" w:rsidRPr="00D34B0F" w:rsidP="00E75810" w14:paraId="01ADD6EA" w14:textId="77777777">
      <w:pPr>
        <w:tabs>
          <w:tab w:val="left" w:pos="-720"/>
        </w:tabs>
        <w:suppressAutoHyphens/>
        <w:ind w:left="173"/>
        <w:rPr>
          <w:rStyle w:val="a"/>
          <w:rFonts w:ascii="Times New Roman" w:hAnsi="Times New Roman"/>
          <w:color w:val="FF0000"/>
          <w:szCs w:val="24"/>
        </w:rPr>
      </w:pPr>
      <w:r w:rsidRPr="00D34B0F">
        <w:rPr>
          <w:rFonts w:ascii="Times New Roman" w:hAnsi="Times New Roman"/>
          <w:color w:val="FF0000"/>
          <w:szCs w:val="24"/>
        </w:rPr>
        <w:t>There are no changes to this extension</w:t>
      </w:r>
      <w:r w:rsidR="00EB6FA7">
        <w:rPr>
          <w:rFonts w:ascii="Times New Roman" w:hAnsi="Times New Roman"/>
          <w:color w:val="FF0000"/>
          <w:szCs w:val="24"/>
        </w:rPr>
        <w:t xml:space="preserve"> of a </w:t>
      </w:r>
      <w:r w:rsidRPr="00B41DCF" w:rsidR="00EB6FA7">
        <w:rPr>
          <w:rFonts w:ascii="Times New Roman" w:hAnsi="Times New Roman"/>
          <w:color w:val="FF0000"/>
          <w:szCs w:val="24"/>
        </w:rPr>
        <w:t>currently approved ICR</w:t>
      </w:r>
      <w:r w:rsidRPr="00D34B0F">
        <w:rPr>
          <w:rFonts w:ascii="Times New Roman" w:hAnsi="Times New Roman"/>
          <w:color w:val="FF0000"/>
          <w:szCs w:val="24"/>
        </w:rPr>
        <w:t>. It is a renewal to extend the expiration date.</w:t>
      </w:r>
    </w:p>
    <w:p w:rsidR="00E75810" w:rsidRPr="00D34B0F" w:rsidP="00534B4A" w14:paraId="051A71EE" w14:textId="77777777">
      <w:pPr>
        <w:tabs>
          <w:tab w:val="left" w:pos="-720"/>
        </w:tabs>
        <w:suppressAutoHyphens/>
        <w:rPr>
          <w:rFonts w:ascii="Times New Roman" w:hAnsi="Times New Roman"/>
          <w:b/>
          <w:color w:val="FF0000"/>
          <w:szCs w:val="24"/>
        </w:rPr>
      </w:pPr>
    </w:p>
    <w:p w:rsidR="00534B4A" w:rsidRPr="00534B4A" w:rsidP="00534B4A" w14:paraId="62915D4D" w14:textId="77777777">
      <w:pPr>
        <w:tabs>
          <w:tab w:val="left" w:pos="-720"/>
        </w:tabs>
        <w:suppressAutoHyphens/>
        <w:rPr>
          <w:rFonts w:ascii="Times New Roman" w:hAnsi="Times New Roman"/>
          <w:szCs w:val="24"/>
        </w:rPr>
      </w:pPr>
    </w:p>
    <w:p w:rsidR="00043C32" w:rsidP="00AD381B" w14:paraId="7DB53963"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2C67877F" w14:textId="77777777">
      <w:pPr>
        <w:tabs>
          <w:tab w:val="left" w:pos="-720"/>
        </w:tabs>
        <w:suppressAutoHyphens/>
        <w:rPr>
          <w:rFonts w:ascii="Times New Roman" w:hAnsi="Times New Roman"/>
          <w:szCs w:val="24"/>
        </w:rPr>
      </w:pPr>
    </w:p>
    <w:p w:rsidR="00534B4A" w:rsidP="00534B4A" w14:paraId="1AC5E8C8" w14:textId="77777777">
      <w:pPr>
        <w:tabs>
          <w:tab w:val="left" w:pos="-720"/>
        </w:tabs>
        <w:suppressAutoHyphens/>
        <w:rPr>
          <w:rFonts w:ascii="Times New Roman" w:hAnsi="Times New Roman"/>
          <w:szCs w:val="24"/>
        </w:rPr>
      </w:pPr>
      <w:r>
        <w:rPr>
          <w:rFonts w:ascii="Times New Roman" w:hAnsi="Times New Roman"/>
          <w:szCs w:val="24"/>
        </w:rPr>
        <w:t>No information will be published.</w:t>
      </w:r>
    </w:p>
    <w:p w:rsidR="006A1E0A" w:rsidRPr="00534B4A" w:rsidP="00534B4A" w14:paraId="35800BBC" w14:textId="77777777">
      <w:pPr>
        <w:tabs>
          <w:tab w:val="left" w:pos="-720"/>
        </w:tabs>
        <w:suppressAutoHyphens/>
        <w:rPr>
          <w:rFonts w:ascii="Times New Roman" w:hAnsi="Times New Roman"/>
          <w:szCs w:val="24"/>
        </w:rPr>
      </w:pPr>
    </w:p>
    <w:p w:rsidR="00043C32" w:rsidRPr="00534B4A" w:rsidP="00AD381B" w14:paraId="0C4F054A"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6A1E0A" w14:paraId="4E8AA121" w14:textId="77777777">
      <w:pPr>
        <w:tabs>
          <w:tab w:val="left" w:pos="-720"/>
        </w:tabs>
        <w:suppressAutoHyphens/>
        <w:rPr>
          <w:rFonts w:ascii="Times New Roman" w:hAnsi="Times New Roman"/>
          <w:b/>
          <w:szCs w:val="24"/>
        </w:rPr>
      </w:pPr>
    </w:p>
    <w:p w:rsidR="006A1E0A" w:rsidP="006A1E0A" w14:paraId="37544023" w14:textId="77777777">
      <w:pPr>
        <w:tabs>
          <w:tab w:val="left" w:pos="-720"/>
        </w:tabs>
        <w:suppressAutoHyphens/>
        <w:rPr>
          <w:rFonts w:ascii="Times New Roman" w:hAnsi="Times New Roman"/>
          <w:bCs/>
          <w:szCs w:val="24"/>
        </w:rPr>
      </w:pPr>
      <w:r>
        <w:rPr>
          <w:rFonts w:ascii="Times New Roman" w:hAnsi="Times New Roman"/>
          <w:bCs/>
          <w:szCs w:val="24"/>
        </w:rPr>
        <w:t xml:space="preserve">We are not seeking this approval. </w:t>
      </w:r>
    </w:p>
    <w:p w:rsidR="006A1E0A" w:rsidRPr="006A1E0A" w:rsidP="006A1E0A" w14:paraId="362D4DB1" w14:textId="77777777">
      <w:pPr>
        <w:tabs>
          <w:tab w:val="left" w:pos="-720"/>
        </w:tabs>
        <w:suppressAutoHyphens/>
        <w:rPr>
          <w:rFonts w:ascii="Times New Roman" w:hAnsi="Times New Roman"/>
          <w:bCs/>
          <w:szCs w:val="24"/>
        </w:rPr>
      </w:pPr>
    </w:p>
    <w:p w:rsidR="001C73C0" w:rsidP="00AD381B" w14:paraId="030A4404"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6A1E0A" w:rsidP="006A1E0A" w14:paraId="3BDFF038" w14:textId="77777777">
      <w:pPr>
        <w:tabs>
          <w:tab w:val="left" w:pos="-720"/>
        </w:tabs>
        <w:suppressAutoHyphens/>
        <w:rPr>
          <w:rFonts w:ascii="Times New Roman" w:hAnsi="Times New Roman"/>
          <w:b/>
          <w:szCs w:val="24"/>
        </w:rPr>
      </w:pPr>
    </w:p>
    <w:p w:rsidR="006A1E0A" w:rsidRPr="006A1E0A" w:rsidP="006A1E0A" w14:paraId="190F78FA" w14:textId="77777777">
      <w:pPr>
        <w:tabs>
          <w:tab w:val="left" w:pos="-720"/>
        </w:tabs>
        <w:suppressAutoHyphens/>
        <w:rPr>
          <w:rFonts w:ascii="Times New Roman" w:hAnsi="Times New Roman"/>
          <w:bCs/>
          <w:szCs w:val="24"/>
        </w:rPr>
      </w:pPr>
      <w:r>
        <w:rPr>
          <w:rFonts w:ascii="Times New Roman" w:hAnsi="Times New Roman"/>
          <w:bCs/>
          <w:szCs w:val="24"/>
        </w:rPr>
        <w:t xml:space="preserve">No exceptions are necessary for this information collection. </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3A042BD7" w14:textId="77777777">
    <w:pPr>
      <w:spacing w:before="140" w:line="100" w:lineRule="exact"/>
      <w:rPr>
        <w:sz w:val="10"/>
      </w:rPr>
    </w:pPr>
  </w:p>
  <w:p w:rsidR="00386054" w14:paraId="4D12B91C" w14:textId="77777777">
    <w:pPr>
      <w:tabs>
        <w:tab w:val="left" w:pos="0"/>
      </w:tabs>
      <w:suppressAutoHyphens/>
    </w:pPr>
  </w:p>
  <w:p w:rsidR="00386054" w14:paraId="6254577D"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paraId="5DCDD453"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0F0829AB"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2BBE" w:rsidP="00043C32" w14:paraId="439B0BB1" w14:textId="77777777">
      <w:r>
        <w:separator/>
      </w:r>
    </w:p>
  </w:footnote>
  <w:footnote w:type="continuationSeparator" w:id="1">
    <w:p w:rsidR="00732BBE" w:rsidP="00043C32" w14:paraId="117D99A0" w14:textId="77777777">
      <w:r>
        <w:continuationSeparator/>
      </w:r>
    </w:p>
  </w:footnote>
  <w:footnote w:id="2">
    <w:p w:rsidR="00043C32" w:rsidRPr="005763C1" w:rsidP="00043C32" w14:paraId="0FFAC0B8" w14:textId="77777777">
      <w:pPr>
        <w:pStyle w:val="FootnoteText"/>
        <w:rPr>
          <w:color w:val="FF0000"/>
        </w:rPr>
      </w:pPr>
      <w:r>
        <w:rPr>
          <w:rStyle w:val="FootnoteReference"/>
        </w:rPr>
        <w:footnoteRef/>
      </w:r>
      <w:r>
        <w:t xml:space="preserve"> </w:t>
      </w:r>
      <w:r w:rsidRPr="005763C1">
        <w:rPr>
          <w:rFonts w:ascii="Times New Roman" w:hAnsi="Times New Roman"/>
          <w:color w:val="FF0000"/>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3896123">
    <w:abstractNumId w:val="0"/>
  </w:num>
  <w:num w:numId="2" w16cid:durableId="1235120698">
    <w:abstractNumId w:val="2"/>
  </w:num>
  <w:num w:numId="3" w16cid:durableId="228349526">
    <w:abstractNumId w:val="1"/>
  </w:num>
  <w:num w:numId="4" w16cid:durableId="407076757">
    <w:abstractNumId w:val="3"/>
  </w:num>
  <w:num w:numId="5" w16cid:durableId="182453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6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81E74"/>
    <w:rsid w:val="00093017"/>
    <w:rsid w:val="000C273F"/>
    <w:rsid w:val="001824F3"/>
    <w:rsid w:val="001A191F"/>
    <w:rsid w:val="001A62C9"/>
    <w:rsid w:val="001A6AE0"/>
    <w:rsid w:val="001B77ED"/>
    <w:rsid w:val="001C4C44"/>
    <w:rsid w:val="001C73C0"/>
    <w:rsid w:val="001E79BD"/>
    <w:rsid w:val="002154F3"/>
    <w:rsid w:val="002225CC"/>
    <w:rsid w:val="00224A3B"/>
    <w:rsid w:val="00234722"/>
    <w:rsid w:val="00240A39"/>
    <w:rsid w:val="00246FE9"/>
    <w:rsid w:val="00250100"/>
    <w:rsid w:val="00250D4B"/>
    <w:rsid w:val="00255D35"/>
    <w:rsid w:val="00262A69"/>
    <w:rsid w:val="00262CCE"/>
    <w:rsid w:val="00270AF7"/>
    <w:rsid w:val="00275937"/>
    <w:rsid w:val="002A3221"/>
    <w:rsid w:val="002C3520"/>
    <w:rsid w:val="002E14E0"/>
    <w:rsid w:val="002F0523"/>
    <w:rsid w:val="002F55E5"/>
    <w:rsid w:val="0030468E"/>
    <w:rsid w:val="0032078A"/>
    <w:rsid w:val="00324800"/>
    <w:rsid w:val="0032539E"/>
    <w:rsid w:val="00386054"/>
    <w:rsid w:val="003860E4"/>
    <w:rsid w:val="003B1545"/>
    <w:rsid w:val="003C166D"/>
    <w:rsid w:val="003D20BB"/>
    <w:rsid w:val="003E35E5"/>
    <w:rsid w:val="00412915"/>
    <w:rsid w:val="00442E07"/>
    <w:rsid w:val="0052073E"/>
    <w:rsid w:val="005263B0"/>
    <w:rsid w:val="005332B0"/>
    <w:rsid w:val="00534B4A"/>
    <w:rsid w:val="005463E3"/>
    <w:rsid w:val="005763C1"/>
    <w:rsid w:val="00581C11"/>
    <w:rsid w:val="005A5B0F"/>
    <w:rsid w:val="00622111"/>
    <w:rsid w:val="0068567A"/>
    <w:rsid w:val="006A1E0A"/>
    <w:rsid w:val="006A292A"/>
    <w:rsid w:val="006A38F7"/>
    <w:rsid w:val="006A4EBB"/>
    <w:rsid w:val="006B4172"/>
    <w:rsid w:val="00732BBE"/>
    <w:rsid w:val="00742FF9"/>
    <w:rsid w:val="00755D99"/>
    <w:rsid w:val="00756FD3"/>
    <w:rsid w:val="00765392"/>
    <w:rsid w:val="00790E3E"/>
    <w:rsid w:val="007C0A4C"/>
    <w:rsid w:val="007C285B"/>
    <w:rsid w:val="007E775F"/>
    <w:rsid w:val="007F6104"/>
    <w:rsid w:val="00800D30"/>
    <w:rsid w:val="00807D1A"/>
    <w:rsid w:val="00822806"/>
    <w:rsid w:val="00874EFE"/>
    <w:rsid w:val="00875460"/>
    <w:rsid w:val="008772B7"/>
    <w:rsid w:val="00882126"/>
    <w:rsid w:val="008933F1"/>
    <w:rsid w:val="008D0601"/>
    <w:rsid w:val="008D1F11"/>
    <w:rsid w:val="008E5919"/>
    <w:rsid w:val="008E7255"/>
    <w:rsid w:val="00905951"/>
    <w:rsid w:val="00905CE4"/>
    <w:rsid w:val="00912D2C"/>
    <w:rsid w:val="00916EE4"/>
    <w:rsid w:val="00920F63"/>
    <w:rsid w:val="009243F3"/>
    <w:rsid w:val="0093366B"/>
    <w:rsid w:val="00934185"/>
    <w:rsid w:val="00946126"/>
    <w:rsid w:val="00952DF9"/>
    <w:rsid w:val="0095421D"/>
    <w:rsid w:val="00960C86"/>
    <w:rsid w:val="009767AF"/>
    <w:rsid w:val="00981F58"/>
    <w:rsid w:val="00986D0A"/>
    <w:rsid w:val="009B46B0"/>
    <w:rsid w:val="009C19EA"/>
    <w:rsid w:val="009E3E86"/>
    <w:rsid w:val="00A118A2"/>
    <w:rsid w:val="00A177EF"/>
    <w:rsid w:val="00A23F26"/>
    <w:rsid w:val="00A4001C"/>
    <w:rsid w:val="00A40AAB"/>
    <w:rsid w:val="00A46D01"/>
    <w:rsid w:val="00A70816"/>
    <w:rsid w:val="00A7636D"/>
    <w:rsid w:val="00A9138E"/>
    <w:rsid w:val="00AB0633"/>
    <w:rsid w:val="00AC1C89"/>
    <w:rsid w:val="00AC3A82"/>
    <w:rsid w:val="00AD381B"/>
    <w:rsid w:val="00AF5B5B"/>
    <w:rsid w:val="00AF5D1A"/>
    <w:rsid w:val="00B0119A"/>
    <w:rsid w:val="00B017F9"/>
    <w:rsid w:val="00B07213"/>
    <w:rsid w:val="00B10A05"/>
    <w:rsid w:val="00B41DCF"/>
    <w:rsid w:val="00B54167"/>
    <w:rsid w:val="00B62E06"/>
    <w:rsid w:val="00B64B1D"/>
    <w:rsid w:val="00B9671B"/>
    <w:rsid w:val="00BA1D31"/>
    <w:rsid w:val="00BA3B29"/>
    <w:rsid w:val="00C00B6B"/>
    <w:rsid w:val="00C164D3"/>
    <w:rsid w:val="00C20670"/>
    <w:rsid w:val="00C224FD"/>
    <w:rsid w:val="00C575A2"/>
    <w:rsid w:val="00C86713"/>
    <w:rsid w:val="00C875E8"/>
    <w:rsid w:val="00C92035"/>
    <w:rsid w:val="00C92F87"/>
    <w:rsid w:val="00CC2A72"/>
    <w:rsid w:val="00CC3FB5"/>
    <w:rsid w:val="00CD2067"/>
    <w:rsid w:val="00CD47BC"/>
    <w:rsid w:val="00CF1D9E"/>
    <w:rsid w:val="00D13EBF"/>
    <w:rsid w:val="00D222F0"/>
    <w:rsid w:val="00D34984"/>
    <w:rsid w:val="00D34B0F"/>
    <w:rsid w:val="00D36C35"/>
    <w:rsid w:val="00D75313"/>
    <w:rsid w:val="00DF17FE"/>
    <w:rsid w:val="00E16ACD"/>
    <w:rsid w:val="00E17134"/>
    <w:rsid w:val="00E25EBC"/>
    <w:rsid w:val="00E46803"/>
    <w:rsid w:val="00E66550"/>
    <w:rsid w:val="00E75810"/>
    <w:rsid w:val="00E75961"/>
    <w:rsid w:val="00E877BF"/>
    <w:rsid w:val="00EA1767"/>
    <w:rsid w:val="00EB0929"/>
    <w:rsid w:val="00EB0FA5"/>
    <w:rsid w:val="00EB6FA7"/>
    <w:rsid w:val="00EC01DD"/>
    <w:rsid w:val="00EC35E3"/>
    <w:rsid w:val="00ED7195"/>
    <w:rsid w:val="00EF18C7"/>
    <w:rsid w:val="00F0414F"/>
    <w:rsid w:val="00F27AAF"/>
    <w:rsid w:val="00F31BEC"/>
    <w:rsid w:val="00F5782B"/>
    <w:rsid w:val="00F73131"/>
    <w:rsid w:val="00F745B2"/>
    <w:rsid w:val="00FA00ED"/>
    <w:rsid w:val="00FB2EAC"/>
    <w:rsid w:val="00FC669D"/>
    <w:rsid w:val="00FD4F0B"/>
    <w:rsid w:val="00FD5C76"/>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CF412D9"/>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C575A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D24F843EDFA4DA48893BEAD1D1F30" ma:contentTypeVersion="11" ma:contentTypeDescription="Create a new document." ma:contentTypeScope="" ma:versionID="1f06c38b90354955749073e93aabeeb7">
  <xsd:schema xmlns:xsd="http://www.w3.org/2001/XMLSchema" xmlns:xs="http://www.w3.org/2001/XMLSchema" xmlns:p="http://schemas.microsoft.com/office/2006/metadata/properties" xmlns:ns2="925b4c4b-d0c3-4ac2-bdfc-91f31f3ab1fc" xmlns:ns3="ffcb171c-5eb6-4b7e-bff7-850b4441ed9e" xmlns:ns4="2a2db8c4-56ab-4882-a5d0-0fe8165c6658" targetNamespace="http://schemas.microsoft.com/office/2006/metadata/properties" ma:root="true" ma:fieldsID="a3a5e4b478396aaf9c7cce83ef040946" ns2:_="" ns3:_="" ns4:_="">
    <xsd:import namespace="925b4c4b-d0c3-4ac2-bdfc-91f31f3ab1fc"/>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b4c4b-d0c3-4ac2-bdfc-91f31f3ab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49fbbb-ef16-42f7-90d8-e1801b9a92be}"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5b4c4b-d0c3-4ac2-bdfc-91f31f3ab1fc">
      <Terms xmlns="http://schemas.microsoft.com/office/infopath/2007/PartnerControls"/>
    </lcf76f155ced4ddcb4097134ff3c332f>
    <TaxCatchAll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73361B86-8187-4C27-847C-E28E461F6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b4c4b-d0c3-4ac2-bdfc-91f31f3ab1fc"/>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925b4c4b-d0c3-4ac2-bdfc-91f31f3ab1fc"/>
    <ds:schemaRef ds:uri="2a2db8c4-56ab-4882-a5d0-0fe8165c6658"/>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3976</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Valentine, Stephanie</cp:lastModifiedBy>
  <cp:revision>3</cp:revision>
  <dcterms:created xsi:type="dcterms:W3CDTF">2023-09-27T16:47:00Z</dcterms:created>
  <dcterms:modified xsi:type="dcterms:W3CDTF">2023-11-29T17:59:00Z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0x010100654CFAFEF917044B973EC17DF098F937</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Order">
    <vt:r8>800</vt:r8>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41013e83-931d-4b51-a694-340c449e8e68</vt:lpwstr>
  </property>
  <property fmtid="{D5CDD505-2E9C-101B-9397-08002B2CF9AE}" pid="16" name="_dlc_LastRun">
    <vt:lpwstr>03/23/2021 01:12:33</vt:lpwstr>
  </property>
  <property fmtid="{D5CDD505-2E9C-101B-9397-08002B2CF9AE}" pid="17" name="_dlc_policyId">
    <vt:lpwstr>0x0101001C22A2B9DBEDBB4DB130C1FAF5F2F008|-874002092</vt:lpwstr>
  </property>
</Properties>
</file>