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31597346">
      <w:pPr>
        <w:jc w:val="center"/>
      </w:pPr>
      <w:r w:rsidRPr="00980E58">
        <w:t>[</w:t>
      </w:r>
      <w:r w:rsidRPr="007633DD">
        <w:t>Docket No</w:t>
      </w:r>
      <w:r w:rsidRPr="00413FDE">
        <w:t xml:space="preserve">. </w:t>
      </w:r>
      <w:r w:rsidR="007C6502">
        <w:t>RD</w:t>
      </w:r>
      <w:r w:rsidRPr="00413FDE" w:rsidR="00FB078F">
        <w:t>2</w:t>
      </w:r>
      <w:r w:rsidR="004C001A">
        <w:t>3</w:t>
      </w:r>
      <w:r w:rsidRPr="00413FDE" w:rsidR="00613169">
        <w:t>-</w:t>
      </w:r>
      <w:r w:rsidR="00DD3989">
        <w:t>4</w:t>
      </w:r>
      <w:r w:rsidRPr="00413FDE" w:rsidR="00613169">
        <w:t>-000</w:t>
      </w:r>
      <w:r w:rsidRPr="00413FDE">
        <w:t>]</w:t>
      </w:r>
    </w:p>
    <w:p w:rsidR="00A2604E" w:rsidP="00A2604E" w14:paraId="4D16FE54" w14:textId="77777777"/>
    <w:p w:rsidR="007C6502" w:rsidRPr="007C6502" w:rsidP="007C6502" w14:paraId="790F8E78" w14:textId="69EF1388">
      <w:pPr>
        <w:jc w:val="center"/>
        <w:rPr>
          <w:szCs w:val="26"/>
        </w:rPr>
      </w:pPr>
      <w:r w:rsidRPr="007C6502">
        <w:rPr>
          <w:szCs w:val="26"/>
        </w:rPr>
        <w:t>COMMISSION INFORMATION COLLECTION ACTIVITIES (</w:t>
      </w:r>
      <w:bookmarkStart w:id="0" w:name="_Hlk111029206"/>
      <w:r w:rsidRPr="007C6502">
        <w:rPr>
          <w:szCs w:val="26"/>
        </w:rPr>
        <w:t>FERC-72</w:t>
      </w:r>
      <w:bookmarkEnd w:id="0"/>
      <w:r w:rsidR="00DD3989">
        <w:rPr>
          <w:szCs w:val="26"/>
        </w:rPr>
        <w:t>5G)</w:t>
      </w:r>
      <w:r w:rsidRPr="007C6502">
        <w:rPr>
          <w:szCs w:val="26"/>
        </w:rPr>
        <w:t xml:space="preserve"> </w:t>
      </w:r>
    </w:p>
    <w:p w:rsidR="00471DC7" w:rsidP="00471DC7" w14:paraId="5A87CF2D" w14:textId="77777777">
      <w:pPr>
        <w:jc w:val="center"/>
      </w:pPr>
    </w:p>
    <w:p w:rsidR="00471DC7" w:rsidP="001065C0" w14:paraId="16176D57" w14:textId="41B567AB">
      <w:pPr>
        <w:jc w:val="center"/>
      </w:pPr>
      <w:r w:rsidRPr="001065C0">
        <w:t>(July 3, 2023)</w:t>
      </w:r>
    </w:p>
    <w:p w:rsidR="001065C0" w:rsidRPr="001065C0" w:rsidP="001065C0" w14:paraId="6756ED93"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1" w:name="_Hlk68091542"/>
      <w:r>
        <w:t xml:space="preserve">Notice of information collection </w:t>
      </w:r>
      <w:bookmarkEnd w:id="1"/>
      <w:r>
        <w:t>and request for comments.</w:t>
      </w:r>
    </w:p>
    <w:p w:rsidR="00B556C9" w:rsidRPr="00B556C9" w:rsidP="20D0217D" w14:paraId="35DEAE81" w14:textId="497BB061">
      <w:pPr>
        <w:spacing w:line="480" w:lineRule="auto"/>
        <w:rPr>
          <w:rFonts w:eastAsiaTheme="minorEastAsia"/>
        </w:rPr>
      </w:pPr>
      <w:r w:rsidRPr="20D0217D">
        <w:rPr>
          <w:b/>
          <w:bCs/>
        </w:rPr>
        <w:t>SUMMARY:</w:t>
      </w:r>
      <w:r>
        <w:t xml:space="preserve">  </w:t>
      </w:r>
      <w:r w:rsidR="3CBDE220">
        <w:t>In compliance with the requirements of the Paperwork Reduction Act of 1995, the Federal Energy Regulatory Commission (Commission or FERC) is soliciting public comment on the</w:t>
      </w:r>
      <w:r w:rsidR="56947967">
        <w:t xml:space="preserve"> proposed changes</w:t>
      </w:r>
      <w:r w:rsidR="3CBDE220">
        <w:t xml:space="preserve"> currently approved information collection, </w:t>
      </w:r>
      <w:r w:rsidR="135A6A1C">
        <w:t>FERC-725G (</w:t>
      </w:r>
      <w:r w:rsidRPr="20D0217D" w:rsidR="135A6A1C">
        <w:rPr>
          <w:rFonts w:eastAsiaTheme="minorEastAsia"/>
        </w:rPr>
        <w:t>Mandatory Reliability Standards for the Bulk-Power System: Approval of PRC Reliability Standard PRC-002-4</w:t>
      </w:r>
      <w:r w:rsidRPr="699BBD4C" w:rsidR="2C0EC81F">
        <w:rPr>
          <w:rFonts w:eastAsiaTheme="minorEastAsia"/>
        </w:rPr>
        <w:t>)</w:t>
      </w:r>
      <w:r w:rsidRPr="699BBD4C" w:rsidR="56215D95">
        <w:rPr>
          <w:rFonts w:eastAsiaTheme="minorEastAsia"/>
        </w:rPr>
        <w:t>.</w:t>
      </w:r>
      <w:r w:rsidRPr="20D0217D" w:rsidR="135A6A1C">
        <w:rPr>
          <w:rFonts w:eastAsiaTheme="minorEastAsia"/>
        </w:rPr>
        <w:t xml:space="preserve"> </w:t>
      </w:r>
      <w:r w:rsidRPr="20D0217D" w:rsidR="04685DED">
        <w:rPr>
          <w:rFonts w:eastAsiaTheme="minorEastAsia"/>
        </w:rPr>
        <w:t xml:space="preserve">No Comments were received on the 60-day notice published on </w:t>
      </w:r>
      <w:r w:rsidRPr="20D0217D" w:rsidR="135A6A1C">
        <w:rPr>
          <w:rFonts w:eastAsiaTheme="minorEastAsia"/>
        </w:rPr>
        <w:t>June</w:t>
      </w:r>
      <w:r w:rsidRPr="20D0217D" w:rsidR="72A2739F">
        <w:rPr>
          <w:rFonts w:eastAsiaTheme="minorEastAsia"/>
        </w:rPr>
        <w:t xml:space="preserve"> </w:t>
      </w:r>
      <w:r w:rsidRPr="20D0217D" w:rsidR="135A6A1C">
        <w:rPr>
          <w:rFonts w:eastAsiaTheme="minorEastAsia"/>
        </w:rPr>
        <w:t>23</w:t>
      </w:r>
      <w:r w:rsidRPr="20D0217D" w:rsidR="04685DED">
        <w:rPr>
          <w:rFonts w:eastAsiaTheme="minorEastAsia"/>
        </w:rPr>
        <w:t>, 202</w:t>
      </w:r>
      <w:r w:rsidRPr="20D0217D" w:rsidR="3CBDE220">
        <w:rPr>
          <w:rFonts w:eastAsiaTheme="minorEastAsia"/>
        </w:rPr>
        <w:t>3</w:t>
      </w:r>
      <w:r w:rsidRPr="20D0217D" w:rsidR="04685DED">
        <w:rPr>
          <w:rFonts w:eastAsiaTheme="minorEastAsia"/>
        </w:rPr>
        <w:t>.</w:t>
      </w:r>
      <w:bookmarkStart w:id="2" w:name="_Hlk92266693"/>
    </w:p>
    <w:bookmarkEnd w:id="2"/>
    <w:p w:rsidR="00A2604E" w:rsidRPr="00524164" w:rsidP="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00564ADB" w:rsidRPr="007C6502" w:rsidP="00564ADB" w14:paraId="55C4F2A9" w14:textId="612E7C48">
      <w:pPr>
        <w:spacing w:line="480" w:lineRule="auto"/>
        <w:rPr>
          <w:iCs/>
        </w:rPr>
      </w:pPr>
      <w:r w:rsidRPr="00524164">
        <w:rPr>
          <w:b/>
        </w:rPr>
        <w:t>ADDRESSES:</w:t>
      </w:r>
      <w:r w:rsidRPr="00524164">
        <w:t xml:space="preserve"> </w:t>
      </w:r>
      <w:r w:rsidRPr="00BB5EF5">
        <w:rPr>
          <w:iCs/>
        </w:rPr>
        <w:t xml:space="preserve">Send written comments on </w:t>
      </w:r>
      <w:r w:rsidRPr="00DD3989" w:rsidR="00DD3989">
        <w:t>FERC-725G (Mandatory Reliability Standards for the Bulk-Power System: PRC Reliability Standard PRC-002-4</w:t>
      </w:r>
      <w:r w:rsidR="4D0AF32A">
        <w:t>)</w:t>
      </w:r>
      <w:r w:rsidRPr="36329739" w:rsidR="004C001A">
        <w:rPr>
          <w:rFonts w:eastAsiaTheme="minorEastAsia"/>
        </w:rPr>
        <w:t xml:space="preserve"> </w:t>
      </w:r>
      <w:r w:rsidRPr="00BB5EF5">
        <w:rPr>
          <w:iCs/>
        </w:rPr>
        <w:t xml:space="preserve">to OMB through </w:t>
      </w:r>
      <w:hyperlink r:id="rId9">
        <w:r w:rsidRPr="36329739" w:rsidR="51246E22">
          <w:rPr>
            <w:rStyle w:val="Hyperlink"/>
          </w:rPr>
          <w:t>www.reginfo.gov/public/do/PRAMain</w:t>
        </w:r>
      </w:hyperlink>
      <w:r w:rsidR="51246E22">
        <w:t>.</w:t>
      </w:r>
      <w:r w:rsidRPr="00BB5EF5">
        <w:rPr>
          <w:iCs/>
        </w:rPr>
        <w:t xml:space="preserve">  Attention:  Federal Energy Regulatory Commission Desk Officer.  Please identify the </w:t>
      </w:r>
      <w:r w:rsidRPr="007C6502" w:rsidR="007C6502">
        <w:rPr>
          <w:iCs/>
        </w:rPr>
        <w:t xml:space="preserve">OMB Control No: </w:t>
      </w:r>
      <w:r w:rsidRPr="00B43A2F" w:rsidR="00B43A2F">
        <w:rPr>
          <w:iCs/>
        </w:rPr>
        <w:t>1902-</w:t>
      </w:r>
      <w:r w:rsidR="00DD3989">
        <w:rPr>
          <w:iCs/>
        </w:rPr>
        <w:t>0252</w:t>
      </w:r>
      <w:r w:rsidR="00B43A2F">
        <w:rPr>
          <w:iCs/>
        </w:rPr>
        <w:t xml:space="preserve"> </w:t>
      </w:r>
      <w:r w:rsidRPr="00BB5EF5">
        <w:rPr>
          <w:iCs/>
        </w:rPr>
        <w:t>in the subject line of your comments.  Comments</w:t>
      </w:r>
      <w:r w:rsidRPr="00BB5EF5">
        <w:t xml:space="preserve"> should be sent </w:t>
      </w:r>
      <w:bookmarkStart w:id="3" w:name="_Hlk35891527"/>
      <w:r w:rsidRPr="00BB5EF5">
        <w:t xml:space="preserve">within 30 days of publication of this notice to </w:t>
      </w:r>
      <w:bookmarkStart w:id="4" w:name="_Hlk38028221"/>
      <w:hyperlink r:id="rId9" w:history="1">
        <w:r w:rsidRPr="00BB5EF5">
          <w:rPr>
            <w:rStyle w:val="Hyperlink"/>
          </w:rPr>
          <w:t>www.reginfo.gov/public/do/PRAMain</w:t>
        </w:r>
      </w:hyperlink>
      <w:r w:rsidRPr="00BB5EF5">
        <w:t>.</w:t>
      </w:r>
      <w:bookmarkEnd w:id="3"/>
      <w:bookmarkEnd w:id="4"/>
    </w:p>
    <w:p w:rsidR="00564ADB" w:rsidRPr="00BB5EF5" w:rsidP="00564ADB" w14:paraId="7F9E2910" w14:textId="1B1906F3">
      <w:pPr>
        <w:spacing w:line="480" w:lineRule="auto"/>
      </w:pPr>
      <w:r w:rsidRPr="00BB5EF5">
        <w:t xml:space="preserve">Please submit copies of your comments to the Commission.  You may submit copies of your comments (identified by Docket No. </w:t>
      </w:r>
      <w:r w:rsidR="007C6502">
        <w:t>RD</w:t>
      </w:r>
      <w:r w:rsidRPr="00BB5EF5">
        <w:t>2</w:t>
      </w:r>
      <w:r w:rsidR="004C001A">
        <w:t>3</w:t>
      </w:r>
      <w:r w:rsidRPr="00BB5EF5">
        <w:t>-</w:t>
      </w:r>
      <w:r w:rsidR="00DD3989">
        <w:t>4</w:t>
      </w:r>
      <w:r w:rsidRPr="00BB5EF5">
        <w:t>-000) by one of the following methods:</w:t>
      </w:r>
    </w:p>
    <w:p w:rsidR="00564ADB" w:rsidRPr="00BB5EF5" w:rsidP="00564ADB" w14:paraId="719A4BB0" w14:textId="081DE349">
      <w:pPr>
        <w:spacing w:line="480" w:lineRule="auto"/>
      </w:pPr>
      <w:r>
        <w:t xml:space="preserve">Electronic filing through </w:t>
      </w:r>
      <w:hyperlink r:id="rId10" w:history="1">
        <w:r w:rsidRPr="00FC39BA" w:rsidR="003179EB">
          <w:rPr>
            <w:rStyle w:val="Hyperlink"/>
          </w:rPr>
          <w:t>https://www.ferc.gov</w:t>
        </w:r>
      </w:hyperlink>
      <w:r>
        <w:t>, is preferred.</w:t>
      </w:r>
    </w:p>
    <w:p w:rsidR="00564ADB" w:rsidRPr="00BB5EF5" w:rsidP="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564ADB" w:rsidRPr="00BB5EF5" w:rsidP="00564ADB" w14:paraId="5DD1201B" w14:textId="77777777">
      <w:pPr>
        <w:numPr>
          <w:ilvl w:val="0"/>
          <w:numId w:val="6"/>
        </w:numPr>
        <w:spacing w:line="480" w:lineRule="auto"/>
      </w:pPr>
      <w:r w:rsidRPr="00BB5EF5">
        <w:t>For those unable to file electronically, comments may be filed by USPS mail or by hand (including courier) delivery.</w:t>
      </w:r>
    </w:p>
    <w:p w:rsidR="00564ADB" w:rsidRPr="00BB5EF5" w:rsidP="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564ADB" w:rsidRPr="00BB5EF5" w:rsidP="00564ADB" w14:paraId="5FE8252C" w14:textId="0FFC3065">
      <w:pPr>
        <w:numPr>
          <w:ilvl w:val="1"/>
          <w:numId w:val="6"/>
        </w:numPr>
        <w:spacing w:line="480" w:lineRule="auto"/>
      </w:pPr>
      <w:r w:rsidRPr="00BB5EF5">
        <w:t xml:space="preserve">Hand (including courier) delivery: Deliver to: Federal Energy Regulatory Commission, </w:t>
      </w:r>
      <w:r w:rsidR="003E4B47">
        <w:t xml:space="preserve">Secretary of the Commission, </w:t>
      </w:r>
      <w:r w:rsidRPr="00BB5EF5">
        <w:t>12225 Wilkins Avenue, Rockville, MD 20852.</w:t>
      </w:r>
    </w:p>
    <w:p w:rsidR="00564ADB" w:rsidRPr="00BB5EF5" w:rsidP="00564ADB" w14:paraId="67E70211" w14:textId="77777777">
      <w:pPr>
        <w:spacing w:line="480" w:lineRule="auto"/>
      </w:pPr>
      <w:bookmarkStart w:id="5"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9"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564ADB" w:rsidRPr="00BB5EF5" w:rsidP="00564ADB" w14:paraId="24473466" w14:textId="5FC01287">
      <w:pPr>
        <w:spacing w:line="480" w:lineRule="auto"/>
      </w:pPr>
      <w:r w:rsidRPr="128FFB1D">
        <w:rPr>
          <w:i/>
          <w:iCs/>
        </w:rPr>
        <w:t>FERC submissions</w:t>
      </w:r>
      <w:r>
        <w:t xml:space="preserve"> </w:t>
      </w:r>
      <w:bookmarkStart w:id="6" w:name="_Hlk38028397"/>
      <w:r>
        <w:t>must be formatted and filed in accordance with submission guidelines at</w:t>
      </w:r>
      <w:bookmarkEnd w:id="6"/>
      <w:r>
        <w:t xml:space="preserve">: </w:t>
      </w:r>
      <w:hyperlink r:id="rId10" w:history="1">
        <w:r w:rsidRPr="00FC39BA" w:rsidR="003179EB">
          <w:rPr>
            <w:rStyle w:val="Hyperlink"/>
          </w:rPr>
          <w:t>https://www.ferc.gov</w:t>
        </w:r>
      </w:hyperlink>
      <w:r>
        <w:t>.  For user assistance, contact FERC Online Support by e-mail at ferconlinesupport@ferc.gov, or by phone at: (866) 208-3676 (toll-free).</w:t>
      </w:r>
    </w:p>
    <w:p w:rsidR="00564ADB" w:rsidRPr="00BB5EF5" w:rsidP="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1" w:history="1">
        <w:r w:rsidRPr="00BB5EF5">
          <w:rPr>
            <w:rStyle w:val="Hyperlink"/>
          </w:rPr>
          <w:t>https://www.ferc.gov/ferc-online/overview</w:t>
        </w:r>
      </w:hyperlink>
      <w:r w:rsidRPr="00BB5EF5">
        <w:t xml:space="preserve">. </w:t>
      </w:r>
    </w:p>
    <w:bookmarkEnd w:id="5"/>
    <w:p w:rsidR="00FB078F" w:rsidRPr="00564ADB" w:rsidP="00564ADB" w14:paraId="4D057177" w14:textId="18E892A7">
      <w:pPr>
        <w:spacing w:line="480" w:lineRule="auto"/>
      </w:pPr>
      <w:r w:rsidRPr="00BB5EF5">
        <w:rPr>
          <w:b/>
        </w:rPr>
        <w:t>FOR FURTHER INFORMATION CONTACT:</w:t>
      </w:r>
      <w:r w:rsidRPr="00BB5EF5">
        <w:t xml:space="preserve">  Ellen Brown may be reached by e-mail at </w:t>
      </w:r>
      <w:r>
        <w:fldChar w:fldCharType="begin"/>
      </w:r>
      <w:r w:rsidRPr="00BB5EF5">
        <w:rPr>
          <w:rStyle w:val="Hyperlink"/>
        </w:rPr>
        <w:instrText xml:space="preserve"> HYPERLINK "mailto:DataClearance@FERC.gov" </w:instrText>
      </w:r>
      <w:r>
        <w:fldChar w:fldCharType="separate"/>
      </w:r>
      <w:r w:rsidRPr="00BB5EF5">
        <w:rPr>
          <w:rStyle w:val="Hyperlink"/>
        </w:rPr>
        <w:t>DataClearance@FERC.gov</w:t>
      </w:r>
      <w:r>
        <w:fldChar w:fldCharType="end"/>
      </w:r>
      <w:r w:rsidRPr="00BB5EF5">
        <w:t>, telephone at (202) 502-8663.</w:t>
      </w:r>
      <w:r w:rsidRPr="00524164" w:rsidR="00A2604E">
        <w:t xml:space="preserve"> </w:t>
      </w:r>
    </w:p>
    <w:p w:rsidR="00DD3989" w:rsidRPr="000F3BC3" w:rsidP="00DD3989" w14:paraId="5498DD54" w14:textId="77777777">
      <w:pPr>
        <w:spacing w:line="480" w:lineRule="auto"/>
        <w:rPr>
          <w:szCs w:val="26"/>
        </w:rPr>
      </w:pPr>
      <w:r w:rsidRPr="000F3BC3">
        <w:rPr>
          <w:b/>
          <w:szCs w:val="26"/>
        </w:rPr>
        <w:t>SUPPLEMENTARY INFORMATION:</w:t>
      </w:r>
      <w:r w:rsidRPr="000F3BC3">
        <w:rPr>
          <w:szCs w:val="26"/>
        </w:rPr>
        <w:t xml:space="preserve">  </w:t>
      </w:r>
    </w:p>
    <w:p w:rsidR="00DD3989" w:rsidRPr="000F3BC3" w:rsidP="00DD3989" w14:paraId="076FC19A" w14:textId="4BECC864">
      <w:pPr>
        <w:spacing w:line="480" w:lineRule="auto"/>
        <w:rPr>
          <w:rFonts w:eastAsiaTheme="minorEastAsia"/>
        </w:rPr>
      </w:pPr>
      <w:r w:rsidRPr="6D52CCCC">
        <w:rPr>
          <w:i/>
          <w:iCs/>
        </w:rPr>
        <w:t xml:space="preserve">Title: </w:t>
      </w:r>
      <w:bookmarkStart w:id="7" w:name="_Hlk137742874"/>
      <w:r>
        <w:t>FERC-725G (</w:t>
      </w:r>
      <w:r w:rsidRPr="6D52CCCC">
        <w:rPr>
          <w:rFonts w:eastAsiaTheme="minorEastAsia"/>
        </w:rPr>
        <w:t>Mandatory Reliability Standards for the Bulk-Power System: Approval of PRC Reliability Standard PRC-002-4</w:t>
      </w:r>
      <w:bookmarkEnd w:id="7"/>
      <w:r w:rsidRPr="668ACF27" w:rsidR="484D9C3B">
        <w:rPr>
          <w:rFonts w:eastAsiaTheme="minorEastAsia"/>
        </w:rPr>
        <w:t>)</w:t>
      </w:r>
      <w:r w:rsidRPr="668ACF27">
        <w:rPr>
          <w:rFonts w:eastAsiaTheme="minorEastAsia"/>
        </w:rPr>
        <w:t>.</w:t>
      </w:r>
    </w:p>
    <w:p w:rsidR="00DD3989" w:rsidRPr="000F3BC3" w:rsidP="00DD3989" w14:paraId="6562DB81" w14:textId="77777777">
      <w:pPr>
        <w:spacing w:line="480" w:lineRule="auto"/>
        <w:rPr>
          <w:rFonts w:eastAsiaTheme="minorEastAsia"/>
        </w:rPr>
      </w:pPr>
      <w:r w:rsidRPr="6D52CCCC">
        <w:rPr>
          <w:i/>
          <w:iCs/>
        </w:rPr>
        <w:t xml:space="preserve">OMB Control No.: </w:t>
      </w:r>
      <w:r>
        <w:t>1902-0252</w:t>
      </w:r>
    </w:p>
    <w:p w:rsidR="00DD3989" w:rsidP="00DD3989" w14:paraId="1C8BC44C" w14:textId="77777777">
      <w:pPr>
        <w:spacing w:line="480" w:lineRule="auto"/>
      </w:pPr>
      <w:r w:rsidRPr="6D52CCCC">
        <w:rPr>
          <w:i/>
          <w:iCs/>
        </w:rPr>
        <w:t>Type of Request:</w:t>
      </w:r>
      <w:r>
        <w:t xml:space="preserve"> </w:t>
      </w:r>
      <w:r w:rsidRPr="6D52CCCC">
        <w:rPr>
          <w:rFonts w:eastAsiaTheme="minorEastAsia"/>
        </w:rPr>
        <w:t>Approval of FERC-725G information collection requirements associated with proposed PRC Reliability Standard PRC-002-4.</w:t>
      </w:r>
      <w:r>
        <w:t xml:space="preserve"> </w:t>
      </w:r>
    </w:p>
    <w:p w:rsidR="00DD3989" w:rsidRPr="00A2075F" w:rsidP="00DD3989" w14:paraId="38F668AF" w14:textId="00E9C795">
      <w:pPr>
        <w:pStyle w:val="FootnoteText"/>
        <w:spacing w:line="480" w:lineRule="auto"/>
        <w:rPr>
          <w:rFonts w:eastAsiaTheme="minorEastAsia"/>
          <w:sz w:val="26"/>
          <w:szCs w:val="26"/>
        </w:rPr>
      </w:pPr>
      <w:r w:rsidRPr="668ACF27">
        <w:rPr>
          <w:i/>
          <w:sz w:val="26"/>
          <w:szCs w:val="26"/>
        </w:rPr>
        <w:t>Abstract</w:t>
      </w:r>
      <w:r w:rsidRPr="02DEA4E6">
        <w:rPr>
          <w:i/>
          <w:iCs/>
        </w:rPr>
        <w:t>:</w:t>
      </w:r>
      <w:r>
        <w:t xml:space="preserve"> </w:t>
      </w:r>
      <w:r w:rsidRPr="02DEA4E6">
        <w:rPr>
          <w:sz w:val="26"/>
          <w:szCs w:val="26"/>
        </w:rPr>
        <w:t xml:space="preserve"> This Notice pertains to the </w:t>
      </w:r>
      <w:r w:rsidRPr="02DEA4E6">
        <w:rPr>
          <w:rFonts w:eastAsiaTheme="minorEastAsia"/>
          <w:sz w:val="26"/>
          <w:szCs w:val="26"/>
        </w:rPr>
        <w:t xml:space="preserve">FERC-725G information collection requirements associated with PRC Reliability Standard PRC-002-4, </w:t>
      </w:r>
      <w:r>
        <w:rPr>
          <w:rFonts w:eastAsiaTheme="minorEastAsia"/>
          <w:sz w:val="26"/>
          <w:szCs w:val="26"/>
        </w:rPr>
        <w:t>(</w:t>
      </w:r>
      <w:r w:rsidRPr="00CC64E8">
        <w:rPr>
          <w:rFonts w:eastAsiaTheme="minorEastAsia"/>
          <w:sz w:val="26"/>
          <w:szCs w:val="26"/>
        </w:rPr>
        <w:t>Disturbance Monitoring and Reporting Requirements), the associated Violation Risk Factors and Violation Severity Levels, and the proposed implementation plan</w:t>
      </w:r>
      <w:r w:rsidR="004F4121">
        <w:rPr>
          <w:rFonts w:eastAsiaTheme="minorEastAsia"/>
          <w:sz w:val="26"/>
          <w:szCs w:val="26"/>
        </w:rPr>
        <w:t xml:space="preserve"> that</w:t>
      </w:r>
      <w:r w:rsidRPr="00CC64E8">
        <w:rPr>
          <w:rFonts w:eastAsiaTheme="minorEastAsia"/>
          <w:sz w:val="26"/>
          <w:szCs w:val="26"/>
        </w:rPr>
        <w:t xml:space="preserve"> includ</w:t>
      </w:r>
      <w:r w:rsidR="004F4121">
        <w:rPr>
          <w:rFonts w:eastAsiaTheme="minorEastAsia"/>
          <w:sz w:val="26"/>
          <w:szCs w:val="26"/>
        </w:rPr>
        <w:t>es</w:t>
      </w:r>
      <w:r w:rsidRPr="00CC64E8">
        <w:rPr>
          <w:rFonts w:eastAsiaTheme="minorEastAsia"/>
          <w:sz w:val="26"/>
          <w:szCs w:val="26"/>
        </w:rPr>
        <w:t xml:space="preserve"> the retirement of the currently effective Reliability Standard PRC-002-3</w:t>
      </w:r>
      <w:r w:rsidR="00A1047D">
        <w:rPr>
          <w:rFonts w:eastAsiaTheme="minorEastAsia"/>
          <w:sz w:val="26"/>
          <w:szCs w:val="26"/>
        </w:rPr>
        <w:t xml:space="preserve">. The </w:t>
      </w:r>
      <w:r w:rsidR="00EF3185">
        <w:rPr>
          <w:rFonts w:eastAsiaTheme="minorEastAsia"/>
          <w:sz w:val="26"/>
          <w:szCs w:val="26"/>
        </w:rPr>
        <w:t xml:space="preserve">PRC-002-4 was </w:t>
      </w:r>
      <w:r w:rsidRPr="02DEA4E6">
        <w:rPr>
          <w:rFonts w:eastAsiaTheme="minorEastAsia"/>
          <w:sz w:val="26"/>
          <w:szCs w:val="26"/>
        </w:rPr>
        <w:t xml:space="preserve">proposed by the North American Electric Reliability (NERC) in a petition dated March 10, 2023.  </w:t>
      </w:r>
      <w:r w:rsidR="00A957F0">
        <w:rPr>
          <w:rFonts w:eastAsiaTheme="minorEastAsia"/>
          <w:sz w:val="26"/>
          <w:szCs w:val="26"/>
        </w:rPr>
        <w:t xml:space="preserve">At that time, </w:t>
      </w:r>
      <w:r w:rsidRPr="02DEA4E6">
        <w:rPr>
          <w:rFonts w:eastAsiaTheme="minorEastAsia"/>
          <w:sz w:val="26"/>
          <w:szCs w:val="26"/>
        </w:rPr>
        <w:t xml:space="preserve">NERC also proposed </w:t>
      </w:r>
      <w:r w:rsidRPr="02DEA4E6">
        <w:rPr>
          <w:sz w:val="26"/>
          <w:szCs w:val="26"/>
        </w:rPr>
        <w:t xml:space="preserve">the retirement of Reliability Standard PRC-002-3.  </w:t>
      </w:r>
      <w:r w:rsidRPr="02DEA4E6">
        <w:rPr>
          <w:rFonts w:eastAsiaTheme="minorEastAsia"/>
          <w:sz w:val="26"/>
          <w:szCs w:val="26"/>
        </w:rPr>
        <w:t xml:space="preserve">The Commission included the petition in a Combined Notice of Filings published on March 23, 2023, at 88 FR 17564.  </w:t>
      </w:r>
    </w:p>
    <w:p w:rsidR="00DD3989" w:rsidRPr="00CC64E8" w:rsidP="00DD3989" w14:paraId="601AC994" w14:textId="550C433E">
      <w:pPr>
        <w:pStyle w:val="FootnoteText"/>
        <w:spacing w:line="480" w:lineRule="auto"/>
        <w:rPr>
          <w:color w:val="000000" w:themeColor="text1"/>
          <w:sz w:val="26"/>
          <w:szCs w:val="26"/>
        </w:rPr>
      </w:pPr>
      <w:r w:rsidRPr="02DEA4E6">
        <w:rPr>
          <w:sz w:val="26"/>
          <w:szCs w:val="26"/>
        </w:rPr>
        <w:t xml:space="preserve">On March 4, 2022, the Commission’s Office of Electric Reliability approved PRC-002-3 in Docket No. RD22-2-000.  </w:t>
      </w:r>
      <w:bookmarkStart w:id="8" w:name="_Hlk132384782"/>
    </w:p>
    <w:bookmarkEnd w:id="8"/>
    <w:p w:rsidR="00DD3989" w:rsidRPr="00CC64E8" w:rsidP="00DD3989" w14:paraId="7EB421F5" w14:textId="4DAA60F4">
      <w:pPr>
        <w:pStyle w:val="FootnoteText"/>
        <w:spacing w:line="480" w:lineRule="auto"/>
        <w:rPr>
          <w:color w:val="000000" w:themeColor="text1"/>
          <w:sz w:val="26"/>
          <w:szCs w:val="26"/>
        </w:rPr>
      </w:pPr>
      <w:r w:rsidRPr="00CC64E8">
        <w:rPr>
          <w:color w:val="000000" w:themeColor="text1"/>
          <w:sz w:val="26"/>
          <w:szCs w:val="26"/>
        </w:rPr>
        <w:t>NERC’s proposed revisions</w:t>
      </w:r>
      <w:r w:rsidR="00B02B6B">
        <w:rPr>
          <w:color w:val="000000" w:themeColor="text1"/>
          <w:sz w:val="26"/>
          <w:szCs w:val="26"/>
        </w:rPr>
        <w:t xml:space="preserve"> in Docket No. </w:t>
      </w:r>
      <w:r w:rsidR="00F74AF0">
        <w:rPr>
          <w:color w:val="000000" w:themeColor="text1"/>
          <w:sz w:val="26"/>
          <w:szCs w:val="26"/>
        </w:rPr>
        <w:t>RD23</w:t>
      </w:r>
      <w:r w:rsidRPr="00008069" w:rsidR="4B8AA08D">
        <w:rPr>
          <w:color w:val="000000" w:themeColor="text1"/>
          <w:sz w:val="26"/>
          <w:szCs w:val="26"/>
        </w:rPr>
        <w:t>-</w:t>
      </w:r>
      <w:r w:rsidR="008C78F6">
        <w:rPr>
          <w:color w:val="000000" w:themeColor="text1"/>
          <w:sz w:val="26"/>
          <w:szCs w:val="26"/>
        </w:rPr>
        <w:t>4</w:t>
      </w:r>
      <w:r w:rsidRPr="00008069" w:rsidR="4B8AA08D">
        <w:rPr>
          <w:color w:val="000000" w:themeColor="text1"/>
          <w:sz w:val="26"/>
          <w:szCs w:val="26"/>
        </w:rPr>
        <w:t>-</w:t>
      </w:r>
      <w:r w:rsidR="00F74AF0">
        <w:rPr>
          <w:color w:val="000000" w:themeColor="text1"/>
          <w:sz w:val="26"/>
          <w:szCs w:val="26"/>
        </w:rPr>
        <w:t>000</w:t>
      </w:r>
      <w:r w:rsidRPr="00CC64E8">
        <w:rPr>
          <w:color w:val="000000" w:themeColor="text1"/>
          <w:sz w:val="26"/>
          <w:szCs w:val="26"/>
        </w:rPr>
        <w:t>: (1) clarif</w:t>
      </w:r>
      <w:r w:rsidR="00C81FA7">
        <w:rPr>
          <w:color w:val="000000" w:themeColor="text1"/>
          <w:sz w:val="26"/>
          <w:szCs w:val="26"/>
        </w:rPr>
        <w:t>y</w:t>
      </w:r>
      <w:r w:rsidRPr="00CC64E8">
        <w:rPr>
          <w:color w:val="000000" w:themeColor="text1"/>
          <w:sz w:val="26"/>
          <w:szCs w:val="26"/>
        </w:rPr>
        <w:t xml:space="preserve"> requirements for notifications under the standard, including when generator owners and transmission owners must have data for an applicable transformer or transmission line; (2) clarify and make consistent terminology used in the Standard; (3) incorporate the implementation timeframe for newly-identified facilities; and (4) add a criterion defining substantial changes in fault current levels requiring changing the locations for which certain data is recorded.</w:t>
      </w:r>
    </w:p>
    <w:p w:rsidR="00DD3989" w:rsidRPr="00A2075F" w:rsidP="00DD3989" w14:paraId="3A9B2472" w14:textId="61211C09">
      <w:pPr>
        <w:spacing w:line="480" w:lineRule="auto"/>
        <w:rPr>
          <w:szCs w:val="26"/>
        </w:rPr>
      </w:pPr>
      <w:r>
        <w:rPr>
          <w:szCs w:val="26"/>
        </w:rPr>
        <w:t>The p</w:t>
      </w:r>
      <w:r w:rsidRPr="00A2075F">
        <w:rPr>
          <w:szCs w:val="26"/>
        </w:rPr>
        <w:t>roposed Reliability Standard PRC-002-4 (Disturbance Monitoring and Reporting Requirements)</w:t>
      </w:r>
      <w:r w:rsidRPr="00A2075F">
        <w:rPr>
          <w:b/>
          <w:bCs/>
          <w:szCs w:val="26"/>
        </w:rPr>
        <w:t xml:space="preserve"> </w:t>
      </w:r>
      <w:r w:rsidRPr="00A2075F">
        <w:rPr>
          <w:szCs w:val="26"/>
        </w:rPr>
        <w:t xml:space="preserve">would advance the reliability of the </w:t>
      </w:r>
      <w:r w:rsidR="00AE330A">
        <w:rPr>
          <w:szCs w:val="26"/>
        </w:rPr>
        <w:t>b</w:t>
      </w:r>
      <w:r w:rsidR="006941D1">
        <w:rPr>
          <w:szCs w:val="26"/>
        </w:rPr>
        <w:t>ulk</w:t>
      </w:r>
      <w:r w:rsidR="00AE330A">
        <w:rPr>
          <w:szCs w:val="26"/>
        </w:rPr>
        <w:t xml:space="preserve"> e</w:t>
      </w:r>
      <w:r w:rsidR="006941D1">
        <w:rPr>
          <w:szCs w:val="26"/>
        </w:rPr>
        <w:t>lectric system (</w:t>
      </w:r>
      <w:r w:rsidRPr="00A2075F">
        <w:rPr>
          <w:szCs w:val="26"/>
        </w:rPr>
        <w:t>BES</w:t>
      </w:r>
      <w:r w:rsidR="006941D1">
        <w:rPr>
          <w:szCs w:val="26"/>
        </w:rPr>
        <w:t>)</w:t>
      </w:r>
      <w:r w:rsidRPr="00A2075F">
        <w:rPr>
          <w:szCs w:val="26"/>
        </w:rPr>
        <w:t xml:space="preserve"> by providing needed clarity regarding the application of the standard’s requirements.  First, proposed Reliability Standard PRC-002-4 would clarify requirements for notifications under the standard, including when Generator Owners and Transmission Owners must have data for an applicable transformer or transmission line.  Second, the proposed Reliability Standard clarifies and promotes consistency in terminology used in the standard.  Third, the proposed Reliability Standard brings the implementation timeframe for newly</w:t>
      </w:r>
      <w:r>
        <w:rPr>
          <w:szCs w:val="26"/>
        </w:rPr>
        <w:t xml:space="preserve"> </w:t>
      </w:r>
      <w:r w:rsidRPr="00A2075F">
        <w:rPr>
          <w:szCs w:val="26"/>
        </w:rPr>
        <w:t xml:space="preserve">identified facilities into the standard.  Last, the proposed Reliability Standard adds a criterion that defines what constitutes a substantial change in fault current levels that would require changing the locations for which sequence of events (SER) and fault </w:t>
      </w:r>
      <w:r w:rsidRPr="00A2075F">
        <w:rPr>
          <w:szCs w:val="26"/>
        </w:rPr>
        <w:t xml:space="preserve">recording (FR) data is recorded.  The revisions and supporting rationale are discussed in further detail below. </w:t>
      </w:r>
    </w:p>
    <w:p w:rsidR="00FE6FAA" w:rsidRPr="00FE6FAA" w:rsidP="00FE6FAA" w14:paraId="2B9EB7D0" w14:textId="5E5880AF">
      <w:pPr>
        <w:spacing w:line="480" w:lineRule="auto"/>
        <w:rPr>
          <w:i/>
          <w:iCs/>
        </w:rPr>
      </w:pPr>
      <w:r>
        <w:t xml:space="preserve">The proposed change to </w:t>
      </w:r>
      <w:r w:rsidR="3F4F5DD9">
        <w:t xml:space="preserve">the Bulk Electric System (BES) </w:t>
      </w:r>
      <w:r>
        <w:t>allows the possibility of significant change over time without a required change in data recording location. The Reliability Standard PRC-002-4 would provide necessary clarifications to the standard in the requirements R1, R3 and R5 and promotes consistency in terminology used in the standard.  The new requirement R13 brings the implementation timeframe for newly identified facilities into the standard. These changes would clarify the extent of the required notifications and data collection requirements consistent with other provisions in the currently effective and approved versions of the PRC-002 standard.</w:t>
      </w:r>
      <w:r w:rsidRPr="00FE6FAA">
        <w:t xml:space="preserve"> The number of respondents below is based on an estimate of the NERC compliance registry for balancing authority, transmission operator, generator operator, generator owner and reliability coordinator.  The Commission based its paperwork burden estimates on the NERC compliance registry as of February 10, 2023.  According to the registry, there are 325 transmission owners, 1,117 generator owners and 12 reliability coordinators.  The estimates are based on the change in burden from the currently pending standard (i.e., PRC-002-3) to the standard approved in this Docket (i.e., PRC-002-4).  The Commission based the burden estimates on staff experience, knowledge, and expertise. </w:t>
      </w:r>
    </w:p>
    <w:p w:rsidR="00DD3989" w:rsidRPr="00AC7782" w:rsidP="20D0217D" w14:paraId="6CD200C7" w14:textId="7775CDB1">
      <w:pPr>
        <w:spacing w:line="480" w:lineRule="auto"/>
      </w:pPr>
      <w:r w:rsidRPr="00FE6FAA">
        <w:t>The estimates are based on one-time (years 1 and 2) obligations to follow the revised Reliability Standard.</w:t>
      </w:r>
    </w:p>
    <w:p w:rsidR="00DD3989" w:rsidRPr="00A2075F" w:rsidP="00DD3989" w14:paraId="4F74CA8D" w14:textId="77777777">
      <w:pPr>
        <w:spacing w:line="480" w:lineRule="auto"/>
        <w:rPr>
          <w:szCs w:val="26"/>
        </w:rPr>
      </w:pPr>
    </w:p>
    <w:tbl>
      <w:tblPr>
        <w:tblStyle w:val="TableGrid"/>
        <w:tblW w:w="9361" w:type="dxa"/>
        <w:tblInd w:w="0" w:type="dxa"/>
        <w:tblLayout w:type="fixed"/>
        <w:tblLook w:val="0000"/>
      </w:tblPr>
      <w:tblGrid>
        <w:gridCol w:w="1634"/>
        <w:gridCol w:w="1354"/>
        <w:gridCol w:w="1325"/>
        <w:gridCol w:w="1398"/>
        <w:gridCol w:w="1619"/>
        <w:gridCol w:w="2031"/>
      </w:tblGrid>
      <w:tr w14:paraId="1F1A9681" w14:textId="77777777" w:rsidTr="00FE6FAA">
        <w:tblPrEx>
          <w:tblW w:w="9361" w:type="dxa"/>
          <w:tblInd w:w="0" w:type="dxa"/>
          <w:tblLayout w:type="fixed"/>
          <w:tblLook w:val="0000"/>
        </w:tblPrEx>
        <w:trPr>
          <w:trHeight w:val="300"/>
        </w:trPr>
        <w:tc>
          <w:tcPr>
            <w:tcW w:w="9361"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20D0217D" w:rsidP="20D0217D" w14:paraId="2AC6E734" w14:textId="2D5FB0AE">
            <w:pPr>
              <w:spacing w:after="160" w:line="259" w:lineRule="auto"/>
              <w:rPr>
                <w:color w:val="000000" w:themeColor="text1"/>
                <w:sz w:val="24"/>
              </w:rPr>
            </w:pPr>
            <w:bookmarkStart w:id="9" w:name="_Hlk120790206"/>
            <w:r w:rsidRPr="20D0217D">
              <w:rPr>
                <w:b/>
                <w:bCs/>
                <w:color w:val="000000" w:themeColor="text1"/>
                <w:sz w:val="24"/>
              </w:rPr>
              <w:t>Proposed Changes Due to Order in Docket No. RD23-4-000</w:t>
            </w:r>
          </w:p>
        </w:tc>
      </w:tr>
      <w:tr w14:paraId="57A2F1DA" w14:textId="77777777" w:rsidTr="00FE6FAA">
        <w:tblPrEx>
          <w:tblW w:w="9361" w:type="dxa"/>
          <w:tblInd w:w="0" w:type="dxa"/>
          <w:tblLayout w:type="fixed"/>
          <w:tblLook w:val="0000"/>
        </w:tblPrEx>
        <w:trPr>
          <w:trHeight w:val="300"/>
        </w:trPr>
        <w:tc>
          <w:tcPr>
            <w:tcW w:w="2988"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bottom"/>
          </w:tcPr>
          <w:p w:rsidR="00FE6FAA" w:rsidP="20D0217D" w14:paraId="1482A891" w14:textId="77777777">
            <w:pPr>
              <w:spacing w:after="160" w:line="259" w:lineRule="auto"/>
              <w:rPr>
                <w:color w:val="000000" w:themeColor="text1"/>
                <w:sz w:val="24"/>
              </w:rPr>
            </w:pPr>
            <w:r w:rsidRPr="20D0217D">
              <w:rPr>
                <w:b/>
                <w:bCs/>
                <w:color w:val="000000" w:themeColor="text1"/>
                <w:sz w:val="24"/>
              </w:rPr>
              <w:t>Reliability Standard &amp; Requirement</w:t>
            </w:r>
          </w:p>
          <w:p w:rsidR="00FE6FAA" w:rsidP="20D0217D" w14:paraId="03CBE728" w14:textId="044DA6AC">
            <w:pPr>
              <w:spacing w:after="160" w:line="259" w:lineRule="auto"/>
              <w:rPr>
                <w:color w:val="000000" w:themeColor="text1"/>
                <w:sz w:val="24"/>
              </w:rPr>
            </w:pPr>
            <w:r w:rsidRPr="20D0217D">
              <w:rPr>
                <w:b/>
                <w:bCs/>
                <w:color w:val="000000" w:themeColor="text1"/>
                <w:sz w:val="24"/>
              </w:rPr>
              <w:t>Type</w:t>
            </w:r>
            <w:r w:rsidRPr="20D0217D">
              <w:rPr>
                <w:b/>
                <w:bCs/>
                <w:color w:val="000000" w:themeColor="text1"/>
                <w:sz w:val="24"/>
                <w:vertAlign w:val="superscript"/>
              </w:rPr>
              <w:t>11</w:t>
            </w:r>
            <w:r w:rsidRPr="20D0217D">
              <w:rPr>
                <w:b/>
                <w:bCs/>
                <w:color w:val="000000" w:themeColor="text1"/>
                <w:sz w:val="24"/>
              </w:rPr>
              <w:t xml:space="preserve"> and Number of Entit</w:t>
            </w:r>
            <w:r>
              <w:rPr>
                <w:b/>
                <w:bCs/>
                <w:color w:val="000000" w:themeColor="text1"/>
                <w:sz w:val="24"/>
              </w:rPr>
              <w:t>ies</w:t>
            </w:r>
          </w:p>
          <w:p w:rsidR="00FE6FAA" w:rsidP="20D0217D" w14:paraId="69950D33" w14:textId="1D4BF241">
            <w:pPr>
              <w:spacing w:after="160" w:line="259" w:lineRule="auto"/>
              <w:rPr>
                <w:color w:val="000000" w:themeColor="text1"/>
                <w:sz w:val="24"/>
              </w:rPr>
            </w:pPr>
            <w:r w:rsidRPr="20D0217D">
              <w:rPr>
                <w:color w:val="000000" w:themeColor="text1"/>
                <w:sz w:val="24"/>
              </w:rPr>
              <w:t>(1)</w:t>
            </w:r>
          </w:p>
        </w:tc>
        <w:tc>
          <w:tcPr>
            <w:tcW w:w="132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bottom"/>
          </w:tcPr>
          <w:p w:rsidR="00FE6FAA" w:rsidP="20D0217D" w14:paraId="4E1C8C1D" w14:textId="63F2FDB0">
            <w:pPr>
              <w:spacing w:after="160" w:line="259" w:lineRule="auto"/>
              <w:rPr>
                <w:color w:val="000000" w:themeColor="text1"/>
                <w:sz w:val="24"/>
              </w:rPr>
            </w:pPr>
            <w:r w:rsidRPr="20D0217D">
              <w:rPr>
                <w:b/>
                <w:bCs/>
                <w:color w:val="000000" w:themeColor="text1"/>
                <w:sz w:val="24"/>
              </w:rPr>
              <w:t>Number of Annual Responses Per Entity</w:t>
            </w:r>
          </w:p>
          <w:p w:rsidR="00FE6FAA" w:rsidP="20D0217D" w14:paraId="2D4A0E4B" w14:textId="68BC67C5">
            <w:pPr>
              <w:spacing w:after="160" w:line="259" w:lineRule="auto"/>
              <w:rPr>
                <w:color w:val="000000" w:themeColor="text1"/>
                <w:sz w:val="24"/>
              </w:rPr>
            </w:pPr>
            <w:r w:rsidRPr="20D0217D">
              <w:rPr>
                <w:b/>
                <w:bCs/>
                <w:color w:val="000000" w:themeColor="text1"/>
                <w:sz w:val="24"/>
              </w:rPr>
              <w:t>(</w:t>
            </w:r>
            <w:r w:rsidRPr="20D0217D">
              <w:rPr>
                <w:color w:val="000000" w:themeColor="text1"/>
                <w:sz w:val="24"/>
              </w:rPr>
              <w:t>2)</w:t>
            </w:r>
          </w:p>
        </w:tc>
        <w:tc>
          <w:tcPr>
            <w:tcW w:w="139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bottom"/>
          </w:tcPr>
          <w:p w:rsidR="00FE6FAA" w:rsidP="20D0217D" w14:paraId="1A0D2A5A" w14:textId="4596AAA3">
            <w:pPr>
              <w:spacing w:after="160" w:line="259" w:lineRule="auto"/>
              <w:rPr>
                <w:color w:val="000000" w:themeColor="text1"/>
                <w:sz w:val="24"/>
              </w:rPr>
            </w:pPr>
            <w:r w:rsidRPr="20D0217D">
              <w:rPr>
                <w:b/>
                <w:bCs/>
                <w:color w:val="000000" w:themeColor="text1"/>
                <w:sz w:val="24"/>
              </w:rPr>
              <w:t>Total Number of Responses</w:t>
            </w:r>
          </w:p>
          <w:p w:rsidR="00FE6FAA" w:rsidP="20D0217D" w14:paraId="7E7C6735" w14:textId="5FFB023C">
            <w:pPr>
              <w:spacing w:after="160" w:line="259" w:lineRule="auto"/>
              <w:rPr>
                <w:color w:val="000000" w:themeColor="text1"/>
                <w:sz w:val="24"/>
              </w:rPr>
            </w:pPr>
            <w:r w:rsidRPr="20D0217D">
              <w:rPr>
                <w:b/>
                <w:bCs/>
                <w:color w:val="000000" w:themeColor="text1"/>
                <w:sz w:val="24"/>
              </w:rPr>
              <w:t>(1) *(2) = (3)</w:t>
            </w:r>
          </w:p>
        </w:tc>
        <w:tc>
          <w:tcPr>
            <w:tcW w:w="161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bottom"/>
          </w:tcPr>
          <w:p w:rsidR="00FE6FAA" w:rsidP="20D0217D" w14:paraId="140498E5" w14:textId="04AAFE76">
            <w:pPr>
              <w:spacing w:after="160" w:line="259" w:lineRule="auto"/>
              <w:rPr>
                <w:color w:val="000000" w:themeColor="text1"/>
                <w:sz w:val="24"/>
              </w:rPr>
            </w:pPr>
            <w:r w:rsidRPr="20D0217D">
              <w:rPr>
                <w:b/>
                <w:bCs/>
                <w:color w:val="000000" w:themeColor="text1"/>
                <w:sz w:val="24"/>
              </w:rPr>
              <w:t xml:space="preserve">Average </w:t>
            </w:r>
            <w:r w:rsidRPr="20D0217D">
              <w:rPr>
                <w:b/>
                <w:bCs/>
                <w:color w:val="000000" w:themeColor="text1"/>
                <w:sz w:val="24"/>
              </w:rPr>
              <w:t>Number</w:t>
            </w:r>
            <w:r w:rsidRPr="20D0217D">
              <w:rPr>
                <w:b/>
                <w:bCs/>
                <w:color w:val="000000" w:themeColor="text1"/>
                <w:sz w:val="24"/>
              </w:rPr>
              <w:t xml:space="preserve"> of Burden Hours per Response</w:t>
            </w:r>
            <w:r w:rsidRPr="20D0217D">
              <w:rPr>
                <w:color w:val="000000" w:themeColor="text1"/>
                <w:sz w:val="24"/>
                <w:vertAlign w:val="superscript"/>
              </w:rPr>
              <w:t>12</w:t>
            </w:r>
          </w:p>
          <w:p w:rsidR="00FE6FAA" w:rsidP="20D0217D" w14:paraId="5C8ED7F5" w14:textId="58D0BBBC">
            <w:pPr>
              <w:spacing w:after="160" w:line="259" w:lineRule="auto"/>
              <w:rPr>
                <w:color w:val="000000" w:themeColor="text1"/>
                <w:sz w:val="24"/>
              </w:rPr>
            </w:pPr>
            <w:r w:rsidRPr="20D0217D">
              <w:rPr>
                <w:b/>
                <w:bCs/>
                <w:color w:val="000000" w:themeColor="text1"/>
                <w:sz w:val="24"/>
              </w:rPr>
              <w:t>(4)</w:t>
            </w:r>
          </w:p>
        </w:tc>
        <w:tc>
          <w:tcPr>
            <w:tcW w:w="203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bottom"/>
          </w:tcPr>
          <w:p w:rsidR="00FE6FAA" w:rsidP="20D0217D" w14:paraId="1128D57D" w14:textId="157C1566">
            <w:pPr>
              <w:spacing w:after="160" w:line="259" w:lineRule="auto"/>
              <w:rPr>
                <w:color w:val="000000" w:themeColor="text1"/>
                <w:sz w:val="24"/>
              </w:rPr>
            </w:pPr>
            <w:r w:rsidRPr="20D0217D">
              <w:rPr>
                <w:b/>
                <w:bCs/>
                <w:color w:val="000000" w:themeColor="text1"/>
                <w:sz w:val="24"/>
              </w:rPr>
              <w:t>Total Burden Hours</w:t>
            </w:r>
          </w:p>
          <w:p w:rsidR="00FE6FAA" w:rsidP="20D0217D" w14:paraId="73991D53" w14:textId="227A1603">
            <w:pPr>
              <w:spacing w:after="160" w:line="259" w:lineRule="auto"/>
              <w:rPr>
                <w:color w:val="000000" w:themeColor="text1"/>
                <w:sz w:val="24"/>
              </w:rPr>
            </w:pPr>
            <w:r w:rsidRPr="20D0217D">
              <w:rPr>
                <w:b/>
                <w:bCs/>
                <w:color w:val="000000" w:themeColor="text1"/>
                <w:sz w:val="24"/>
              </w:rPr>
              <w:t>(3) *(4) = (5)</w:t>
            </w:r>
          </w:p>
        </w:tc>
      </w:tr>
      <w:tr w14:paraId="31DF2DF3" w14:textId="77777777" w:rsidTr="00FE6FAA">
        <w:tblPrEx>
          <w:tblW w:w="9361" w:type="dxa"/>
          <w:tblInd w:w="0" w:type="dxa"/>
          <w:tblLayout w:type="fixed"/>
          <w:tblLook w:val="0000"/>
        </w:tblPrEx>
        <w:trPr>
          <w:trHeight w:val="300"/>
        </w:trPr>
        <w:tc>
          <w:tcPr>
            <w:tcW w:w="9361"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20D0217D" w:rsidP="20D0217D" w14:paraId="451064D3" w14:textId="0A268E2A">
            <w:pPr>
              <w:spacing w:after="160" w:line="259" w:lineRule="auto"/>
              <w:jc w:val="center"/>
              <w:rPr>
                <w:color w:val="000000" w:themeColor="text1"/>
                <w:sz w:val="24"/>
              </w:rPr>
            </w:pPr>
            <w:r w:rsidRPr="20D0217D">
              <w:rPr>
                <w:b/>
                <w:bCs/>
                <w:color w:val="000000" w:themeColor="text1"/>
                <w:sz w:val="24"/>
              </w:rPr>
              <w:t>FERC-725G</w:t>
            </w:r>
          </w:p>
        </w:tc>
      </w:tr>
      <w:tr w14:paraId="182050FD" w14:textId="77777777" w:rsidTr="00FE6FAA">
        <w:tblPrEx>
          <w:tblW w:w="9361" w:type="dxa"/>
          <w:tblInd w:w="0" w:type="dxa"/>
          <w:tblLayout w:type="fixed"/>
          <w:tblLook w:val="0000"/>
        </w:tblPrEx>
        <w:trPr>
          <w:trHeight w:val="300"/>
        </w:trPr>
        <w:tc>
          <w:tcPr>
            <w:tcW w:w="9361"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20D0217D" w:rsidP="20D0217D" w14:paraId="5C8C2101" w14:textId="660BA4AE">
            <w:pPr>
              <w:spacing w:after="200" w:line="276" w:lineRule="auto"/>
              <w:rPr>
                <w:color w:val="000000" w:themeColor="text1"/>
                <w:sz w:val="24"/>
              </w:rPr>
            </w:pPr>
            <w:r w:rsidRPr="20D0217D">
              <w:rPr>
                <w:b/>
                <w:bCs/>
                <w:color w:val="000000" w:themeColor="text1"/>
                <w:sz w:val="24"/>
              </w:rPr>
              <w:t>PRC-002-4</w:t>
            </w:r>
          </w:p>
        </w:tc>
      </w:tr>
      <w:tr w14:paraId="274F4F1E" w14:textId="77777777" w:rsidTr="00FE6FAA">
        <w:tblPrEx>
          <w:tblW w:w="9361" w:type="dxa"/>
          <w:tblInd w:w="0" w:type="dxa"/>
          <w:tblLayout w:type="fixed"/>
          <w:tblLook w:val="0000"/>
        </w:tblPrEx>
        <w:trPr>
          <w:trHeight w:val="300"/>
        </w:trPr>
        <w:tc>
          <w:tcPr>
            <w:tcW w:w="1634"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1709BB58" w14:textId="5BF6EBC4">
            <w:pPr>
              <w:spacing w:after="160" w:line="259" w:lineRule="auto"/>
              <w:rPr>
                <w:color w:val="000000" w:themeColor="text1"/>
                <w:sz w:val="24"/>
              </w:rPr>
            </w:pPr>
            <w:r w:rsidRPr="20D0217D">
              <w:rPr>
                <w:color w:val="000000" w:themeColor="text1"/>
                <w:sz w:val="24"/>
              </w:rPr>
              <w:t>TO</w:t>
            </w:r>
          </w:p>
        </w:tc>
        <w:tc>
          <w:tcPr>
            <w:tcW w:w="1354"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51A927C7" w14:textId="2846EAE9">
            <w:pPr>
              <w:spacing w:after="160" w:line="259" w:lineRule="auto"/>
              <w:rPr>
                <w:color w:val="000000" w:themeColor="text1"/>
                <w:sz w:val="24"/>
              </w:rPr>
            </w:pPr>
            <w:r w:rsidRPr="20D0217D">
              <w:rPr>
                <w:color w:val="000000" w:themeColor="text1"/>
                <w:sz w:val="24"/>
              </w:rPr>
              <w:t>325</w:t>
            </w:r>
          </w:p>
        </w:tc>
        <w:tc>
          <w:tcPr>
            <w:tcW w:w="1325"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52EDF765" w14:textId="66F87F2B">
            <w:pPr>
              <w:spacing w:after="160" w:line="259" w:lineRule="auto"/>
              <w:rPr>
                <w:color w:val="000000" w:themeColor="text1"/>
                <w:sz w:val="24"/>
              </w:rPr>
            </w:pPr>
            <w:r w:rsidRPr="20D0217D">
              <w:rPr>
                <w:color w:val="000000" w:themeColor="text1"/>
                <w:sz w:val="24"/>
              </w:rPr>
              <w:t>1</w:t>
            </w:r>
          </w:p>
        </w:tc>
        <w:tc>
          <w:tcPr>
            <w:tcW w:w="1398"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4DA9B42C" w14:textId="41424049">
            <w:pPr>
              <w:spacing w:after="160" w:line="259" w:lineRule="auto"/>
              <w:rPr>
                <w:color w:val="000000" w:themeColor="text1"/>
                <w:sz w:val="24"/>
              </w:rPr>
            </w:pPr>
            <w:r w:rsidRPr="20D0217D">
              <w:rPr>
                <w:color w:val="000000" w:themeColor="text1"/>
                <w:sz w:val="24"/>
              </w:rPr>
              <w:t>325</w:t>
            </w:r>
          </w:p>
        </w:tc>
        <w:tc>
          <w:tcPr>
            <w:tcW w:w="1619"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2448B5CD" w14:textId="6D7891FF">
            <w:pPr>
              <w:spacing w:after="160" w:line="259" w:lineRule="auto"/>
              <w:rPr>
                <w:color w:val="000000" w:themeColor="text1"/>
                <w:sz w:val="24"/>
              </w:rPr>
            </w:pPr>
            <w:r w:rsidRPr="20D0217D">
              <w:rPr>
                <w:color w:val="000000" w:themeColor="text1"/>
                <w:sz w:val="24"/>
              </w:rPr>
              <w:t>16 hrs.</w:t>
            </w:r>
          </w:p>
          <w:p w:rsidR="20D0217D" w:rsidP="20D0217D" w14:paraId="603C581F" w14:textId="648E6E31">
            <w:pPr>
              <w:spacing w:after="160" w:line="259" w:lineRule="auto"/>
              <w:rPr>
                <w:color w:val="000000" w:themeColor="text1"/>
                <w:sz w:val="24"/>
              </w:rPr>
            </w:pPr>
            <w:r w:rsidRPr="20D0217D">
              <w:rPr>
                <w:color w:val="000000" w:themeColor="text1"/>
                <w:sz w:val="24"/>
              </w:rPr>
              <w:t>$978.72</w:t>
            </w:r>
          </w:p>
        </w:tc>
        <w:tc>
          <w:tcPr>
            <w:tcW w:w="2031"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77F6312D" w14:textId="1735C960">
            <w:pPr>
              <w:spacing w:after="160" w:line="259" w:lineRule="auto"/>
              <w:rPr>
                <w:color w:val="000000" w:themeColor="text1"/>
                <w:sz w:val="24"/>
              </w:rPr>
            </w:pPr>
            <w:r w:rsidRPr="20D0217D">
              <w:rPr>
                <w:color w:val="000000" w:themeColor="text1"/>
                <w:sz w:val="24"/>
              </w:rPr>
              <w:t>5,200 hrs.</w:t>
            </w:r>
          </w:p>
          <w:p w:rsidR="20D0217D" w:rsidP="20D0217D" w14:paraId="7043E4AD" w14:textId="0B361089">
            <w:pPr>
              <w:spacing w:after="160" w:line="259" w:lineRule="auto"/>
              <w:rPr>
                <w:color w:val="000000" w:themeColor="text1"/>
                <w:sz w:val="24"/>
              </w:rPr>
            </w:pPr>
            <w:r w:rsidRPr="20D0217D">
              <w:rPr>
                <w:color w:val="000000" w:themeColor="text1"/>
                <w:sz w:val="24"/>
              </w:rPr>
              <w:t>$318,084</w:t>
            </w:r>
          </w:p>
        </w:tc>
      </w:tr>
      <w:tr w14:paraId="165B6753" w14:textId="77777777" w:rsidTr="00FE6FAA">
        <w:tblPrEx>
          <w:tblW w:w="9361" w:type="dxa"/>
          <w:tblInd w:w="0" w:type="dxa"/>
          <w:tblLayout w:type="fixed"/>
          <w:tblLook w:val="0000"/>
        </w:tblPrEx>
        <w:trPr>
          <w:trHeight w:val="300"/>
        </w:trPr>
        <w:tc>
          <w:tcPr>
            <w:tcW w:w="1634"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6BC60607" w14:textId="4E47E4A6">
            <w:pPr>
              <w:spacing w:after="160" w:line="259" w:lineRule="auto"/>
              <w:rPr>
                <w:color w:val="000000" w:themeColor="text1"/>
                <w:sz w:val="24"/>
              </w:rPr>
            </w:pPr>
            <w:r w:rsidRPr="20D0217D">
              <w:rPr>
                <w:color w:val="000000" w:themeColor="text1"/>
                <w:sz w:val="24"/>
              </w:rPr>
              <w:t>GO</w:t>
            </w:r>
          </w:p>
        </w:tc>
        <w:tc>
          <w:tcPr>
            <w:tcW w:w="1354"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61FA6498" w14:textId="5773E51C">
            <w:pPr>
              <w:spacing w:after="160" w:line="259" w:lineRule="auto"/>
              <w:rPr>
                <w:color w:val="000000" w:themeColor="text1"/>
                <w:sz w:val="24"/>
              </w:rPr>
            </w:pPr>
            <w:r w:rsidRPr="20D0217D">
              <w:rPr>
                <w:color w:val="000000" w:themeColor="text1"/>
                <w:sz w:val="24"/>
              </w:rPr>
              <w:t>1,117</w:t>
            </w:r>
          </w:p>
        </w:tc>
        <w:tc>
          <w:tcPr>
            <w:tcW w:w="1325"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10A7CEC5" w14:textId="6E0881E9">
            <w:pPr>
              <w:spacing w:after="160" w:line="259" w:lineRule="auto"/>
              <w:rPr>
                <w:color w:val="000000" w:themeColor="text1"/>
                <w:sz w:val="24"/>
              </w:rPr>
            </w:pPr>
            <w:r w:rsidRPr="20D0217D">
              <w:rPr>
                <w:color w:val="000000" w:themeColor="text1"/>
                <w:sz w:val="24"/>
              </w:rPr>
              <w:t>1</w:t>
            </w:r>
          </w:p>
        </w:tc>
        <w:tc>
          <w:tcPr>
            <w:tcW w:w="1398"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636B35F9" w14:textId="18F1302A">
            <w:pPr>
              <w:spacing w:after="160" w:line="259" w:lineRule="auto"/>
              <w:rPr>
                <w:color w:val="000000" w:themeColor="text1"/>
                <w:sz w:val="24"/>
              </w:rPr>
            </w:pPr>
            <w:r w:rsidRPr="20D0217D">
              <w:rPr>
                <w:color w:val="000000" w:themeColor="text1"/>
                <w:sz w:val="24"/>
              </w:rPr>
              <w:t>1,117</w:t>
            </w:r>
          </w:p>
        </w:tc>
        <w:tc>
          <w:tcPr>
            <w:tcW w:w="1619"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61C92EF4" w14:textId="2355E582">
            <w:pPr>
              <w:spacing w:after="160" w:line="259" w:lineRule="auto"/>
              <w:rPr>
                <w:color w:val="000000" w:themeColor="text1"/>
                <w:sz w:val="24"/>
              </w:rPr>
            </w:pPr>
            <w:r w:rsidRPr="20D0217D">
              <w:rPr>
                <w:color w:val="000000" w:themeColor="text1"/>
                <w:sz w:val="24"/>
              </w:rPr>
              <w:t>16 hrs.</w:t>
            </w:r>
          </w:p>
          <w:p w:rsidR="20D0217D" w:rsidP="20D0217D" w14:paraId="5237896F" w14:textId="544DDBCE">
            <w:pPr>
              <w:spacing w:after="160" w:line="259" w:lineRule="auto"/>
              <w:rPr>
                <w:color w:val="000000" w:themeColor="text1"/>
                <w:sz w:val="24"/>
              </w:rPr>
            </w:pPr>
            <w:r w:rsidRPr="20D0217D">
              <w:rPr>
                <w:color w:val="000000" w:themeColor="text1"/>
                <w:sz w:val="24"/>
              </w:rPr>
              <w:t>$978.72</w:t>
            </w:r>
          </w:p>
        </w:tc>
        <w:tc>
          <w:tcPr>
            <w:tcW w:w="2031"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475B9126" w14:textId="37BD37DC">
            <w:pPr>
              <w:spacing w:after="160" w:line="259" w:lineRule="auto"/>
              <w:rPr>
                <w:color w:val="000000" w:themeColor="text1"/>
                <w:sz w:val="24"/>
              </w:rPr>
            </w:pPr>
            <w:r w:rsidRPr="20D0217D">
              <w:rPr>
                <w:color w:val="000000" w:themeColor="text1"/>
                <w:sz w:val="24"/>
              </w:rPr>
              <w:t>17,872 hrs.</w:t>
            </w:r>
          </w:p>
          <w:p w:rsidR="20D0217D" w:rsidP="20D0217D" w14:paraId="3D891E8D" w14:textId="7C985D28">
            <w:pPr>
              <w:spacing w:after="160" w:line="259" w:lineRule="auto"/>
              <w:rPr>
                <w:color w:val="000000" w:themeColor="text1"/>
                <w:sz w:val="24"/>
              </w:rPr>
            </w:pPr>
            <w:r w:rsidRPr="20D0217D">
              <w:rPr>
                <w:color w:val="000000" w:themeColor="text1"/>
                <w:sz w:val="24"/>
              </w:rPr>
              <w:t>$1,093,230.24</w:t>
            </w:r>
          </w:p>
        </w:tc>
      </w:tr>
      <w:tr w14:paraId="47126DEC" w14:textId="77777777" w:rsidTr="00FE6FAA">
        <w:tblPrEx>
          <w:tblW w:w="9361" w:type="dxa"/>
          <w:tblInd w:w="0" w:type="dxa"/>
          <w:tblLayout w:type="fixed"/>
          <w:tblLook w:val="0000"/>
        </w:tblPrEx>
        <w:trPr>
          <w:trHeight w:val="300"/>
        </w:trPr>
        <w:tc>
          <w:tcPr>
            <w:tcW w:w="1634"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09F064A1" w14:textId="772B0B7C">
            <w:pPr>
              <w:spacing w:after="160" w:line="259" w:lineRule="auto"/>
              <w:rPr>
                <w:color w:val="000000" w:themeColor="text1"/>
                <w:sz w:val="24"/>
              </w:rPr>
            </w:pPr>
            <w:r w:rsidRPr="20D0217D">
              <w:rPr>
                <w:color w:val="000000" w:themeColor="text1"/>
                <w:sz w:val="24"/>
              </w:rPr>
              <w:t>RC</w:t>
            </w:r>
          </w:p>
        </w:tc>
        <w:tc>
          <w:tcPr>
            <w:tcW w:w="1354"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2958A056" w14:textId="4B80C6F3">
            <w:pPr>
              <w:spacing w:after="160" w:line="259" w:lineRule="auto"/>
              <w:rPr>
                <w:color w:val="000000" w:themeColor="text1"/>
                <w:sz w:val="24"/>
              </w:rPr>
            </w:pPr>
            <w:r w:rsidRPr="20D0217D">
              <w:rPr>
                <w:color w:val="000000" w:themeColor="text1"/>
                <w:sz w:val="24"/>
              </w:rPr>
              <w:t>12</w:t>
            </w:r>
          </w:p>
        </w:tc>
        <w:tc>
          <w:tcPr>
            <w:tcW w:w="1325"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1A0D7EA5" w14:textId="666B3DAA">
            <w:pPr>
              <w:spacing w:after="160" w:line="259" w:lineRule="auto"/>
              <w:rPr>
                <w:color w:val="000000" w:themeColor="text1"/>
                <w:sz w:val="24"/>
              </w:rPr>
            </w:pPr>
            <w:r w:rsidRPr="20D0217D">
              <w:rPr>
                <w:color w:val="000000" w:themeColor="text1"/>
                <w:sz w:val="24"/>
              </w:rPr>
              <w:t>1</w:t>
            </w:r>
          </w:p>
        </w:tc>
        <w:tc>
          <w:tcPr>
            <w:tcW w:w="1398"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7CDF971A" w14:textId="1F955A8B">
            <w:pPr>
              <w:spacing w:after="160" w:line="259" w:lineRule="auto"/>
              <w:rPr>
                <w:color w:val="000000" w:themeColor="text1"/>
                <w:sz w:val="24"/>
              </w:rPr>
            </w:pPr>
            <w:r w:rsidRPr="20D0217D">
              <w:rPr>
                <w:color w:val="000000" w:themeColor="text1"/>
                <w:sz w:val="24"/>
              </w:rPr>
              <w:t>12</w:t>
            </w:r>
          </w:p>
        </w:tc>
        <w:tc>
          <w:tcPr>
            <w:tcW w:w="1619"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3CF2EEF4" w14:textId="770E8782">
            <w:pPr>
              <w:spacing w:after="160" w:line="259" w:lineRule="auto"/>
              <w:rPr>
                <w:color w:val="000000" w:themeColor="text1"/>
                <w:sz w:val="24"/>
              </w:rPr>
            </w:pPr>
            <w:r w:rsidRPr="20D0217D">
              <w:rPr>
                <w:color w:val="000000" w:themeColor="text1"/>
                <w:sz w:val="24"/>
              </w:rPr>
              <w:t>8 hrs.</w:t>
            </w:r>
          </w:p>
          <w:p w:rsidR="20D0217D" w:rsidP="20D0217D" w14:paraId="76C46B7E" w14:textId="6B56BC31">
            <w:pPr>
              <w:spacing w:after="160" w:line="259" w:lineRule="auto"/>
              <w:rPr>
                <w:color w:val="000000" w:themeColor="text1"/>
                <w:sz w:val="24"/>
              </w:rPr>
            </w:pPr>
            <w:r w:rsidRPr="20D0217D">
              <w:rPr>
                <w:color w:val="000000" w:themeColor="text1"/>
                <w:sz w:val="24"/>
              </w:rPr>
              <w:t>$489.36</w:t>
            </w:r>
          </w:p>
        </w:tc>
        <w:tc>
          <w:tcPr>
            <w:tcW w:w="2031"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6E40209D" w14:textId="6B36569B">
            <w:pPr>
              <w:spacing w:after="160" w:line="259" w:lineRule="auto"/>
              <w:rPr>
                <w:color w:val="000000" w:themeColor="text1"/>
                <w:sz w:val="24"/>
              </w:rPr>
            </w:pPr>
            <w:r w:rsidRPr="20D0217D">
              <w:rPr>
                <w:color w:val="000000" w:themeColor="text1"/>
                <w:sz w:val="24"/>
              </w:rPr>
              <w:t>96 hrs.</w:t>
            </w:r>
          </w:p>
          <w:p w:rsidR="20D0217D" w:rsidP="20D0217D" w14:paraId="7B5AA699" w14:textId="28B7294C">
            <w:pPr>
              <w:spacing w:after="160" w:line="259" w:lineRule="auto"/>
              <w:rPr>
                <w:color w:val="000000" w:themeColor="text1"/>
                <w:sz w:val="24"/>
              </w:rPr>
            </w:pPr>
            <w:r w:rsidRPr="20D0217D">
              <w:rPr>
                <w:color w:val="000000" w:themeColor="text1"/>
                <w:sz w:val="24"/>
              </w:rPr>
              <w:t>$5,872.32</w:t>
            </w:r>
          </w:p>
        </w:tc>
      </w:tr>
      <w:tr w14:paraId="7C99175B" w14:textId="77777777" w:rsidTr="00FE6FAA">
        <w:tblPrEx>
          <w:tblW w:w="9361" w:type="dxa"/>
          <w:tblInd w:w="0" w:type="dxa"/>
          <w:tblLayout w:type="fixed"/>
          <w:tblLook w:val="0000"/>
        </w:tblPrEx>
        <w:trPr>
          <w:trHeight w:val="300"/>
        </w:trPr>
        <w:tc>
          <w:tcPr>
            <w:tcW w:w="1634"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0218E370" w14:textId="3E3B67E0">
            <w:pPr>
              <w:spacing w:after="160" w:line="259" w:lineRule="auto"/>
              <w:rPr>
                <w:color w:val="000000" w:themeColor="text1"/>
                <w:sz w:val="24"/>
              </w:rPr>
            </w:pPr>
            <w:r w:rsidRPr="20D0217D">
              <w:rPr>
                <w:b/>
                <w:bCs/>
                <w:color w:val="000000" w:themeColor="text1"/>
                <w:sz w:val="24"/>
              </w:rPr>
              <w:t>Total for PRC-002</w:t>
            </w:r>
          </w:p>
          <w:p w:rsidR="20D0217D" w:rsidP="20D0217D" w14:paraId="24DB6DBC" w14:textId="06DA681E">
            <w:pPr>
              <w:spacing w:after="160" w:line="259" w:lineRule="auto"/>
              <w:rPr>
                <w:color w:val="000000" w:themeColor="text1"/>
                <w:sz w:val="24"/>
              </w:rPr>
            </w:pPr>
            <w:r w:rsidRPr="20D0217D">
              <w:rPr>
                <w:b/>
                <w:bCs/>
                <w:color w:val="000000" w:themeColor="text1"/>
                <w:sz w:val="24"/>
              </w:rPr>
              <w:t>One Time Estimate - Years 1 and 2</w:t>
            </w:r>
          </w:p>
        </w:tc>
        <w:tc>
          <w:tcPr>
            <w:tcW w:w="1354"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09AE5435" w14:textId="64B6BB99">
            <w:pPr>
              <w:spacing w:after="160" w:line="259" w:lineRule="auto"/>
              <w:rPr>
                <w:color w:val="000000" w:themeColor="text1"/>
                <w:sz w:val="24"/>
              </w:rPr>
            </w:pPr>
          </w:p>
        </w:tc>
        <w:tc>
          <w:tcPr>
            <w:tcW w:w="1325"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72571C3A" w14:textId="0094785B">
            <w:pPr>
              <w:spacing w:after="160" w:line="259" w:lineRule="auto"/>
              <w:rPr>
                <w:color w:val="000000" w:themeColor="text1"/>
                <w:sz w:val="24"/>
              </w:rPr>
            </w:pPr>
          </w:p>
        </w:tc>
        <w:tc>
          <w:tcPr>
            <w:tcW w:w="1398"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77745AC9" w14:textId="0AD9CF35">
            <w:pPr>
              <w:spacing w:after="160" w:line="259" w:lineRule="auto"/>
              <w:rPr>
                <w:color w:val="000000" w:themeColor="text1"/>
                <w:sz w:val="24"/>
              </w:rPr>
            </w:pPr>
            <w:r w:rsidRPr="20D0217D">
              <w:rPr>
                <w:b/>
                <w:bCs/>
                <w:color w:val="000000" w:themeColor="text1"/>
                <w:sz w:val="24"/>
              </w:rPr>
              <w:t>1,454</w:t>
            </w:r>
          </w:p>
        </w:tc>
        <w:tc>
          <w:tcPr>
            <w:tcW w:w="1619"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5EAD9E0A" w14:textId="7D7B4FD1">
            <w:pPr>
              <w:spacing w:after="200" w:line="276" w:lineRule="auto"/>
              <w:rPr>
                <w:color w:val="000000" w:themeColor="text1"/>
                <w:sz w:val="24"/>
              </w:rPr>
            </w:pPr>
            <w:r w:rsidRPr="20D0217D">
              <w:rPr>
                <w:color w:val="000000" w:themeColor="text1"/>
                <w:sz w:val="24"/>
              </w:rPr>
              <w:t>40 hrs.</w:t>
            </w:r>
          </w:p>
          <w:p w:rsidR="20D0217D" w:rsidP="20D0217D" w14:paraId="464CB04C" w14:textId="7061646E">
            <w:pPr>
              <w:spacing w:after="160" w:line="259" w:lineRule="auto"/>
              <w:rPr>
                <w:color w:val="000000" w:themeColor="text1"/>
                <w:sz w:val="24"/>
              </w:rPr>
            </w:pPr>
            <w:r w:rsidRPr="20D0217D">
              <w:rPr>
                <w:color w:val="000000" w:themeColor="text1"/>
                <w:sz w:val="24"/>
              </w:rPr>
              <w:t>$2,446.8</w:t>
            </w:r>
          </w:p>
        </w:tc>
        <w:tc>
          <w:tcPr>
            <w:tcW w:w="2031" w:type="dxa"/>
            <w:tcBorders>
              <w:top w:val="single" w:sz="6" w:space="0" w:color="auto"/>
              <w:left w:val="single" w:sz="6" w:space="0" w:color="auto"/>
              <w:bottom w:val="single" w:sz="6" w:space="0" w:color="auto"/>
              <w:right w:val="single" w:sz="6" w:space="0" w:color="auto"/>
            </w:tcBorders>
            <w:tcMar>
              <w:left w:w="105" w:type="dxa"/>
              <w:right w:w="105" w:type="dxa"/>
            </w:tcMar>
          </w:tcPr>
          <w:p w:rsidR="20D0217D" w:rsidP="20D0217D" w14:paraId="0B2859CE" w14:textId="3DA7D9B6">
            <w:pPr>
              <w:spacing w:after="200" w:line="276" w:lineRule="auto"/>
              <w:rPr>
                <w:color w:val="000000" w:themeColor="text1"/>
                <w:sz w:val="24"/>
              </w:rPr>
            </w:pPr>
            <w:r w:rsidRPr="20D0217D">
              <w:rPr>
                <w:color w:val="000000" w:themeColor="text1"/>
                <w:sz w:val="24"/>
              </w:rPr>
              <w:t>23,168 hrs.</w:t>
            </w:r>
          </w:p>
          <w:p w:rsidR="20D0217D" w:rsidP="20D0217D" w14:paraId="544BC572" w14:textId="53051B32">
            <w:pPr>
              <w:spacing w:after="160" w:line="259" w:lineRule="auto"/>
              <w:rPr>
                <w:color w:val="000000" w:themeColor="text1"/>
                <w:sz w:val="24"/>
              </w:rPr>
            </w:pPr>
            <w:r w:rsidRPr="20D0217D">
              <w:rPr>
                <w:color w:val="000000" w:themeColor="text1"/>
                <w:sz w:val="24"/>
              </w:rPr>
              <w:t>$1,417,186.56</w:t>
            </w:r>
          </w:p>
        </w:tc>
      </w:tr>
    </w:tbl>
    <w:p w:rsidR="20D0217D" w:rsidP="20D0217D" w14:paraId="19BA06BE" w14:textId="384E51F6">
      <w:pPr>
        <w:tabs>
          <w:tab w:val="left" w:pos="720"/>
        </w:tabs>
        <w:spacing w:line="480" w:lineRule="auto"/>
        <w:rPr>
          <w:rFonts w:eastAsia="Calibri"/>
        </w:rPr>
      </w:pPr>
    </w:p>
    <w:p w:rsidR="00DD3989" w:rsidRPr="00016D90" w:rsidP="20D0217D" w14:paraId="3BFC4C4A" w14:textId="17D7E45D">
      <w:pPr>
        <w:tabs>
          <w:tab w:val="left" w:pos="720"/>
        </w:tabs>
        <w:autoSpaceDE w:val="0"/>
        <w:autoSpaceDN w:val="0"/>
        <w:adjustRightInd w:val="0"/>
        <w:spacing w:line="480" w:lineRule="auto"/>
        <w:rPr>
          <w:rFonts w:eastAsia="Calibri"/>
        </w:rPr>
      </w:pPr>
      <w:bookmarkStart w:id="10" w:name="_Hlk126065378"/>
      <w:bookmarkEnd w:id="9"/>
      <w:r w:rsidRPr="20D0217D">
        <w:rPr>
          <w:rFonts w:eastAsia="Calibri"/>
        </w:rPr>
        <w:t xml:space="preserve">The one-time burden of 23,168 hours only applies </w:t>
      </w:r>
      <w:r w:rsidR="007F140E">
        <w:rPr>
          <w:rFonts w:eastAsia="Calibri"/>
        </w:rPr>
        <w:t>to</w:t>
      </w:r>
      <w:r w:rsidRPr="20D0217D">
        <w:rPr>
          <w:rFonts w:eastAsia="Calibri"/>
        </w:rPr>
        <w:t xml:space="preserve"> Year 1 and 2 </w:t>
      </w:r>
      <w:r w:rsidR="007F140E">
        <w:rPr>
          <w:rFonts w:eastAsia="Calibri"/>
        </w:rPr>
        <w:t xml:space="preserve">and </w:t>
      </w:r>
      <w:r w:rsidRPr="20D0217D">
        <w:rPr>
          <w:rFonts w:eastAsia="Calibri"/>
        </w:rPr>
        <w:t>will be averaged over three years (23,168 hours ÷ 3 = 7,722.667 (7,722.67 – rounded) hours/year over three years). The number of responses is also averaged over three years (1,454 responses ÷ 3 = 484.667 (484.67 - rounded) responses/year).</w:t>
      </w:r>
    </w:p>
    <w:p w:rsidR="00DD3989" w:rsidRPr="00016D90" w:rsidP="00DD3989" w14:paraId="59077844" w14:textId="1F657F0E">
      <w:pPr>
        <w:tabs>
          <w:tab w:val="left" w:pos="720"/>
        </w:tabs>
        <w:autoSpaceDE w:val="0"/>
        <w:autoSpaceDN w:val="0"/>
        <w:adjustRightInd w:val="0"/>
        <w:spacing w:line="480" w:lineRule="auto"/>
        <w:rPr>
          <w:rFonts w:eastAsia="Calibri"/>
          <w:szCs w:val="26"/>
        </w:rPr>
      </w:pPr>
      <w:r w:rsidRPr="00016D90">
        <w:rPr>
          <w:rFonts w:eastAsia="Calibri"/>
          <w:szCs w:val="26"/>
        </w:rPr>
        <w:t>The responses and burden hours for Years 1-3 will total respectively as follows for Year 1 one-time burden:</w:t>
      </w:r>
    </w:p>
    <w:p w:rsidR="00DD3989" w:rsidRPr="00016D90" w:rsidP="00DD3989" w14:paraId="0E9DAA30" w14:textId="77777777">
      <w:pPr>
        <w:tabs>
          <w:tab w:val="left" w:pos="720"/>
        </w:tabs>
        <w:autoSpaceDE w:val="0"/>
        <w:autoSpaceDN w:val="0"/>
        <w:adjustRightInd w:val="0"/>
        <w:spacing w:line="480" w:lineRule="auto"/>
        <w:ind w:left="720"/>
        <w:rPr>
          <w:rFonts w:eastAsia="Calibri"/>
          <w:szCs w:val="26"/>
        </w:rPr>
      </w:pPr>
      <w:r w:rsidRPr="00016D90">
        <w:rPr>
          <w:rFonts w:eastAsia="Calibri"/>
          <w:szCs w:val="26"/>
        </w:rPr>
        <w:t xml:space="preserve">Year 1: </w:t>
      </w:r>
      <w:r>
        <w:rPr>
          <w:rFonts w:eastAsia="Calibri"/>
          <w:szCs w:val="26"/>
        </w:rPr>
        <w:t>484.67</w:t>
      </w:r>
      <w:r w:rsidRPr="00016D90">
        <w:rPr>
          <w:rFonts w:eastAsia="Calibri"/>
          <w:szCs w:val="26"/>
        </w:rPr>
        <w:t xml:space="preserve"> responses; </w:t>
      </w:r>
      <w:r>
        <w:rPr>
          <w:rFonts w:eastAsia="Calibri"/>
          <w:szCs w:val="26"/>
        </w:rPr>
        <w:t>7,722.67</w:t>
      </w:r>
      <w:r w:rsidRPr="00016D90">
        <w:rPr>
          <w:rFonts w:eastAsia="Calibri"/>
          <w:szCs w:val="26"/>
        </w:rPr>
        <w:t xml:space="preserve"> hours</w:t>
      </w:r>
    </w:p>
    <w:p w:rsidR="00DD3989" w:rsidRPr="00016D90" w:rsidP="00DD3989" w14:paraId="5196B2FA" w14:textId="77777777">
      <w:pPr>
        <w:tabs>
          <w:tab w:val="left" w:pos="720"/>
        </w:tabs>
        <w:autoSpaceDE w:val="0"/>
        <w:autoSpaceDN w:val="0"/>
        <w:adjustRightInd w:val="0"/>
        <w:spacing w:line="480" w:lineRule="auto"/>
        <w:ind w:left="720"/>
        <w:rPr>
          <w:rFonts w:eastAsia="Calibri"/>
          <w:szCs w:val="26"/>
        </w:rPr>
      </w:pPr>
      <w:r w:rsidRPr="00016D90">
        <w:rPr>
          <w:rFonts w:eastAsia="Calibri"/>
          <w:szCs w:val="26"/>
        </w:rPr>
        <w:t xml:space="preserve">Year 2: </w:t>
      </w:r>
      <w:r>
        <w:rPr>
          <w:rFonts w:eastAsia="Calibri"/>
          <w:szCs w:val="26"/>
        </w:rPr>
        <w:t>484.67</w:t>
      </w:r>
      <w:r w:rsidRPr="00016D90">
        <w:rPr>
          <w:rFonts w:eastAsia="Calibri"/>
          <w:szCs w:val="26"/>
        </w:rPr>
        <w:t xml:space="preserve"> responses; </w:t>
      </w:r>
      <w:r>
        <w:rPr>
          <w:rFonts w:eastAsia="Calibri"/>
          <w:szCs w:val="26"/>
        </w:rPr>
        <w:t>7,722.67</w:t>
      </w:r>
      <w:r w:rsidRPr="00016D90">
        <w:rPr>
          <w:rFonts w:eastAsia="Calibri"/>
          <w:szCs w:val="26"/>
        </w:rPr>
        <w:t xml:space="preserve"> hours </w:t>
      </w:r>
    </w:p>
    <w:p w:rsidR="00DD3989" w:rsidRPr="00016D90" w:rsidP="00DD3989" w14:paraId="1D5CFBDC" w14:textId="77777777">
      <w:pPr>
        <w:tabs>
          <w:tab w:val="left" w:pos="720"/>
        </w:tabs>
        <w:autoSpaceDE w:val="0"/>
        <w:autoSpaceDN w:val="0"/>
        <w:adjustRightInd w:val="0"/>
        <w:spacing w:line="480" w:lineRule="auto"/>
        <w:ind w:left="720"/>
        <w:rPr>
          <w:rFonts w:eastAsia="Calibri"/>
        </w:rPr>
      </w:pPr>
      <w:r w:rsidRPr="20D0217D">
        <w:rPr>
          <w:rFonts w:eastAsia="Calibri"/>
        </w:rPr>
        <w:t xml:space="preserve">Year 3: 484.67 responses; 7,722.67 hours </w:t>
      </w:r>
      <w:bookmarkEnd w:id="10"/>
    </w:p>
    <w:p w:rsidR="00881405" w:rsidP="20D0217D" w14:paraId="0CCB53A2" w14:textId="49534825">
      <w:pPr>
        <w:autoSpaceDE w:val="0"/>
        <w:autoSpaceDN w:val="0"/>
        <w:adjustRightInd w:val="0"/>
        <w:spacing w:line="480" w:lineRule="auto"/>
      </w:pPr>
      <w:r w:rsidRPr="20D0217D">
        <w:rPr>
          <w:rFonts w:eastAsia="Calibri"/>
          <w:szCs w:val="26"/>
        </w:rPr>
        <w:t xml:space="preserve">The ongoing burden for </w:t>
      </w:r>
      <w:r w:rsidR="00FE1061">
        <w:rPr>
          <w:rFonts w:eastAsia="Calibri"/>
          <w:szCs w:val="26"/>
        </w:rPr>
        <w:t xml:space="preserve">FERC 725G that includes </w:t>
      </w:r>
      <w:r w:rsidRPr="20D0217D">
        <w:rPr>
          <w:rFonts w:eastAsia="Calibri"/>
          <w:szCs w:val="26"/>
        </w:rPr>
        <w:t xml:space="preserve">PRC-002-4 </w:t>
      </w:r>
      <w:r w:rsidR="00FE1061">
        <w:rPr>
          <w:rFonts w:eastAsia="Calibri"/>
          <w:szCs w:val="26"/>
        </w:rPr>
        <w:t>remains</w:t>
      </w:r>
      <w:r w:rsidRPr="20D0217D">
        <w:rPr>
          <w:rFonts w:eastAsia="Calibri"/>
          <w:szCs w:val="26"/>
        </w:rPr>
        <w:t xml:space="preserve"> unchanged. </w:t>
      </w:r>
      <w:r w:rsidRPr="20D0217D">
        <w:rPr>
          <w:szCs w:val="26"/>
        </w:rPr>
        <w:t xml:space="preserve">The increase in burden is considered to only be necessary for the first </w:t>
      </w:r>
      <w:r w:rsidR="00FE1061">
        <w:rPr>
          <w:szCs w:val="26"/>
        </w:rPr>
        <w:t xml:space="preserve">two </w:t>
      </w:r>
      <w:r w:rsidRPr="20D0217D">
        <w:rPr>
          <w:szCs w:val="26"/>
        </w:rPr>
        <w:t>years.  During those years 1 and 2, applicable entities will modify the procedures to account for handling notifications and sharing data.  Other changes to</w:t>
      </w:r>
      <w:r w:rsidR="00FE1061">
        <w:rPr>
          <w:szCs w:val="26"/>
        </w:rPr>
        <w:t xml:space="preserve"> the</w:t>
      </w:r>
      <w:r w:rsidRPr="20D0217D">
        <w:rPr>
          <w:szCs w:val="26"/>
        </w:rPr>
        <w:t xml:space="preserve"> requirements are largely clarifications in language or help establish triggers </w:t>
      </w:r>
      <w:r w:rsidR="00D81670">
        <w:rPr>
          <w:szCs w:val="26"/>
        </w:rPr>
        <w:t xml:space="preserve">that </w:t>
      </w:r>
      <w:r w:rsidR="00B00637">
        <w:rPr>
          <w:szCs w:val="26"/>
        </w:rPr>
        <w:t>should</w:t>
      </w:r>
      <w:r w:rsidR="00A53A0F">
        <w:rPr>
          <w:szCs w:val="26"/>
        </w:rPr>
        <w:t xml:space="preserve"> be</w:t>
      </w:r>
      <w:r w:rsidR="00E96F1A">
        <w:rPr>
          <w:szCs w:val="26"/>
        </w:rPr>
        <w:t xml:space="preserve"> </w:t>
      </w:r>
      <w:r w:rsidR="002F0D29">
        <w:rPr>
          <w:szCs w:val="26"/>
        </w:rPr>
        <w:t>used and</w:t>
      </w:r>
      <w:r w:rsidRPr="20D0217D">
        <w:rPr>
          <w:szCs w:val="26"/>
        </w:rPr>
        <w:t xml:space="preserve"> to where measuring equipment would be placed.  After the first two years the modifications will </w:t>
      </w:r>
      <w:r w:rsidR="009164EA">
        <w:rPr>
          <w:szCs w:val="26"/>
        </w:rPr>
        <w:t>be</w:t>
      </w:r>
      <w:r w:rsidRPr="20D0217D">
        <w:rPr>
          <w:szCs w:val="26"/>
        </w:rPr>
        <w:t xml:space="preserve"> integrated into normal business and engineering procedures of the </w:t>
      </w:r>
      <w:r w:rsidRPr="20D0217D" w:rsidR="00AC7782">
        <w:rPr>
          <w:szCs w:val="26"/>
        </w:rPr>
        <w:t>entity,</w:t>
      </w:r>
      <w:r w:rsidRPr="20D0217D">
        <w:rPr>
          <w:szCs w:val="26"/>
        </w:rPr>
        <w:t xml:space="preserve"> and it will be part of normal tasks to demonstrate compliance.</w:t>
      </w:r>
    </w:p>
    <w:p w:rsidR="00881405" w:rsidP="002906E5" w14:paraId="40735770" w14:textId="05E92877">
      <w:pPr>
        <w:autoSpaceDE w:val="0"/>
        <w:autoSpaceDN w:val="0"/>
        <w:adjustRightInd w:val="0"/>
        <w:spacing w:line="480" w:lineRule="auto"/>
      </w:pPr>
      <w:r w:rsidRPr="20D0217D">
        <w:rPr>
          <w:i/>
          <w:iCs/>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6759AE" w:rsidP="00286CB4" w14:paraId="34402E9E" w14:textId="7628809C">
      <w:pPr>
        <w:spacing w:line="480" w:lineRule="auto"/>
      </w:pPr>
      <w:r>
        <w:t xml:space="preserve">collection of information on those who are to respond, including the use of automated collection techniques or other forms of information technology.  </w:t>
      </w:r>
    </w:p>
    <w:p w:rsidR="006759AE" w:rsidP="006759AE" w14:paraId="69290CE3" w14:textId="26AE2AB7"/>
    <w:p w:rsidR="006759AE" w:rsidRPr="006759AE" w:rsidP="006759AE" w14:paraId="02A9681B" w14:textId="34CC3C47">
      <w:pPr>
        <w:ind w:firstLine="2174"/>
        <w:jc w:val="center"/>
      </w:pPr>
      <w:r w:rsidRPr="006759AE">
        <w:t>Kimberly D. Bose,</w:t>
      </w:r>
    </w:p>
    <w:p w:rsidR="006759AE" w:rsidP="00286CB4" w14:paraId="3333C399" w14:textId="0ADAE41A">
      <w:pPr>
        <w:ind w:firstLine="2174"/>
        <w:jc w:val="center"/>
      </w:pPr>
      <w:r w:rsidRPr="006759AE">
        <w:t>Secretary.</w:t>
      </w:r>
    </w:p>
    <w:sectPr w:rsidSect="006759AE">
      <w:headerReference w:type="default" r:id="rId12"/>
      <w:pgSz w:w="12240" w:h="15840"/>
      <w:pgMar w:top="1440" w:right="1440" w:bottom="171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42CD3413">
        <w:pPr>
          <w:pStyle w:val="Header"/>
        </w:pPr>
        <w:r w:rsidRPr="00D954AE">
          <w:t xml:space="preserve">Docket </w:t>
        </w:r>
        <w:r w:rsidRPr="00E74313">
          <w:t xml:space="preserve">No. </w:t>
        </w:r>
        <w:r w:rsidR="007C6502">
          <w:t>RD</w:t>
        </w:r>
        <w:r w:rsidRPr="00E74313">
          <w:t>2</w:t>
        </w:r>
        <w:r w:rsidR="004C001A">
          <w:t>3</w:t>
        </w:r>
        <w:r w:rsidRPr="00E74313" w:rsidR="0066458B">
          <w:t>-</w:t>
        </w:r>
        <w:r w:rsidR="00DD3989">
          <w:t>4</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C4AED"/>
    <w:multiLevelType w:val="hybridMultilevel"/>
    <w:tmpl w:val="B2D296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054910"/>
    <w:multiLevelType w:val="hybridMultilevel"/>
    <w:tmpl w:val="74069B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7">
    <w:nsid w:val="15C60207"/>
    <w:multiLevelType w:val="hybridMultilevel"/>
    <w:tmpl w:val="FB0C9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A736A"/>
    <w:multiLevelType w:val="hybridMultilevel"/>
    <w:tmpl w:val="F33A823C"/>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nsid w:val="3FBF39DB"/>
    <w:multiLevelType w:val="hybridMultilevel"/>
    <w:tmpl w:val="3C54F1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5">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8E2278"/>
    <w:multiLevelType w:val="hybridMultilevel"/>
    <w:tmpl w:val="F8A2F400"/>
    <w:lvl w:ilvl="0">
      <w:start w:val="1"/>
      <w:numFmt w:val="bullet"/>
      <w:lvlText w:val=""/>
      <w:lvlJc w:val="left"/>
      <w:pPr>
        <w:ind w:left="1440" w:hanging="360"/>
      </w:pPr>
      <w:rPr>
        <w:rFonts w:ascii="Symbol" w:hAnsi="Symbol"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6"/>
  </w:num>
  <w:num w:numId="4">
    <w:abstractNumId w:val="13"/>
  </w:num>
  <w:num w:numId="5">
    <w:abstractNumId w:val="23"/>
  </w:num>
  <w:num w:numId="6">
    <w:abstractNumId w:val="2"/>
  </w:num>
  <w:num w:numId="7">
    <w:abstractNumId w:val="17"/>
  </w:num>
  <w:num w:numId="8">
    <w:abstractNumId w:val="1"/>
  </w:num>
  <w:num w:numId="9">
    <w:abstractNumId w:val="15"/>
  </w:num>
  <w:num w:numId="10">
    <w:abstractNumId w:val="21"/>
  </w:num>
  <w:num w:numId="11">
    <w:abstractNumId w:val="3"/>
  </w:num>
  <w:num w:numId="12">
    <w:abstractNumId w:val="19"/>
  </w:num>
  <w:num w:numId="13">
    <w:abstractNumId w:val="0"/>
  </w:num>
  <w:num w:numId="14">
    <w:abstractNumId w:val="20"/>
  </w:num>
  <w:num w:numId="15">
    <w:abstractNumId w:val="14"/>
  </w:num>
  <w:num w:numId="16">
    <w:abstractNumId w:val="7"/>
  </w:num>
  <w:num w:numId="17">
    <w:abstractNumId w:val="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4"/>
  </w:num>
  <w:num w:numId="21">
    <w:abstractNumId w:val="8"/>
  </w:num>
  <w:num w:numId="22">
    <w:abstractNumId w:val="22"/>
  </w:num>
  <w:num w:numId="23">
    <w:abstractNumId w:val="5"/>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5048"/>
    <w:rsid w:val="0000758F"/>
    <w:rsid w:val="00008069"/>
    <w:rsid w:val="00012795"/>
    <w:rsid w:val="00013305"/>
    <w:rsid w:val="00014343"/>
    <w:rsid w:val="00016D90"/>
    <w:rsid w:val="0002221B"/>
    <w:rsid w:val="00026C2D"/>
    <w:rsid w:val="00027CA8"/>
    <w:rsid w:val="00031AB2"/>
    <w:rsid w:val="000379D6"/>
    <w:rsid w:val="00042F33"/>
    <w:rsid w:val="000459B6"/>
    <w:rsid w:val="0005167F"/>
    <w:rsid w:val="00052F8C"/>
    <w:rsid w:val="000578D5"/>
    <w:rsid w:val="00062427"/>
    <w:rsid w:val="00063E02"/>
    <w:rsid w:val="0006681D"/>
    <w:rsid w:val="00070A2C"/>
    <w:rsid w:val="00072E34"/>
    <w:rsid w:val="0007595A"/>
    <w:rsid w:val="00082413"/>
    <w:rsid w:val="00084E3D"/>
    <w:rsid w:val="0008692A"/>
    <w:rsid w:val="00094836"/>
    <w:rsid w:val="00097607"/>
    <w:rsid w:val="000A0250"/>
    <w:rsid w:val="000A18F4"/>
    <w:rsid w:val="000A27BB"/>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3CBC"/>
    <w:rsid w:val="000F48A4"/>
    <w:rsid w:val="000F606E"/>
    <w:rsid w:val="00105571"/>
    <w:rsid w:val="00105933"/>
    <w:rsid w:val="001065C0"/>
    <w:rsid w:val="00106B0A"/>
    <w:rsid w:val="00111E92"/>
    <w:rsid w:val="00112B6B"/>
    <w:rsid w:val="00116326"/>
    <w:rsid w:val="00125991"/>
    <w:rsid w:val="001309CE"/>
    <w:rsid w:val="0013255C"/>
    <w:rsid w:val="001339F1"/>
    <w:rsid w:val="00135FC5"/>
    <w:rsid w:val="00137823"/>
    <w:rsid w:val="00146D97"/>
    <w:rsid w:val="00150CBC"/>
    <w:rsid w:val="00151676"/>
    <w:rsid w:val="0015445B"/>
    <w:rsid w:val="00156BBB"/>
    <w:rsid w:val="001600DF"/>
    <w:rsid w:val="00160CEA"/>
    <w:rsid w:val="00164215"/>
    <w:rsid w:val="001663E1"/>
    <w:rsid w:val="00171725"/>
    <w:rsid w:val="00173D03"/>
    <w:rsid w:val="0017684C"/>
    <w:rsid w:val="00177704"/>
    <w:rsid w:val="00181BF7"/>
    <w:rsid w:val="00184A26"/>
    <w:rsid w:val="00184B43"/>
    <w:rsid w:val="00185C1F"/>
    <w:rsid w:val="00186EC5"/>
    <w:rsid w:val="0019402A"/>
    <w:rsid w:val="00197435"/>
    <w:rsid w:val="001974A9"/>
    <w:rsid w:val="001A1930"/>
    <w:rsid w:val="001A1EF9"/>
    <w:rsid w:val="001A2DAA"/>
    <w:rsid w:val="001A57C6"/>
    <w:rsid w:val="001A6645"/>
    <w:rsid w:val="001A6AD6"/>
    <w:rsid w:val="001A6C05"/>
    <w:rsid w:val="001A7665"/>
    <w:rsid w:val="001B0BD2"/>
    <w:rsid w:val="001B78B8"/>
    <w:rsid w:val="001C53D9"/>
    <w:rsid w:val="001C543C"/>
    <w:rsid w:val="001C7064"/>
    <w:rsid w:val="001D578A"/>
    <w:rsid w:val="001E3237"/>
    <w:rsid w:val="001E525D"/>
    <w:rsid w:val="001F1CDF"/>
    <w:rsid w:val="001F7056"/>
    <w:rsid w:val="002009E9"/>
    <w:rsid w:val="00202E41"/>
    <w:rsid w:val="002067AF"/>
    <w:rsid w:val="00207AE7"/>
    <w:rsid w:val="00211105"/>
    <w:rsid w:val="002118F0"/>
    <w:rsid w:val="002131D0"/>
    <w:rsid w:val="00213696"/>
    <w:rsid w:val="002152C5"/>
    <w:rsid w:val="00223AAE"/>
    <w:rsid w:val="00224BF8"/>
    <w:rsid w:val="00224DD2"/>
    <w:rsid w:val="00231850"/>
    <w:rsid w:val="00234DBD"/>
    <w:rsid w:val="00237482"/>
    <w:rsid w:val="00237AB9"/>
    <w:rsid w:val="00237B93"/>
    <w:rsid w:val="0024271E"/>
    <w:rsid w:val="0024309C"/>
    <w:rsid w:val="00251B4B"/>
    <w:rsid w:val="00252164"/>
    <w:rsid w:val="002537CB"/>
    <w:rsid w:val="00253F98"/>
    <w:rsid w:val="00257CC2"/>
    <w:rsid w:val="00262096"/>
    <w:rsid w:val="00263C36"/>
    <w:rsid w:val="002657A0"/>
    <w:rsid w:val="00265B23"/>
    <w:rsid w:val="00266431"/>
    <w:rsid w:val="00270581"/>
    <w:rsid w:val="00286C5A"/>
    <w:rsid w:val="00286CB4"/>
    <w:rsid w:val="002906E5"/>
    <w:rsid w:val="00292A4C"/>
    <w:rsid w:val="00295B02"/>
    <w:rsid w:val="00297211"/>
    <w:rsid w:val="002A07E5"/>
    <w:rsid w:val="002A7A4A"/>
    <w:rsid w:val="002B4387"/>
    <w:rsid w:val="002B5874"/>
    <w:rsid w:val="002C2C8B"/>
    <w:rsid w:val="002C3223"/>
    <w:rsid w:val="002C3579"/>
    <w:rsid w:val="002C5E0E"/>
    <w:rsid w:val="002D0614"/>
    <w:rsid w:val="002D09B3"/>
    <w:rsid w:val="002D17E5"/>
    <w:rsid w:val="002D3D36"/>
    <w:rsid w:val="002D57E8"/>
    <w:rsid w:val="002E06A0"/>
    <w:rsid w:val="002E1C29"/>
    <w:rsid w:val="002E3E95"/>
    <w:rsid w:val="002E68D4"/>
    <w:rsid w:val="002E6DAA"/>
    <w:rsid w:val="002E7390"/>
    <w:rsid w:val="002F0D29"/>
    <w:rsid w:val="002F4401"/>
    <w:rsid w:val="002F708A"/>
    <w:rsid w:val="00301E3D"/>
    <w:rsid w:val="00303516"/>
    <w:rsid w:val="00304BE6"/>
    <w:rsid w:val="003053E3"/>
    <w:rsid w:val="00306318"/>
    <w:rsid w:val="00311D90"/>
    <w:rsid w:val="0031393E"/>
    <w:rsid w:val="00314219"/>
    <w:rsid w:val="003149BC"/>
    <w:rsid w:val="003170B6"/>
    <w:rsid w:val="003179EB"/>
    <w:rsid w:val="0032099D"/>
    <w:rsid w:val="0032124D"/>
    <w:rsid w:val="00327308"/>
    <w:rsid w:val="0033340D"/>
    <w:rsid w:val="00336AD9"/>
    <w:rsid w:val="00340D3C"/>
    <w:rsid w:val="00343F40"/>
    <w:rsid w:val="00344362"/>
    <w:rsid w:val="00344852"/>
    <w:rsid w:val="00353270"/>
    <w:rsid w:val="00360887"/>
    <w:rsid w:val="00365468"/>
    <w:rsid w:val="003658A2"/>
    <w:rsid w:val="003673EC"/>
    <w:rsid w:val="00373A2E"/>
    <w:rsid w:val="00376525"/>
    <w:rsid w:val="00392137"/>
    <w:rsid w:val="00396581"/>
    <w:rsid w:val="0039668A"/>
    <w:rsid w:val="00397ABE"/>
    <w:rsid w:val="003A1A2B"/>
    <w:rsid w:val="003A2C3F"/>
    <w:rsid w:val="003A6F1B"/>
    <w:rsid w:val="003B435C"/>
    <w:rsid w:val="003B5B0B"/>
    <w:rsid w:val="003B6A4A"/>
    <w:rsid w:val="003C08DE"/>
    <w:rsid w:val="003C3E7A"/>
    <w:rsid w:val="003D0A90"/>
    <w:rsid w:val="003D0BB4"/>
    <w:rsid w:val="003D28D2"/>
    <w:rsid w:val="003E1657"/>
    <w:rsid w:val="003E1B25"/>
    <w:rsid w:val="003E1B5A"/>
    <w:rsid w:val="003E40B2"/>
    <w:rsid w:val="003E44AD"/>
    <w:rsid w:val="003E4B47"/>
    <w:rsid w:val="003E5168"/>
    <w:rsid w:val="003F0FE7"/>
    <w:rsid w:val="003F2E32"/>
    <w:rsid w:val="003F2EC7"/>
    <w:rsid w:val="003F40CA"/>
    <w:rsid w:val="003F570B"/>
    <w:rsid w:val="003F6112"/>
    <w:rsid w:val="003F6466"/>
    <w:rsid w:val="00401401"/>
    <w:rsid w:val="00407BCE"/>
    <w:rsid w:val="00410A8B"/>
    <w:rsid w:val="00411B62"/>
    <w:rsid w:val="00413AA8"/>
    <w:rsid w:val="00413FDE"/>
    <w:rsid w:val="0041405B"/>
    <w:rsid w:val="004177CD"/>
    <w:rsid w:val="00425ADD"/>
    <w:rsid w:val="004266F6"/>
    <w:rsid w:val="0042688C"/>
    <w:rsid w:val="0042765E"/>
    <w:rsid w:val="00427AE5"/>
    <w:rsid w:val="00432D97"/>
    <w:rsid w:val="004369A5"/>
    <w:rsid w:val="00443282"/>
    <w:rsid w:val="00443B06"/>
    <w:rsid w:val="00447C9E"/>
    <w:rsid w:val="00450D64"/>
    <w:rsid w:val="004554C7"/>
    <w:rsid w:val="004562F1"/>
    <w:rsid w:val="00456EE2"/>
    <w:rsid w:val="00461FF3"/>
    <w:rsid w:val="004628F2"/>
    <w:rsid w:val="00463660"/>
    <w:rsid w:val="00465189"/>
    <w:rsid w:val="00465456"/>
    <w:rsid w:val="00471921"/>
    <w:rsid w:val="00471A7B"/>
    <w:rsid w:val="00471DC7"/>
    <w:rsid w:val="00471FF2"/>
    <w:rsid w:val="0047213E"/>
    <w:rsid w:val="00477686"/>
    <w:rsid w:val="00480D2D"/>
    <w:rsid w:val="00491543"/>
    <w:rsid w:val="00492111"/>
    <w:rsid w:val="0049695D"/>
    <w:rsid w:val="00497A62"/>
    <w:rsid w:val="004A661D"/>
    <w:rsid w:val="004A6FC8"/>
    <w:rsid w:val="004B1394"/>
    <w:rsid w:val="004B2DAA"/>
    <w:rsid w:val="004B7E8C"/>
    <w:rsid w:val="004C001A"/>
    <w:rsid w:val="004C0BC3"/>
    <w:rsid w:val="004C70C8"/>
    <w:rsid w:val="004E44F8"/>
    <w:rsid w:val="004E683E"/>
    <w:rsid w:val="004F4121"/>
    <w:rsid w:val="004F56E3"/>
    <w:rsid w:val="00516A01"/>
    <w:rsid w:val="00524164"/>
    <w:rsid w:val="00527733"/>
    <w:rsid w:val="00531000"/>
    <w:rsid w:val="005363F8"/>
    <w:rsid w:val="005401E0"/>
    <w:rsid w:val="00544424"/>
    <w:rsid w:val="00545564"/>
    <w:rsid w:val="0054746C"/>
    <w:rsid w:val="0055272C"/>
    <w:rsid w:val="00561C97"/>
    <w:rsid w:val="00562BE8"/>
    <w:rsid w:val="00563EF3"/>
    <w:rsid w:val="0056490E"/>
    <w:rsid w:val="00564ADB"/>
    <w:rsid w:val="00565830"/>
    <w:rsid w:val="00565B5E"/>
    <w:rsid w:val="00566B5F"/>
    <w:rsid w:val="00567315"/>
    <w:rsid w:val="005739F7"/>
    <w:rsid w:val="005749DE"/>
    <w:rsid w:val="00574BB6"/>
    <w:rsid w:val="005763C0"/>
    <w:rsid w:val="0058195F"/>
    <w:rsid w:val="00584A11"/>
    <w:rsid w:val="005854FC"/>
    <w:rsid w:val="0058662A"/>
    <w:rsid w:val="00587D1F"/>
    <w:rsid w:val="005953A1"/>
    <w:rsid w:val="00596242"/>
    <w:rsid w:val="00596958"/>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717"/>
    <w:rsid w:val="005D283C"/>
    <w:rsid w:val="005D2B40"/>
    <w:rsid w:val="005D4628"/>
    <w:rsid w:val="005E0B1A"/>
    <w:rsid w:val="005E45C6"/>
    <w:rsid w:val="005E68E7"/>
    <w:rsid w:val="005F7CE1"/>
    <w:rsid w:val="006010B6"/>
    <w:rsid w:val="00602995"/>
    <w:rsid w:val="006128A5"/>
    <w:rsid w:val="00613169"/>
    <w:rsid w:val="00620C6A"/>
    <w:rsid w:val="00622B23"/>
    <w:rsid w:val="0062572C"/>
    <w:rsid w:val="00630E07"/>
    <w:rsid w:val="00632373"/>
    <w:rsid w:val="00632C8B"/>
    <w:rsid w:val="006339B7"/>
    <w:rsid w:val="0063784F"/>
    <w:rsid w:val="00637F43"/>
    <w:rsid w:val="00641F0D"/>
    <w:rsid w:val="00643772"/>
    <w:rsid w:val="00644A1B"/>
    <w:rsid w:val="00650E6C"/>
    <w:rsid w:val="006536D8"/>
    <w:rsid w:val="00654399"/>
    <w:rsid w:val="00654BA4"/>
    <w:rsid w:val="00660AA0"/>
    <w:rsid w:val="0066195A"/>
    <w:rsid w:val="00663FBE"/>
    <w:rsid w:val="0066458B"/>
    <w:rsid w:val="00664931"/>
    <w:rsid w:val="00666E16"/>
    <w:rsid w:val="006670C8"/>
    <w:rsid w:val="006759AE"/>
    <w:rsid w:val="006841A7"/>
    <w:rsid w:val="00687348"/>
    <w:rsid w:val="00687EE3"/>
    <w:rsid w:val="00693721"/>
    <w:rsid w:val="006941D1"/>
    <w:rsid w:val="006944B9"/>
    <w:rsid w:val="00694C22"/>
    <w:rsid w:val="006963BC"/>
    <w:rsid w:val="006970F4"/>
    <w:rsid w:val="006A0883"/>
    <w:rsid w:val="006A1714"/>
    <w:rsid w:val="006A2E15"/>
    <w:rsid w:val="006A4398"/>
    <w:rsid w:val="006A648D"/>
    <w:rsid w:val="006B3479"/>
    <w:rsid w:val="006D0B7E"/>
    <w:rsid w:val="006D3D49"/>
    <w:rsid w:val="006D5669"/>
    <w:rsid w:val="006D7498"/>
    <w:rsid w:val="006E4D87"/>
    <w:rsid w:val="006E625C"/>
    <w:rsid w:val="006E7CBB"/>
    <w:rsid w:val="006E7EBE"/>
    <w:rsid w:val="006F4C9A"/>
    <w:rsid w:val="006F7028"/>
    <w:rsid w:val="006F749E"/>
    <w:rsid w:val="006F7ED5"/>
    <w:rsid w:val="00700740"/>
    <w:rsid w:val="007024F1"/>
    <w:rsid w:val="00706CF0"/>
    <w:rsid w:val="00707D60"/>
    <w:rsid w:val="0071108E"/>
    <w:rsid w:val="00713417"/>
    <w:rsid w:val="00714EDD"/>
    <w:rsid w:val="0071596F"/>
    <w:rsid w:val="007230E9"/>
    <w:rsid w:val="00723505"/>
    <w:rsid w:val="007263B9"/>
    <w:rsid w:val="007352F2"/>
    <w:rsid w:val="00740BF2"/>
    <w:rsid w:val="00740C93"/>
    <w:rsid w:val="0075009F"/>
    <w:rsid w:val="00751AF6"/>
    <w:rsid w:val="00752A48"/>
    <w:rsid w:val="00757503"/>
    <w:rsid w:val="00757707"/>
    <w:rsid w:val="00761148"/>
    <w:rsid w:val="007633DD"/>
    <w:rsid w:val="007651DC"/>
    <w:rsid w:val="00766AF3"/>
    <w:rsid w:val="0077475C"/>
    <w:rsid w:val="007755E3"/>
    <w:rsid w:val="00781803"/>
    <w:rsid w:val="00781E6A"/>
    <w:rsid w:val="00782972"/>
    <w:rsid w:val="007830C6"/>
    <w:rsid w:val="007839D5"/>
    <w:rsid w:val="00794D2B"/>
    <w:rsid w:val="007A2AE5"/>
    <w:rsid w:val="007B1800"/>
    <w:rsid w:val="007B1F57"/>
    <w:rsid w:val="007B3014"/>
    <w:rsid w:val="007B370F"/>
    <w:rsid w:val="007B4938"/>
    <w:rsid w:val="007B5AFE"/>
    <w:rsid w:val="007B67DF"/>
    <w:rsid w:val="007C6502"/>
    <w:rsid w:val="007C7760"/>
    <w:rsid w:val="007D02D8"/>
    <w:rsid w:val="007D0A3E"/>
    <w:rsid w:val="007D3BDE"/>
    <w:rsid w:val="007D68B4"/>
    <w:rsid w:val="007E0402"/>
    <w:rsid w:val="007E3706"/>
    <w:rsid w:val="007F0538"/>
    <w:rsid w:val="007F140E"/>
    <w:rsid w:val="007F4CD3"/>
    <w:rsid w:val="007F61C2"/>
    <w:rsid w:val="00801456"/>
    <w:rsid w:val="008018DB"/>
    <w:rsid w:val="00803CA2"/>
    <w:rsid w:val="00807CAC"/>
    <w:rsid w:val="008115BF"/>
    <w:rsid w:val="008143B0"/>
    <w:rsid w:val="00816942"/>
    <w:rsid w:val="008212DA"/>
    <w:rsid w:val="008222F7"/>
    <w:rsid w:val="00823681"/>
    <w:rsid w:val="00824341"/>
    <w:rsid w:val="00824D81"/>
    <w:rsid w:val="0082638F"/>
    <w:rsid w:val="008316B7"/>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C3A19"/>
    <w:rsid w:val="008C78F6"/>
    <w:rsid w:val="008D0B66"/>
    <w:rsid w:val="008D25B7"/>
    <w:rsid w:val="008D26D8"/>
    <w:rsid w:val="008D2A83"/>
    <w:rsid w:val="008D2C12"/>
    <w:rsid w:val="008D2E0A"/>
    <w:rsid w:val="008D379F"/>
    <w:rsid w:val="008D5479"/>
    <w:rsid w:val="008E0DC0"/>
    <w:rsid w:val="008E0DF5"/>
    <w:rsid w:val="008E3273"/>
    <w:rsid w:val="008E56BB"/>
    <w:rsid w:val="008F0C45"/>
    <w:rsid w:val="008F17E1"/>
    <w:rsid w:val="00904B00"/>
    <w:rsid w:val="009112D0"/>
    <w:rsid w:val="009164EA"/>
    <w:rsid w:val="00916FEB"/>
    <w:rsid w:val="00921502"/>
    <w:rsid w:val="009253A8"/>
    <w:rsid w:val="00940C0F"/>
    <w:rsid w:val="00945CE7"/>
    <w:rsid w:val="0094647B"/>
    <w:rsid w:val="0094699E"/>
    <w:rsid w:val="00947BAD"/>
    <w:rsid w:val="00951DC3"/>
    <w:rsid w:val="0095457B"/>
    <w:rsid w:val="0095548F"/>
    <w:rsid w:val="00965AD5"/>
    <w:rsid w:val="009744C8"/>
    <w:rsid w:val="00974530"/>
    <w:rsid w:val="00980E58"/>
    <w:rsid w:val="009815BD"/>
    <w:rsid w:val="00981886"/>
    <w:rsid w:val="00982DA0"/>
    <w:rsid w:val="0098364B"/>
    <w:rsid w:val="00990102"/>
    <w:rsid w:val="00990FEC"/>
    <w:rsid w:val="00992257"/>
    <w:rsid w:val="009928CD"/>
    <w:rsid w:val="009949AA"/>
    <w:rsid w:val="00995921"/>
    <w:rsid w:val="009A1B08"/>
    <w:rsid w:val="009A756D"/>
    <w:rsid w:val="009B0524"/>
    <w:rsid w:val="009B3A62"/>
    <w:rsid w:val="009C3CB9"/>
    <w:rsid w:val="009C4A13"/>
    <w:rsid w:val="009C5137"/>
    <w:rsid w:val="009C60FB"/>
    <w:rsid w:val="009C6B8E"/>
    <w:rsid w:val="009C6E33"/>
    <w:rsid w:val="009C745D"/>
    <w:rsid w:val="009D50C1"/>
    <w:rsid w:val="009E2D84"/>
    <w:rsid w:val="009E7B5F"/>
    <w:rsid w:val="009E7BCD"/>
    <w:rsid w:val="009F279E"/>
    <w:rsid w:val="009F7DE3"/>
    <w:rsid w:val="00A04C8E"/>
    <w:rsid w:val="00A07154"/>
    <w:rsid w:val="00A103F9"/>
    <w:rsid w:val="00A1047D"/>
    <w:rsid w:val="00A10804"/>
    <w:rsid w:val="00A11868"/>
    <w:rsid w:val="00A127D3"/>
    <w:rsid w:val="00A1386C"/>
    <w:rsid w:val="00A14335"/>
    <w:rsid w:val="00A14B43"/>
    <w:rsid w:val="00A166E7"/>
    <w:rsid w:val="00A17199"/>
    <w:rsid w:val="00A178B0"/>
    <w:rsid w:val="00A2075F"/>
    <w:rsid w:val="00A23612"/>
    <w:rsid w:val="00A25C2C"/>
    <w:rsid w:val="00A2604E"/>
    <w:rsid w:val="00A2709F"/>
    <w:rsid w:val="00A27C67"/>
    <w:rsid w:val="00A32860"/>
    <w:rsid w:val="00A40E4A"/>
    <w:rsid w:val="00A417A2"/>
    <w:rsid w:val="00A52189"/>
    <w:rsid w:val="00A53A0F"/>
    <w:rsid w:val="00A57463"/>
    <w:rsid w:val="00A62C2E"/>
    <w:rsid w:val="00A63936"/>
    <w:rsid w:val="00A664DF"/>
    <w:rsid w:val="00A71219"/>
    <w:rsid w:val="00A713D0"/>
    <w:rsid w:val="00A722D4"/>
    <w:rsid w:val="00A72400"/>
    <w:rsid w:val="00A74849"/>
    <w:rsid w:val="00A75AAA"/>
    <w:rsid w:val="00A82A29"/>
    <w:rsid w:val="00A86B6F"/>
    <w:rsid w:val="00A94B18"/>
    <w:rsid w:val="00A957F0"/>
    <w:rsid w:val="00AA358C"/>
    <w:rsid w:val="00AA516A"/>
    <w:rsid w:val="00AA5B0E"/>
    <w:rsid w:val="00AA6A4A"/>
    <w:rsid w:val="00AB4DBF"/>
    <w:rsid w:val="00AC0504"/>
    <w:rsid w:val="00AC1DB7"/>
    <w:rsid w:val="00AC381D"/>
    <w:rsid w:val="00AC3A7C"/>
    <w:rsid w:val="00AC62A6"/>
    <w:rsid w:val="00AC664F"/>
    <w:rsid w:val="00AC750B"/>
    <w:rsid w:val="00AC7782"/>
    <w:rsid w:val="00AD117D"/>
    <w:rsid w:val="00AD1E15"/>
    <w:rsid w:val="00AD6937"/>
    <w:rsid w:val="00AD6D48"/>
    <w:rsid w:val="00AE1F12"/>
    <w:rsid w:val="00AE24CC"/>
    <w:rsid w:val="00AE330A"/>
    <w:rsid w:val="00AE4155"/>
    <w:rsid w:val="00AE45D5"/>
    <w:rsid w:val="00AE4B7C"/>
    <w:rsid w:val="00AE66F6"/>
    <w:rsid w:val="00AF17CE"/>
    <w:rsid w:val="00AF336D"/>
    <w:rsid w:val="00AF349B"/>
    <w:rsid w:val="00AF49FA"/>
    <w:rsid w:val="00AF65F0"/>
    <w:rsid w:val="00B00637"/>
    <w:rsid w:val="00B009E9"/>
    <w:rsid w:val="00B01711"/>
    <w:rsid w:val="00B01B16"/>
    <w:rsid w:val="00B02B6B"/>
    <w:rsid w:val="00B03644"/>
    <w:rsid w:val="00B062D0"/>
    <w:rsid w:val="00B1175E"/>
    <w:rsid w:val="00B11D16"/>
    <w:rsid w:val="00B12EA2"/>
    <w:rsid w:val="00B17A95"/>
    <w:rsid w:val="00B24588"/>
    <w:rsid w:val="00B30F2D"/>
    <w:rsid w:val="00B34021"/>
    <w:rsid w:val="00B34928"/>
    <w:rsid w:val="00B35B74"/>
    <w:rsid w:val="00B403F1"/>
    <w:rsid w:val="00B4163B"/>
    <w:rsid w:val="00B43A2F"/>
    <w:rsid w:val="00B447D7"/>
    <w:rsid w:val="00B54B3D"/>
    <w:rsid w:val="00B556C9"/>
    <w:rsid w:val="00B55E1D"/>
    <w:rsid w:val="00B600AE"/>
    <w:rsid w:val="00B60113"/>
    <w:rsid w:val="00B6081E"/>
    <w:rsid w:val="00B61016"/>
    <w:rsid w:val="00B624EB"/>
    <w:rsid w:val="00B71BAA"/>
    <w:rsid w:val="00B767FB"/>
    <w:rsid w:val="00B76A1F"/>
    <w:rsid w:val="00B806DD"/>
    <w:rsid w:val="00B80940"/>
    <w:rsid w:val="00B82F8C"/>
    <w:rsid w:val="00B8460F"/>
    <w:rsid w:val="00B84D34"/>
    <w:rsid w:val="00B93C92"/>
    <w:rsid w:val="00B95477"/>
    <w:rsid w:val="00BA1D81"/>
    <w:rsid w:val="00BA7130"/>
    <w:rsid w:val="00BB15D3"/>
    <w:rsid w:val="00BB436B"/>
    <w:rsid w:val="00BB5EF5"/>
    <w:rsid w:val="00BC58DF"/>
    <w:rsid w:val="00BC6431"/>
    <w:rsid w:val="00BC66F7"/>
    <w:rsid w:val="00BD205B"/>
    <w:rsid w:val="00BD74AE"/>
    <w:rsid w:val="00BE16BC"/>
    <w:rsid w:val="00BE3FE7"/>
    <w:rsid w:val="00BE6EDF"/>
    <w:rsid w:val="00BE6F57"/>
    <w:rsid w:val="00BF2922"/>
    <w:rsid w:val="00BF2D74"/>
    <w:rsid w:val="00BF4CC8"/>
    <w:rsid w:val="00BF51ED"/>
    <w:rsid w:val="00BF75B6"/>
    <w:rsid w:val="00C00F39"/>
    <w:rsid w:val="00C02547"/>
    <w:rsid w:val="00C025C8"/>
    <w:rsid w:val="00C04E54"/>
    <w:rsid w:val="00C058D5"/>
    <w:rsid w:val="00C10077"/>
    <w:rsid w:val="00C1124F"/>
    <w:rsid w:val="00C14903"/>
    <w:rsid w:val="00C1686C"/>
    <w:rsid w:val="00C30486"/>
    <w:rsid w:val="00C30740"/>
    <w:rsid w:val="00C30DED"/>
    <w:rsid w:val="00C32A35"/>
    <w:rsid w:val="00C367A6"/>
    <w:rsid w:val="00C37BFF"/>
    <w:rsid w:val="00C42500"/>
    <w:rsid w:val="00C43230"/>
    <w:rsid w:val="00C45F17"/>
    <w:rsid w:val="00C479E6"/>
    <w:rsid w:val="00C50BD5"/>
    <w:rsid w:val="00C50EB1"/>
    <w:rsid w:val="00C51458"/>
    <w:rsid w:val="00C51E5F"/>
    <w:rsid w:val="00C52E2C"/>
    <w:rsid w:val="00C53580"/>
    <w:rsid w:val="00C546C4"/>
    <w:rsid w:val="00C55838"/>
    <w:rsid w:val="00C56745"/>
    <w:rsid w:val="00C626B5"/>
    <w:rsid w:val="00C63C66"/>
    <w:rsid w:val="00C70729"/>
    <w:rsid w:val="00C70C5C"/>
    <w:rsid w:val="00C71475"/>
    <w:rsid w:val="00C76958"/>
    <w:rsid w:val="00C77EF7"/>
    <w:rsid w:val="00C80D25"/>
    <w:rsid w:val="00C81026"/>
    <w:rsid w:val="00C81FA7"/>
    <w:rsid w:val="00C82053"/>
    <w:rsid w:val="00C820F1"/>
    <w:rsid w:val="00C822C1"/>
    <w:rsid w:val="00C859F7"/>
    <w:rsid w:val="00C85A38"/>
    <w:rsid w:val="00C86D1B"/>
    <w:rsid w:val="00C91512"/>
    <w:rsid w:val="00C94A53"/>
    <w:rsid w:val="00CA0DEC"/>
    <w:rsid w:val="00CA2DE2"/>
    <w:rsid w:val="00CA3A85"/>
    <w:rsid w:val="00CA4EC5"/>
    <w:rsid w:val="00CA515E"/>
    <w:rsid w:val="00CA6636"/>
    <w:rsid w:val="00CA6D76"/>
    <w:rsid w:val="00CA7FBE"/>
    <w:rsid w:val="00CB2616"/>
    <w:rsid w:val="00CB51CC"/>
    <w:rsid w:val="00CC0389"/>
    <w:rsid w:val="00CC0477"/>
    <w:rsid w:val="00CC1A72"/>
    <w:rsid w:val="00CC3633"/>
    <w:rsid w:val="00CC5692"/>
    <w:rsid w:val="00CC64E8"/>
    <w:rsid w:val="00CC65F3"/>
    <w:rsid w:val="00CD0943"/>
    <w:rsid w:val="00CD09E8"/>
    <w:rsid w:val="00CD56E5"/>
    <w:rsid w:val="00CE0C1B"/>
    <w:rsid w:val="00CE468F"/>
    <w:rsid w:val="00CE64F2"/>
    <w:rsid w:val="00CF0C67"/>
    <w:rsid w:val="00CF0F40"/>
    <w:rsid w:val="00CF3AED"/>
    <w:rsid w:val="00CF4753"/>
    <w:rsid w:val="00D0083B"/>
    <w:rsid w:val="00D024BB"/>
    <w:rsid w:val="00D028FF"/>
    <w:rsid w:val="00D04DF4"/>
    <w:rsid w:val="00D079B5"/>
    <w:rsid w:val="00D1332E"/>
    <w:rsid w:val="00D15403"/>
    <w:rsid w:val="00D169E3"/>
    <w:rsid w:val="00D172D8"/>
    <w:rsid w:val="00D22A11"/>
    <w:rsid w:val="00D23CD7"/>
    <w:rsid w:val="00D26488"/>
    <w:rsid w:val="00D3231A"/>
    <w:rsid w:val="00D35AF4"/>
    <w:rsid w:val="00D35B2D"/>
    <w:rsid w:val="00D44183"/>
    <w:rsid w:val="00D44A55"/>
    <w:rsid w:val="00D47931"/>
    <w:rsid w:val="00D47B74"/>
    <w:rsid w:val="00D47F3F"/>
    <w:rsid w:val="00D5276C"/>
    <w:rsid w:val="00D56BF2"/>
    <w:rsid w:val="00D619C1"/>
    <w:rsid w:val="00D61B79"/>
    <w:rsid w:val="00D62C84"/>
    <w:rsid w:val="00D6384D"/>
    <w:rsid w:val="00D64D0D"/>
    <w:rsid w:val="00D653F3"/>
    <w:rsid w:val="00D65EC2"/>
    <w:rsid w:val="00D66B24"/>
    <w:rsid w:val="00D67307"/>
    <w:rsid w:val="00D81670"/>
    <w:rsid w:val="00D820C2"/>
    <w:rsid w:val="00D82DD3"/>
    <w:rsid w:val="00D85E13"/>
    <w:rsid w:val="00D86288"/>
    <w:rsid w:val="00D872BC"/>
    <w:rsid w:val="00D916A6"/>
    <w:rsid w:val="00D954AE"/>
    <w:rsid w:val="00D96929"/>
    <w:rsid w:val="00DA1B6F"/>
    <w:rsid w:val="00DA529F"/>
    <w:rsid w:val="00DA5F80"/>
    <w:rsid w:val="00DB1524"/>
    <w:rsid w:val="00DB364C"/>
    <w:rsid w:val="00DB5AAE"/>
    <w:rsid w:val="00DB636B"/>
    <w:rsid w:val="00DB6882"/>
    <w:rsid w:val="00DC4B63"/>
    <w:rsid w:val="00DC5017"/>
    <w:rsid w:val="00DC5129"/>
    <w:rsid w:val="00DD1009"/>
    <w:rsid w:val="00DD3989"/>
    <w:rsid w:val="00DD7F1B"/>
    <w:rsid w:val="00DE1A87"/>
    <w:rsid w:val="00DE451F"/>
    <w:rsid w:val="00DE7058"/>
    <w:rsid w:val="00DF3816"/>
    <w:rsid w:val="00E03D2D"/>
    <w:rsid w:val="00E10B7A"/>
    <w:rsid w:val="00E12A7A"/>
    <w:rsid w:val="00E13CD5"/>
    <w:rsid w:val="00E23063"/>
    <w:rsid w:val="00E24932"/>
    <w:rsid w:val="00E27049"/>
    <w:rsid w:val="00E27FD6"/>
    <w:rsid w:val="00E354FB"/>
    <w:rsid w:val="00E36A0F"/>
    <w:rsid w:val="00E400C7"/>
    <w:rsid w:val="00E40322"/>
    <w:rsid w:val="00E40CB4"/>
    <w:rsid w:val="00E41DB9"/>
    <w:rsid w:val="00E527BE"/>
    <w:rsid w:val="00E56612"/>
    <w:rsid w:val="00E57697"/>
    <w:rsid w:val="00E71595"/>
    <w:rsid w:val="00E71CC0"/>
    <w:rsid w:val="00E731AE"/>
    <w:rsid w:val="00E74310"/>
    <w:rsid w:val="00E74313"/>
    <w:rsid w:val="00E762BB"/>
    <w:rsid w:val="00E865C8"/>
    <w:rsid w:val="00E8661B"/>
    <w:rsid w:val="00E9084E"/>
    <w:rsid w:val="00E93FB8"/>
    <w:rsid w:val="00E962E6"/>
    <w:rsid w:val="00E96F1A"/>
    <w:rsid w:val="00E97D7C"/>
    <w:rsid w:val="00EA0E8C"/>
    <w:rsid w:val="00EA1793"/>
    <w:rsid w:val="00EA3486"/>
    <w:rsid w:val="00EA689F"/>
    <w:rsid w:val="00EA6949"/>
    <w:rsid w:val="00EB162B"/>
    <w:rsid w:val="00EB48C2"/>
    <w:rsid w:val="00EC1434"/>
    <w:rsid w:val="00EC688E"/>
    <w:rsid w:val="00EC6F9B"/>
    <w:rsid w:val="00EC72B0"/>
    <w:rsid w:val="00EC77B3"/>
    <w:rsid w:val="00ED0142"/>
    <w:rsid w:val="00EE18F2"/>
    <w:rsid w:val="00EE365D"/>
    <w:rsid w:val="00EE4E2A"/>
    <w:rsid w:val="00EF24B7"/>
    <w:rsid w:val="00EF3185"/>
    <w:rsid w:val="00EF33BE"/>
    <w:rsid w:val="00EF4F97"/>
    <w:rsid w:val="00EF5552"/>
    <w:rsid w:val="00F037A2"/>
    <w:rsid w:val="00F04CE3"/>
    <w:rsid w:val="00F05673"/>
    <w:rsid w:val="00F126FC"/>
    <w:rsid w:val="00F12983"/>
    <w:rsid w:val="00F15359"/>
    <w:rsid w:val="00F1691E"/>
    <w:rsid w:val="00F175C4"/>
    <w:rsid w:val="00F23382"/>
    <w:rsid w:val="00F23714"/>
    <w:rsid w:val="00F245A2"/>
    <w:rsid w:val="00F309CB"/>
    <w:rsid w:val="00F33EED"/>
    <w:rsid w:val="00F33EEE"/>
    <w:rsid w:val="00F37677"/>
    <w:rsid w:val="00F37B05"/>
    <w:rsid w:val="00F44A0E"/>
    <w:rsid w:val="00F45AD6"/>
    <w:rsid w:val="00F4763C"/>
    <w:rsid w:val="00F540BA"/>
    <w:rsid w:val="00F570F0"/>
    <w:rsid w:val="00F60E60"/>
    <w:rsid w:val="00F63CCA"/>
    <w:rsid w:val="00F64069"/>
    <w:rsid w:val="00F64D6D"/>
    <w:rsid w:val="00F654D4"/>
    <w:rsid w:val="00F66182"/>
    <w:rsid w:val="00F71399"/>
    <w:rsid w:val="00F74AF0"/>
    <w:rsid w:val="00F7641C"/>
    <w:rsid w:val="00F82EE1"/>
    <w:rsid w:val="00F93134"/>
    <w:rsid w:val="00FA3D7F"/>
    <w:rsid w:val="00FA696B"/>
    <w:rsid w:val="00FB078F"/>
    <w:rsid w:val="00FB3586"/>
    <w:rsid w:val="00FB7122"/>
    <w:rsid w:val="00FC39BA"/>
    <w:rsid w:val="00FC3F00"/>
    <w:rsid w:val="00FC4940"/>
    <w:rsid w:val="00FC750D"/>
    <w:rsid w:val="00FC7883"/>
    <w:rsid w:val="00FD0EA3"/>
    <w:rsid w:val="00FD20C5"/>
    <w:rsid w:val="00FE1061"/>
    <w:rsid w:val="00FE34E4"/>
    <w:rsid w:val="00FE6FAA"/>
    <w:rsid w:val="00FF1D71"/>
    <w:rsid w:val="00FF31DF"/>
    <w:rsid w:val="00FF5141"/>
    <w:rsid w:val="00FF6332"/>
    <w:rsid w:val="01797C51"/>
    <w:rsid w:val="017E313A"/>
    <w:rsid w:val="02DEA4E6"/>
    <w:rsid w:val="04685DED"/>
    <w:rsid w:val="052664AC"/>
    <w:rsid w:val="0640995C"/>
    <w:rsid w:val="0E074BCA"/>
    <w:rsid w:val="0F0A5156"/>
    <w:rsid w:val="128FFB1D"/>
    <w:rsid w:val="135A6A1C"/>
    <w:rsid w:val="142BCB7E"/>
    <w:rsid w:val="1BB883B4"/>
    <w:rsid w:val="1D3A4D75"/>
    <w:rsid w:val="1D633BC3"/>
    <w:rsid w:val="1E316A16"/>
    <w:rsid w:val="208BF4D7"/>
    <w:rsid w:val="20D0217D"/>
    <w:rsid w:val="22548F27"/>
    <w:rsid w:val="255E79F4"/>
    <w:rsid w:val="275097FC"/>
    <w:rsid w:val="29C88D6E"/>
    <w:rsid w:val="2B177DF2"/>
    <w:rsid w:val="2C0EC81F"/>
    <w:rsid w:val="2C9B8C3B"/>
    <w:rsid w:val="2EC36C24"/>
    <w:rsid w:val="2EDDF6F3"/>
    <w:rsid w:val="30AE2A68"/>
    <w:rsid w:val="35F9CB56"/>
    <w:rsid w:val="36329739"/>
    <w:rsid w:val="3CBDE220"/>
    <w:rsid w:val="3DB38D78"/>
    <w:rsid w:val="3E318280"/>
    <w:rsid w:val="3F4F5DD9"/>
    <w:rsid w:val="45600E04"/>
    <w:rsid w:val="484D9C3B"/>
    <w:rsid w:val="494B15C7"/>
    <w:rsid w:val="4B8AA08D"/>
    <w:rsid w:val="4D0AF32A"/>
    <w:rsid w:val="4DE60B65"/>
    <w:rsid w:val="51246E22"/>
    <w:rsid w:val="544DB769"/>
    <w:rsid w:val="56215D95"/>
    <w:rsid w:val="56947967"/>
    <w:rsid w:val="5A95B689"/>
    <w:rsid w:val="5C5D155F"/>
    <w:rsid w:val="5C88C2ED"/>
    <w:rsid w:val="5F46B489"/>
    <w:rsid w:val="5FDDE64E"/>
    <w:rsid w:val="643D7712"/>
    <w:rsid w:val="66216433"/>
    <w:rsid w:val="662613A0"/>
    <w:rsid w:val="668ACF27"/>
    <w:rsid w:val="67C4ECDD"/>
    <w:rsid w:val="68359328"/>
    <w:rsid w:val="699BBD4C"/>
    <w:rsid w:val="6C2F609A"/>
    <w:rsid w:val="6C8C50F6"/>
    <w:rsid w:val="6D52CCCC"/>
    <w:rsid w:val="6E0F5DA1"/>
    <w:rsid w:val="72A2739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3BC2C328-1620-4BE2-8A64-7FD6B41B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 w:type="table" w:customStyle="1" w:styleId="TableGrid1">
    <w:name w:val="Table Grid1"/>
    <w:basedOn w:val="TableNormal"/>
    <w:next w:val="TableGrid"/>
    <w:uiPriority w:val="39"/>
    <w:rsid w:val="007C6502"/>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rc.gov" TargetMode="External" /><Relationship Id="rId11" Type="http://schemas.openxmlformats.org/officeDocument/2006/relationships/hyperlink" Target="https://www.ferc.gov/ferc-online/overview"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E5DECB2-FD0C-4159-895D-95B85F1F6ED6}">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5.xml><?xml version="1.0" encoding="utf-8"?>
<ds:datastoreItem xmlns:ds="http://schemas.openxmlformats.org/officeDocument/2006/customXml" ds:itemID="{1A90DDFB-D0DE-42DC-8AE4-A46993A31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1492</Words>
  <Characters>8511</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2016-12-20T19:40:00Z</cp:lastPrinted>
  <dcterms:created xsi:type="dcterms:W3CDTF">2023-07-12T19:41:00Z</dcterms:created>
  <dcterms:modified xsi:type="dcterms:W3CDTF">2023-07-12T19:41:00Z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8e766c38-0dfa-4c29-879a-867d362ed85b</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2023-07-12T19:40:30Z</vt:lpwstr>
  </property>
  <property fmtid="{D5CDD505-2E9C-101B-9397-08002B2CF9AE}" pid="8" name="MSIP_Label_6155a89b-0f08-4a93-8ea2-8a916d6643b5_SiteId">
    <vt:lpwstr>19caa9e9-04ff-43fa-885f-d77fac387903</vt:lpwstr>
  </property>
</Properties>
</file>