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2522" w:rsidRPr="00720A08" w:rsidP="007B0ED8" w14:paraId="781C0331" w14:textId="5EDBE06C">
      <w:pPr>
        <w:spacing w:after="0" w:line="276" w:lineRule="auto"/>
        <w:jc w:val="center"/>
        <w:rPr>
          <w:rFonts w:ascii="Times New Roman" w:hAnsi="Times New Roman" w:cs="Times New Roman"/>
          <w:b/>
          <w:bCs/>
          <w:sz w:val="26"/>
          <w:szCs w:val="26"/>
        </w:rPr>
      </w:pPr>
      <w:r w:rsidRPr="00720A08">
        <w:rPr>
          <w:rFonts w:ascii="Times New Roman" w:hAnsi="Times New Roman" w:cs="Times New Roman"/>
          <w:b/>
          <w:bCs/>
          <w:sz w:val="26"/>
          <w:szCs w:val="26"/>
        </w:rPr>
        <w:t>Supporting Statement for</w:t>
      </w:r>
      <w:r w:rsidR="007B0ED8">
        <w:rPr>
          <w:rFonts w:ascii="Times New Roman" w:hAnsi="Times New Roman" w:cs="Times New Roman"/>
          <w:b/>
          <w:bCs/>
          <w:sz w:val="26"/>
          <w:szCs w:val="26"/>
        </w:rPr>
        <w:t xml:space="preserve"> the FERC 1005 Collection as Required by Proposed Rule RM22-13-000 (Credit-Related Information Sharing)</w:t>
      </w:r>
    </w:p>
    <w:p w:rsidR="00EB7F94" w:rsidP="00720A08" w14:paraId="51A0C6A3" w14:textId="47973E33">
      <w:pPr>
        <w:spacing w:after="0" w:line="276" w:lineRule="auto"/>
        <w:jc w:val="center"/>
        <w:rPr>
          <w:rFonts w:ascii="Times New Roman" w:hAnsi="Times New Roman" w:cs="Times New Roman"/>
          <w:sz w:val="26"/>
          <w:szCs w:val="26"/>
        </w:rPr>
      </w:pPr>
    </w:p>
    <w:p w:rsidR="00BE2088" w:rsidRPr="00BE2088" w:rsidP="007B0ED8" w14:paraId="3B55176F" w14:textId="392BE82A">
      <w:pPr>
        <w:spacing w:after="0" w:line="276" w:lineRule="auto"/>
        <w:rPr>
          <w:rFonts w:ascii="Times New Roman" w:hAnsi="Times New Roman" w:cs="Times New Roman"/>
          <w:sz w:val="26"/>
          <w:szCs w:val="26"/>
        </w:rPr>
      </w:pPr>
      <w:r w:rsidRPr="00E7287B">
        <w:rPr>
          <w:rFonts w:ascii="Times New Roman" w:hAnsi="Times New Roman" w:cs="Times New Roman"/>
          <w:sz w:val="26"/>
          <w:szCs w:val="26"/>
        </w:rPr>
        <w:t>The Federal Energy Regulatory Commission (Commission</w:t>
      </w:r>
      <w:r w:rsidR="005E28CE">
        <w:rPr>
          <w:rFonts w:ascii="Times New Roman" w:hAnsi="Times New Roman" w:cs="Times New Roman"/>
          <w:sz w:val="26"/>
          <w:szCs w:val="26"/>
        </w:rPr>
        <w:t xml:space="preserve"> or FERC</w:t>
      </w:r>
      <w:r w:rsidRPr="00E7287B">
        <w:rPr>
          <w:rFonts w:ascii="Times New Roman" w:hAnsi="Times New Roman" w:cs="Times New Roman"/>
          <w:sz w:val="26"/>
          <w:szCs w:val="26"/>
        </w:rPr>
        <w:t xml:space="preserve">) requests that the Office of Management and Budget (OMB) </w:t>
      </w:r>
      <w:r w:rsidR="00BA7761">
        <w:rPr>
          <w:rFonts w:ascii="Times New Roman" w:hAnsi="Times New Roman" w:cs="Times New Roman"/>
          <w:sz w:val="26"/>
          <w:szCs w:val="26"/>
        </w:rPr>
        <w:t>approve, for three years,</w:t>
      </w:r>
      <w:r w:rsidRPr="00E7287B">
        <w:rPr>
          <w:rFonts w:ascii="Times New Roman" w:hAnsi="Times New Roman" w:cs="Times New Roman"/>
          <w:sz w:val="26"/>
          <w:szCs w:val="26"/>
        </w:rPr>
        <w:t xml:space="preserve"> the information coll</w:t>
      </w:r>
      <w:r>
        <w:rPr>
          <w:rFonts w:ascii="Times New Roman" w:hAnsi="Times New Roman" w:cs="Times New Roman"/>
          <w:sz w:val="26"/>
          <w:szCs w:val="26"/>
        </w:rPr>
        <w:t>ection requirements in FERC</w:t>
      </w:r>
      <w:r w:rsidR="004D76AD">
        <w:rPr>
          <w:rFonts w:ascii="Times New Roman" w:hAnsi="Times New Roman" w:cs="Times New Roman"/>
          <w:sz w:val="26"/>
          <w:szCs w:val="26"/>
        </w:rPr>
        <w:t>-</w:t>
      </w:r>
      <w:r w:rsidR="007B0ED8">
        <w:rPr>
          <w:rFonts w:ascii="Times New Roman" w:hAnsi="Times New Roman" w:cs="Times New Roman"/>
          <w:sz w:val="26"/>
          <w:szCs w:val="26"/>
        </w:rPr>
        <w:t xml:space="preserve">1005 as directed by the </w:t>
      </w:r>
      <w:r w:rsidR="00606DD7">
        <w:rPr>
          <w:rFonts w:ascii="Times New Roman" w:hAnsi="Times New Roman" w:cs="Times New Roman"/>
          <w:sz w:val="26"/>
          <w:szCs w:val="26"/>
        </w:rPr>
        <w:t xml:space="preserve">final </w:t>
      </w:r>
      <w:r w:rsidR="007B0ED8">
        <w:rPr>
          <w:rFonts w:ascii="Times New Roman" w:hAnsi="Times New Roman" w:cs="Times New Roman"/>
          <w:sz w:val="26"/>
          <w:szCs w:val="26"/>
        </w:rPr>
        <w:t xml:space="preserve">rule </w:t>
      </w:r>
      <w:r w:rsidR="00B513DB">
        <w:rPr>
          <w:rFonts w:ascii="Times New Roman" w:hAnsi="Times New Roman" w:cs="Times New Roman"/>
          <w:sz w:val="26"/>
          <w:szCs w:val="26"/>
        </w:rPr>
        <w:t xml:space="preserve">in Docket No. </w:t>
      </w:r>
      <w:r w:rsidR="007B0ED8">
        <w:rPr>
          <w:rFonts w:ascii="Times New Roman" w:hAnsi="Times New Roman" w:cs="Times New Roman"/>
          <w:sz w:val="26"/>
          <w:szCs w:val="26"/>
        </w:rPr>
        <w:t xml:space="preserve">RM22-13-000 (Credit-Related </w:t>
      </w:r>
      <w:r w:rsidR="000B7B26">
        <w:rPr>
          <w:rFonts w:ascii="Times New Roman" w:hAnsi="Times New Roman" w:cs="Times New Roman"/>
          <w:sz w:val="26"/>
          <w:szCs w:val="26"/>
        </w:rPr>
        <w:t>Information</w:t>
      </w:r>
      <w:r w:rsidR="007B0ED8">
        <w:rPr>
          <w:rFonts w:ascii="Times New Roman" w:hAnsi="Times New Roman" w:cs="Times New Roman"/>
          <w:sz w:val="26"/>
          <w:szCs w:val="26"/>
        </w:rPr>
        <w:t xml:space="preserve"> Sharing).</w:t>
      </w:r>
    </w:p>
    <w:p w:rsidR="007B29B4" w:rsidRPr="007B29B4" w:rsidP="005E5E49" w14:paraId="02F1F2BF" w14:textId="77777777">
      <w:pPr>
        <w:spacing w:after="0" w:line="276" w:lineRule="auto"/>
        <w:ind w:left="720"/>
        <w:rPr>
          <w:rFonts w:ascii="Times New Roman" w:hAnsi="Times New Roman" w:cs="Times New Roman"/>
          <w:sz w:val="26"/>
          <w:szCs w:val="26"/>
        </w:rPr>
      </w:pPr>
    </w:p>
    <w:p w:rsidR="00EE07DD" w:rsidRPr="001A153B" w:rsidP="005E5E49" w14:paraId="16FA34C6" w14:textId="77777777">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rsidR="00EE07DD" w:rsidRPr="001A153B" w:rsidP="005E5E49" w14:paraId="536BEA34" w14:textId="07D53328">
      <w:pPr>
        <w:spacing w:after="0" w:line="276" w:lineRule="auto"/>
        <w:rPr>
          <w:rFonts w:ascii="Times New Roman" w:hAnsi="Times New Roman" w:cs="Times New Roman"/>
          <w:b/>
          <w:sz w:val="26"/>
          <w:szCs w:val="26"/>
        </w:rPr>
      </w:pPr>
    </w:p>
    <w:p w:rsidR="00AE0FB4" w:rsidRPr="00AE0FB4" w:rsidP="00AE0FB4" w14:paraId="7D4E106F" w14:textId="238401EC">
      <w:pPr>
        <w:spacing w:after="0" w:line="276" w:lineRule="auto"/>
        <w:rPr>
          <w:rFonts w:ascii="Times New Roman" w:hAnsi="Times New Roman" w:cs="Times New Roman"/>
          <w:sz w:val="26"/>
          <w:szCs w:val="26"/>
        </w:rPr>
      </w:pPr>
      <w:r w:rsidRPr="00AE0FB4">
        <w:rPr>
          <w:rFonts w:ascii="Times New Roman" w:hAnsi="Times New Roman" w:cs="Times New Roman"/>
          <w:sz w:val="26"/>
          <w:szCs w:val="26"/>
        </w:rPr>
        <w:t>Pursuant to section 206 of the Federal Power Act (FPA),</w:t>
      </w:r>
      <w:r>
        <w:rPr>
          <w:rFonts w:ascii="Times New Roman" w:hAnsi="Times New Roman" w:cs="Times New Roman"/>
          <w:b/>
          <w:sz w:val="26"/>
          <w:szCs w:val="26"/>
          <w:vertAlign w:val="superscript"/>
        </w:rPr>
        <w:footnoteReference w:id="3"/>
      </w:r>
      <w:r w:rsidRPr="00AE0FB4">
        <w:rPr>
          <w:rFonts w:ascii="Times New Roman" w:hAnsi="Times New Roman" w:cs="Times New Roman"/>
          <w:sz w:val="26"/>
          <w:szCs w:val="26"/>
        </w:rPr>
        <w:t xml:space="preserve"> the Commission is proposing to revise section 35.47 of Title 18 of the Code of Federal Regulations to permit </w:t>
      </w:r>
      <w:r w:rsidR="00D351C8">
        <w:rPr>
          <w:rFonts w:ascii="Times New Roman" w:hAnsi="Times New Roman" w:cs="Times New Roman"/>
          <w:sz w:val="26"/>
          <w:szCs w:val="26"/>
        </w:rPr>
        <w:t xml:space="preserve">organized wholesale electric markets, i.e., </w:t>
      </w:r>
      <w:r w:rsidRPr="00AE0FB4">
        <w:rPr>
          <w:rFonts w:ascii="Times New Roman" w:hAnsi="Times New Roman" w:cs="Times New Roman"/>
          <w:sz w:val="26"/>
          <w:szCs w:val="26"/>
        </w:rPr>
        <w:t>regional transmission organizations (RTOs) and independent system operators (ISOs)</w:t>
      </w:r>
      <w:r w:rsidR="00D351C8">
        <w:rPr>
          <w:rFonts w:ascii="Times New Roman" w:hAnsi="Times New Roman" w:cs="Times New Roman"/>
          <w:sz w:val="26"/>
          <w:szCs w:val="26"/>
        </w:rPr>
        <w:t>,</w:t>
      </w:r>
      <w:r w:rsidRPr="00AE0FB4">
        <w:rPr>
          <w:rFonts w:ascii="Times New Roman" w:hAnsi="Times New Roman" w:cs="Times New Roman"/>
          <w:sz w:val="26"/>
          <w:szCs w:val="26"/>
        </w:rPr>
        <w:t xml:space="preserve"> to share credit-related information with each other</w:t>
      </w:r>
      <w:r w:rsidR="00815802">
        <w:rPr>
          <w:rFonts w:ascii="Times New Roman" w:hAnsi="Times New Roman" w:cs="Times New Roman"/>
          <w:sz w:val="26"/>
          <w:szCs w:val="26"/>
        </w:rPr>
        <w:t xml:space="preserve">.  The change </w:t>
      </w:r>
      <w:r>
        <w:rPr>
          <w:rFonts w:ascii="Times New Roman" w:hAnsi="Times New Roman" w:cs="Times New Roman"/>
          <w:sz w:val="26"/>
          <w:szCs w:val="26"/>
        </w:rPr>
        <w:t>is intended to</w:t>
      </w:r>
      <w:r w:rsidRPr="00AE0FB4">
        <w:rPr>
          <w:rFonts w:ascii="Times New Roman" w:hAnsi="Times New Roman" w:cs="Times New Roman"/>
          <w:sz w:val="26"/>
          <w:szCs w:val="26"/>
        </w:rPr>
        <w:t xml:space="preserve"> improve </w:t>
      </w:r>
      <w:r w:rsidR="00815802">
        <w:rPr>
          <w:rFonts w:ascii="Times New Roman" w:hAnsi="Times New Roman" w:cs="Times New Roman"/>
          <w:sz w:val="26"/>
          <w:szCs w:val="26"/>
        </w:rPr>
        <w:t>RTOs’/ISOs’</w:t>
      </w:r>
      <w:r w:rsidRPr="00AE0FB4">
        <w:rPr>
          <w:rFonts w:ascii="Times New Roman" w:hAnsi="Times New Roman" w:cs="Times New Roman"/>
          <w:sz w:val="26"/>
          <w:szCs w:val="26"/>
        </w:rPr>
        <w:t xml:space="preserve"> ability to accurately assess market participants’ credit exposure and risks related to their activities across organized wholesale electric markets.  The sharing of such information could also allow RTOs/ISOs to respond to credit events more quickly and effectively, minimizing the overall credit-related risks of unexpected defaults by market participants in </w:t>
      </w:r>
      <w:r w:rsidR="004462AF">
        <w:rPr>
          <w:rFonts w:ascii="Times New Roman" w:hAnsi="Times New Roman" w:cs="Times New Roman"/>
          <w:sz w:val="26"/>
          <w:szCs w:val="26"/>
        </w:rPr>
        <w:t>RTOs and ISOs.</w:t>
      </w:r>
    </w:p>
    <w:p w:rsidR="00AE0FB4" w:rsidP="00AE0FB4" w14:paraId="14B041F5" w14:textId="77777777">
      <w:pPr>
        <w:spacing w:after="0" w:line="276" w:lineRule="auto"/>
        <w:rPr>
          <w:rFonts w:ascii="Times New Roman" w:hAnsi="Times New Roman" w:cs="Times New Roman"/>
          <w:sz w:val="26"/>
          <w:szCs w:val="26"/>
        </w:rPr>
      </w:pPr>
    </w:p>
    <w:p w:rsidR="00AE0FB4" w:rsidP="00AE0FB4" w14:paraId="36D97586" w14:textId="653515CF">
      <w:pPr>
        <w:spacing w:after="0" w:line="276" w:lineRule="auto"/>
        <w:rPr>
          <w:rFonts w:ascii="Times New Roman" w:hAnsi="Times New Roman" w:cs="Times New Roman"/>
          <w:sz w:val="26"/>
          <w:szCs w:val="26"/>
        </w:rPr>
      </w:pPr>
      <w:r w:rsidRPr="00AE0FB4">
        <w:rPr>
          <w:rFonts w:ascii="Times New Roman" w:hAnsi="Times New Roman" w:cs="Times New Roman"/>
          <w:sz w:val="26"/>
          <w:szCs w:val="26"/>
        </w:rPr>
        <w:t>To ensure that RTOs’/ISOs’ credit policies remain</w:t>
      </w:r>
      <w:r w:rsidRPr="00AE0FB4">
        <w:rPr>
          <w:rFonts w:ascii="Times New Roman" w:hAnsi="Times New Roman" w:cs="Times New Roman"/>
          <w:sz w:val="26"/>
          <w:szCs w:val="26"/>
        </w:rPr>
        <w:t xml:space="preserve"> </w:t>
      </w:r>
      <w:r w:rsidRPr="00AE0FB4">
        <w:rPr>
          <w:rFonts w:ascii="Times New Roman" w:hAnsi="Times New Roman" w:cs="Times New Roman"/>
          <w:sz w:val="26"/>
          <w:szCs w:val="26"/>
        </w:rPr>
        <w:t xml:space="preserve">just and reasonable, the Commission </w:t>
      </w:r>
      <w:r w:rsidR="00057577">
        <w:rPr>
          <w:rFonts w:ascii="Times New Roman" w:hAnsi="Times New Roman" w:cs="Times New Roman"/>
          <w:sz w:val="26"/>
          <w:szCs w:val="26"/>
        </w:rPr>
        <w:t>is</w:t>
      </w:r>
      <w:r w:rsidRPr="00AE0FB4">
        <w:rPr>
          <w:rFonts w:ascii="Times New Roman" w:hAnsi="Times New Roman" w:cs="Times New Roman"/>
          <w:sz w:val="26"/>
          <w:szCs w:val="26"/>
        </w:rPr>
        <w:t xml:space="preserve"> revis</w:t>
      </w:r>
      <w:r w:rsidR="00057577">
        <w:rPr>
          <w:rFonts w:ascii="Times New Roman" w:hAnsi="Times New Roman" w:cs="Times New Roman"/>
          <w:sz w:val="26"/>
          <w:szCs w:val="26"/>
        </w:rPr>
        <w:t>ing</w:t>
      </w:r>
      <w:r w:rsidRPr="00AE0FB4">
        <w:rPr>
          <w:rFonts w:ascii="Times New Roman" w:hAnsi="Times New Roman" w:cs="Times New Roman"/>
          <w:sz w:val="26"/>
          <w:szCs w:val="26"/>
        </w:rPr>
        <w:t xml:space="preserve"> its regulations to require each RTO/ISO to adopt tariff provisions that permit </w:t>
      </w:r>
      <w:r w:rsidR="007E7CD9">
        <w:rPr>
          <w:rFonts w:ascii="Times New Roman" w:hAnsi="Times New Roman" w:cs="Times New Roman"/>
          <w:sz w:val="26"/>
          <w:szCs w:val="26"/>
        </w:rPr>
        <w:t>it to</w:t>
      </w:r>
      <w:r w:rsidRPr="00AE0FB4">
        <w:rPr>
          <w:rFonts w:ascii="Times New Roman" w:hAnsi="Times New Roman" w:cs="Times New Roman"/>
          <w:sz w:val="26"/>
          <w:szCs w:val="26"/>
        </w:rPr>
        <w:t xml:space="preserve"> shar</w:t>
      </w:r>
      <w:r w:rsidR="007E7CD9">
        <w:rPr>
          <w:rFonts w:ascii="Times New Roman" w:hAnsi="Times New Roman" w:cs="Times New Roman"/>
          <w:sz w:val="26"/>
          <w:szCs w:val="26"/>
        </w:rPr>
        <w:t>e</w:t>
      </w:r>
      <w:r w:rsidRPr="00AE0FB4">
        <w:rPr>
          <w:rFonts w:ascii="Times New Roman" w:hAnsi="Times New Roman" w:cs="Times New Roman"/>
          <w:sz w:val="26"/>
          <w:szCs w:val="26"/>
        </w:rPr>
        <w:t xml:space="preserve"> market participants’ credit-related information with other RTOs/ISOs to enhance credit risk assessment efforts.  </w:t>
      </w:r>
    </w:p>
    <w:p w:rsidR="00146903" w:rsidP="00AE0FB4" w14:paraId="40928249" w14:textId="47CBAD88">
      <w:pPr>
        <w:spacing w:after="0" w:line="276" w:lineRule="auto"/>
        <w:rPr>
          <w:rFonts w:ascii="Times New Roman" w:hAnsi="Times New Roman" w:cs="Times New Roman"/>
          <w:sz w:val="26"/>
          <w:szCs w:val="26"/>
        </w:rPr>
      </w:pPr>
    </w:p>
    <w:p w:rsidR="00146903" w:rsidRPr="00AE0FB4" w:rsidP="00AE0FB4" w14:paraId="6BCD0DB9" w14:textId="1213CEDD">
      <w:pPr>
        <w:spacing w:after="0" w:line="276" w:lineRule="auto"/>
        <w:rPr>
          <w:rFonts w:ascii="Times New Roman" w:hAnsi="Times New Roman" w:cs="Times New Roman"/>
          <w:sz w:val="26"/>
          <w:szCs w:val="26"/>
        </w:rPr>
      </w:pPr>
      <w:r>
        <w:rPr>
          <w:rFonts w:ascii="Times New Roman" w:hAnsi="Times New Roman" w:cs="Times New Roman"/>
          <w:sz w:val="26"/>
          <w:szCs w:val="26"/>
        </w:rPr>
        <w:t>This collection of information includes</w:t>
      </w:r>
      <w:r w:rsidR="00AC3DE9">
        <w:rPr>
          <w:rFonts w:ascii="Times New Roman" w:hAnsi="Times New Roman" w:cs="Times New Roman"/>
          <w:sz w:val="26"/>
          <w:szCs w:val="26"/>
        </w:rPr>
        <w:t xml:space="preserve">: </w:t>
      </w:r>
      <w:r>
        <w:rPr>
          <w:rFonts w:ascii="Times New Roman" w:hAnsi="Times New Roman" w:cs="Times New Roman"/>
          <w:sz w:val="26"/>
          <w:szCs w:val="26"/>
        </w:rPr>
        <w:t xml:space="preserve"> </w:t>
      </w:r>
      <w:r w:rsidR="008321BB">
        <w:rPr>
          <w:rFonts w:ascii="Times New Roman" w:hAnsi="Times New Roman" w:cs="Times New Roman"/>
          <w:sz w:val="26"/>
          <w:szCs w:val="26"/>
        </w:rPr>
        <w:t>(</w:t>
      </w:r>
      <w:r w:rsidR="008321BB">
        <w:rPr>
          <w:rFonts w:ascii="Times New Roman" w:hAnsi="Times New Roman" w:cs="Times New Roman"/>
          <w:sz w:val="26"/>
          <w:szCs w:val="26"/>
        </w:rPr>
        <w:t xml:space="preserve">1) </w:t>
      </w:r>
      <w:r>
        <w:rPr>
          <w:rFonts w:ascii="Times New Roman" w:hAnsi="Times New Roman" w:cs="Times New Roman"/>
          <w:sz w:val="26"/>
          <w:szCs w:val="26"/>
        </w:rPr>
        <w:t xml:space="preserve">a compliance filing </w:t>
      </w:r>
      <w:r w:rsidR="00CF3048">
        <w:rPr>
          <w:rFonts w:ascii="Times New Roman" w:hAnsi="Times New Roman" w:cs="Times New Roman"/>
          <w:sz w:val="26"/>
          <w:szCs w:val="26"/>
        </w:rPr>
        <w:t xml:space="preserve">submitted to the Commission </w:t>
      </w:r>
      <w:r w:rsidR="00EC47F1">
        <w:rPr>
          <w:rFonts w:ascii="Times New Roman" w:hAnsi="Times New Roman" w:cs="Times New Roman"/>
          <w:sz w:val="26"/>
          <w:szCs w:val="26"/>
        </w:rPr>
        <w:t xml:space="preserve">by </w:t>
      </w:r>
      <w:r w:rsidR="000D0F0E">
        <w:rPr>
          <w:rFonts w:ascii="Times New Roman" w:hAnsi="Times New Roman" w:cs="Times New Roman"/>
          <w:sz w:val="26"/>
          <w:szCs w:val="26"/>
        </w:rPr>
        <w:t xml:space="preserve">each </w:t>
      </w:r>
      <w:r>
        <w:rPr>
          <w:rFonts w:ascii="Times New Roman" w:hAnsi="Times New Roman" w:cs="Times New Roman"/>
          <w:sz w:val="26"/>
          <w:szCs w:val="26"/>
        </w:rPr>
        <w:t xml:space="preserve">RTO/ISO </w:t>
      </w:r>
      <w:r w:rsidR="00CB0D91">
        <w:rPr>
          <w:rFonts w:ascii="Times New Roman" w:hAnsi="Times New Roman" w:cs="Times New Roman"/>
          <w:sz w:val="26"/>
          <w:szCs w:val="26"/>
        </w:rPr>
        <w:t xml:space="preserve">in which </w:t>
      </w:r>
      <w:r w:rsidR="000D0F0E">
        <w:rPr>
          <w:rFonts w:ascii="Times New Roman" w:hAnsi="Times New Roman" w:cs="Times New Roman"/>
          <w:sz w:val="26"/>
          <w:szCs w:val="26"/>
        </w:rPr>
        <w:t>it</w:t>
      </w:r>
      <w:r w:rsidR="000A75AF">
        <w:rPr>
          <w:rFonts w:ascii="Times New Roman" w:hAnsi="Times New Roman" w:cs="Times New Roman"/>
          <w:sz w:val="26"/>
          <w:szCs w:val="26"/>
        </w:rPr>
        <w:t xml:space="preserve"> will revise </w:t>
      </w:r>
      <w:r w:rsidR="00351CDB">
        <w:rPr>
          <w:rFonts w:ascii="Times New Roman" w:hAnsi="Times New Roman" w:cs="Times New Roman"/>
          <w:sz w:val="26"/>
          <w:szCs w:val="26"/>
        </w:rPr>
        <w:t xml:space="preserve">its </w:t>
      </w:r>
      <w:r w:rsidR="00A51696">
        <w:rPr>
          <w:rFonts w:ascii="Times New Roman" w:hAnsi="Times New Roman" w:cs="Times New Roman"/>
          <w:sz w:val="26"/>
          <w:szCs w:val="26"/>
        </w:rPr>
        <w:t>tariff provisions</w:t>
      </w:r>
      <w:r w:rsidR="00AC3DE9">
        <w:rPr>
          <w:rFonts w:ascii="Times New Roman" w:hAnsi="Times New Roman" w:cs="Times New Roman"/>
          <w:sz w:val="26"/>
          <w:szCs w:val="26"/>
        </w:rPr>
        <w:t>;</w:t>
      </w:r>
      <w:r w:rsidR="00C62E0C">
        <w:rPr>
          <w:rFonts w:ascii="Times New Roman" w:hAnsi="Times New Roman" w:cs="Times New Roman"/>
          <w:sz w:val="26"/>
          <w:szCs w:val="26"/>
        </w:rPr>
        <w:t xml:space="preserve"> and (2)</w:t>
      </w:r>
      <w:r w:rsidR="00AC3DE9">
        <w:rPr>
          <w:rFonts w:ascii="Times New Roman" w:hAnsi="Times New Roman" w:cs="Times New Roman"/>
          <w:sz w:val="26"/>
          <w:szCs w:val="26"/>
        </w:rPr>
        <w:t> </w:t>
      </w:r>
      <w:r w:rsidR="00A51696">
        <w:rPr>
          <w:rFonts w:ascii="Times New Roman" w:hAnsi="Times New Roman" w:cs="Times New Roman"/>
          <w:sz w:val="26"/>
          <w:szCs w:val="26"/>
        </w:rPr>
        <w:t xml:space="preserve">ongoing efforts </w:t>
      </w:r>
      <w:r w:rsidR="005E3106">
        <w:rPr>
          <w:rFonts w:ascii="Times New Roman" w:hAnsi="Times New Roman" w:cs="Times New Roman"/>
          <w:sz w:val="26"/>
          <w:szCs w:val="26"/>
        </w:rPr>
        <w:t xml:space="preserve">by the RTOs/ISOs </w:t>
      </w:r>
      <w:r w:rsidR="00A51696">
        <w:rPr>
          <w:rFonts w:ascii="Times New Roman" w:hAnsi="Times New Roman" w:cs="Times New Roman"/>
          <w:sz w:val="26"/>
          <w:szCs w:val="26"/>
        </w:rPr>
        <w:t>to share credit-related information between each other.</w:t>
      </w:r>
      <w:r w:rsidR="004A1FBC">
        <w:rPr>
          <w:rFonts w:ascii="Times New Roman" w:hAnsi="Times New Roman" w:cs="Times New Roman"/>
          <w:sz w:val="26"/>
          <w:szCs w:val="26"/>
        </w:rPr>
        <w:t xml:space="preserve"> </w:t>
      </w:r>
      <w:r w:rsidR="008A5EFC">
        <w:rPr>
          <w:rFonts w:ascii="Times New Roman" w:hAnsi="Times New Roman" w:cs="Times New Roman"/>
          <w:sz w:val="26"/>
          <w:szCs w:val="26"/>
        </w:rPr>
        <w:t xml:space="preserve"> Once the Commission </w:t>
      </w:r>
      <w:r w:rsidR="00B910DC">
        <w:rPr>
          <w:rFonts w:ascii="Times New Roman" w:hAnsi="Times New Roman" w:cs="Times New Roman"/>
          <w:sz w:val="26"/>
          <w:szCs w:val="26"/>
        </w:rPr>
        <w:t>acts on</w:t>
      </w:r>
      <w:r w:rsidR="008A5EFC">
        <w:rPr>
          <w:rFonts w:ascii="Times New Roman" w:hAnsi="Times New Roman" w:cs="Times New Roman"/>
          <w:sz w:val="26"/>
          <w:szCs w:val="26"/>
        </w:rPr>
        <w:t xml:space="preserve"> the </w:t>
      </w:r>
      <w:r w:rsidR="0060030D">
        <w:rPr>
          <w:rFonts w:ascii="Times New Roman" w:hAnsi="Times New Roman" w:cs="Times New Roman"/>
          <w:sz w:val="26"/>
          <w:szCs w:val="26"/>
        </w:rPr>
        <w:t>RT</w:t>
      </w:r>
      <w:r w:rsidR="00C26CD5">
        <w:rPr>
          <w:rFonts w:ascii="Times New Roman" w:hAnsi="Times New Roman" w:cs="Times New Roman"/>
          <w:sz w:val="26"/>
          <w:szCs w:val="26"/>
        </w:rPr>
        <w:t>O</w:t>
      </w:r>
      <w:r w:rsidR="0060030D">
        <w:rPr>
          <w:rFonts w:ascii="Times New Roman" w:hAnsi="Times New Roman" w:cs="Times New Roman"/>
          <w:sz w:val="26"/>
          <w:szCs w:val="26"/>
        </w:rPr>
        <w:t xml:space="preserve">/ISO </w:t>
      </w:r>
      <w:r w:rsidR="008A5EFC">
        <w:rPr>
          <w:rFonts w:ascii="Times New Roman" w:hAnsi="Times New Roman" w:cs="Times New Roman"/>
          <w:sz w:val="26"/>
          <w:szCs w:val="26"/>
        </w:rPr>
        <w:t>compliance</w:t>
      </w:r>
      <w:r w:rsidR="00656100">
        <w:rPr>
          <w:rFonts w:ascii="Times New Roman" w:hAnsi="Times New Roman" w:cs="Times New Roman"/>
          <w:sz w:val="26"/>
          <w:szCs w:val="26"/>
        </w:rPr>
        <w:t xml:space="preserve"> filing</w:t>
      </w:r>
      <w:r w:rsidR="00A14827">
        <w:rPr>
          <w:rFonts w:ascii="Times New Roman" w:hAnsi="Times New Roman" w:cs="Times New Roman"/>
          <w:sz w:val="26"/>
          <w:szCs w:val="26"/>
        </w:rPr>
        <w:t>s</w:t>
      </w:r>
      <w:r w:rsidR="00656100">
        <w:rPr>
          <w:rFonts w:ascii="Times New Roman" w:hAnsi="Times New Roman" w:cs="Times New Roman"/>
          <w:sz w:val="26"/>
          <w:szCs w:val="26"/>
        </w:rPr>
        <w:t>, t</w:t>
      </w:r>
      <w:r w:rsidR="00FC112D">
        <w:rPr>
          <w:rFonts w:ascii="Times New Roman" w:hAnsi="Times New Roman" w:cs="Times New Roman"/>
          <w:sz w:val="26"/>
          <w:szCs w:val="26"/>
        </w:rPr>
        <w:t>h</w:t>
      </w:r>
      <w:r w:rsidR="00656100">
        <w:rPr>
          <w:rFonts w:ascii="Times New Roman" w:hAnsi="Times New Roman" w:cs="Times New Roman"/>
          <w:sz w:val="26"/>
          <w:szCs w:val="26"/>
        </w:rPr>
        <w:t xml:space="preserve">e </w:t>
      </w:r>
      <w:r w:rsidR="00F665FB">
        <w:rPr>
          <w:rFonts w:ascii="Times New Roman" w:hAnsi="Times New Roman" w:cs="Times New Roman"/>
          <w:sz w:val="26"/>
          <w:szCs w:val="26"/>
        </w:rPr>
        <w:t xml:space="preserve">only </w:t>
      </w:r>
      <w:r w:rsidR="00DF1F89">
        <w:rPr>
          <w:rFonts w:ascii="Times New Roman" w:hAnsi="Times New Roman" w:cs="Times New Roman"/>
          <w:sz w:val="26"/>
          <w:szCs w:val="26"/>
        </w:rPr>
        <w:t xml:space="preserve">ongoing </w:t>
      </w:r>
      <w:r w:rsidR="00F665FB">
        <w:rPr>
          <w:rFonts w:ascii="Times New Roman" w:hAnsi="Times New Roman" w:cs="Times New Roman"/>
          <w:sz w:val="26"/>
          <w:szCs w:val="26"/>
        </w:rPr>
        <w:t>information collection would b</w:t>
      </w:r>
      <w:r w:rsidR="00FC112D">
        <w:rPr>
          <w:rFonts w:ascii="Times New Roman" w:hAnsi="Times New Roman" w:cs="Times New Roman"/>
          <w:sz w:val="26"/>
          <w:szCs w:val="26"/>
        </w:rPr>
        <w:t>e</w:t>
      </w:r>
      <w:r w:rsidR="00F665FB">
        <w:rPr>
          <w:rFonts w:ascii="Times New Roman" w:hAnsi="Times New Roman" w:cs="Times New Roman"/>
          <w:sz w:val="26"/>
          <w:szCs w:val="26"/>
        </w:rPr>
        <w:t xml:space="preserve"> the sharing of credit-related information among the RTOs/ISOs.  </w:t>
      </w:r>
      <w:r w:rsidR="008A5EFC">
        <w:rPr>
          <w:rFonts w:ascii="Times New Roman" w:hAnsi="Times New Roman" w:cs="Times New Roman"/>
          <w:sz w:val="26"/>
          <w:szCs w:val="26"/>
        </w:rPr>
        <w:t xml:space="preserve"> </w:t>
      </w:r>
    </w:p>
    <w:p w:rsidR="00BE2088" w:rsidRPr="00BE2088" w:rsidP="00BE2088" w14:paraId="75E5B244" w14:textId="77777777">
      <w:pPr>
        <w:spacing w:after="0" w:line="276" w:lineRule="auto"/>
        <w:rPr>
          <w:rFonts w:ascii="Times New Roman" w:hAnsi="Times New Roman" w:cs="Times New Roman"/>
          <w:sz w:val="26"/>
          <w:szCs w:val="26"/>
        </w:rPr>
      </w:pPr>
    </w:p>
    <w:p w:rsidR="00BE2088" w:rsidRPr="00BE2088" w:rsidP="00BE2088" w14:paraId="07F4CB79" w14:textId="77777777">
      <w:pPr>
        <w:numPr>
          <w:ilvl w:val="0"/>
          <w:numId w:val="15"/>
        </w:numPr>
        <w:spacing w:after="0" w:line="276" w:lineRule="auto"/>
        <w:rPr>
          <w:rFonts w:ascii="Times New Roman" w:hAnsi="Times New Roman" w:cs="Times New Roman"/>
          <w:b/>
          <w:sz w:val="26"/>
          <w:szCs w:val="26"/>
        </w:rPr>
      </w:pPr>
      <w:r w:rsidRPr="00BE2088">
        <w:rPr>
          <w:rFonts w:ascii="Times New Roman" w:hAnsi="Times New Roman" w:cs="Times New Roman"/>
          <w:b/>
          <w:sz w:val="26"/>
          <w:szCs w:val="26"/>
        </w:rPr>
        <w:t>HOW, BY WHOM, AND FOR WHAT PURPOSE THE INFORMATION IS TO BE USED AND THE CONSEQUENCES OF NOT COLLECTING THE INFORMATION</w:t>
      </w:r>
    </w:p>
    <w:p w:rsidR="00BE2088" w:rsidP="00BE2088" w14:paraId="552EA2AB" w14:textId="5B6CA372">
      <w:pPr>
        <w:spacing w:after="0" w:line="276" w:lineRule="auto"/>
        <w:rPr>
          <w:rFonts w:ascii="Times New Roman" w:hAnsi="Times New Roman" w:cs="Times New Roman"/>
          <w:sz w:val="26"/>
          <w:szCs w:val="26"/>
        </w:rPr>
      </w:pPr>
    </w:p>
    <w:p w:rsidR="00956191" w:rsidP="00957420" w14:paraId="1941E56C" w14:textId="29E9ED5D">
      <w:pPr>
        <w:spacing w:after="0" w:line="276" w:lineRule="auto"/>
        <w:rPr>
          <w:rFonts w:ascii="Times New Roman" w:hAnsi="Times New Roman" w:cs="Times New Roman"/>
          <w:sz w:val="26"/>
          <w:szCs w:val="26"/>
        </w:rPr>
      </w:pPr>
      <w:r>
        <w:rPr>
          <w:rFonts w:ascii="Times New Roman" w:hAnsi="Times New Roman" w:cs="Times New Roman"/>
          <w:sz w:val="26"/>
          <w:szCs w:val="26"/>
        </w:rPr>
        <w:t>T</w:t>
      </w:r>
      <w:r w:rsidRPr="00AE0FB4" w:rsidR="00957420">
        <w:rPr>
          <w:rFonts w:ascii="Times New Roman" w:hAnsi="Times New Roman" w:cs="Times New Roman"/>
          <w:sz w:val="26"/>
          <w:szCs w:val="26"/>
        </w:rPr>
        <w:t>he Commission</w:t>
      </w:r>
      <w:r w:rsidR="004A1FBC">
        <w:rPr>
          <w:rFonts w:ascii="Times New Roman" w:hAnsi="Times New Roman" w:cs="Times New Roman"/>
          <w:sz w:val="26"/>
          <w:szCs w:val="26"/>
        </w:rPr>
        <w:t>’s final rule</w:t>
      </w:r>
      <w:r w:rsidRPr="00AE0FB4" w:rsidR="00957420">
        <w:rPr>
          <w:rFonts w:ascii="Times New Roman" w:hAnsi="Times New Roman" w:cs="Times New Roman"/>
          <w:sz w:val="26"/>
          <w:szCs w:val="26"/>
        </w:rPr>
        <w:t xml:space="preserve"> revise</w:t>
      </w:r>
      <w:r w:rsidR="004A1FBC">
        <w:rPr>
          <w:rFonts w:ascii="Times New Roman" w:hAnsi="Times New Roman" w:cs="Times New Roman"/>
          <w:sz w:val="26"/>
          <w:szCs w:val="26"/>
        </w:rPr>
        <w:t>s</w:t>
      </w:r>
      <w:r w:rsidRPr="00AE0FB4" w:rsidR="00957420">
        <w:rPr>
          <w:rFonts w:ascii="Times New Roman" w:hAnsi="Times New Roman" w:cs="Times New Roman"/>
          <w:sz w:val="26"/>
          <w:szCs w:val="26"/>
        </w:rPr>
        <w:t xml:space="preserve"> its regulations to</w:t>
      </w:r>
      <w:r>
        <w:rPr>
          <w:rFonts w:ascii="Times New Roman" w:hAnsi="Times New Roman" w:cs="Times New Roman"/>
          <w:sz w:val="26"/>
          <w:szCs w:val="26"/>
        </w:rPr>
        <w:t>:</w:t>
      </w:r>
    </w:p>
    <w:p w:rsidR="00956191" w:rsidP="00957420" w14:paraId="163C050E" w14:textId="77777777">
      <w:pPr>
        <w:spacing w:after="0" w:line="276" w:lineRule="auto"/>
        <w:rPr>
          <w:rFonts w:ascii="Times New Roman" w:hAnsi="Times New Roman" w:cs="Times New Roman"/>
          <w:sz w:val="26"/>
          <w:szCs w:val="26"/>
        </w:rPr>
      </w:pPr>
    </w:p>
    <w:p w:rsidR="00CA17E0" w:rsidP="00956191" w14:paraId="43878D5A" w14:textId="6C74EC59">
      <w:pPr>
        <w:pStyle w:val="ListParagraph"/>
        <w:numPr>
          <w:ilvl w:val="0"/>
          <w:numId w:val="21"/>
        </w:numPr>
        <w:spacing w:after="0" w:line="276" w:lineRule="auto"/>
        <w:rPr>
          <w:rFonts w:ascii="Times New Roman" w:hAnsi="Times New Roman" w:cs="Times New Roman"/>
          <w:sz w:val="26"/>
          <w:szCs w:val="26"/>
        </w:rPr>
      </w:pPr>
      <w:r>
        <w:rPr>
          <w:rFonts w:ascii="Times New Roman" w:hAnsi="Times New Roman" w:cs="Times New Roman"/>
          <w:sz w:val="26"/>
          <w:szCs w:val="26"/>
        </w:rPr>
        <w:t>R</w:t>
      </w:r>
      <w:r w:rsidRPr="000751F8" w:rsidR="00957420">
        <w:rPr>
          <w:rFonts w:ascii="Times New Roman" w:hAnsi="Times New Roman" w:cs="Times New Roman"/>
          <w:sz w:val="26"/>
          <w:szCs w:val="26"/>
        </w:rPr>
        <w:t xml:space="preserve">equire each RTO/ISO to adopt tariff provisions that permit it to share market participants’ credit-related information with other RTOs/ISOs </w:t>
      </w:r>
      <w:r w:rsidRPr="00D74589" w:rsidR="00D74589">
        <w:rPr>
          <w:rFonts w:ascii="Times New Roman" w:hAnsi="Times New Roman" w:cs="Times New Roman"/>
          <w:sz w:val="26"/>
          <w:szCs w:val="26"/>
        </w:rPr>
        <w:t xml:space="preserve">for the purpose of credit risk management and </w:t>
      </w:r>
      <w:r w:rsidRPr="00D74589" w:rsidR="00D74589">
        <w:rPr>
          <w:rFonts w:ascii="Times New Roman" w:hAnsi="Times New Roman" w:cs="Times New Roman"/>
          <w:sz w:val="26"/>
          <w:szCs w:val="26"/>
        </w:rPr>
        <w:t>mitigation</w:t>
      </w:r>
      <w:r w:rsidR="00241F5E">
        <w:rPr>
          <w:rFonts w:ascii="Times New Roman" w:hAnsi="Times New Roman" w:cs="Times New Roman"/>
          <w:sz w:val="26"/>
          <w:szCs w:val="26"/>
        </w:rPr>
        <w:t>;</w:t>
      </w:r>
      <w:r w:rsidR="00241F5E">
        <w:rPr>
          <w:rFonts w:ascii="Times New Roman" w:hAnsi="Times New Roman" w:cs="Times New Roman"/>
          <w:sz w:val="26"/>
          <w:szCs w:val="26"/>
        </w:rPr>
        <w:t xml:space="preserve"> </w:t>
      </w:r>
    </w:p>
    <w:p w:rsidR="00241F5E" w:rsidP="00956191" w14:paraId="223C6BA8" w14:textId="7576BDAD">
      <w:pPr>
        <w:pStyle w:val="ListParagraph"/>
        <w:numPr>
          <w:ilvl w:val="0"/>
          <w:numId w:val="21"/>
        </w:num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Require </w:t>
      </w:r>
      <w:r w:rsidR="005841E4">
        <w:rPr>
          <w:rFonts w:ascii="Times New Roman" w:hAnsi="Times New Roman" w:cs="Times New Roman"/>
          <w:sz w:val="26"/>
          <w:szCs w:val="26"/>
        </w:rPr>
        <w:t xml:space="preserve">each RTO/ISO to adopt tariff provisions that allow it to use credit-related information </w:t>
      </w:r>
      <w:r w:rsidR="00492303">
        <w:rPr>
          <w:rFonts w:ascii="Times New Roman" w:hAnsi="Times New Roman" w:cs="Times New Roman"/>
          <w:sz w:val="26"/>
          <w:szCs w:val="26"/>
        </w:rPr>
        <w:t xml:space="preserve">received from another RTO/ISO to the same extent and for the same purposes </w:t>
      </w:r>
      <w:r w:rsidR="00575DF3">
        <w:rPr>
          <w:rFonts w:ascii="Times New Roman" w:hAnsi="Times New Roman" w:cs="Times New Roman"/>
          <w:sz w:val="26"/>
          <w:szCs w:val="26"/>
        </w:rPr>
        <w:t xml:space="preserve">that the </w:t>
      </w:r>
      <w:r w:rsidR="000233B3">
        <w:rPr>
          <w:rFonts w:ascii="Times New Roman" w:hAnsi="Times New Roman" w:cs="Times New Roman"/>
          <w:sz w:val="26"/>
          <w:szCs w:val="26"/>
        </w:rPr>
        <w:t>receiving RTO/ISO</w:t>
      </w:r>
      <w:r w:rsidR="00541622">
        <w:rPr>
          <w:rFonts w:ascii="Times New Roman" w:hAnsi="Times New Roman" w:cs="Times New Roman"/>
          <w:sz w:val="26"/>
          <w:szCs w:val="26"/>
        </w:rPr>
        <w:t xml:space="preserve"> may use credit-related information collected from its own market participants;</w:t>
      </w:r>
      <w:r w:rsidR="00575DF3">
        <w:rPr>
          <w:rFonts w:ascii="Times New Roman" w:hAnsi="Times New Roman" w:cs="Times New Roman"/>
          <w:sz w:val="26"/>
          <w:szCs w:val="26"/>
        </w:rPr>
        <w:t xml:space="preserve"> </w:t>
      </w:r>
      <w:r>
        <w:rPr>
          <w:rFonts w:ascii="Times New Roman" w:hAnsi="Times New Roman" w:cs="Times New Roman"/>
          <w:sz w:val="26"/>
          <w:szCs w:val="26"/>
        </w:rPr>
        <w:t>and</w:t>
      </w:r>
    </w:p>
    <w:p w:rsidR="00241F5E" w:rsidP="00956191" w14:paraId="379A07D3" w14:textId="3435643C">
      <w:pPr>
        <w:pStyle w:val="ListParagraph"/>
        <w:numPr>
          <w:ilvl w:val="0"/>
          <w:numId w:val="21"/>
        </w:num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Require each RTO/ISO to treat credit-related information received from another RTO/ISO </w:t>
      </w:r>
      <w:r w:rsidR="00384424">
        <w:rPr>
          <w:rFonts w:ascii="Times New Roman" w:hAnsi="Times New Roman" w:cs="Times New Roman"/>
          <w:sz w:val="26"/>
          <w:szCs w:val="26"/>
        </w:rPr>
        <w:t>as confidential under the terms set forth in the tariff of the receiving RTO/ISO</w:t>
      </w:r>
      <w:r w:rsidR="00E2726A">
        <w:rPr>
          <w:rFonts w:ascii="Times New Roman" w:hAnsi="Times New Roman" w:cs="Times New Roman"/>
          <w:sz w:val="26"/>
          <w:szCs w:val="26"/>
        </w:rPr>
        <w:t>.</w:t>
      </w:r>
    </w:p>
    <w:p w:rsidR="00957420" w:rsidRPr="000751F8" w:rsidP="00CE6265" w14:paraId="5E378E45" w14:textId="2A39D64B">
      <w:pPr>
        <w:spacing w:after="0" w:line="276" w:lineRule="auto"/>
        <w:rPr>
          <w:rFonts w:ascii="Times New Roman" w:hAnsi="Times New Roman" w:cs="Times New Roman"/>
          <w:sz w:val="26"/>
          <w:szCs w:val="26"/>
        </w:rPr>
      </w:pPr>
    </w:p>
    <w:p w:rsidR="002E3EC2" w:rsidP="00BE2088" w14:paraId="0E696BCA" w14:textId="426C3428">
      <w:pPr>
        <w:spacing w:after="0" w:line="276" w:lineRule="auto"/>
        <w:rPr>
          <w:rFonts w:ascii="Times New Roman" w:hAnsi="Times New Roman" w:cs="Times New Roman"/>
          <w:sz w:val="26"/>
          <w:szCs w:val="26"/>
        </w:rPr>
      </w:pPr>
      <w:r>
        <w:rPr>
          <w:rFonts w:ascii="Times New Roman" w:hAnsi="Times New Roman" w:cs="Times New Roman"/>
          <w:sz w:val="26"/>
          <w:szCs w:val="26"/>
        </w:rPr>
        <w:t>The information</w:t>
      </w:r>
      <w:r w:rsidR="006C0C5E">
        <w:rPr>
          <w:rFonts w:ascii="Times New Roman" w:hAnsi="Times New Roman" w:cs="Times New Roman"/>
          <w:sz w:val="26"/>
          <w:szCs w:val="26"/>
        </w:rPr>
        <w:t xml:space="preserve"> </w:t>
      </w:r>
      <w:r w:rsidR="00241F5E">
        <w:rPr>
          <w:rFonts w:ascii="Times New Roman" w:hAnsi="Times New Roman" w:cs="Times New Roman"/>
          <w:sz w:val="26"/>
          <w:szCs w:val="26"/>
        </w:rPr>
        <w:t xml:space="preserve">sharing </w:t>
      </w:r>
      <w:r w:rsidR="001424BD">
        <w:rPr>
          <w:rFonts w:ascii="Times New Roman" w:hAnsi="Times New Roman" w:cs="Times New Roman"/>
          <w:sz w:val="26"/>
          <w:szCs w:val="26"/>
        </w:rPr>
        <w:t>aspect of</w:t>
      </w:r>
      <w:r>
        <w:rPr>
          <w:rFonts w:ascii="Times New Roman" w:hAnsi="Times New Roman" w:cs="Times New Roman"/>
          <w:sz w:val="26"/>
          <w:szCs w:val="26"/>
        </w:rPr>
        <w:t xml:space="preserve"> FERC</w:t>
      </w:r>
      <w:r w:rsidR="00E15D58">
        <w:rPr>
          <w:rFonts w:ascii="Times New Roman" w:hAnsi="Times New Roman" w:cs="Times New Roman"/>
          <w:sz w:val="26"/>
          <w:szCs w:val="26"/>
        </w:rPr>
        <w:t>-</w:t>
      </w:r>
      <w:r>
        <w:rPr>
          <w:rFonts w:ascii="Times New Roman" w:hAnsi="Times New Roman" w:cs="Times New Roman"/>
          <w:sz w:val="26"/>
          <w:szCs w:val="26"/>
        </w:rPr>
        <w:t xml:space="preserve">1005 is intended to </w:t>
      </w:r>
      <w:r w:rsidR="00137E46">
        <w:rPr>
          <w:rFonts w:ascii="Times New Roman" w:hAnsi="Times New Roman" w:cs="Times New Roman"/>
          <w:sz w:val="26"/>
          <w:szCs w:val="26"/>
        </w:rPr>
        <w:t xml:space="preserve">apply to </w:t>
      </w:r>
      <w:r>
        <w:rPr>
          <w:rFonts w:ascii="Times New Roman" w:hAnsi="Times New Roman" w:cs="Times New Roman"/>
          <w:sz w:val="26"/>
          <w:szCs w:val="26"/>
        </w:rPr>
        <w:t xml:space="preserve">credit-related information including: </w:t>
      </w:r>
      <w:r w:rsidRPr="007E7CD9" w:rsidR="007E7CD9">
        <w:rPr>
          <w:rFonts w:ascii="Times New Roman" w:hAnsi="Times New Roman" w:cs="Times New Roman"/>
          <w:sz w:val="26"/>
          <w:szCs w:val="26"/>
        </w:rPr>
        <w:t xml:space="preserve"> </w:t>
      </w:r>
      <w:r w:rsidRPr="00FF4E61" w:rsidR="00FF4E61">
        <w:rPr>
          <w:rFonts w:ascii="Times New Roman" w:hAnsi="Times New Roman" w:cs="Times New Roman"/>
          <w:sz w:val="26"/>
          <w:szCs w:val="26"/>
        </w:rPr>
        <w:t xml:space="preserve">(1)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credit/collateral issues; (5) information indicating that a market participant or its affiliate has an increased risk of default, such as instances where a market participant or its affiliate has experienced a material adverse condition or material adverse change under an RTO/ISO </w:t>
      </w:r>
      <w:r w:rsidR="00C14E72">
        <w:rPr>
          <w:rFonts w:ascii="Times New Roman" w:hAnsi="Times New Roman" w:cs="Times New Roman"/>
          <w:sz w:val="26"/>
          <w:szCs w:val="26"/>
        </w:rPr>
        <w:t>open access</w:t>
      </w:r>
      <w:r w:rsidRPr="00FF4E61" w:rsidR="00FF4E61">
        <w:rPr>
          <w:rFonts w:ascii="Times New Roman" w:hAnsi="Times New Roman" w:cs="Times New Roman"/>
          <w:sz w:val="26"/>
          <w:szCs w:val="26"/>
        </w:rPr>
        <w:t xml:space="preserve"> </w:t>
      </w:r>
      <w:r w:rsidR="00C14E72">
        <w:rPr>
          <w:rFonts w:ascii="Times New Roman" w:hAnsi="Times New Roman" w:cs="Times New Roman"/>
          <w:sz w:val="26"/>
          <w:szCs w:val="26"/>
        </w:rPr>
        <w:t xml:space="preserve">transmission tariff (OATT) </w:t>
      </w:r>
      <w:r w:rsidRPr="00FF4E61" w:rsidR="00FF4E61">
        <w:rPr>
          <w:rFonts w:ascii="Times New Roman" w:hAnsi="Times New Roman" w:cs="Times New Roman"/>
          <w:sz w:val="26"/>
          <w:szCs w:val="26"/>
        </w:rPr>
        <w:t>or related agreement; and (6) any other information on a market participant or its affiliate that indicates a possible material adverse change in creditworthiness or financial status or an unreasonable credit risk.</w:t>
      </w:r>
    </w:p>
    <w:p w:rsidR="00FF4E61" w:rsidP="00BE2088" w14:paraId="7D282CBF" w14:textId="77777777">
      <w:pPr>
        <w:spacing w:after="0" w:line="276" w:lineRule="auto"/>
        <w:rPr>
          <w:rFonts w:ascii="Times New Roman" w:hAnsi="Times New Roman" w:cs="Times New Roman"/>
          <w:sz w:val="26"/>
          <w:szCs w:val="26"/>
        </w:rPr>
      </w:pPr>
    </w:p>
    <w:p w:rsidR="002E3EC2" w:rsidP="00BE2088" w14:paraId="42D10ACB" w14:textId="4F1E1F0B">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purpose of </w:t>
      </w:r>
      <w:r w:rsidR="00715520">
        <w:rPr>
          <w:rFonts w:ascii="Times New Roman" w:hAnsi="Times New Roman" w:cs="Times New Roman"/>
          <w:sz w:val="26"/>
          <w:szCs w:val="26"/>
        </w:rPr>
        <w:t xml:space="preserve">this information </w:t>
      </w:r>
      <w:r>
        <w:rPr>
          <w:rFonts w:ascii="Times New Roman" w:hAnsi="Times New Roman" w:cs="Times New Roman"/>
          <w:sz w:val="26"/>
          <w:szCs w:val="26"/>
        </w:rPr>
        <w:t>collect</w:t>
      </w:r>
      <w:r w:rsidR="00715520">
        <w:rPr>
          <w:rFonts w:ascii="Times New Roman" w:hAnsi="Times New Roman" w:cs="Times New Roman"/>
          <w:sz w:val="26"/>
          <w:szCs w:val="26"/>
        </w:rPr>
        <w:t xml:space="preserve">ion </w:t>
      </w:r>
      <w:r>
        <w:rPr>
          <w:rFonts w:ascii="Times New Roman" w:hAnsi="Times New Roman" w:cs="Times New Roman"/>
          <w:sz w:val="26"/>
          <w:szCs w:val="26"/>
        </w:rPr>
        <w:t xml:space="preserve">is to reduce the risk of credit failures and liquidity challenges in </w:t>
      </w:r>
      <w:r w:rsidR="004422BA">
        <w:rPr>
          <w:rFonts w:ascii="Times New Roman" w:hAnsi="Times New Roman" w:cs="Times New Roman"/>
          <w:sz w:val="26"/>
          <w:szCs w:val="26"/>
        </w:rPr>
        <w:t xml:space="preserve">organized </w:t>
      </w:r>
      <w:r>
        <w:rPr>
          <w:rFonts w:ascii="Times New Roman" w:hAnsi="Times New Roman" w:cs="Times New Roman"/>
          <w:sz w:val="26"/>
          <w:szCs w:val="26"/>
        </w:rPr>
        <w:t xml:space="preserve">wholesale electric markets, </w:t>
      </w:r>
      <w:r>
        <w:rPr>
          <w:rFonts w:ascii="Times New Roman" w:hAnsi="Times New Roman" w:cs="Times New Roman"/>
          <w:sz w:val="26"/>
          <w:szCs w:val="26"/>
        </w:rPr>
        <w:t>in particular for</w:t>
      </w:r>
      <w:r>
        <w:rPr>
          <w:rFonts w:ascii="Times New Roman" w:hAnsi="Times New Roman" w:cs="Times New Roman"/>
          <w:sz w:val="26"/>
          <w:szCs w:val="26"/>
        </w:rPr>
        <w:t xml:space="preserve"> entities operating in multiple </w:t>
      </w:r>
      <w:r w:rsidR="006A6230">
        <w:rPr>
          <w:rFonts w:ascii="Times New Roman" w:hAnsi="Times New Roman" w:cs="Times New Roman"/>
          <w:sz w:val="26"/>
          <w:szCs w:val="26"/>
        </w:rPr>
        <w:t>such</w:t>
      </w:r>
      <w:r>
        <w:rPr>
          <w:rFonts w:ascii="Times New Roman" w:hAnsi="Times New Roman" w:cs="Times New Roman"/>
          <w:sz w:val="26"/>
          <w:szCs w:val="26"/>
        </w:rPr>
        <w:t xml:space="preserve"> markets. </w:t>
      </w:r>
      <w:r w:rsidR="008F62E3">
        <w:rPr>
          <w:rFonts w:ascii="Times New Roman" w:hAnsi="Times New Roman" w:cs="Times New Roman"/>
          <w:sz w:val="26"/>
          <w:szCs w:val="26"/>
        </w:rPr>
        <w:t xml:space="preserve"> </w:t>
      </w:r>
      <w:r w:rsidR="00D22F36">
        <w:rPr>
          <w:rFonts w:ascii="Times New Roman" w:hAnsi="Times New Roman" w:cs="Times New Roman"/>
          <w:sz w:val="26"/>
          <w:szCs w:val="26"/>
        </w:rPr>
        <w:t>The information collection</w:t>
      </w:r>
      <w:r w:rsidRPr="00D22F36" w:rsidR="00D22F36">
        <w:rPr>
          <w:rFonts w:ascii="Times New Roman" w:hAnsi="Times New Roman" w:cs="Times New Roman"/>
          <w:sz w:val="26"/>
          <w:szCs w:val="26"/>
        </w:rPr>
        <w:t xml:space="preserve"> would allow RTOs/ISOs to gain additional visibility into their market participants’ financial condition and to administer organized wholesale electric markets more effectively both as part of ongoing “business-as-usual” credit risk management practices and during market or credit events</w:t>
      </w:r>
      <w:r w:rsidR="00D22F36">
        <w:rPr>
          <w:rFonts w:ascii="Times New Roman" w:hAnsi="Times New Roman" w:cs="Times New Roman"/>
          <w:sz w:val="26"/>
          <w:szCs w:val="26"/>
        </w:rPr>
        <w:t>.</w:t>
      </w:r>
    </w:p>
    <w:p w:rsidR="002E3EC2" w:rsidP="00BE2088" w14:paraId="31581072" w14:textId="16026AED">
      <w:pPr>
        <w:spacing w:after="0" w:line="276" w:lineRule="auto"/>
        <w:rPr>
          <w:rFonts w:ascii="Times New Roman" w:hAnsi="Times New Roman" w:cs="Times New Roman"/>
          <w:sz w:val="26"/>
          <w:szCs w:val="26"/>
        </w:rPr>
      </w:pPr>
    </w:p>
    <w:p w:rsidR="008A2949" w:rsidP="00BE2088" w14:paraId="75CCB3F3" w14:textId="3A7BC00C">
      <w:pPr>
        <w:spacing w:after="0" w:line="276" w:lineRule="auto"/>
        <w:rPr>
          <w:rFonts w:ascii="Times New Roman" w:hAnsi="Times New Roman" w:cs="Times New Roman"/>
          <w:sz w:val="26"/>
          <w:szCs w:val="26"/>
        </w:rPr>
      </w:pPr>
      <w:r>
        <w:rPr>
          <w:rFonts w:ascii="Times New Roman" w:hAnsi="Times New Roman" w:cs="Times New Roman"/>
          <w:sz w:val="26"/>
          <w:szCs w:val="26"/>
        </w:rPr>
        <w:t>In this information collection, the</w:t>
      </w:r>
      <w:r w:rsidR="00715520">
        <w:rPr>
          <w:rFonts w:ascii="Times New Roman" w:hAnsi="Times New Roman" w:cs="Times New Roman"/>
          <w:sz w:val="26"/>
          <w:szCs w:val="26"/>
        </w:rPr>
        <w:t xml:space="preserve"> Commis</w:t>
      </w:r>
      <w:r w:rsidR="00A4138D">
        <w:rPr>
          <w:rFonts w:ascii="Times New Roman" w:hAnsi="Times New Roman" w:cs="Times New Roman"/>
          <w:sz w:val="26"/>
          <w:szCs w:val="26"/>
        </w:rPr>
        <w:t>si</w:t>
      </w:r>
      <w:r w:rsidR="00715520">
        <w:rPr>
          <w:rFonts w:ascii="Times New Roman" w:hAnsi="Times New Roman" w:cs="Times New Roman"/>
          <w:sz w:val="26"/>
          <w:szCs w:val="26"/>
        </w:rPr>
        <w:t>on is not collecting</w:t>
      </w:r>
      <w:r>
        <w:rPr>
          <w:rFonts w:ascii="Times New Roman" w:hAnsi="Times New Roman" w:cs="Times New Roman"/>
          <w:sz w:val="26"/>
          <w:szCs w:val="26"/>
        </w:rPr>
        <w:t xml:space="preserve"> credit</w:t>
      </w:r>
      <w:r w:rsidR="001B3044">
        <w:rPr>
          <w:rFonts w:ascii="Times New Roman" w:hAnsi="Times New Roman" w:cs="Times New Roman"/>
          <w:sz w:val="26"/>
          <w:szCs w:val="26"/>
        </w:rPr>
        <w:t>-</w:t>
      </w:r>
      <w:r>
        <w:rPr>
          <w:rFonts w:ascii="Times New Roman" w:hAnsi="Times New Roman" w:cs="Times New Roman"/>
          <w:sz w:val="26"/>
          <w:szCs w:val="26"/>
        </w:rPr>
        <w:t>related information itself</w:t>
      </w:r>
      <w:r w:rsidR="00351B15">
        <w:rPr>
          <w:rFonts w:ascii="Times New Roman" w:hAnsi="Times New Roman" w:cs="Times New Roman"/>
          <w:sz w:val="26"/>
          <w:szCs w:val="26"/>
        </w:rPr>
        <w:t>;</w:t>
      </w:r>
      <w:r>
        <w:rPr>
          <w:rFonts w:ascii="Times New Roman" w:hAnsi="Times New Roman" w:cs="Times New Roman"/>
          <w:sz w:val="26"/>
          <w:szCs w:val="26"/>
        </w:rPr>
        <w:t xml:space="preserve"> </w:t>
      </w:r>
      <w:r w:rsidR="00351B15">
        <w:rPr>
          <w:rFonts w:ascii="Times New Roman" w:hAnsi="Times New Roman" w:cs="Times New Roman"/>
          <w:sz w:val="26"/>
          <w:szCs w:val="26"/>
        </w:rPr>
        <w:t>instead,</w:t>
      </w:r>
      <w:r>
        <w:rPr>
          <w:rFonts w:ascii="Times New Roman" w:hAnsi="Times New Roman" w:cs="Times New Roman"/>
          <w:sz w:val="26"/>
          <w:szCs w:val="26"/>
        </w:rPr>
        <w:t xml:space="preserve"> it is prescribing </w:t>
      </w:r>
      <w:r w:rsidR="00BF0D6F">
        <w:rPr>
          <w:rFonts w:ascii="Times New Roman" w:hAnsi="Times New Roman" w:cs="Times New Roman"/>
          <w:sz w:val="26"/>
          <w:szCs w:val="26"/>
        </w:rPr>
        <w:t>that RTOs/ISOs shall be able to share credit</w:t>
      </w:r>
      <w:r w:rsidR="003627E7">
        <w:rPr>
          <w:rFonts w:ascii="Times New Roman" w:hAnsi="Times New Roman" w:cs="Times New Roman"/>
          <w:sz w:val="26"/>
          <w:szCs w:val="26"/>
        </w:rPr>
        <w:t>-</w:t>
      </w:r>
      <w:r w:rsidR="00BF0D6F">
        <w:rPr>
          <w:rFonts w:ascii="Times New Roman" w:hAnsi="Times New Roman" w:cs="Times New Roman"/>
          <w:sz w:val="26"/>
          <w:szCs w:val="26"/>
        </w:rPr>
        <w:t xml:space="preserve">related information with each other. </w:t>
      </w:r>
      <w:r w:rsidR="00715520">
        <w:rPr>
          <w:rFonts w:ascii="Times New Roman" w:hAnsi="Times New Roman" w:cs="Times New Roman"/>
          <w:sz w:val="26"/>
          <w:szCs w:val="26"/>
        </w:rPr>
        <w:t xml:space="preserve"> </w:t>
      </w:r>
      <w:r w:rsidRPr="00ED5BD1" w:rsidR="00ED5BD1">
        <w:rPr>
          <w:rFonts w:ascii="Times New Roman" w:hAnsi="Times New Roman" w:cs="Times New Roman"/>
          <w:sz w:val="26"/>
          <w:szCs w:val="26"/>
        </w:rPr>
        <w:t>Without this information sharing, an RTO</w:t>
      </w:r>
      <w:r w:rsidR="0064214F">
        <w:rPr>
          <w:rFonts w:ascii="Times New Roman" w:hAnsi="Times New Roman" w:cs="Times New Roman"/>
          <w:sz w:val="26"/>
          <w:szCs w:val="26"/>
        </w:rPr>
        <w:t>’s</w:t>
      </w:r>
      <w:r w:rsidRPr="00ED5BD1" w:rsidR="00ED5BD1">
        <w:rPr>
          <w:rFonts w:ascii="Times New Roman" w:hAnsi="Times New Roman" w:cs="Times New Roman"/>
          <w:sz w:val="26"/>
          <w:szCs w:val="26"/>
        </w:rPr>
        <w:t>/ISO’s ability to evaluate a market participant’s creditworthiness and respond to credit events may be restricted.  An RTOs</w:t>
      </w:r>
      <w:r w:rsidR="00AB2D50">
        <w:rPr>
          <w:rFonts w:ascii="Times New Roman" w:hAnsi="Times New Roman" w:cs="Times New Roman"/>
          <w:sz w:val="26"/>
          <w:szCs w:val="26"/>
        </w:rPr>
        <w:t>’</w:t>
      </w:r>
      <w:r w:rsidRPr="00ED5BD1" w:rsidR="00ED5BD1">
        <w:rPr>
          <w:rFonts w:ascii="Times New Roman" w:hAnsi="Times New Roman" w:cs="Times New Roman"/>
          <w:sz w:val="26"/>
          <w:szCs w:val="26"/>
        </w:rPr>
        <w:t>/ISO</w:t>
      </w:r>
      <w:r w:rsidR="00AB2D50">
        <w:rPr>
          <w:rFonts w:ascii="Times New Roman" w:hAnsi="Times New Roman" w:cs="Times New Roman"/>
          <w:sz w:val="26"/>
          <w:szCs w:val="26"/>
        </w:rPr>
        <w:t>’</w:t>
      </w:r>
      <w:r w:rsidRPr="00ED5BD1" w:rsidR="00ED5BD1">
        <w:rPr>
          <w:rFonts w:ascii="Times New Roman" w:hAnsi="Times New Roman" w:cs="Times New Roman"/>
          <w:sz w:val="26"/>
          <w:szCs w:val="26"/>
        </w:rPr>
        <w:t xml:space="preserve">s ability to prevent or mitigate default by market participants may </w:t>
      </w:r>
      <w:r w:rsidR="00ED5BD1">
        <w:rPr>
          <w:rFonts w:ascii="Times New Roman" w:hAnsi="Times New Roman" w:cs="Times New Roman"/>
          <w:sz w:val="26"/>
          <w:szCs w:val="26"/>
        </w:rPr>
        <w:t xml:space="preserve">also </w:t>
      </w:r>
      <w:r w:rsidRPr="00ED5BD1" w:rsidR="00ED5BD1">
        <w:rPr>
          <w:rFonts w:ascii="Times New Roman" w:hAnsi="Times New Roman" w:cs="Times New Roman"/>
          <w:sz w:val="26"/>
          <w:szCs w:val="26"/>
        </w:rPr>
        <w:t xml:space="preserve">be limited by an inability to receive credit-related information from other </w:t>
      </w:r>
      <w:r w:rsidR="0068695B">
        <w:rPr>
          <w:rFonts w:ascii="Times New Roman" w:hAnsi="Times New Roman" w:cs="Times New Roman"/>
          <w:sz w:val="26"/>
          <w:szCs w:val="26"/>
        </w:rPr>
        <w:t xml:space="preserve">organized wholesale electric </w:t>
      </w:r>
      <w:r w:rsidRPr="00ED5BD1" w:rsidR="00ED5BD1">
        <w:rPr>
          <w:rFonts w:ascii="Times New Roman" w:hAnsi="Times New Roman" w:cs="Times New Roman"/>
          <w:sz w:val="26"/>
          <w:szCs w:val="26"/>
        </w:rPr>
        <w:t>markets</w:t>
      </w:r>
      <w:r w:rsidR="00ED5BD1">
        <w:rPr>
          <w:rFonts w:ascii="Times New Roman" w:hAnsi="Times New Roman" w:cs="Times New Roman"/>
          <w:sz w:val="26"/>
          <w:szCs w:val="26"/>
        </w:rPr>
        <w:t>.</w:t>
      </w:r>
      <w:r w:rsidRPr="00ED5BD1" w:rsidR="00ED5BD1">
        <w:rPr>
          <w:rFonts w:ascii="Times New Roman" w:hAnsi="Times New Roman" w:cs="Times New Roman"/>
          <w:sz w:val="26"/>
          <w:szCs w:val="26"/>
        </w:rPr>
        <w:t xml:space="preserve"> </w:t>
      </w:r>
      <w:r w:rsidR="00ED5BD1">
        <w:rPr>
          <w:rFonts w:ascii="Times New Roman" w:hAnsi="Times New Roman" w:cs="Times New Roman"/>
          <w:sz w:val="26"/>
          <w:szCs w:val="26"/>
        </w:rPr>
        <w:t xml:space="preserve"> </w:t>
      </w:r>
      <w:r w:rsidRPr="00ED5BD1" w:rsidR="00ED5BD1">
        <w:rPr>
          <w:rFonts w:ascii="Times New Roman" w:hAnsi="Times New Roman" w:cs="Times New Roman"/>
          <w:sz w:val="26"/>
          <w:szCs w:val="26"/>
        </w:rPr>
        <w:t xml:space="preserve">Because the costs of such defaults are typically borne by non-defaulting </w:t>
      </w:r>
      <w:r w:rsidR="00B80284">
        <w:rPr>
          <w:rFonts w:ascii="Times New Roman" w:hAnsi="Times New Roman" w:cs="Times New Roman"/>
          <w:sz w:val="26"/>
          <w:szCs w:val="26"/>
        </w:rPr>
        <w:t>mark</w:t>
      </w:r>
      <w:r w:rsidR="001B3044">
        <w:rPr>
          <w:rFonts w:ascii="Times New Roman" w:hAnsi="Times New Roman" w:cs="Times New Roman"/>
          <w:sz w:val="26"/>
          <w:szCs w:val="26"/>
        </w:rPr>
        <w:t>e</w:t>
      </w:r>
      <w:r w:rsidR="00B80284">
        <w:rPr>
          <w:rFonts w:ascii="Times New Roman" w:hAnsi="Times New Roman" w:cs="Times New Roman"/>
          <w:sz w:val="26"/>
          <w:szCs w:val="26"/>
        </w:rPr>
        <w:t>t participants</w:t>
      </w:r>
      <w:r w:rsidRPr="00ED5BD1" w:rsidR="00ED5BD1">
        <w:rPr>
          <w:rFonts w:ascii="Times New Roman" w:hAnsi="Times New Roman" w:cs="Times New Roman"/>
          <w:sz w:val="26"/>
          <w:szCs w:val="26"/>
        </w:rPr>
        <w:t>, an RTO</w:t>
      </w:r>
      <w:r w:rsidR="0064214F">
        <w:rPr>
          <w:rFonts w:ascii="Times New Roman" w:hAnsi="Times New Roman" w:cs="Times New Roman"/>
          <w:sz w:val="26"/>
          <w:szCs w:val="26"/>
        </w:rPr>
        <w:t>’s</w:t>
      </w:r>
      <w:r w:rsidRPr="00ED5BD1" w:rsidR="00ED5BD1">
        <w:rPr>
          <w:rFonts w:ascii="Times New Roman" w:hAnsi="Times New Roman" w:cs="Times New Roman"/>
          <w:sz w:val="26"/>
          <w:szCs w:val="26"/>
        </w:rPr>
        <w:t>/ISO’s lack of access to credit-related information could lead to unjust and unreasonable rates for its market participants.</w:t>
      </w:r>
    </w:p>
    <w:p w:rsidR="006E56CA" w:rsidP="00BE2088" w14:paraId="5FC9E3EF" w14:textId="4C0AD83C">
      <w:pPr>
        <w:spacing w:after="0" w:line="276" w:lineRule="auto"/>
        <w:rPr>
          <w:rFonts w:ascii="Times New Roman" w:hAnsi="Times New Roman" w:cs="Times New Roman"/>
          <w:sz w:val="26"/>
          <w:szCs w:val="26"/>
        </w:rPr>
      </w:pPr>
    </w:p>
    <w:p w:rsidR="006E56CA" w:rsidP="00BE2088" w14:paraId="57164811" w14:textId="1EAC867C">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information collection </w:t>
      </w:r>
      <w:r w:rsidR="00A171BD">
        <w:rPr>
          <w:rFonts w:ascii="Times New Roman" w:hAnsi="Times New Roman" w:cs="Times New Roman"/>
          <w:sz w:val="26"/>
          <w:szCs w:val="26"/>
        </w:rPr>
        <w:t xml:space="preserve">from the compliance filing is necessary to ensure </w:t>
      </w:r>
      <w:r w:rsidR="00823DFB">
        <w:rPr>
          <w:rFonts w:ascii="Times New Roman" w:hAnsi="Times New Roman" w:cs="Times New Roman"/>
          <w:sz w:val="26"/>
          <w:szCs w:val="26"/>
        </w:rPr>
        <w:t xml:space="preserve">that RTO’s/ISO’s tariffs comply with </w:t>
      </w:r>
      <w:r w:rsidR="00A171BD">
        <w:rPr>
          <w:rFonts w:ascii="Times New Roman" w:hAnsi="Times New Roman" w:cs="Times New Roman"/>
          <w:sz w:val="26"/>
          <w:szCs w:val="26"/>
        </w:rPr>
        <w:t xml:space="preserve">the </w:t>
      </w:r>
      <w:r w:rsidR="00823DFB">
        <w:rPr>
          <w:rFonts w:ascii="Times New Roman" w:hAnsi="Times New Roman" w:cs="Times New Roman"/>
          <w:sz w:val="26"/>
          <w:szCs w:val="26"/>
        </w:rPr>
        <w:t xml:space="preserve">revised regulations and the </w:t>
      </w:r>
      <w:r w:rsidR="00A171BD">
        <w:rPr>
          <w:rFonts w:ascii="Times New Roman" w:hAnsi="Times New Roman" w:cs="Times New Roman"/>
          <w:sz w:val="26"/>
          <w:szCs w:val="26"/>
        </w:rPr>
        <w:t xml:space="preserve">final rule. </w:t>
      </w:r>
    </w:p>
    <w:p w:rsidR="002E3EC2" w:rsidRPr="00BE2088" w:rsidP="00BE2088" w14:paraId="17CB2935" w14:textId="77777777">
      <w:pPr>
        <w:spacing w:after="0" w:line="276" w:lineRule="auto"/>
        <w:rPr>
          <w:rFonts w:ascii="Times New Roman" w:hAnsi="Times New Roman" w:cs="Times New Roman"/>
          <w:sz w:val="26"/>
          <w:szCs w:val="26"/>
        </w:rPr>
      </w:pPr>
    </w:p>
    <w:p w:rsidR="00EE07DD" w:rsidRPr="001A153B" w:rsidP="005E5E49" w14:paraId="14F73053" w14:textId="0F61734B">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rsidR="004232B1" w:rsidP="005E5E49" w14:paraId="6A059187" w14:textId="5CCDCDD8">
      <w:pPr>
        <w:spacing w:after="0" w:line="276" w:lineRule="auto"/>
        <w:rPr>
          <w:rFonts w:ascii="Times New Roman" w:hAnsi="Times New Roman" w:cs="Times New Roman"/>
          <w:sz w:val="26"/>
          <w:szCs w:val="26"/>
        </w:rPr>
      </w:pPr>
    </w:p>
    <w:p w:rsidR="0000406C" w:rsidP="005E5E49" w14:paraId="5E5EBCFF" w14:textId="7396C0BF">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With this collection, the </w:t>
      </w:r>
      <w:r w:rsidR="00137E46">
        <w:rPr>
          <w:rFonts w:ascii="Times New Roman" w:hAnsi="Times New Roman" w:cs="Times New Roman"/>
          <w:sz w:val="26"/>
          <w:szCs w:val="26"/>
        </w:rPr>
        <w:t>Commission</w:t>
      </w:r>
      <w:r>
        <w:rPr>
          <w:rFonts w:ascii="Times New Roman" w:hAnsi="Times New Roman" w:cs="Times New Roman"/>
          <w:sz w:val="26"/>
          <w:szCs w:val="26"/>
        </w:rPr>
        <w:t xml:space="preserve"> would not receive credit-related information </w:t>
      </w:r>
      <w:r w:rsidR="0074051B">
        <w:rPr>
          <w:rFonts w:ascii="Times New Roman" w:hAnsi="Times New Roman" w:cs="Times New Roman"/>
          <w:sz w:val="26"/>
          <w:szCs w:val="26"/>
        </w:rPr>
        <w:t>because</w:t>
      </w:r>
      <w:r>
        <w:rPr>
          <w:rFonts w:ascii="Times New Roman" w:hAnsi="Times New Roman" w:cs="Times New Roman"/>
          <w:sz w:val="26"/>
          <w:szCs w:val="26"/>
        </w:rPr>
        <w:t xml:space="preserve"> the proposed rule is requiring RTOs/ISOs to</w:t>
      </w:r>
      <w:r w:rsidR="001C6EF8">
        <w:rPr>
          <w:rFonts w:ascii="Times New Roman" w:hAnsi="Times New Roman" w:cs="Times New Roman"/>
          <w:sz w:val="26"/>
          <w:szCs w:val="26"/>
        </w:rPr>
        <w:t xml:space="preserve"> modify their tariff provisions to</w:t>
      </w:r>
      <w:r>
        <w:rPr>
          <w:rFonts w:ascii="Times New Roman" w:hAnsi="Times New Roman" w:cs="Times New Roman"/>
          <w:sz w:val="26"/>
          <w:szCs w:val="26"/>
        </w:rPr>
        <w:t xml:space="preserve"> share </w:t>
      </w:r>
      <w:r w:rsidR="007A6AFD">
        <w:rPr>
          <w:rFonts w:ascii="Times New Roman" w:hAnsi="Times New Roman" w:cs="Times New Roman"/>
          <w:sz w:val="26"/>
          <w:szCs w:val="26"/>
        </w:rPr>
        <w:t xml:space="preserve">such information </w:t>
      </w:r>
      <w:r>
        <w:rPr>
          <w:rFonts w:ascii="Times New Roman" w:hAnsi="Times New Roman" w:cs="Times New Roman"/>
          <w:sz w:val="26"/>
          <w:szCs w:val="26"/>
        </w:rPr>
        <w:t xml:space="preserve">with each other, not </w:t>
      </w:r>
      <w:r w:rsidR="00B80284">
        <w:rPr>
          <w:rFonts w:ascii="Times New Roman" w:hAnsi="Times New Roman" w:cs="Times New Roman"/>
          <w:sz w:val="26"/>
          <w:szCs w:val="26"/>
        </w:rPr>
        <w:t xml:space="preserve">with </w:t>
      </w:r>
      <w:r>
        <w:rPr>
          <w:rFonts w:ascii="Times New Roman" w:hAnsi="Times New Roman" w:cs="Times New Roman"/>
          <w:sz w:val="26"/>
          <w:szCs w:val="26"/>
        </w:rPr>
        <w:t xml:space="preserve">the Commission. </w:t>
      </w:r>
      <w:r w:rsidR="00BD2896">
        <w:rPr>
          <w:rFonts w:ascii="Times New Roman" w:hAnsi="Times New Roman" w:cs="Times New Roman"/>
          <w:sz w:val="26"/>
          <w:szCs w:val="26"/>
        </w:rPr>
        <w:t xml:space="preserve"> </w:t>
      </w:r>
      <w:r>
        <w:rPr>
          <w:rFonts w:ascii="Times New Roman" w:hAnsi="Times New Roman" w:cs="Times New Roman"/>
          <w:sz w:val="26"/>
          <w:szCs w:val="26"/>
        </w:rPr>
        <w:t>However, the Commission supports the use of electronic transfer of the information and supports electronic submissions for the compliance filing</w:t>
      </w:r>
      <w:r w:rsidR="00E65AD8">
        <w:rPr>
          <w:rFonts w:ascii="Times New Roman" w:hAnsi="Times New Roman" w:cs="Times New Roman"/>
          <w:sz w:val="26"/>
          <w:szCs w:val="26"/>
        </w:rPr>
        <w:t xml:space="preserve"> through FERC Online </w:t>
      </w:r>
      <w:r w:rsidR="00E65AD8">
        <w:rPr>
          <w:rFonts w:ascii="Times New Roman" w:hAnsi="Times New Roman" w:cs="Times New Roman"/>
          <w:sz w:val="26"/>
          <w:szCs w:val="26"/>
        </w:rPr>
        <w:t>eFiling</w:t>
      </w:r>
      <w:r w:rsidR="00E65AD8">
        <w:rPr>
          <w:rFonts w:ascii="Times New Roman" w:hAnsi="Times New Roman" w:cs="Times New Roman"/>
          <w:sz w:val="26"/>
          <w:szCs w:val="26"/>
        </w:rPr>
        <w:t>.</w:t>
      </w:r>
    </w:p>
    <w:p w:rsidR="004232B1" w:rsidP="005E5E49" w14:paraId="6C9EBE58" w14:textId="77777777">
      <w:pPr>
        <w:spacing w:after="0" w:line="276" w:lineRule="auto"/>
        <w:rPr>
          <w:rFonts w:ascii="Times New Roman" w:hAnsi="Times New Roman" w:cs="Times New Roman"/>
          <w:b/>
          <w:sz w:val="26"/>
          <w:szCs w:val="26"/>
        </w:rPr>
      </w:pPr>
    </w:p>
    <w:p w:rsidR="00EE07DD" w:rsidRPr="001A153B" w:rsidP="005E5E49" w14:paraId="20F92025" w14:textId="5637503A">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 xml:space="preserve">DESCRIBE EFFORTS TO IDENTIFY DUPLICATION AND SHOW SPECIFICALLY WHY ANY SIMILAR INFORMATION ALREADY AVAILABLE CANNOT BE USED OR MODIFIED FOR USE FOR THE PURPOSE(S) DESCRIBED IN </w:t>
      </w:r>
      <w:r w:rsidRPr="00A776BD">
        <w:rPr>
          <w:rFonts w:ascii="Times New Roman" w:hAnsi="Times New Roman" w:cs="Times New Roman"/>
          <w:b/>
          <w:sz w:val="26"/>
          <w:szCs w:val="26"/>
        </w:rPr>
        <w:t xml:space="preserve">INSTRUCTION </w:t>
      </w:r>
      <w:r w:rsidRPr="00A776BD" w:rsidR="00D02A53">
        <w:rPr>
          <w:rFonts w:ascii="Times New Roman" w:hAnsi="Times New Roman" w:cs="Times New Roman"/>
          <w:b/>
          <w:sz w:val="26"/>
          <w:szCs w:val="26"/>
        </w:rPr>
        <w:t>SECTION</w:t>
      </w:r>
      <w:r w:rsidRPr="00E66F43" w:rsidR="00D02A53">
        <w:rPr>
          <w:rFonts w:ascii="Times New Roman" w:hAnsi="Times New Roman" w:cs="Times New Roman"/>
          <w:b/>
          <w:sz w:val="26"/>
          <w:szCs w:val="26"/>
        </w:rPr>
        <w:t xml:space="preserve"> </w:t>
      </w:r>
      <w:r w:rsidRPr="00E66F43">
        <w:rPr>
          <w:rFonts w:ascii="Times New Roman" w:hAnsi="Times New Roman" w:cs="Times New Roman"/>
          <w:b/>
          <w:sz w:val="26"/>
          <w:szCs w:val="26"/>
        </w:rPr>
        <w:t>N</w:t>
      </w:r>
      <w:r w:rsidRPr="001A153B">
        <w:rPr>
          <w:rFonts w:ascii="Times New Roman" w:hAnsi="Times New Roman" w:cs="Times New Roman"/>
          <w:b/>
          <w:sz w:val="26"/>
          <w:szCs w:val="26"/>
        </w:rPr>
        <w:t>O. 2</w:t>
      </w:r>
    </w:p>
    <w:p w:rsidR="00EE07DD" w:rsidP="005E5E49" w14:paraId="0843F8BE" w14:textId="2E2F6C80">
      <w:pPr>
        <w:spacing w:after="0" w:line="276" w:lineRule="auto"/>
        <w:rPr>
          <w:rFonts w:ascii="Times New Roman" w:hAnsi="Times New Roman" w:cs="Times New Roman"/>
          <w:sz w:val="26"/>
          <w:szCs w:val="26"/>
        </w:rPr>
      </w:pPr>
    </w:p>
    <w:p w:rsidR="00E82E27" w:rsidP="005E5E49" w14:paraId="6C6228C3" w14:textId="138AF4EA">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Credit-related information is generally regarded as </w:t>
      </w:r>
      <w:r w:rsidR="000F0896">
        <w:rPr>
          <w:rFonts w:ascii="Times New Roman" w:hAnsi="Times New Roman" w:cs="Times New Roman"/>
          <w:sz w:val="26"/>
          <w:szCs w:val="26"/>
        </w:rPr>
        <w:t>confidential</w:t>
      </w:r>
      <w:r>
        <w:rPr>
          <w:rFonts w:ascii="Times New Roman" w:hAnsi="Times New Roman" w:cs="Times New Roman"/>
          <w:sz w:val="26"/>
          <w:szCs w:val="26"/>
        </w:rPr>
        <w:t xml:space="preserve"> information and it</w:t>
      </w:r>
      <w:r w:rsidR="00E12256">
        <w:rPr>
          <w:rFonts w:ascii="Times New Roman" w:hAnsi="Times New Roman" w:cs="Times New Roman"/>
          <w:sz w:val="26"/>
          <w:szCs w:val="26"/>
        </w:rPr>
        <w:t xml:space="preserve"> is</w:t>
      </w:r>
      <w:r>
        <w:rPr>
          <w:rFonts w:ascii="Times New Roman" w:hAnsi="Times New Roman" w:cs="Times New Roman"/>
          <w:sz w:val="26"/>
          <w:szCs w:val="26"/>
        </w:rPr>
        <w:t xml:space="preserve"> not collected by the Commission.  The</w:t>
      </w:r>
      <w:r w:rsidR="00A171BD">
        <w:rPr>
          <w:rFonts w:ascii="Times New Roman" w:hAnsi="Times New Roman" w:cs="Times New Roman"/>
          <w:sz w:val="26"/>
          <w:szCs w:val="26"/>
        </w:rPr>
        <w:t xml:space="preserve"> Final Rule</w:t>
      </w:r>
      <w:r>
        <w:rPr>
          <w:rFonts w:ascii="Times New Roman" w:hAnsi="Times New Roman" w:cs="Times New Roman"/>
          <w:sz w:val="26"/>
          <w:szCs w:val="26"/>
        </w:rPr>
        <w:t xml:space="preserve"> </w:t>
      </w:r>
      <w:r w:rsidR="00544A03">
        <w:rPr>
          <w:rFonts w:ascii="Times New Roman" w:hAnsi="Times New Roman" w:cs="Times New Roman"/>
          <w:sz w:val="26"/>
          <w:szCs w:val="26"/>
        </w:rPr>
        <w:t xml:space="preserve">in Docket No. </w:t>
      </w:r>
      <w:r>
        <w:rPr>
          <w:rFonts w:ascii="Times New Roman" w:hAnsi="Times New Roman" w:cs="Times New Roman"/>
          <w:sz w:val="26"/>
          <w:szCs w:val="26"/>
        </w:rPr>
        <w:t xml:space="preserve">RM22-13-000 </w:t>
      </w:r>
      <w:r w:rsidR="003E4D3F">
        <w:rPr>
          <w:rFonts w:ascii="Times New Roman" w:hAnsi="Times New Roman" w:cs="Times New Roman"/>
          <w:sz w:val="26"/>
          <w:szCs w:val="26"/>
        </w:rPr>
        <w:t>requires</w:t>
      </w:r>
      <w:r w:rsidR="00B0406B">
        <w:rPr>
          <w:rFonts w:ascii="Times New Roman" w:hAnsi="Times New Roman" w:cs="Times New Roman"/>
          <w:sz w:val="26"/>
          <w:szCs w:val="26"/>
        </w:rPr>
        <w:t xml:space="preserve"> </w:t>
      </w:r>
      <w:r>
        <w:rPr>
          <w:rFonts w:ascii="Times New Roman" w:hAnsi="Times New Roman" w:cs="Times New Roman"/>
          <w:sz w:val="26"/>
          <w:szCs w:val="26"/>
        </w:rPr>
        <w:t xml:space="preserve">that this information remains within the RTOs/ISOs.  The Commission does not know of any other places where this information is collected or </w:t>
      </w:r>
      <w:r w:rsidR="000B7B26">
        <w:rPr>
          <w:rFonts w:ascii="Times New Roman" w:hAnsi="Times New Roman" w:cs="Times New Roman"/>
          <w:sz w:val="26"/>
          <w:szCs w:val="26"/>
        </w:rPr>
        <w:t>maintained</w:t>
      </w:r>
      <w:r w:rsidR="009C4DCE">
        <w:rPr>
          <w:rFonts w:ascii="Times New Roman" w:hAnsi="Times New Roman" w:cs="Times New Roman"/>
          <w:sz w:val="26"/>
          <w:szCs w:val="26"/>
        </w:rPr>
        <w:t xml:space="preserve"> accessible to all RTOs/ISOs</w:t>
      </w:r>
      <w:r>
        <w:rPr>
          <w:rFonts w:ascii="Times New Roman" w:hAnsi="Times New Roman" w:cs="Times New Roman"/>
          <w:sz w:val="26"/>
          <w:szCs w:val="26"/>
        </w:rPr>
        <w:t>.</w:t>
      </w:r>
      <w:r w:rsidR="009C4DCE">
        <w:rPr>
          <w:rFonts w:ascii="Times New Roman" w:hAnsi="Times New Roman" w:cs="Times New Roman"/>
          <w:sz w:val="26"/>
          <w:szCs w:val="26"/>
        </w:rPr>
        <w:t xml:space="preserve">  Certain elements of a market participant</w:t>
      </w:r>
      <w:r w:rsidR="00A4131E">
        <w:rPr>
          <w:rFonts w:ascii="Times New Roman" w:hAnsi="Times New Roman" w:cs="Times New Roman"/>
          <w:sz w:val="26"/>
          <w:szCs w:val="26"/>
        </w:rPr>
        <w:t>’</w:t>
      </w:r>
      <w:r w:rsidR="009C4DCE">
        <w:rPr>
          <w:rFonts w:ascii="Times New Roman" w:hAnsi="Times New Roman" w:cs="Times New Roman"/>
          <w:sz w:val="26"/>
          <w:szCs w:val="26"/>
        </w:rPr>
        <w:t>s credit</w:t>
      </w:r>
      <w:r w:rsidR="00A4131E">
        <w:rPr>
          <w:rFonts w:ascii="Times New Roman" w:hAnsi="Times New Roman" w:cs="Times New Roman"/>
          <w:sz w:val="26"/>
          <w:szCs w:val="26"/>
        </w:rPr>
        <w:t>-related</w:t>
      </w:r>
      <w:r w:rsidR="009C4DCE">
        <w:rPr>
          <w:rFonts w:ascii="Times New Roman" w:hAnsi="Times New Roman" w:cs="Times New Roman"/>
          <w:sz w:val="26"/>
          <w:szCs w:val="26"/>
        </w:rPr>
        <w:t xml:space="preserve"> information may be available from financial market entities or regulators, such as credit scores and posted </w:t>
      </w:r>
      <w:r w:rsidR="009C4DCE">
        <w:rPr>
          <w:rFonts w:ascii="Times New Roman" w:hAnsi="Times New Roman" w:cs="Times New Roman"/>
          <w:sz w:val="26"/>
          <w:szCs w:val="26"/>
        </w:rPr>
        <w:t xml:space="preserve">collaterals, </w:t>
      </w:r>
      <w:r w:rsidR="004428B5">
        <w:rPr>
          <w:rFonts w:ascii="Times New Roman" w:hAnsi="Times New Roman" w:cs="Times New Roman"/>
          <w:sz w:val="26"/>
          <w:szCs w:val="26"/>
        </w:rPr>
        <w:t xml:space="preserve">but </w:t>
      </w:r>
      <w:r w:rsidR="009C4DCE">
        <w:rPr>
          <w:rFonts w:ascii="Times New Roman" w:hAnsi="Times New Roman" w:cs="Times New Roman"/>
          <w:sz w:val="26"/>
          <w:szCs w:val="26"/>
        </w:rPr>
        <w:t>details of a market participant’s standing in any given RTO/ISO is generally only available to that RTO/ISO.</w:t>
      </w:r>
      <w:r>
        <w:rPr>
          <w:rFonts w:ascii="Times New Roman" w:hAnsi="Times New Roman" w:cs="Times New Roman"/>
          <w:sz w:val="26"/>
          <w:szCs w:val="26"/>
        </w:rPr>
        <w:t xml:space="preserve"> </w:t>
      </w:r>
    </w:p>
    <w:p w:rsidR="00E82E27" w:rsidRPr="001A153B" w:rsidP="005E5E49" w14:paraId="46CC7EF6" w14:textId="77777777">
      <w:pPr>
        <w:spacing w:after="0" w:line="276" w:lineRule="auto"/>
        <w:rPr>
          <w:rFonts w:ascii="Times New Roman" w:hAnsi="Times New Roman" w:cs="Times New Roman"/>
          <w:sz w:val="26"/>
          <w:szCs w:val="26"/>
        </w:rPr>
      </w:pPr>
    </w:p>
    <w:p w:rsidR="00EE07DD" w:rsidP="005E5E49" w14:paraId="32AA365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rsidR="0004391B" w:rsidP="0035596B" w14:paraId="108638F3" w14:textId="5DD40F81">
      <w:pPr>
        <w:spacing w:after="0" w:line="276" w:lineRule="auto"/>
        <w:ind w:left="360"/>
        <w:rPr>
          <w:rFonts w:ascii="Times New Roman" w:hAnsi="Times New Roman" w:cs="Times New Roman"/>
          <w:b/>
          <w:sz w:val="26"/>
          <w:szCs w:val="26"/>
        </w:rPr>
      </w:pPr>
    </w:p>
    <w:p w:rsidR="00E82E27" w:rsidRPr="00D50375" w:rsidP="00D50375" w14:paraId="2B63C093" w14:textId="3F64ABD8">
      <w:pPr>
        <w:spacing w:after="0" w:line="276" w:lineRule="auto"/>
        <w:rPr>
          <w:rFonts w:ascii="Times New Roman" w:hAnsi="Times New Roman" w:cs="Times New Roman"/>
          <w:sz w:val="26"/>
          <w:szCs w:val="26"/>
        </w:rPr>
      </w:pPr>
      <w:r w:rsidRPr="001C6EF8">
        <w:rPr>
          <w:rFonts w:ascii="Times New Roman" w:hAnsi="Times New Roman" w:cs="Times New Roman"/>
          <w:sz w:val="26"/>
          <w:szCs w:val="26"/>
        </w:rPr>
        <w:t xml:space="preserve">The Commission seeks to pose the least possible burden on all entities. </w:t>
      </w:r>
      <w:r w:rsidR="008A1F07">
        <w:rPr>
          <w:rFonts w:ascii="Times New Roman" w:hAnsi="Times New Roman" w:cs="Times New Roman"/>
          <w:sz w:val="26"/>
          <w:szCs w:val="26"/>
        </w:rPr>
        <w:t xml:space="preserve"> </w:t>
      </w:r>
      <w:r w:rsidRPr="001C6EF8">
        <w:rPr>
          <w:rFonts w:ascii="Times New Roman" w:hAnsi="Times New Roman" w:cs="Times New Roman"/>
          <w:sz w:val="26"/>
          <w:szCs w:val="26"/>
        </w:rPr>
        <w:t xml:space="preserve">However, the entities subject to the </w:t>
      </w:r>
      <w:r w:rsidR="008A1F07">
        <w:rPr>
          <w:rFonts w:ascii="Times New Roman" w:hAnsi="Times New Roman" w:cs="Times New Roman"/>
          <w:sz w:val="26"/>
          <w:szCs w:val="26"/>
        </w:rPr>
        <w:t xml:space="preserve">final rule in Docket No. </w:t>
      </w:r>
      <w:r w:rsidRPr="001C6EF8">
        <w:rPr>
          <w:rFonts w:ascii="Times New Roman" w:hAnsi="Times New Roman" w:cs="Times New Roman"/>
          <w:sz w:val="26"/>
          <w:szCs w:val="26"/>
        </w:rPr>
        <w:t xml:space="preserve">RM22-13-000 are the </w:t>
      </w:r>
      <w:r w:rsidR="008A1F07">
        <w:rPr>
          <w:rFonts w:ascii="Times New Roman" w:hAnsi="Times New Roman" w:cs="Times New Roman"/>
          <w:sz w:val="26"/>
          <w:szCs w:val="26"/>
        </w:rPr>
        <w:t>six</w:t>
      </w:r>
      <w:r w:rsidRPr="001C6EF8">
        <w:rPr>
          <w:rFonts w:ascii="Times New Roman" w:hAnsi="Times New Roman" w:cs="Times New Roman"/>
          <w:sz w:val="26"/>
          <w:szCs w:val="26"/>
        </w:rPr>
        <w:t xml:space="preserve"> </w:t>
      </w:r>
      <w:r w:rsidRPr="00D50375" w:rsidR="00E82AA4">
        <w:rPr>
          <w:rFonts w:ascii="Times New Roman" w:hAnsi="Times New Roman" w:cs="Times New Roman"/>
          <w:sz w:val="26"/>
          <w:szCs w:val="26"/>
        </w:rPr>
        <w:t xml:space="preserve">Commission-jurisdictional </w:t>
      </w:r>
      <w:r w:rsidRPr="00D50375">
        <w:rPr>
          <w:rFonts w:ascii="Times New Roman" w:hAnsi="Times New Roman" w:cs="Times New Roman"/>
          <w:sz w:val="26"/>
          <w:szCs w:val="26"/>
        </w:rPr>
        <w:t>RTOs/ISOs that operate in the United States</w:t>
      </w:r>
      <w:r w:rsidRPr="00D50375" w:rsidR="006A64E5">
        <w:rPr>
          <w:rFonts w:ascii="Times New Roman" w:hAnsi="Times New Roman" w:cs="Times New Roman"/>
          <w:sz w:val="26"/>
          <w:szCs w:val="26"/>
        </w:rPr>
        <w:t>.</w:t>
      </w:r>
      <w:r w:rsidRPr="00D50375">
        <w:rPr>
          <w:rFonts w:ascii="Times New Roman" w:hAnsi="Times New Roman" w:cs="Times New Roman"/>
          <w:sz w:val="26"/>
          <w:szCs w:val="26"/>
        </w:rPr>
        <w:t xml:space="preserve"> </w:t>
      </w:r>
      <w:r w:rsidR="005647D7">
        <w:rPr>
          <w:rFonts w:ascii="Times New Roman" w:hAnsi="Times New Roman" w:cs="Times New Roman"/>
          <w:sz w:val="26"/>
          <w:szCs w:val="26"/>
        </w:rPr>
        <w:t xml:space="preserve"> </w:t>
      </w:r>
      <w:r w:rsidRPr="00D50375" w:rsidR="006A64E5">
        <w:rPr>
          <w:rFonts w:ascii="Times New Roman" w:hAnsi="Times New Roman" w:cs="Times New Roman"/>
          <w:sz w:val="26"/>
          <w:szCs w:val="26"/>
        </w:rPr>
        <w:t>T</w:t>
      </w:r>
      <w:r w:rsidRPr="00D50375">
        <w:rPr>
          <w:rFonts w:ascii="Times New Roman" w:hAnsi="Times New Roman" w:cs="Times New Roman"/>
          <w:sz w:val="26"/>
          <w:szCs w:val="26"/>
        </w:rPr>
        <w:t xml:space="preserve">hese entities are not considered small </w:t>
      </w:r>
      <w:r w:rsidRPr="00D50375" w:rsidR="000B7B26">
        <w:rPr>
          <w:rFonts w:ascii="Times New Roman" w:hAnsi="Times New Roman" w:cs="Times New Roman"/>
          <w:sz w:val="26"/>
          <w:szCs w:val="26"/>
        </w:rPr>
        <w:t>entities</w:t>
      </w:r>
      <w:r w:rsidRPr="00D50375">
        <w:rPr>
          <w:rFonts w:ascii="Times New Roman" w:hAnsi="Times New Roman" w:cs="Times New Roman"/>
          <w:sz w:val="26"/>
          <w:szCs w:val="26"/>
        </w:rPr>
        <w:t xml:space="preserve">. </w:t>
      </w:r>
    </w:p>
    <w:p w:rsidR="00BE2088" w:rsidRPr="001A153B" w:rsidP="005E5E49" w14:paraId="798A4FA0" w14:textId="77777777">
      <w:pPr>
        <w:spacing w:after="0" w:line="276" w:lineRule="auto"/>
        <w:rPr>
          <w:rFonts w:ascii="Times New Roman" w:hAnsi="Times New Roman" w:cs="Times New Roman"/>
          <w:sz w:val="26"/>
          <w:szCs w:val="26"/>
        </w:rPr>
      </w:pPr>
    </w:p>
    <w:p w:rsidR="00EE07DD" w:rsidRPr="001A153B" w:rsidP="005E5E49" w14:paraId="2E49DB8E"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rsidR="00EE07DD" w:rsidP="005E5E49" w14:paraId="6278A170" w14:textId="62DFA906">
      <w:pPr>
        <w:spacing w:after="0" w:line="276" w:lineRule="auto"/>
        <w:rPr>
          <w:rFonts w:ascii="Times New Roman" w:hAnsi="Times New Roman" w:cs="Times New Roman"/>
          <w:sz w:val="26"/>
          <w:szCs w:val="26"/>
        </w:rPr>
      </w:pPr>
    </w:p>
    <w:p w:rsidR="00BE2088" w:rsidP="00BE2088" w14:paraId="68B196E1" w14:textId="487DB65D">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compliance filing to update the tariff provisions </w:t>
      </w:r>
      <w:r w:rsidR="00704E8E">
        <w:rPr>
          <w:rFonts w:ascii="Times New Roman" w:hAnsi="Times New Roman" w:cs="Times New Roman"/>
          <w:sz w:val="26"/>
          <w:szCs w:val="26"/>
        </w:rPr>
        <w:t xml:space="preserve">will only be collected </w:t>
      </w:r>
      <w:r w:rsidR="00A368B6">
        <w:rPr>
          <w:rFonts w:ascii="Times New Roman" w:hAnsi="Times New Roman" w:cs="Times New Roman"/>
          <w:sz w:val="26"/>
          <w:szCs w:val="26"/>
        </w:rPr>
        <w:t xml:space="preserve">shortly after </w:t>
      </w:r>
      <w:r w:rsidR="00704E8E">
        <w:rPr>
          <w:rFonts w:ascii="Times New Roman" w:hAnsi="Times New Roman" w:cs="Times New Roman"/>
          <w:sz w:val="26"/>
          <w:szCs w:val="26"/>
        </w:rPr>
        <w:t xml:space="preserve">the </w:t>
      </w:r>
      <w:r w:rsidRPr="007B58E8" w:rsidR="00704E8E">
        <w:rPr>
          <w:rFonts w:ascii="Times New Roman" w:hAnsi="Times New Roman" w:cs="Times New Roman"/>
          <w:sz w:val="26"/>
          <w:szCs w:val="26"/>
        </w:rPr>
        <w:t>effective date</w:t>
      </w:r>
      <w:r w:rsidR="007F6879">
        <w:rPr>
          <w:rFonts w:ascii="Times New Roman" w:hAnsi="Times New Roman" w:cs="Times New Roman"/>
          <w:sz w:val="26"/>
          <w:szCs w:val="26"/>
        </w:rPr>
        <w:t xml:space="preserve"> of the final rule</w:t>
      </w:r>
      <w:r w:rsidR="00704E8E">
        <w:rPr>
          <w:rFonts w:ascii="Times New Roman" w:hAnsi="Times New Roman" w:cs="Times New Roman"/>
          <w:sz w:val="26"/>
          <w:szCs w:val="26"/>
        </w:rPr>
        <w:t xml:space="preserve">. </w:t>
      </w:r>
      <w:r w:rsidR="003113E7">
        <w:rPr>
          <w:rFonts w:ascii="Times New Roman" w:hAnsi="Times New Roman" w:cs="Times New Roman"/>
          <w:sz w:val="26"/>
          <w:szCs w:val="26"/>
        </w:rPr>
        <w:t xml:space="preserve"> </w:t>
      </w:r>
      <w:r w:rsidR="00704E8E">
        <w:rPr>
          <w:rFonts w:ascii="Times New Roman" w:hAnsi="Times New Roman" w:cs="Times New Roman"/>
          <w:sz w:val="26"/>
          <w:szCs w:val="26"/>
        </w:rPr>
        <w:t>Then, no data will be collected by the Commission</w:t>
      </w:r>
      <w:r w:rsidR="003113E7">
        <w:rPr>
          <w:rFonts w:ascii="Times New Roman" w:hAnsi="Times New Roman" w:cs="Times New Roman"/>
          <w:sz w:val="26"/>
          <w:szCs w:val="26"/>
        </w:rPr>
        <w:t>;</w:t>
      </w:r>
      <w:r w:rsidR="00704E8E">
        <w:rPr>
          <w:rFonts w:ascii="Times New Roman" w:hAnsi="Times New Roman" w:cs="Times New Roman"/>
          <w:sz w:val="26"/>
          <w:szCs w:val="26"/>
        </w:rPr>
        <w:t xml:space="preserve"> </w:t>
      </w:r>
      <w:r w:rsidR="003113E7">
        <w:rPr>
          <w:rFonts w:ascii="Times New Roman" w:hAnsi="Times New Roman" w:cs="Times New Roman"/>
          <w:sz w:val="26"/>
          <w:szCs w:val="26"/>
        </w:rPr>
        <w:t xml:space="preserve">instead, </w:t>
      </w:r>
      <w:r w:rsidR="00C6191F">
        <w:rPr>
          <w:rFonts w:ascii="Times New Roman" w:hAnsi="Times New Roman" w:cs="Times New Roman"/>
          <w:sz w:val="26"/>
          <w:szCs w:val="26"/>
        </w:rPr>
        <w:t xml:space="preserve">credit-related </w:t>
      </w:r>
      <w:r w:rsidR="00704E8E">
        <w:rPr>
          <w:rFonts w:ascii="Times New Roman" w:hAnsi="Times New Roman" w:cs="Times New Roman"/>
          <w:sz w:val="26"/>
          <w:szCs w:val="26"/>
        </w:rPr>
        <w:t>information will be shared</w:t>
      </w:r>
      <w:r w:rsidR="00D06049">
        <w:rPr>
          <w:rFonts w:ascii="Times New Roman" w:hAnsi="Times New Roman" w:cs="Times New Roman"/>
          <w:sz w:val="26"/>
          <w:szCs w:val="26"/>
        </w:rPr>
        <w:t xml:space="preserve"> by RTOs/ISOs</w:t>
      </w:r>
      <w:r w:rsidR="00432B6F">
        <w:rPr>
          <w:rFonts w:ascii="Times New Roman" w:hAnsi="Times New Roman" w:cs="Times New Roman"/>
          <w:sz w:val="26"/>
          <w:szCs w:val="26"/>
        </w:rPr>
        <w:t xml:space="preserve"> with one another</w:t>
      </w:r>
      <w:r w:rsidR="00704E8E">
        <w:rPr>
          <w:rFonts w:ascii="Times New Roman" w:hAnsi="Times New Roman" w:cs="Times New Roman"/>
          <w:sz w:val="26"/>
          <w:szCs w:val="26"/>
        </w:rPr>
        <w:t>, as described in an RTO</w:t>
      </w:r>
      <w:r w:rsidR="00B37DC7">
        <w:rPr>
          <w:rFonts w:ascii="Times New Roman" w:hAnsi="Times New Roman" w:cs="Times New Roman"/>
          <w:sz w:val="26"/>
          <w:szCs w:val="26"/>
        </w:rPr>
        <w:t>’</w:t>
      </w:r>
      <w:r w:rsidR="00704E8E">
        <w:rPr>
          <w:rFonts w:ascii="Times New Roman" w:hAnsi="Times New Roman" w:cs="Times New Roman"/>
          <w:sz w:val="26"/>
          <w:szCs w:val="26"/>
        </w:rPr>
        <w:t>s/ISO</w:t>
      </w:r>
      <w:r w:rsidR="00B37DC7">
        <w:rPr>
          <w:rFonts w:ascii="Times New Roman" w:hAnsi="Times New Roman" w:cs="Times New Roman"/>
          <w:sz w:val="26"/>
          <w:szCs w:val="26"/>
        </w:rPr>
        <w:t>’</w:t>
      </w:r>
      <w:r w:rsidR="00704E8E">
        <w:rPr>
          <w:rFonts w:ascii="Times New Roman" w:hAnsi="Times New Roman" w:cs="Times New Roman"/>
          <w:sz w:val="26"/>
          <w:szCs w:val="26"/>
        </w:rPr>
        <w:t xml:space="preserve">s tariff </w:t>
      </w:r>
      <w:r w:rsidR="000B7B26">
        <w:rPr>
          <w:rFonts w:ascii="Times New Roman" w:hAnsi="Times New Roman" w:cs="Times New Roman"/>
          <w:sz w:val="26"/>
          <w:szCs w:val="26"/>
        </w:rPr>
        <w:t>provisions</w:t>
      </w:r>
      <w:r w:rsidR="00704E8E">
        <w:rPr>
          <w:rFonts w:ascii="Times New Roman" w:hAnsi="Times New Roman" w:cs="Times New Roman"/>
          <w:sz w:val="26"/>
          <w:szCs w:val="26"/>
        </w:rPr>
        <w:t xml:space="preserve">.  The Commission believes that </w:t>
      </w:r>
      <w:r w:rsidR="007B58E8">
        <w:rPr>
          <w:rFonts w:ascii="Times New Roman" w:hAnsi="Times New Roman" w:cs="Times New Roman"/>
          <w:sz w:val="26"/>
          <w:szCs w:val="26"/>
        </w:rPr>
        <w:t>these are the minimum</w:t>
      </w:r>
      <w:r w:rsidR="00704E8E">
        <w:rPr>
          <w:rFonts w:ascii="Times New Roman" w:hAnsi="Times New Roman" w:cs="Times New Roman"/>
          <w:sz w:val="26"/>
          <w:szCs w:val="26"/>
        </w:rPr>
        <w:t xml:space="preserve"> collection</w:t>
      </w:r>
      <w:r w:rsidR="007B58E8">
        <w:rPr>
          <w:rFonts w:ascii="Times New Roman" w:hAnsi="Times New Roman" w:cs="Times New Roman"/>
          <w:sz w:val="26"/>
          <w:szCs w:val="26"/>
        </w:rPr>
        <w:t>s required to</w:t>
      </w:r>
      <w:r w:rsidR="00704E8E">
        <w:rPr>
          <w:rFonts w:ascii="Times New Roman" w:hAnsi="Times New Roman" w:cs="Times New Roman"/>
          <w:sz w:val="26"/>
          <w:szCs w:val="26"/>
        </w:rPr>
        <w:t xml:space="preserve"> be effective in preserving just and reasonable rates. </w:t>
      </w:r>
      <w:r w:rsidR="005647D7">
        <w:rPr>
          <w:rFonts w:ascii="Times New Roman" w:hAnsi="Times New Roman" w:cs="Times New Roman"/>
          <w:sz w:val="26"/>
          <w:szCs w:val="26"/>
        </w:rPr>
        <w:t xml:space="preserve"> </w:t>
      </w:r>
      <w:r w:rsidR="00A966E7">
        <w:rPr>
          <w:rFonts w:ascii="Times New Roman" w:hAnsi="Times New Roman" w:cs="Times New Roman"/>
          <w:sz w:val="26"/>
          <w:szCs w:val="26"/>
        </w:rPr>
        <w:t xml:space="preserve">The frequency of the ongoing information collection and sharing </w:t>
      </w:r>
      <w:r w:rsidR="00FA46D4">
        <w:rPr>
          <w:rFonts w:ascii="Times New Roman" w:hAnsi="Times New Roman" w:cs="Times New Roman"/>
          <w:sz w:val="26"/>
          <w:szCs w:val="26"/>
        </w:rPr>
        <w:t xml:space="preserve">of </w:t>
      </w:r>
      <w:r w:rsidR="00141CCF">
        <w:rPr>
          <w:rFonts w:ascii="Times New Roman" w:hAnsi="Times New Roman" w:cs="Times New Roman"/>
          <w:sz w:val="26"/>
          <w:szCs w:val="26"/>
        </w:rPr>
        <w:t xml:space="preserve">the </w:t>
      </w:r>
      <w:r w:rsidR="00FA46D4">
        <w:rPr>
          <w:rFonts w:ascii="Times New Roman" w:hAnsi="Times New Roman" w:cs="Times New Roman"/>
          <w:sz w:val="26"/>
          <w:szCs w:val="26"/>
        </w:rPr>
        <w:t xml:space="preserve">credit-related information </w:t>
      </w:r>
      <w:r w:rsidR="00A966E7">
        <w:rPr>
          <w:rFonts w:ascii="Times New Roman" w:hAnsi="Times New Roman" w:cs="Times New Roman"/>
          <w:sz w:val="26"/>
          <w:szCs w:val="26"/>
        </w:rPr>
        <w:t>is to be determined by the RTOs/ISOs at their discretion.</w:t>
      </w:r>
    </w:p>
    <w:p w:rsidR="00704E8E" w:rsidRPr="00BE2088" w:rsidP="00BE2088" w14:paraId="18D1FF3B" w14:textId="77777777">
      <w:pPr>
        <w:spacing w:after="0" w:line="276" w:lineRule="auto"/>
        <w:rPr>
          <w:rFonts w:ascii="Times New Roman" w:hAnsi="Times New Roman" w:cs="Times New Roman"/>
          <w:sz w:val="26"/>
          <w:szCs w:val="26"/>
        </w:rPr>
      </w:pPr>
    </w:p>
    <w:p w:rsidR="00684381" w:rsidP="00684381" w14:paraId="28A8CDB1"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rsidR="00684381" w:rsidRPr="00684381" w:rsidP="00684381" w14:paraId="6DEEE287" w14:textId="77777777">
      <w:pPr>
        <w:spacing w:after="0" w:line="276" w:lineRule="auto"/>
        <w:ind w:left="360"/>
        <w:rPr>
          <w:rFonts w:ascii="Times New Roman" w:hAnsi="Times New Roman" w:cs="Times New Roman"/>
          <w:b/>
          <w:sz w:val="26"/>
          <w:szCs w:val="26"/>
        </w:rPr>
      </w:pPr>
    </w:p>
    <w:p w:rsidR="00EE07DD" w:rsidP="005E5E49" w14:paraId="356293DF" w14:textId="024E00E8">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There are no special circumstances relating to this information collection. </w:t>
      </w:r>
    </w:p>
    <w:p w:rsidR="00704E8E" w:rsidRPr="001A153B" w:rsidP="005E5E49" w14:paraId="058569E6" w14:textId="77777777">
      <w:pPr>
        <w:spacing w:after="0" w:line="276" w:lineRule="auto"/>
        <w:rPr>
          <w:rFonts w:ascii="Times New Roman" w:hAnsi="Times New Roman" w:cs="Times New Roman"/>
          <w:sz w:val="26"/>
          <w:szCs w:val="26"/>
        </w:rPr>
      </w:pPr>
    </w:p>
    <w:p w:rsidR="00EE07DD" w:rsidRPr="001A153B" w:rsidP="005E5E49" w14:paraId="21CF9A9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Pr="001A153B" w:rsidR="003009CB">
        <w:rPr>
          <w:rFonts w:ascii="Times New Roman" w:hAnsi="Times New Roman" w:cs="Times New Roman"/>
          <w:b/>
          <w:sz w:val="26"/>
          <w:szCs w:val="26"/>
        </w:rPr>
        <w:t xml:space="preserve"> TO THESE COMMENTS</w:t>
      </w:r>
    </w:p>
    <w:p w:rsidR="00F45983" w:rsidP="005E5E49" w14:paraId="499557BD" w14:textId="6A3C5713">
      <w:pPr>
        <w:spacing w:after="0" w:line="276" w:lineRule="auto"/>
        <w:rPr>
          <w:rFonts w:ascii="Times New Roman" w:hAnsi="Times New Roman" w:cs="Times New Roman"/>
          <w:bCs/>
          <w:sz w:val="26"/>
          <w:szCs w:val="26"/>
        </w:rPr>
      </w:pPr>
    </w:p>
    <w:p w:rsidR="00E86F3C" w:rsidP="00535064" w14:paraId="3BC88937" w14:textId="61557E31">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The Commission issued a </w:t>
      </w:r>
      <w:r w:rsidR="00C47329">
        <w:rPr>
          <w:rFonts w:ascii="Times New Roman" w:hAnsi="Times New Roman" w:cs="Times New Roman"/>
          <w:bCs/>
          <w:sz w:val="26"/>
          <w:szCs w:val="26"/>
        </w:rPr>
        <w:t>notice of proposed rulemaking (</w:t>
      </w:r>
      <w:r>
        <w:rPr>
          <w:rFonts w:ascii="Times New Roman" w:hAnsi="Times New Roman" w:cs="Times New Roman"/>
          <w:bCs/>
          <w:sz w:val="26"/>
          <w:szCs w:val="26"/>
        </w:rPr>
        <w:t>NOPR</w:t>
      </w:r>
      <w:r w:rsidR="00C47329">
        <w:rPr>
          <w:rFonts w:ascii="Times New Roman" w:hAnsi="Times New Roman" w:cs="Times New Roman"/>
          <w:bCs/>
          <w:sz w:val="26"/>
          <w:szCs w:val="26"/>
        </w:rPr>
        <w:t>)</w:t>
      </w:r>
      <w:r>
        <w:rPr>
          <w:rFonts w:ascii="Times New Roman" w:hAnsi="Times New Roman" w:cs="Times New Roman"/>
          <w:bCs/>
          <w:sz w:val="26"/>
          <w:szCs w:val="26"/>
        </w:rPr>
        <w:t xml:space="preserve"> on </w:t>
      </w:r>
      <w:r w:rsidR="006A2431">
        <w:rPr>
          <w:rFonts w:ascii="Times New Roman" w:hAnsi="Times New Roman" w:cs="Times New Roman"/>
          <w:bCs/>
          <w:sz w:val="26"/>
          <w:szCs w:val="26"/>
        </w:rPr>
        <w:t>July 28, 2022</w:t>
      </w:r>
      <w:r w:rsidR="005E04D8">
        <w:rPr>
          <w:rFonts w:ascii="Times New Roman" w:hAnsi="Times New Roman" w:cs="Times New Roman"/>
          <w:bCs/>
          <w:sz w:val="26"/>
          <w:szCs w:val="26"/>
        </w:rPr>
        <w:t>,</w:t>
      </w:r>
      <w:r w:rsidR="006A2431">
        <w:rPr>
          <w:rFonts w:ascii="Times New Roman" w:hAnsi="Times New Roman" w:cs="Times New Roman"/>
          <w:bCs/>
          <w:sz w:val="26"/>
          <w:szCs w:val="26"/>
        </w:rPr>
        <w:t xml:space="preserve"> and</w:t>
      </w:r>
      <w:r w:rsidR="006A2431">
        <w:rPr>
          <w:rFonts w:ascii="Times New Roman" w:hAnsi="Times New Roman" w:cs="Times New Roman"/>
          <w:bCs/>
          <w:sz w:val="26"/>
          <w:szCs w:val="26"/>
        </w:rPr>
        <w:t xml:space="preserve"> received a variety of comments.</w:t>
      </w:r>
      <w:r w:rsidR="00D9014F">
        <w:rPr>
          <w:rFonts w:ascii="Times New Roman" w:hAnsi="Times New Roman" w:cs="Times New Roman"/>
          <w:bCs/>
          <w:sz w:val="26"/>
          <w:szCs w:val="26"/>
        </w:rPr>
        <w:t xml:space="preserve">  </w:t>
      </w:r>
      <w:r w:rsidRPr="008C34C9" w:rsidR="008C34C9">
        <w:rPr>
          <w:rFonts w:ascii="Times New Roman" w:hAnsi="Times New Roman" w:cs="Times New Roman"/>
          <w:bCs/>
          <w:sz w:val="26"/>
          <w:szCs w:val="26"/>
        </w:rPr>
        <w:t xml:space="preserve">For example, </w:t>
      </w:r>
      <w:r w:rsidR="00D9014F">
        <w:rPr>
          <w:rFonts w:ascii="Times New Roman" w:hAnsi="Times New Roman" w:cs="Times New Roman"/>
          <w:bCs/>
          <w:sz w:val="26"/>
          <w:szCs w:val="26"/>
        </w:rPr>
        <w:t xml:space="preserve">the </w:t>
      </w:r>
      <w:r w:rsidR="007A1F8F">
        <w:rPr>
          <w:rFonts w:ascii="Times New Roman" w:hAnsi="Times New Roman" w:cs="Times New Roman"/>
          <w:bCs/>
          <w:sz w:val="26"/>
          <w:szCs w:val="26"/>
        </w:rPr>
        <w:t>ISO/RTO Council (</w:t>
      </w:r>
      <w:r w:rsidRPr="008C34C9" w:rsidR="008C34C9">
        <w:rPr>
          <w:rFonts w:ascii="Times New Roman" w:hAnsi="Times New Roman" w:cs="Times New Roman"/>
          <w:bCs/>
          <w:sz w:val="26"/>
          <w:szCs w:val="26"/>
        </w:rPr>
        <w:t>IRC</w:t>
      </w:r>
      <w:r w:rsidR="007A1F8F">
        <w:rPr>
          <w:rFonts w:ascii="Times New Roman" w:hAnsi="Times New Roman" w:cs="Times New Roman"/>
          <w:bCs/>
          <w:sz w:val="26"/>
          <w:szCs w:val="26"/>
        </w:rPr>
        <w:t>)</w:t>
      </w:r>
      <w:r w:rsidR="00D11EAA">
        <w:rPr>
          <w:rFonts w:ascii="Times New Roman" w:hAnsi="Times New Roman" w:cs="Times New Roman"/>
          <w:bCs/>
          <w:sz w:val="26"/>
          <w:szCs w:val="26"/>
        </w:rPr>
        <w:t>, which represents the six jurisdictional RTOs/ISOs</w:t>
      </w:r>
      <w:r w:rsidR="005369D4">
        <w:rPr>
          <w:rFonts w:ascii="Times New Roman" w:hAnsi="Times New Roman" w:cs="Times New Roman"/>
          <w:bCs/>
          <w:sz w:val="26"/>
          <w:szCs w:val="26"/>
        </w:rPr>
        <w:t>,</w:t>
      </w:r>
      <w:r w:rsidR="00407310">
        <w:rPr>
          <w:rFonts w:ascii="Times New Roman" w:hAnsi="Times New Roman" w:cs="Times New Roman"/>
          <w:bCs/>
          <w:sz w:val="26"/>
          <w:szCs w:val="26"/>
        </w:rPr>
        <w:t xml:space="preserve"> and Edison Electric Institute (EEI) </w:t>
      </w:r>
      <w:r w:rsidR="00A26800">
        <w:rPr>
          <w:rFonts w:ascii="Times New Roman" w:hAnsi="Times New Roman" w:cs="Times New Roman"/>
          <w:bCs/>
          <w:sz w:val="26"/>
          <w:szCs w:val="26"/>
        </w:rPr>
        <w:t>stated</w:t>
      </w:r>
      <w:r w:rsidRPr="008C34C9" w:rsidR="008C34C9">
        <w:rPr>
          <w:rFonts w:ascii="Times New Roman" w:hAnsi="Times New Roman" w:cs="Times New Roman"/>
          <w:bCs/>
          <w:sz w:val="26"/>
          <w:szCs w:val="26"/>
        </w:rPr>
        <w:t xml:space="preserve"> </w:t>
      </w:r>
      <w:r w:rsidR="0090010E">
        <w:rPr>
          <w:rFonts w:ascii="Times New Roman" w:hAnsi="Times New Roman" w:cs="Times New Roman"/>
          <w:bCs/>
          <w:sz w:val="26"/>
          <w:szCs w:val="26"/>
        </w:rPr>
        <w:t xml:space="preserve">that </w:t>
      </w:r>
      <w:r w:rsidRPr="008C34C9" w:rsidR="008C34C9">
        <w:rPr>
          <w:rFonts w:ascii="Times New Roman" w:hAnsi="Times New Roman" w:cs="Times New Roman"/>
          <w:bCs/>
          <w:sz w:val="26"/>
          <w:szCs w:val="26"/>
        </w:rPr>
        <w:t>the NOPR proposal would enhance RTOs’/ISOs’ ability to accurately assess market participants’ credit exposure</w:t>
      </w:r>
      <w:r w:rsidR="00A26800">
        <w:rPr>
          <w:rFonts w:ascii="Times New Roman" w:hAnsi="Times New Roman" w:cs="Times New Roman"/>
          <w:bCs/>
          <w:sz w:val="26"/>
          <w:szCs w:val="26"/>
        </w:rPr>
        <w:t xml:space="preserve"> and</w:t>
      </w:r>
      <w:r w:rsidRPr="008C34C9" w:rsidR="008C34C9">
        <w:rPr>
          <w:rFonts w:ascii="Times New Roman" w:hAnsi="Times New Roman" w:cs="Times New Roman"/>
          <w:bCs/>
          <w:sz w:val="26"/>
          <w:szCs w:val="26"/>
        </w:rPr>
        <w:t xml:space="preserve"> assist RTOs/ISOs in their efforts to respond more </w:t>
      </w:r>
      <w:r w:rsidRPr="008C34C9" w:rsidR="008C34C9">
        <w:rPr>
          <w:rFonts w:ascii="Times New Roman" w:hAnsi="Times New Roman" w:cs="Times New Roman"/>
          <w:bCs/>
          <w:sz w:val="26"/>
          <w:szCs w:val="26"/>
        </w:rPr>
        <w:t>quickly</w:t>
      </w:r>
      <w:r w:rsidR="00476649">
        <w:rPr>
          <w:rFonts w:ascii="Times New Roman" w:hAnsi="Times New Roman" w:cs="Times New Roman"/>
          <w:bCs/>
          <w:sz w:val="26"/>
          <w:szCs w:val="26"/>
        </w:rPr>
        <w:t xml:space="preserve"> and effectively</w:t>
      </w:r>
      <w:r w:rsidRPr="008C34C9" w:rsidR="008C34C9">
        <w:rPr>
          <w:rFonts w:ascii="Times New Roman" w:hAnsi="Times New Roman" w:cs="Times New Roman"/>
          <w:bCs/>
          <w:sz w:val="26"/>
          <w:szCs w:val="26"/>
        </w:rPr>
        <w:t xml:space="preserve"> to credit events.</w:t>
      </w:r>
      <w:r>
        <w:rPr>
          <w:rFonts w:ascii="Times New Roman" w:hAnsi="Times New Roman" w:cs="Times New Roman"/>
          <w:b/>
          <w:bCs/>
          <w:sz w:val="26"/>
          <w:szCs w:val="26"/>
          <w:vertAlign w:val="superscript"/>
        </w:rPr>
        <w:footnoteReference w:id="4"/>
      </w:r>
      <w:r w:rsidR="0090010E">
        <w:rPr>
          <w:rFonts w:ascii="Times New Roman" w:hAnsi="Times New Roman" w:cs="Times New Roman"/>
          <w:bCs/>
          <w:sz w:val="26"/>
          <w:szCs w:val="26"/>
        </w:rPr>
        <w:t xml:space="preserve"> </w:t>
      </w:r>
      <w:r w:rsidR="00D9014F">
        <w:rPr>
          <w:rFonts w:ascii="Times New Roman" w:hAnsi="Times New Roman" w:cs="Times New Roman"/>
          <w:bCs/>
          <w:sz w:val="26"/>
          <w:szCs w:val="26"/>
        </w:rPr>
        <w:t xml:space="preserve"> </w:t>
      </w:r>
      <w:r w:rsidR="00350D7D">
        <w:rPr>
          <w:rFonts w:ascii="Times New Roman" w:hAnsi="Times New Roman" w:cs="Times New Roman"/>
          <w:bCs/>
          <w:sz w:val="26"/>
          <w:szCs w:val="26"/>
        </w:rPr>
        <w:t>The FirstEnergy Utility Companies and East Kentucky Power Cooperative, Inc. (</w:t>
      </w:r>
      <w:r w:rsidR="00476649">
        <w:rPr>
          <w:rFonts w:ascii="Times New Roman" w:hAnsi="Times New Roman" w:cs="Times New Roman"/>
          <w:bCs/>
          <w:sz w:val="26"/>
          <w:szCs w:val="26"/>
        </w:rPr>
        <w:t>Indicated PJM Utilities</w:t>
      </w:r>
      <w:r w:rsidR="00350D7D">
        <w:rPr>
          <w:rFonts w:ascii="Times New Roman" w:hAnsi="Times New Roman" w:cs="Times New Roman"/>
          <w:bCs/>
          <w:sz w:val="26"/>
          <w:szCs w:val="26"/>
        </w:rPr>
        <w:t>)</w:t>
      </w:r>
      <w:r w:rsidR="00476649">
        <w:rPr>
          <w:rFonts w:ascii="Times New Roman" w:hAnsi="Times New Roman" w:cs="Times New Roman"/>
          <w:bCs/>
          <w:sz w:val="26"/>
          <w:szCs w:val="26"/>
        </w:rPr>
        <w:t xml:space="preserve"> and </w:t>
      </w:r>
      <w:r w:rsidR="00651477">
        <w:rPr>
          <w:rFonts w:ascii="Times New Roman" w:hAnsi="Times New Roman" w:cs="Times New Roman"/>
          <w:bCs/>
          <w:sz w:val="26"/>
          <w:szCs w:val="26"/>
        </w:rPr>
        <w:t>EEI</w:t>
      </w:r>
      <w:r w:rsidR="00333B49">
        <w:rPr>
          <w:rFonts w:ascii="Times New Roman" w:hAnsi="Times New Roman" w:cs="Times New Roman"/>
          <w:bCs/>
          <w:sz w:val="26"/>
          <w:szCs w:val="26"/>
        </w:rPr>
        <w:t xml:space="preserve"> both offered qualified support for the NOPR proposal</w:t>
      </w:r>
      <w:r w:rsidR="005F3E61">
        <w:rPr>
          <w:rFonts w:ascii="Times New Roman" w:hAnsi="Times New Roman" w:cs="Times New Roman"/>
          <w:bCs/>
          <w:sz w:val="26"/>
          <w:szCs w:val="26"/>
        </w:rPr>
        <w:t>, w</w:t>
      </w:r>
      <w:r w:rsidR="00AB74F3">
        <w:rPr>
          <w:rFonts w:ascii="Times New Roman" w:hAnsi="Times New Roman" w:cs="Times New Roman"/>
          <w:bCs/>
          <w:sz w:val="26"/>
          <w:szCs w:val="26"/>
        </w:rPr>
        <w:t xml:space="preserve">hile </w:t>
      </w:r>
      <w:r w:rsidR="00575E5B">
        <w:rPr>
          <w:rFonts w:ascii="Times New Roman" w:hAnsi="Times New Roman" w:cs="Times New Roman"/>
          <w:bCs/>
          <w:sz w:val="26"/>
          <w:szCs w:val="26"/>
        </w:rPr>
        <w:t xml:space="preserve">requesting the Commission define </w:t>
      </w:r>
      <w:r w:rsidR="00114F38">
        <w:rPr>
          <w:rFonts w:ascii="Times New Roman" w:hAnsi="Times New Roman" w:cs="Times New Roman"/>
          <w:bCs/>
          <w:sz w:val="26"/>
          <w:szCs w:val="26"/>
        </w:rPr>
        <w:t xml:space="preserve">more precisely </w:t>
      </w:r>
      <w:r w:rsidR="00575E5B">
        <w:rPr>
          <w:rFonts w:ascii="Times New Roman" w:hAnsi="Times New Roman" w:cs="Times New Roman"/>
          <w:bCs/>
          <w:sz w:val="26"/>
          <w:szCs w:val="26"/>
        </w:rPr>
        <w:t xml:space="preserve">“credit-related information” </w:t>
      </w:r>
      <w:r w:rsidR="00BF2557">
        <w:rPr>
          <w:rFonts w:ascii="Times New Roman" w:hAnsi="Times New Roman" w:cs="Times New Roman"/>
          <w:bCs/>
          <w:sz w:val="26"/>
          <w:szCs w:val="26"/>
        </w:rPr>
        <w:t>that RTOs/ISOs would be permitted to share</w:t>
      </w:r>
      <w:r w:rsidR="00651477">
        <w:rPr>
          <w:rFonts w:ascii="Times New Roman" w:hAnsi="Times New Roman" w:cs="Times New Roman"/>
          <w:bCs/>
          <w:sz w:val="26"/>
          <w:szCs w:val="26"/>
        </w:rPr>
        <w:t>.</w:t>
      </w:r>
      <w:r>
        <w:rPr>
          <w:rStyle w:val="FootnoteReference"/>
          <w:rFonts w:ascii="Times New Roman" w:hAnsi="Times New Roman" w:cs="Times New Roman"/>
          <w:b/>
          <w:sz w:val="26"/>
          <w:szCs w:val="26"/>
        </w:rPr>
        <w:footnoteReference w:id="5"/>
      </w:r>
      <w:r w:rsidR="00D9014F">
        <w:rPr>
          <w:rFonts w:ascii="Times New Roman" w:hAnsi="Times New Roman" w:cs="Times New Roman"/>
          <w:bCs/>
          <w:sz w:val="26"/>
          <w:szCs w:val="26"/>
        </w:rPr>
        <w:t xml:space="preserve"> </w:t>
      </w:r>
      <w:r w:rsidR="00DA408B">
        <w:rPr>
          <w:rFonts w:ascii="Times New Roman" w:hAnsi="Times New Roman" w:cs="Times New Roman"/>
          <w:bCs/>
          <w:sz w:val="26"/>
          <w:szCs w:val="26"/>
        </w:rPr>
        <w:t xml:space="preserve"> </w:t>
      </w:r>
      <w:r w:rsidR="00DA5C3E">
        <w:rPr>
          <w:rFonts w:ascii="Times New Roman" w:hAnsi="Times New Roman" w:cs="Times New Roman"/>
          <w:bCs/>
          <w:sz w:val="26"/>
          <w:szCs w:val="26"/>
        </w:rPr>
        <w:t>Several comment</w:t>
      </w:r>
      <w:r w:rsidR="00F324EE">
        <w:rPr>
          <w:rFonts w:ascii="Times New Roman" w:hAnsi="Times New Roman" w:cs="Times New Roman"/>
          <w:bCs/>
          <w:sz w:val="26"/>
          <w:szCs w:val="26"/>
        </w:rPr>
        <w:t>e</w:t>
      </w:r>
      <w:r w:rsidR="00DA5C3E">
        <w:rPr>
          <w:rFonts w:ascii="Times New Roman" w:hAnsi="Times New Roman" w:cs="Times New Roman"/>
          <w:bCs/>
          <w:sz w:val="26"/>
          <w:szCs w:val="26"/>
        </w:rPr>
        <w:t>rs, including E</w:t>
      </w:r>
      <w:r w:rsidR="00B76FDA">
        <w:rPr>
          <w:rFonts w:ascii="Times New Roman" w:hAnsi="Times New Roman" w:cs="Times New Roman"/>
          <w:bCs/>
          <w:sz w:val="26"/>
          <w:szCs w:val="26"/>
        </w:rPr>
        <w:t xml:space="preserve">lectric </w:t>
      </w:r>
      <w:r w:rsidR="007C51CD">
        <w:rPr>
          <w:rFonts w:ascii="Times New Roman" w:hAnsi="Times New Roman" w:cs="Times New Roman"/>
          <w:bCs/>
          <w:sz w:val="26"/>
          <w:szCs w:val="26"/>
        </w:rPr>
        <w:t>P</w:t>
      </w:r>
      <w:r w:rsidR="00C36823">
        <w:rPr>
          <w:rFonts w:ascii="Times New Roman" w:hAnsi="Times New Roman" w:cs="Times New Roman"/>
          <w:bCs/>
          <w:sz w:val="26"/>
          <w:szCs w:val="26"/>
        </w:rPr>
        <w:t xml:space="preserve">ower </w:t>
      </w:r>
      <w:r w:rsidR="007C51CD">
        <w:rPr>
          <w:rFonts w:ascii="Times New Roman" w:hAnsi="Times New Roman" w:cs="Times New Roman"/>
          <w:bCs/>
          <w:sz w:val="26"/>
          <w:szCs w:val="26"/>
        </w:rPr>
        <w:t>S</w:t>
      </w:r>
      <w:r w:rsidR="00C36823">
        <w:rPr>
          <w:rFonts w:ascii="Times New Roman" w:hAnsi="Times New Roman" w:cs="Times New Roman"/>
          <w:bCs/>
          <w:sz w:val="26"/>
          <w:szCs w:val="26"/>
        </w:rPr>
        <w:t xml:space="preserve">upply </w:t>
      </w:r>
      <w:r w:rsidR="007C51CD">
        <w:rPr>
          <w:rFonts w:ascii="Times New Roman" w:hAnsi="Times New Roman" w:cs="Times New Roman"/>
          <w:bCs/>
          <w:sz w:val="26"/>
          <w:szCs w:val="26"/>
        </w:rPr>
        <w:t>A</w:t>
      </w:r>
      <w:r w:rsidR="00C36823">
        <w:rPr>
          <w:rFonts w:ascii="Times New Roman" w:hAnsi="Times New Roman" w:cs="Times New Roman"/>
          <w:bCs/>
          <w:sz w:val="26"/>
          <w:szCs w:val="26"/>
        </w:rPr>
        <w:t>ssociation</w:t>
      </w:r>
      <w:r w:rsidR="007C51CD">
        <w:rPr>
          <w:rFonts w:ascii="Times New Roman" w:hAnsi="Times New Roman" w:cs="Times New Roman"/>
          <w:bCs/>
          <w:sz w:val="26"/>
          <w:szCs w:val="26"/>
        </w:rPr>
        <w:t xml:space="preserve"> </w:t>
      </w:r>
      <w:r w:rsidR="00F7336B">
        <w:rPr>
          <w:rFonts w:ascii="Times New Roman" w:hAnsi="Times New Roman" w:cs="Times New Roman"/>
          <w:bCs/>
          <w:sz w:val="26"/>
          <w:szCs w:val="26"/>
        </w:rPr>
        <w:t xml:space="preserve">(EPSA) </w:t>
      </w:r>
      <w:r w:rsidR="007C51CD">
        <w:rPr>
          <w:rFonts w:ascii="Times New Roman" w:hAnsi="Times New Roman" w:cs="Times New Roman"/>
          <w:bCs/>
          <w:sz w:val="26"/>
          <w:szCs w:val="26"/>
        </w:rPr>
        <w:t>and Dominion</w:t>
      </w:r>
      <w:r w:rsidR="000F763B">
        <w:rPr>
          <w:rFonts w:ascii="Times New Roman" w:hAnsi="Times New Roman" w:cs="Times New Roman"/>
          <w:bCs/>
          <w:sz w:val="26"/>
          <w:szCs w:val="26"/>
        </w:rPr>
        <w:t xml:space="preserve"> Energy Services, Inc. (Dominion)</w:t>
      </w:r>
      <w:r w:rsidR="007C51CD">
        <w:rPr>
          <w:rFonts w:ascii="Times New Roman" w:hAnsi="Times New Roman" w:cs="Times New Roman"/>
          <w:bCs/>
          <w:sz w:val="26"/>
          <w:szCs w:val="26"/>
        </w:rPr>
        <w:t xml:space="preserve"> expressed concern </w:t>
      </w:r>
      <w:r w:rsidR="004A7DCE">
        <w:rPr>
          <w:rFonts w:ascii="Times New Roman" w:hAnsi="Times New Roman" w:cs="Times New Roman"/>
          <w:bCs/>
          <w:sz w:val="26"/>
          <w:szCs w:val="26"/>
        </w:rPr>
        <w:t xml:space="preserve">about </w:t>
      </w:r>
      <w:r w:rsidR="007C51CD">
        <w:rPr>
          <w:rFonts w:ascii="Times New Roman" w:hAnsi="Times New Roman" w:cs="Times New Roman"/>
          <w:bCs/>
          <w:sz w:val="26"/>
          <w:szCs w:val="26"/>
        </w:rPr>
        <w:t xml:space="preserve">the level of </w:t>
      </w:r>
      <w:r w:rsidRPr="0064066A" w:rsidR="0064066A">
        <w:rPr>
          <w:rFonts w:ascii="Times New Roman" w:hAnsi="Times New Roman" w:cs="Times New Roman"/>
          <w:bCs/>
          <w:sz w:val="26"/>
          <w:szCs w:val="26"/>
        </w:rPr>
        <w:t>discretion</w:t>
      </w:r>
      <w:r w:rsidR="004A7DCE">
        <w:rPr>
          <w:rFonts w:ascii="Times New Roman" w:hAnsi="Times New Roman" w:cs="Times New Roman"/>
          <w:bCs/>
          <w:sz w:val="26"/>
          <w:szCs w:val="26"/>
        </w:rPr>
        <w:t xml:space="preserve"> granted to the RTOs/ISOs</w:t>
      </w:r>
      <w:r w:rsidR="00292EFF">
        <w:rPr>
          <w:rFonts w:ascii="Times New Roman" w:hAnsi="Times New Roman" w:cs="Times New Roman"/>
          <w:bCs/>
          <w:sz w:val="26"/>
          <w:szCs w:val="26"/>
        </w:rPr>
        <w:t>.</w:t>
      </w:r>
      <w:r>
        <w:rPr>
          <w:rStyle w:val="FootnoteReference"/>
          <w:rFonts w:ascii="Times New Roman" w:hAnsi="Times New Roman" w:cs="Times New Roman"/>
          <w:b/>
          <w:sz w:val="26"/>
          <w:szCs w:val="26"/>
        </w:rPr>
        <w:footnoteReference w:id="6"/>
      </w:r>
      <w:r w:rsidRPr="00C36823" w:rsidR="004A7DCE">
        <w:rPr>
          <w:rFonts w:ascii="Times New Roman" w:hAnsi="Times New Roman" w:cs="Times New Roman"/>
          <w:b/>
          <w:sz w:val="26"/>
          <w:szCs w:val="26"/>
        </w:rPr>
        <w:t xml:space="preserve"> </w:t>
      </w:r>
      <w:r w:rsidR="00C00677">
        <w:rPr>
          <w:rFonts w:ascii="Times New Roman" w:hAnsi="Times New Roman" w:cs="Times New Roman"/>
          <w:b/>
          <w:sz w:val="26"/>
          <w:szCs w:val="26"/>
        </w:rPr>
        <w:t xml:space="preserve"> </w:t>
      </w:r>
      <w:r w:rsidR="00751927">
        <w:rPr>
          <w:rFonts w:ascii="Times New Roman" w:hAnsi="Times New Roman" w:cs="Times New Roman"/>
          <w:bCs/>
          <w:sz w:val="26"/>
          <w:szCs w:val="26"/>
        </w:rPr>
        <w:t>The IRC and S</w:t>
      </w:r>
      <w:r w:rsidR="00F32E5F">
        <w:rPr>
          <w:rFonts w:ascii="Times New Roman" w:hAnsi="Times New Roman" w:cs="Times New Roman"/>
          <w:bCs/>
          <w:sz w:val="26"/>
          <w:szCs w:val="26"/>
        </w:rPr>
        <w:t xml:space="preserve">outhwest </w:t>
      </w:r>
      <w:r w:rsidR="00751927">
        <w:rPr>
          <w:rFonts w:ascii="Times New Roman" w:hAnsi="Times New Roman" w:cs="Times New Roman"/>
          <w:bCs/>
          <w:sz w:val="26"/>
          <w:szCs w:val="26"/>
        </w:rPr>
        <w:t>P</w:t>
      </w:r>
      <w:r w:rsidR="00F32E5F">
        <w:rPr>
          <w:rFonts w:ascii="Times New Roman" w:hAnsi="Times New Roman" w:cs="Times New Roman"/>
          <w:bCs/>
          <w:sz w:val="26"/>
          <w:szCs w:val="26"/>
        </w:rPr>
        <w:t xml:space="preserve">ower </w:t>
      </w:r>
      <w:r w:rsidR="00751927">
        <w:rPr>
          <w:rFonts w:ascii="Times New Roman" w:hAnsi="Times New Roman" w:cs="Times New Roman"/>
          <w:bCs/>
          <w:sz w:val="26"/>
          <w:szCs w:val="26"/>
        </w:rPr>
        <w:t>P</w:t>
      </w:r>
      <w:r w:rsidR="00F32E5F">
        <w:rPr>
          <w:rFonts w:ascii="Times New Roman" w:hAnsi="Times New Roman" w:cs="Times New Roman"/>
          <w:bCs/>
          <w:sz w:val="26"/>
          <w:szCs w:val="26"/>
        </w:rPr>
        <w:t>ool</w:t>
      </w:r>
      <w:r w:rsidR="00751927">
        <w:rPr>
          <w:rFonts w:ascii="Times New Roman" w:hAnsi="Times New Roman" w:cs="Times New Roman"/>
          <w:bCs/>
          <w:sz w:val="26"/>
          <w:szCs w:val="26"/>
        </w:rPr>
        <w:t xml:space="preserve"> M</w:t>
      </w:r>
      <w:r w:rsidR="00F32E5F">
        <w:rPr>
          <w:rFonts w:ascii="Times New Roman" w:hAnsi="Times New Roman" w:cs="Times New Roman"/>
          <w:bCs/>
          <w:sz w:val="26"/>
          <w:szCs w:val="26"/>
        </w:rPr>
        <w:t xml:space="preserve">arket </w:t>
      </w:r>
      <w:r w:rsidR="00751927">
        <w:rPr>
          <w:rFonts w:ascii="Times New Roman" w:hAnsi="Times New Roman" w:cs="Times New Roman"/>
          <w:bCs/>
          <w:sz w:val="26"/>
          <w:szCs w:val="26"/>
        </w:rPr>
        <w:t>M</w:t>
      </w:r>
      <w:r w:rsidR="00F32E5F">
        <w:rPr>
          <w:rFonts w:ascii="Times New Roman" w:hAnsi="Times New Roman" w:cs="Times New Roman"/>
          <w:bCs/>
          <w:sz w:val="26"/>
          <w:szCs w:val="26"/>
        </w:rPr>
        <w:t xml:space="preserve">onitoring </w:t>
      </w:r>
      <w:r w:rsidR="00751927">
        <w:rPr>
          <w:rFonts w:ascii="Times New Roman" w:hAnsi="Times New Roman" w:cs="Times New Roman"/>
          <w:bCs/>
          <w:sz w:val="26"/>
          <w:szCs w:val="26"/>
        </w:rPr>
        <w:t>U</w:t>
      </w:r>
      <w:r w:rsidR="00F32E5F">
        <w:rPr>
          <w:rFonts w:ascii="Times New Roman" w:hAnsi="Times New Roman" w:cs="Times New Roman"/>
          <w:bCs/>
          <w:sz w:val="26"/>
          <w:szCs w:val="26"/>
        </w:rPr>
        <w:t xml:space="preserve">nit (SPP MMU) both </w:t>
      </w:r>
      <w:r w:rsidR="000D0EC4">
        <w:rPr>
          <w:rFonts w:ascii="Times New Roman" w:hAnsi="Times New Roman" w:cs="Times New Roman"/>
          <w:bCs/>
          <w:sz w:val="26"/>
          <w:szCs w:val="26"/>
        </w:rPr>
        <w:t>requested the Commission decline to further define “credit-related information.</w:t>
      </w:r>
      <w:r w:rsidR="004663B3">
        <w:rPr>
          <w:rFonts w:ascii="Times New Roman" w:hAnsi="Times New Roman" w:cs="Times New Roman"/>
          <w:bCs/>
          <w:sz w:val="26"/>
          <w:szCs w:val="26"/>
        </w:rPr>
        <w:t>”</w:t>
      </w:r>
      <w:r>
        <w:rPr>
          <w:rStyle w:val="FootnoteReference"/>
          <w:rFonts w:ascii="Times New Roman" w:hAnsi="Times New Roman" w:cs="Times New Roman"/>
          <w:b/>
          <w:sz w:val="26"/>
          <w:szCs w:val="26"/>
        </w:rPr>
        <w:footnoteReference w:id="7"/>
      </w:r>
    </w:p>
    <w:p w:rsidR="00074577" w:rsidP="00535064" w14:paraId="2BA0B1DA" w14:textId="77777777">
      <w:pPr>
        <w:spacing w:after="0" w:line="276" w:lineRule="auto"/>
        <w:rPr>
          <w:rFonts w:ascii="Times New Roman" w:hAnsi="Times New Roman" w:cs="Times New Roman"/>
          <w:bCs/>
          <w:sz w:val="26"/>
          <w:szCs w:val="26"/>
        </w:rPr>
      </w:pPr>
    </w:p>
    <w:p w:rsidR="00701E2B" w:rsidP="00701E2B" w14:paraId="5E865716" w14:textId="1FD7F8B6">
      <w:pPr>
        <w:spacing w:after="0" w:line="276" w:lineRule="auto"/>
        <w:rPr>
          <w:rFonts w:ascii="Times New Roman" w:hAnsi="Times New Roman" w:cs="Times New Roman"/>
          <w:bCs/>
          <w:sz w:val="26"/>
          <w:szCs w:val="26"/>
        </w:rPr>
      </w:pPr>
      <w:r>
        <w:rPr>
          <w:rFonts w:ascii="Times New Roman" w:hAnsi="Times New Roman" w:cs="Times New Roman"/>
          <w:bCs/>
          <w:sz w:val="26"/>
          <w:szCs w:val="26"/>
        </w:rPr>
        <w:t>In response to these comments</w:t>
      </w:r>
      <w:r w:rsidR="00592242">
        <w:rPr>
          <w:rFonts w:ascii="Times New Roman" w:hAnsi="Times New Roman" w:cs="Times New Roman"/>
          <w:bCs/>
          <w:sz w:val="26"/>
          <w:szCs w:val="26"/>
        </w:rPr>
        <w:t>,</w:t>
      </w:r>
      <w:r>
        <w:rPr>
          <w:rFonts w:ascii="Times New Roman" w:hAnsi="Times New Roman" w:cs="Times New Roman"/>
          <w:bCs/>
          <w:sz w:val="26"/>
          <w:szCs w:val="26"/>
        </w:rPr>
        <w:t xml:space="preserve"> the Commission </w:t>
      </w:r>
      <w:r w:rsidRPr="00B84BA1">
        <w:rPr>
          <w:rFonts w:ascii="Times New Roman" w:hAnsi="Times New Roman" w:cs="Times New Roman"/>
          <w:bCs/>
          <w:sz w:val="26"/>
          <w:szCs w:val="26"/>
        </w:rPr>
        <w:t>decline</w:t>
      </w:r>
      <w:r>
        <w:rPr>
          <w:rFonts w:ascii="Times New Roman" w:hAnsi="Times New Roman" w:cs="Times New Roman"/>
          <w:bCs/>
          <w:sz w:val="26"/>
          <w:szCs w:val="26"/>
        </w:rPr>
        <w:t>d</w:t>
      </w:r>
      <w:r w:rsidRPr="00B84BA1">
        <w:rPr>
          <w:rFonts w:ascii="Times New Roman" w:hAnsi="Times New Roman" w:cs="Times New Roman"/>
          <w:bCs/>
          <w:sz w:val="26"/>
          <w:szCs w:val="26"/>
        </w:rPr>
        <w:t xml:space="preserve"> to </w:t>
      </w:r>
      <w:r w:rsidR="00592242">
        <w:rPr>
          <w:rFonts w:ascii="Times New Roman" w:hAnsi="Times New Roman" w:cs="Times New Roman"/>
          <w:bCs/>
          <w:sz w:val="26"/>
          <w:szCs w:val="26"/>
        </w:rPr>
        <w:t xml:space="preserve">further </w:t>
      </w:r>
      <w:r w:rsidRPr="00B84BA1">
        <w:rPr>
          <w:rFonts w:ascii="Times New Roman" w:hAnsi="Times New Roman" w:cs="Times New Roman"/>
          <w:bCs/>
          <w:sz w:val="26"/>
          <w:szCs w:val="26"/>
        </w:rPr>
        <w:t xml:space="preserve">define credit-related information </w:t>
      </w:r>
      <w:r w:rsidR="00D30C7F">
        <w:rPr>
          <w:rFonts w:ascii="Times New Roman" w:hAnsi="Times New Roman" w:cs="Times New Roman"/>
          <w:bCs/>
          <w:sz w:val="26"/>
          <w:szCs w:val="26"/>
        </w:rPr>
        <w:t>and found a more</w:t>
      </w:r>
      <w:r w:rsidR="00292EC3">
        <w:rPr>
          <w:rFonts w:ascii="Times New Roman" w:hAnsi="Times New Roman" w:cs="Times New Roman"/>
          <w:bCs/>
          <w:sz w:val="26"/>
          <w:szCs w:val="26"/>
        </w:rPr>
        <w:t xml:space="preserve"> </w:t>
      </w:r>
      <w:r w:rsidRPr="00B84BA1" w:rsidR="00292EC3">
        <w:rPr>
          <w:rFonts w:ascii="Times New Roman" w:hAnsi="Times New Roman" w:cs="Times New Roman"/>
          <w:bCs/>
          <w:sz w:val="26"/>
          <w:szCs w:val="26"/>
        </w:rPr>
        <w:t>specific</w:t>
      </w:r>
      <w:r w:rsidR="00292EC3">
        <w:rPr>
          <w:rFonts w:ascii="Times New Roman" w:hAnsi="Times New Roman" w:cs="Times New Roman"/>
          <w:bCs/>
          <w:sz w:val="26"/>
          <w:szCs w:val="26"/>
        </w:rPr>
        <w:t xml:space="preserve"> and </w:t>
      </w:r>
      <w:r w:rsidRPr="00B84BA1" w:rsidR="00292EC3">
        <w:rPr>
          <w:rFonts w:ascii="Times New Roman" w:hAnsi="Times New Roman" w:cs="Times New Roman"/>
          <w:bCs/>
          <w:sz w:val="26"/>
          <w:szCs w:val="26"/>
        </w:rPr>
        <w:t>restrictive definition would unnecessarily narrow the information that RTOs/ISOs could share and would unnecessarily limit RTOs’/ISOs’ discretion in an area that is well within their responsibility and expertise.</w:t>
      </w:r>
      <w:r w:rsidR="00C00677">
        <w:rPr>
          <w:rFonts w:ascii="Times New Roman" w:hAnsi="Times New Roman" w:cs="Times New Roman"/>
          <w:bCs/>
          <w:sz w:val="26"/>
          <w:szCs w:val="26"/>
        </w:rPr>
        <w:t xml:space="preserve">  </w:t>
      </w:r>
      <w:r>
        <w:rPr>
          <w:rFonts w:ascii="Times New Roman" w:hAnsi="Times New Roman" w:cs="Times New Roman"/>
          <w:bCs/>
          <w:sz w:val="26"/>
          <w:szCs w:val="26"/>
        </w:rPr>
        <w:t>Further</w:t>
      </w:r>
      <w:r w:rsidR="00EE6C71">
        <w:rPr>
          <w:rFonts w:ascii="Times New Roman" w:hAnsi="Times New Roman" w:cs="Times New Roman"/>
          <w:bCs/>
          <w:sz w:val="26"/>
          <w:szCs w:val="26"/>
        </w:rPr>
        <w:t>,</w:t>
      </w:r>
      <w:r>
        <w:rPr>
          <w:rFonts w:ascii="Times New Roman" w:hAnsi="Times New Roman" w:cs="Times New Roman"/>
          <w:bCs/>
          <w:sz w:val="26"/>
          <w:szCs w:val="26"/>
        </w:rPr>
        <w:t xml:space="preserve"> the Commission found </w:t>
      </w:r>
      <w:r w:rsidRPr="00B84BA1">
        <w:rPr>
          <w:rFonts w:ascii="Times New Roman" w:hAnsi="Times New Roman" w:cs="Times New Roman"/>
          <w:bCs/>
          <w:sz w:val="26"/>
          <w:szCs w:val="26"/>
        </w:rPr>
        <w:t>that providing RTOs/ISOs flexibility about what credit</w:t>
      </w:r>
      <w:r w:rsidR="00A8449B">
        <w:rPr>
          <w:rFonts w:ascii="Times New Roman" w:hAnsi="Times New Roman" w:cs="Times New Roman"/>
          <w:bCs/>
          <w:sz w:val="26"/>
          <w:szCs w:val="26"/>
        </w:rPr>
        <w:t>-related</w:t>
      </w:r>
      <w:r w:rsidRPr="00B84BA1">
        <w:rPr>
          <w:rFonts w:ascii="Times New Roman" w:hAnsi="Times New Roman" w:cs="Times New Roman"/>
          <w:bCs/>
          <w:sz w:val="26"/>
          <w:szCs w:val="26"/>
        </w:rPr>
        <w:t xml:space="preserve"> information to share and how to use credit-related information it receives </w:t>
      </w:r>
      <w:r w:rsidR="001806B8">
        <w:rPr>
          <w:rFonts w:ascii="Times New Roman" w:hAnsi="Times New Roman" w:cs="Times New Roman"/>
          <w:bCs/>
          <w:sz w:val="26"/>
          <w:szCs w:val="26"/>
        </w:rPr>
        <w:t>would improve</w:t>
      </w:r>
      <w:r w:rsidRPr="00B84BA1">
        <w:rPr>
          <w:rFonts w:ascii="Times New Roman" w:hAnsi="Times New Roman" w:cs="Times New Roman"/>
          <w:bCs/>
          <w:sz w:val="26"/>
          <w:szCs w:val="26"/>
        </w:rPr>
        <w:t xml:space="preserve"> the RTOs’/ISOs’ ability to mitigate credit risks</w:t>
      </w:r>
      <w:r w:rsidR="001806B8">
        <w:rPr>
          <w:rFonts w:ascii="Times New Roman" w:hAnsi="Times New Roman" w:cs="Times New Roman"/>
          <w:bCs/>
          <w:sz w:val="26"/>
          <w:szCs w:val="26"/>
        </w:rPr>
        <w:t>.</w:t>
      </w:r>
    </w:p>
    <w:p w:rsidR="00C450E1" w:rsidP="00701E2B" w14:paraId="2306888D" w14:textId="77777777">
      <w:pPr>
        <w:spacing w:after="0" w:line="276" w:lineRule="auto"/>
        <w:rPr>
          <w:rFonts w:ascii="Times New Roman" w:hAnsi="Times New Roman" w:cs="Times New Roman"/>
          <w:bCs/>
          <w:sz w:val="26"/>
          <w:szCs w:val="26"/>
        </w:rPr>
      </w:pPr>
    </w:p>
    <w:p w:rsidR="0088525B" w:rsidP="00292EC3" w14:paraId="7599BD4E" w14:textId="650ECD7A">
      <w:pPr>
        <w:spacing w:after="0" w:line="276" w:lineRule="auto"/>
        <w:rPr>
          <w:rFonts w:ascii="Times New Roman" w:hAnsi="Times New Roman" w:cs="Times New Roman"/>
          <w:bCs/>
          <w:sz w:val="26"/>
          <w:szCs w:val="26"/>
        </w:rPr>
      </w:pPr>
      <w:r w:rsidRPr="00B84BA1">
        <w:rPr>
          <w:rFonts w:ascii="Times New Roman" w:hAnsi="Times New Roman" w:cs="Times New Roman"/>
          <w:bCs/>
          <w:sz w:val="26"/>
          <w:szCs w:val="26"/>
        </w:rPr>
        <w:t>Several parties argue</w:t>
      </w:r>
      <w:r>
        <w:rPr>
          <w:rFonts w:ascii="Times New Roman" w:hAnsi="Times New Roman" w:cs="Times New Roman"/>
          <w:bCs/>
          <w:sz w:val="26"/>
          <w:szCs w:val="26"/>
        </w:rPr>
        <w:t>d</w:t>
      </w:r>
      <w:r w:rsidRPr="00B84BA1">
        <w:rPr>
          <w:rFonts w:ascii="Times New Roman" w:hAnsi="Times New Roman" w:cs="Times New Roman"/>
          <w:bCs/>
          <w:sz w:val="26"/>
          <w:szCs w:val="26"/>
        </w:rPr>
        <w:t xml:space="preserve"> that existing </w:t>
      </w:r>
      <w:r w:rsidR="008C1625">
        <w:rPr>
          <w:rFonts w:ascii="Times New Roman" w:hAnsi="Times New Roman" w:cs="Times New Roman"/>
          <w:bCs/>
          <w:sz w:val="26"/>
          <w:szCs w:val="26"/>
        </w:rPr>
        <w:t>tariff</w:t>
      </w:r>
      <w:r w:rsidRPr="00B84BA1">
        <w:rPr>
          <w:rFonts w:ascii="Times New Roman" w:hAnsi="Times New Roman" w:cs="Times New Roman"/>
          <w:bCs/>
          <w:sz w:val="26"/>
          <w:szCs w:val="26"/>
        </w:rPr>
        <w:t xml:space="preserve"> confidentiality provisions are not sufficiently uniform to provide consistent protection to market participants’ credit-related information. </w:t>
      </w:r>
      <w:r w:rsidR="00C00677">
        <w:rPr>
          <w:rFonts w:ascii="Times New Roman" w:hAnsi="Times New Roman" w:cs="Times New Roman"/>
          <w:bCs/>
          <w:sz w:val="26"/>
          <w:szCs w:val="26"/>
        </w:rPr>
        <w:t xml:space="preserve"> </w:t>
      </w:r>
      <w:r w:rsidRPr="00B84BA1">
        <w:rPr>
          <w:rFonts w:ascii="Times New Roman" w:hAnsi="Times New Roman" w:cs="Times New Roman"/>
          <w:bCs/>
          <w:sz w:val="26"/>
          <w:szCs w:val="26"/>
        </w:rPr>
        <w:t>Indicated PJM Utilities and EEI each argue</w:t>
      </w:r>
      <w:r w:rsidR="008E0ABF">
        <w:rPr>
          <w:rFonts w:ascii="Times New Roman" w:hAnsi="Times New Roman" w:cs="Times New Roman"/>
          <w:bCs/>
          <w:sz w:val="26"/>
          <w:szCs w:val="26"/>
        </w:rPr>
        <w:t>d</w:t>
      </w:r>
      <w:r w:rsidRPr="00B84BA1">
        <w:rPr>
          <w:rFonts w:ascii="Times New Roman" w:hAnsi="Times New Roman" w:cs="Times New Roman"/>
          <w:bCs/>
          <w:sz w:val="26"/>
          <w:szCs w:val="26"/>
        </w:rPr>
        <w:t xml:space="preserve"> that the Commission therefore should adopt a uniform confidentiality provision applicable to market participants’ credit-related information across the organized wholesale electric markets.</w:t>
      </w:r>
      <w:r>
        <w:rPr>
          <w:rFonts w:ascii="Times New Roman" w:hAnsi="Times New Roman" w:cs="Times New Roman"/>
          <w:b/>
          <w:bCs/>
          <w:sz w:val="26"/>
          <w:szCs w:val="26"/>
          <w:vertAlign w:val="superscript"/>
        </w:rPr>
        <w:footnoteReference w:id="8"/>
      </w:r>
      <w:r w:rsidR="00401346">
        <w:rPr>
          <w:rFonts w:ascii="Times New Roman" w:hAnsi="Times New Roman" w:cs="Times New Roman"/>
          <w:bCs/>
          <w:sz w:val="26"/>
          <w:szCs w:val="26"/>
        </w:rPr>
        <w:t xml:space="preserve"> </w:t>
      </w:r>
      <w:r w:rsidR="00C00677">
        <w:rPr>
          <w:rFonts w:ascii="Times New Roman" w:hAnsi="Times New Roman" w:cs="Times New Roman"/>
          <w:bCs/>
          <w:sz w:val="26"/>
          <w:szCs w:val="26"/>
        </w:rPr>
        <w:t xml:space="preserve"> </w:t>
      </w:r>
      <w:r w:rsidR="00401346">
        <w:rPr>
          <w:rFonts w:ascii="Times New Roman" w:hAnsi="Times New Roman" w:cs="Times New Roman"/>
          <w:bCs/>
          <w:sz w:val="26"/>
          <w:szCs w:val="26"/>
        </w:rPr>
        <w:t>In response</w:t>
      </w:r>
      <w:r w:rsidR="002E6450">
        <w:rPr>
          <w:rFonts w:ascii="Times New Roman" w:hAnsi="Times New Roman" w:cs="Times New Roman"/>
          <w:bCs/>
          <w:sz w:val="26"/>
          <w:szCs w:val="26"/>
        </w:rPr>
        <w:t>,</w:t>
      </w:r>
      <w:r w:rsidR="00401346">
        <w:rPr>
          <w:rFonts w:ascii="Times New Roman" w:hAnsi="Times New Roman" w:cs="Times New Roman"/>
          <w:bCs/>
          <w:sz w:val="26"/>
          <w:szCs w:val="26"/>
        </w:rPr>
        <w:t xml:space="preserve"> the Commission adopted </w:t>
      </w:r>
      <w:r w:rsidR="00FB76DA">
        <w:rPr>
          <w:rFonts w:ascii="Times New Roman" w:hAnsi="Times New Roman" w:cs="Times New Roman"/>
          <w:bCs/>
          <w:sz w:val="26"/>
          <w:szCs w:val="26"/>
        </w:rPr>
        <w:t xml:space="preserve">the regulations proposed </w:t>
      </w:r>
      <w:r w:rsidRPr="00B84BA1" w:rsidR="00401346">
        <w:rPr>
          <w:rFonts w:ascii="Times New Roman" w:hAnsi="Times New Roman" w:cs="Times New Roman"/>
          <w:bCs/>
          <w:sz w:val="26"/>
          <w:szCs w:val="26"/>
        </w:rPr>
        <w:t xml:space="preserve">in the NOPR to require that an RTO/ISO that receives credit-related information from another RTO/ISO treat that information as it would any other credit-related information received directly from one of its own market participants. </w:t>
      </w:r>
    </w:p>
    <w:p w:rsidR="00FB76DA" w:rsidRPr="00B84BA1" w:rsidP="00292EC3" w14:paraId="24A2ACF5" w14:textId="77777777">
      <w:pPr>
        <w:spacing w:after="0" w:line="276" w:lineRule="auto"/>
        <w:rPr>
          <w:rFonts w:ascii="Times New Roman" w:hAnsi="Times New Roman" w:cs="Times New Roman"/>
          <w:bCs/>
          <w:sz w:val="26"/>
          <w:szCs w:val="26"/>
        </w:rPr>
      </w:pPr>
    </w:p>
    <w:p w:rsidR="00FB76DA" w:rsidP="00535064" w14:paraId="531A15F8" w14:textId="0521DD40">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With respect to the </w:t>
      </w:r>
      <w:r w:rsidR="00F0315C">
        <w:rPr>
          <w:rFonts w:ascii="Times New Roman" w:hAnsi="Times New Roman" w:cs="Times New Roman"/>
          <w:bCs/>
          <w:sz w:val="26"/>
          <w:szCs w:val="26"/>
        </w:rPr>
        <w:t>compliance filing</w:t>
      </w:r>
      <w:r>
        <w:rPr>
          <w:rFonts w:ascii="Times New Roman" w:hAnsi="Times New Roman" w:cs="Times New Roman"/>
          <w:bCs/>
          <w:sz w:val="26"/>
          <w:szCs w:val="26"/>
        </w:rPr>
        <w:t xml:space="preserve"> information collection</w:t>
      </w:r>
      <w:r w:rsidR="00F7371E">
        <w:rPr>
          <w:rFonts w:ascii="Times New Roman" w:hAnsi="Times New Roman" w:cs="Times New Roman"/>
          <w:bCs/>
          <w:sz w:val="26"/>
          <w:szCs w:val="26"/>
        </w:rPr>
        <w:t>,</w:t>
      </w:r>
      <w:r>
        <w:rPr>
          <w:rFonts w:ascii="Times New Roman" w:hAnsi="Times New Roman" w:cs="Times New Roman"/>
          <w:bCs/>
          <w:sz w:val="26"/>
          <w:szCs w:val="26"/>
        </w:rPr>
        <w:t xml:space="preserve"> </w:t>
      </w:r>
      <w:r w:rsidRPr="00CC723F" w:rsidR="00CC723F">
        <w:rPr>
          <w:rFonts w:ascii="Times New Roman" w:hAnsi="Times New Roman" w:cs="Times New Roman"/>
          <w:bCs/>
          <w:sz w:val="26"/>
          <w:szCs w:val="26"/>
        </w:rPr>
        <w:t>New England Power Pool</w:t>
      </w:r>
      <w:r w:rsidR="00CC723F">
        <w:rPr>
          <w:rFonts w:ascii="Times New Roman" w:hAnsi="Times New Roman" w:cs="Times New Roman"/>
          <w:bCs/>
          <w:sz w:val="26"/>
          <w:szCs w:val="26"/>
        </w:rPr>
        <w:t xml:space="preserve"> </w:t>
      </w:r>
      <w:r w:rsidR="00920987">
        <w:rPr>
          <w:rFonts w:ascii="Times New Roman" w:hAnsi="Times New Roman" w:cs="Times New Roman"/>
          <w:bCs/>
          <w:sz w:val="26"/>
          <w:szCs w:val="26"/>
        </w:rPr>
        <w:t xml:space="preserve">Participants Committee </w:t>
      </w:r>
      <w:r w:rsidR="00CC723F">
        <w:rPr>
          <w:rFonts w:ascii="Times New Roman" w:hAnsi="Times New Roman" w:cs="Times New Roman"/>
          <w:bCs/>
          <w:sz w:val="26"/>
          <w:szCs w:val="26"/>
        </w:rPr>
        <w:t>(NEPOOL)</w:t>
      </w:r>
      <w:r w:rsidRPr="00E86F3C">
        <w:rPr>
          <w:rFonts w:ascii="Times New Roman" w:hAnsi="Times New Roman" w:cs="Times New Roman"/>
          <w:bCs/>
          <w:sz w:val="26"/>
          <w:szCs w:val="26"/>
        </w:rPr>
        <w:t xml:space="preserve"> requests that the Commission allow </w:t>
      </w:r>
      <w:r w:rsidR="0017163D">
        <w:rPr>
          <w:rFonts w:ascii="Times New Roman" w:hAnsi="Times New Roman" w:cs="Times New Roman"/>
          <w:bCs/>
          <w:sz w:val="26"/>
          <w:szCs w:val="26"/>
        </w:rPr>
        <w:t xml:space="preserve">RTOs/ISOs </w:t>
      </w:r>
      <w:r w:rsidRPr="00E86F3C">
        <w:rPr>
          <w:rFonts w:ascii="Times New Roman" w:hAnsi="Times New Roman" w:cs="Times New Roman"/>
          <w:bCs/>
          <w:sz w:val="26"/>
          <w:szCs w:val="26"/>
        </w:rPr>
        <w:t>up to 120 days to develop revisions to their OATTs if requested by an RTO/ISO</w:t>
      </w:r>
      <w:r w:rsidR="00CC723F">
        <w:rPr>
          <w:rFonts w:ascii="Times New Roman" w:hAnsi="Times New Roman" w:cs="Times New Roman"/>
          <w:bCs/>
          <w:sz w:val="26"/>
          <w:szCs w:val="26"/>
        </w:rPr>
        <w:t>.</w:t>
      </w:r>
      <w:r>
        <w:rPr>
          <w:rFonts w:ascii="Times New Roman" w:hAnsi="Times New Roman" w:cs="Times New Roman"/>
          <w:b/>
          <w:bCs/>
          <w:sz w:val="26"/>
          <w:szCs w:val="26"/>
          <w:vertAlign w:val="superscript"/>
        </w:rPr>
        <w:footnoteReference w:id="9"/>
      </w:r>
      <w:r w:rsidR="002E3B64">
        <w:rPr>
          <w:rFonts w:ascii="Times New Roman" w:hAnsi="Times New Roman" w:cs="Times New Roman"/>
          <w:bCs/>
          <w:sz w:val="26"/>
          <w:szCs w:val="26"/>
        </w:rPr>
        <w:t xml:space="preserve"> </w:t>
      </w:r>
      <w:r w:rsidR="00E05FD3">
        <w:rPr>
          <w:rFonts w:ascii="Times New Roman" w:hAnsi="Times New Roman" w:cs="Times New Roman"/>
          <w:bCs/>
          <w:sz w:val="26"/>
          <w:szCs w:val="26"/>
        </w:rPr>
        <w:t xml:space="preserve"> </w:t>
      </w:r>
      <w:r w:rsidR="002E3B64">
        <w:rPr>
          <w:rFonts w:ascii="Times New Roman" w:hAnsi="Times New Roman" w:cs="Times New Roman"/>
          <w:bCs/>
          <w:sz w:val="26"/>
          <w:szCs w:val="26"/>
        </w:rPr>
        <w:t>In response</w:t>
      </w:r>
      <w:r w:rsidR="00157E24">
        <w:rPr>
          <w:rFonts w:ascii="Times New Roman" w:hAnsi="Times New Roman" w:cs="Times New Roman"/>
          <w:bCs/>
          <w:sz w:val="26"/>
          <w:szCs w:val="26"/>
        </w:rPr>
        <w:t>,</w:t>
      </w:r>
      <w:r w:rsidR="002E3B64">
        <w:rPr>
          <w:rFonts w:ascii="Times New Roman" w:hAnsi="Times New Roman" w:cs="Times New Roman"/>
          <w:bCs/>
          <w:sz w:val="26"/>
          <w:szCs w:val="26"/>
        </w:rPr>
        <w:t xml:space="preserve"> the Commission </w:t>
      </w:r>
      <w:r w:rsidRPr="00B84BA1" w:rsidR="002E3B64">
        <w:rPr>
          <w:rFonts w:ascii="Times New Roman" w:hAnsi="Times New Roman" w:cs="Times New Roman"/>
          <w:bCs/>
          <w:sz w:val="26"/>
          <w:szCs w:val="26"/>
        </w:rPr>
        <w:t>clarif</w:t>
      </w:r>
      <w:r w:rsidR="002E3B64">
        <w:rPr>
          <w:rFonts w:ascii="Times New Roman" w:hAnsi="Times New Roman" w:cs="Times New Roman"/>
          <w:bCs/>
          <w:sz w:val="26"/>
          <w:szCs w:val="26"/>
        </w:rPr>
        <w:t>ied</w:t>
      </w:r>
      <w:r w:rsidRPr="00B84BA1" w:rsidR="002E3B64">
        <w:rPr>
          <w:rFonts w:ascii="Times New Roman" w:hAnsi="Times New Roman" w:cs="Times New Roman"/>
          <w:bCs/>
          <w:sz w:val="26"/>
          <w:szCs w:val="26"/>
        </w:rPr>
        <w:t xml:space="preserve"> that RTOs/ISOs may ask to extend the 60-day deadline, as necessary</w:t>
      </w:r>
      <w:r w:rsidR="002E3B64">
        <w:rPr>
          <w:rFonts w:ascii="Times New Roman" w:hAnsi="Times New Roman" w:cs="Times New Roman"/>
          <w:bCs/>
          <w:sz w:val="26"/>
          <w:szCs w:val="26"/>
        </w:rPr>
        <w:t>.</w:t>
      </w:r>
    </w:p>
    <w:p w:rsidR="00173291" w:rsidP="00535064" w14:paraId="3A5EE5B8" w14:textId="77777777">
      <w:pPr>
        <w:spacing w:after="0" w:line="276" w:lineRule="auto"/>
        <w:rPr>
          <w:rFonts w:ascii="Times New Roman" w:hAnsi="Times New Roman" w:cs="Times New Roman"/>
          <w:bCs/>
          <w:sz w:val="26"/>
          <w:szCs w:val="26"/>
        </w:rPr>
      </w:pPr>
    </w:p>
    <w:p w:rsidR="00535064" w:rsidP="00535064" w14:paraId="0DEE2A8A" w14:textId="6707F407">
      <w:pPr>
        <w:spacing w:after="0" w:line="276" w:lineRule="auto"/>
        <w:rPr>
          <w:rFonts w:ascii="Times New Roman" w:hAnsi="Times New Roman" w:cs="Times New Roman"/>
          <w:bCs/>
          <w:sz w:val="26"/>
          <w:szCs w:val="26"/>
        </w:rPr>
      </w:pPr>
      <w:r>
        <w:rPr>
          <w:rFonts w:ascii="Times New Roman" w:hAnsi="Times New Roman" w:cs="Times New Roman"/>
          <w:bCs/>
          <w:sz w:val="26"/>
          <w:szCs w:val="26"/>
        </w:rPr>
        <w:t xml:space="preserve">Prior to the NOPR, </w:t>
      </w:r>
      <w:r>
        <w:rPr>
          <w:rFonts w:ascii="Times New Roman" w:hAnsi="Times New Roman" w:cs="Times New Roman"/>
          <w:bCs/>
          <w:sz w:val="26"/>
          <w:szCs w:val="26"/>
        </w:rPr>
        <w:t>i</w:t>
      </w:r>
      <w:r w:rsidRPr="00535064">
        <w:rPr>
          <w:rFonts w:ascii="Times New Roman" w:hAnsi="Times New Roman" w:cs="Times New Roman"/>
          <w:bCs/>
          <w:sz w:val="26"/>
          <w:szCs w:val="26"/>
        </w:rPr>
        <w:t xml:space="preserve">n 2019, </w:t>
      </w:r>
      <w:r w:rsidR="00C0703A">
        <w:rPr>
          <w:rFonts w:ascii="Times New Roman" w:hAnsi="Times New Roman" w:cs="Times New Roman"/>
          <w:bCs/>
          <w:sz w:val="26"/>
          <w:szCs w:val="26"/>
        </w:rPr>
        <w:t>Energy Trading Institute (</w:t>
      </w:r>
      <w:r w:rsidRPr="00535064">
        <w:rPr>
          <w:rFonts w:ascii="Times New Roman" w:hAnsi="Times New Roman" w:cs="Times New Roman"/>
          <w:bCs/>
          <w:sz w:val="26"/>
          <w:szCs w:val="26"/>
        </w:rPr>
        <w:t>ET</w:t>
      </w:r>
      <w:r w:rsidR="00476649">
        <w:rPr>
          <w:rFonts w:ascii="Times New Roman" w:hAnsi="Times New Roman" w:cs="Times New Roman"/>
          <w:bCs/>
          <w:sz w:val="26"/>
          <w:szCs w:val="26"/>
        </w:rPr>
        <w:t>I</w:t>
      </w:r>
      <w:r w:rsidR="00C0703A">
        <w:rPr>
          <w:rFonts w:ascii="Times New Roman" w:hAnsi="Times New Roman" w:cs="Times New Roman"/>
          <w:bCs/>
          <w:sz w:val="26"/>
          <w:szCs w:val="26"/>
        </w:rPr>
        <w:t>)</w:t>
      </w:r>
      <w:r w:rsidR="00476649">
        <w:rPr>
          <w:rFonts w:ascii="Times New Roman" w:hAnsi="Times New Roman" w:cs="Times New Roman"/>
          <w:bCs/>
          <w:sz w:val="26"/>
          <w:szCs w:val="26"/>
        </w:rPr>
        <w:t xml:space="preserve"> </w:t>
      </w:r>
      <w:r w:rsidRPr="00535064">
        <w:rPr>
          <w:rFonts w:ascii="Times New Roman" w:hAnsi="Times New Roman" w:cs="Times New Roman"/>
          <w:bCs/>
          <w:sz w:val="26"/>
          <w:szCs w:val="26"/>
        </w:rPr>
        <w:t>submitted a petition requesting that the Commission convene a technical conference and consider a potential rulemaking to improve RTO/ISO credit practices.</w:t>
      </w:r>
      <w:r>
        <w:rPr>
          <w:rFonts w:ascii="Times New Roman" w:hAnsi="Times New Roman" w:cs="Times New Roman"/>
          <w:b/>
          <w:bCs/>
          <w:sz w:val="26"/>
          <w:szCs w:val="26"/>
          <w:vertAlign w:val="superscript"/>
        </w:rPr>
        <w:footnoteReference w:id="10"/>
      </w:r>
      <w:r w:rsidRPr="00535064">
        <w:rPr>
          <w:rFonts w:ascii="Times New Roman" w:hAnsi="Times New Roman" w:cs="Times New Roman"/>
          <w:bCs/>
          <w:sz w:val="26"/>
          <w:szCs w:val="26"/>
        </w:rPr>
        <w:t xml:space="preserve">  In response to ETI’s petition, the Commission received comments suggesting that the industry would benefit from a discussion about best practices and the differences among RTO/ISO credit policies.</w:t>
      </w:r>
      <w:r w:rsidR="002E3B64">
        <w:rPr>
          <w:rFonts w:ascii="Times New Roman" w:hAnsi="Times New Roman" w:cs="Times New Roman"/>
          <w:bCs/>
          <w:sz w:val="26"/>
          <w:szCs w:val="26"/>
        </w:rPr>
        <w:t xml:space="preserve"> </w:t>
      </w:r>
    </w:p>
    <w:p w:rsidR="00535064" w:rsidP="00535064" w14:paraId="08B6664D" w14:textId="77777777">
      <w:pPr>
        <w:spacing w:after="0" w:line="276" w:lineRule="auto"/>
        <w:rPr>
          <w:rFonts w:ascii="Times New Roman" w:hAnsi="Times New Roman" w:cs="Times New Roman"/>
          <w:bCs/>
          <w:sz w:val="26"/>
          <w:szCs w:val="26"/>
        </w:rPr>
      </w:pPr>
    </w:p>
    <w:p w:rsidR="000B4905" w:rsidP="00535064" w14:paraId="193592AF" w14:textId="73E490A9">
      <w:pPr>
        <w:spacing w:after="0" w:line="276" w:lineRule="auto"/>
        <w:rPr>
          <w:rFonts w:ascii="Times New Roman" w:hAnsi="Times New Roman" w:cs="Times New Roman"/>
          <w:bCs/>
          <w:sz w:val="26"/>
          <w:szCs w:val="26"/>
        </w:rPr>
      </w:pPr>
      <w:r>
        <w:rPr>
          <w:rFonts w:ascii="Times New Roman" w:hAnsi="Times New Roman" w:cs="Times New Roman"/>
          <w:bCs/>
          <w:sz w:val="26"/>
          <w:szCs w:val="26"/>
        </w:rPr>
        <w:t>Following this petition, the Commission organized a technical conference o</w:t>
      </w:r>
      <w:r w:rsidRPr="00535064">
        <w:rPr>
          <w:rFonts w:ascii="Times New Roman" w:hAnsi="Times New Roman" w:cs="Times New Roman"/>
          <w:bCs/>
          <w:sz w:val="26"/>
          <w:szCs w:val="26"/>
        </w:rPr>
        <w:t>n February 25 and 26, 2021</w:t>
      </w:r>
      <w:r>
        <w:rPr>
          <w:rFonts w:ascii="Times New Roman" w:hAnsi="Times New Roman" w:cs="Times New Roman"/>
          <w:bCs/>
          <w:sz w:val="26"/>
          <w:szCs w:val="26"/>
        </w:rPr>
        <w:t>.  During the conference</w:t>
      </w:r>
      <w:r w:rsidR="001C6EF8">
        <w:rPr>
          <w:rFonts w:ascii="Times New Roman" w:hAnsi="Times New Roman" w:cs="Times New Roman"/>
          <w:bCs/>
          <w:sz w:val="26"/>
          <w:szCs w:val="26"/>
        </w:rPr>
        <w:t>,</w:t>
      </w:r>
      <w:r w:rsidRPr="00535064">
        <w:rPr>
          <w:rFonts w:ascii="Times New Roman" w:hAnsi="Times New Roman" w:cs="Times New Roman"/>
          <w:bCs/>
          <w:sz w:val="26"/>
          <w:szCs w:val="26"/>
        </w:rPr>
        <w:t xml:space="preserve"> Commission staff </w:t>
      </w:r>
      <w:r>
        <w:rPr>
          <w:rFonts w:ascii="Times New Roman" w:hAnsi="Times New Roman" w:cs="Times New Roman"/>
          <w:bCs/>
          <w:sz w:val="26"/>
          <w:szCs w:val="26"/>
        </w:rPr>
        <w:t xml:space="preserve">and panelists </w:t>
      </w:r>
      <w:r w:rsidRPr="00535064">
        <w:rPr>
          <w:rFonts w:ascii="Times New Roman" w:hAnsi="Times New Roman" w:cs="Times New Roman"/>
          <w:bCs/>
          <w:sz w:val="26"/>
          <w:szCs w:val="26"/>
        </w:rPr>
        <w:t>discuss</w:t>
      </w:r>
      <w:r>
        <w:rPr>
          <w:rFonts w:ascii="Times New Roman" w:hAnsi="Times New Roman" w:cs="Times New Roman"/>
          <w:bCs/>
          <w:sz w:val="26"/>
          <w:szCs w:val="26"/>
        </w:rPr>
        <w:t>ed</w:t>
      </w:r>
      <w:r w:rsidRPr="00535064">
        <w:rPr>
          <w:rFonts w:ascii="Times New Roman" w:hAnsi="Times New Roman" w:cs="Times New Roman"/>
          <w:bCs/>
          <w:sz w:val="26"/>
          <w:szCs w:val="26"/>
        </w:rPr>
        <w:t xml:space="preserve"> principles and best practices for credit risk management in organized wholesale electric markets.  Panelists at the technical conference included credit risk experts, market participants with experience in RTO/ISO credit policy compliance, and RTO/ISO risk officers. </w:t>
      </w:r>
      <w:r w:rsidR="00204C54">
        <w:rPr>
          <w:rFonts w:ascii="Times New Roman" w:hAnsi="Times New Roman" w:cs="Times New Roman"/>
          <w:bCs/>
          <w:sz w:val="26"/>
          <w:szCs w:val="26"/>
        </w:rPr>
        <w:t xml:space="preserve"> </w:t>
      </w:r>
      <w:r w:rsidRPr="00535064">
        <w:rPr>
          <w:rFonts w:ascii="Times New Roman" w:hAnsi="Times New Roman" w:cs="Times New Roman"/>
          <w:bCs/>
          <w:sz w:val="26"/>
          <w:szCs w:val="26"/>
        </w:rPr>
        <w:t xml:space="preserve">Panelists </w:t>
      </w:r>
      <w:r>
        <w:rPr>
          <w:rFonts w:ascii="Times New Roman" w:hAnsi="Times New Roman" w:cs="Times New Roman"/>
          <w:bCs/>
          <w:sz w:val="26"/>
          <w:szCs w:val="26"/>
        </w:rPr>
        <w:t xml:space="preserve">also </w:t>
      </w:r>
      <w:r w:rsidRPr="00535064">
        <w:rPr>
          <w:rFonts w:ascii="Times New Roman" w:hAnsi="Times New Roman" w:cs="Times New Roman"/>
          <w:bCs/>
          <w:sz w:val="26"/>
          <w:szCs w:val="26"/>
        </w:rPr>
        <w:t>emphasized that there could be risk management benefits from sharing market participants’ credit-related information among RTO/ISO credit departments.</w:t>
      </w:r>
      <w:r>
        <w:rPr>
          <w:rFonts w:ascii="Times New Roman" w:hAnsi="Times New Roman" w:cs="Times New Roman"/>
          <w:b/>
          <w:bCs/>
          <w:sz w:val="26"/>
          <w:szCs w:val="26"/>
          <w:vertAlign w:val="superscript"/>
        </w:rPr>
        <w:footnoteReference w:id="11"/>
      </w:r>
      <w:r w:rsidRPr="00535064">
        <w:rPr>
          <w:rFonts w:ascii="Times New Roman" w:hAnsi="Times New Roman" w:cs="Times New Roman"/>
          <w:bCs/>
          <w:sz w:val="26"/>
          <w:szCs w:val="26"/>
        </w:rPr>
        <w:t xml:space="preserve">  </w:t>
      </w:r>
    </w:p>
    <w:p w:rsidR="000B4905" w:rsidP="00535064" w14:paraId="077F2546" w14:textId="77777777">
      <w:pPr>
        <w:spacing w:after="0" w:line="276" w:lineRule="auto"/>
        <w:rPr>
          <w:rFonts w:ascii="Times New Roman" w:hAnsi="Times New Roman" w:cs="Times New Roman"/>
          <w:bCs/>
          <w:sz w:val="26"/>
          <w:szCs w:val="26"/>
        </w:rPr>
      </w:pPr>
    </w:p>
    <w:p w:rsidR="000B4905" w:rsidRPr="000B4905" w:rsidP="000B4905" w14:paraId="0115EA2F" w14:textId="0729FD78">
      <w:pPr>
        <w:spacing w:after="0" w:line="276" w:lineRule="auto"/>
        <w:rPr>
          <w:rFonts w:ascii="Times New Roman" w:hAnsi="Times New Roman" w:cs="Times New Roman"/>
          <w:bCs/>
          <w:sz w:val="26"/>
          <w:szCs w:val="26"/>
        </w:rPr>
      </w:pPr>
      <w:r>
        <w:rPr>
          <w:rFonts w:ascii="Times New Roman" w:hAnsi="Times New Roman" w:cs="Times New Roman"/>
          <w:bCs/>
          <w:sz w:val="26"/>
          <w:szCs w:val="26"/>
        </w:rPr>
        <w:t>The Commission further solicited post-technical conference comments and received several on the topic of information sharing between RTO</w:t>
      </w:r>
      <w:r w:rsidR="0006195E">
        <w:rPr>
          <w:rFonts w:ascii="Times New Roman" w:hAnsi="Times New Roman" w:cs="Times New Roman"/>
          <w:bCs/>
          <w:sz w:val="26"/>
          <w:szCs w:val="26"/>
        </w:rPr>
        <w:t>s</w:t>
      </w:r>
      <w:r>
        <w:rPr>
          <w:rFonts w:ascii="Times New Roman" w:hAnsi="Times New Roman" w:cs="Times New Roman"/>
          <w:bCs/>
          <w:sz w:val="26"/>
          <w:szCs w:val="26"/>
        </w:rPr>
        <w:t xml:space="preserve">/ISOs.  </w:t>
      </w:r>
      <w:r w:rsidRPr="005D5C5B" w:rsidR="005D5C5B">
        <w:rPr>
          <w:rFonts w:ascii="Times New Roman" w:hAnsi="Times New Roman" w:cs="Times New Roman"/>
          <w:bCs/>
          <w:sz w:val="26"/>
          <w:szCs w:val="26"/>
        </w:rPr>
        <w:t xml:space="preserve">The </w:t>
      </w:r>
      <w:r w:rsidR="009A6AF5">
        <w:rPr>
          <w:rFonts w:ascii="Times New Roman" w:hAnsi="Times New Roman" w:cs="Times New Roman"/>
          <w:bCs/>
          <w:sz w:val="26"/>
          <w:szCs w:val="26"/>
        </w:rPr>
        <w:t xml:space="preserve">IRC </w:t>
      </w:r>
      <w:r w:rsidRPr="005D5C5B" w:rsidR="005D5C5B">
        <w:rPr>
          <w:rFonts w:ascii="Times New Roman" w:hAnsi="Times New Roman" w:cs="Times New Roman"/>
          <w:bCs/>
          <w:sz w:val="26"/>
          <w:szCs w:val="26"/>
        </w:rPr>
        <w:t>advocate</w:t>
      </w:r>
      <w:r w:rsidR="007E5D89">
        <w:rPr>
          <w:rFonts w:ascii="Times New Roman" w:hAnsi="Times New Roman" w:cs="Times New Roman"/>
          <w:bCs/>
          <w:sz w:val="26"/>
          <w:szCs w:val="26"/>
        </w:rPr>
        <w:t>d</w:t>
      </w:r>
      <w:r w:rsidRPr="005D5C5B" w:rsidR="005D5C5B">
        <w:rPr>
          <w:rFonts w:ascii="Times New Roman" w:hAnsi="Times New Roman" w:cs="Times New Roman"/>
          <w:bCs/>
          <w:sz w:val="26"/>
          <w:szCs w:val="26"/>
        </w:rPr>
        <w:t xml:space="preserve"> for the Commission to require RTOs/ISOs to adopt tariff revisions implementing a </w:t>
      </w:r>
      <w:r w:rsidRPr="005D5C5B" w:rsidR="005D5C5B">
        <w:rPr>
          <w:rFonts w:ascii="Times New Roman" w:hAnsi="Times New Roman" w:cs="Times New Roman"/>
          <w:bCs/>
          <w:sz w:val="26"/>
          <w:szCs w:val="26"/>
        </w:rPr>
        <w:t>permissive credit-related information sharing policy and provide</w:t>
      </w:r>
      <w:r w:rsidR="009029F6">
        <w:rPr>
          <w:rFonts w:ascii="Times New Roman" w:hAnsi="Times New Roman" w:cs="Times New Roman"/>
          <w:bCs/>
          <w:sz w:val="26"/>
          <w:szCs w:val="26"/>
        </w:rPr>
        <w:t>d</w:t>
      </w:r>
      <w:r w:rsidRPr="005D5C5B" w:rsidR="005D5C5B">
        <w:rPr>
          <w:rFonts w:ascii="Times New Roman" w:hAnsi="Times New Roman" w:cs="Times New Roman"/>
          <w:bCs/>
          <w:sz w:val="26"/>
          <w:szCs w:val="26"/>
        </w:rPr>
        <w:t xml:space="preserve"> a list of the kinds of credit-related information that could be shared.</w:t>
      </w:r>
      <w:r>
        <w:rPr>
          <w:rFonts w:ascii="Times New Roman" w:hAnsi="Times New Roman" w:cs="Times New Roman"/>
          <w:b/>
          <w:bCs/>
          <w:sz w:val="26"/>
          <w:szCs w:val="26"/>
          <w:vertAlign w:val="superscript"/>
        </w:rPr>
        <w:footnoteReference w:id="12"/>
      </w:r>
      <w:r w:rsidRPr="005D5C5B" w:rsidR="005D5C5B">
        <w:rPr>
          <w:rFonts w:ascii="Times New Roman" w:hAnsi="Times New Roman" w:cs="Times New Roman"/>
          <w:bCs/>
          <w:sz w:val="26"/>
          <w:szCs w:val="26"/>
        </w:rPr>
        <w:t xml:space="preserve">  </w:t>
      </w:r>
      <w:r w:rsidRPr="007E5D89" w:rsidR="007E5D89">
        <w:rPr>
          <w:rFonts w:ascii="Times New Roman" w:hAnsi="Times New Roman" w:cs="Times New Roman"/>
          <w:bCs/>
          <w:sz w:val="26"/>
          <w:szCs w:val="26"/>
        </w:rPr>
        <w:t xml:space="preserve">ETI </w:t>
      </w:r>
      <w:r w:rsidR="007E5D89">
        <w:rPr>
          <w:rFonts w:ascii="Times New Roman" w:hAnsi="Times New Roman" w:cs="Times New Roman"/>
          <w:bCs/>
          <w:sz w:val="26"/>
          <w:szCs w:val="26"/>
        </w:rPr>
        <w:t>commented</w:t>
      </w:r>
      <w:r w:rsidRPr="007E5D89" w:rsidR="007E5D89">
        <w:rPr>
          <w:rFonts w:ascii="Times New Roman" w:hAnsi="Times New Roman" w:cs="Times New Roman"/>
          <w:bCs/>
          <w:sz w:val="26"/>
          <w:szCs w:val="26"/>
        </w:rPr>
        <w:t xml:space="preserve"> that one potential risk with information sharing across RTOs/ISOs is that it would trigger the RTOs/ISOs to limit or suspend market activity to the detriment of that market participant</w:t>
      </w:r>
      <w:r w:rsidRPr="000B4905">
        <w:rPr>
          <w:rFonts w:ascii="Times New Roman" w:hAnsi="Times New Roman" w:cs="Times New Roman"/>
          <w:bCs/>
          <w:sz w:val="26"/>
          <w:szCs w:val="26"/>
        </w:rPr>
        <w:t>.</w:t>
      </w:r>
      <w:r>
        <w:rPr>
          <w:rFonts w:ascii="Times New Roman" w:hAnsi="Times New Roman" w:cs="Times New Roman"/>
          <w:b/>
          <w:bCs/>
          <w:sz w:val="26"/>
          <w:szCs w:val="26"/>
          <w:vertAlign w:val="superscript"/>
        </w:rPr>
        <w:footnoteReference w:id="13"/>
      </w:r>
      <w:r w:rsidRPr="000B4905">
        <w:rPr>
          <w:rFonts w:ascii="Times New Roman" w:hAnsi="Times New Roman" w:cs="Times New Roman"/>
          <w:sz w:val="26"/>
        </w:rPr>
        <w:t xml:space="preserve"> </w:t>
      </w:r>
      <w:r>
        <w:rPr>
          <w:rFonts w:ascii="Times New Roman" w:hAnsi="Times New Roman" w:cs="Times New Roman"/>
          <w:sz w:val="26"/>
        </w:rPr>
        <w:t xml:space="preserve"> </w:t>
      </w:r>
      <w:r w:rsidRPr="000B4905">
        <w:rPr>
          <w:rFonts w:ascii="Times New Roman" w:hAnsi="Times New Roman" w:cs="Times New Roman"/>
          <w:bCs/>
          <w:sz w:val="26"/>
          <w:szCs w:val="26"/>
        </w:rPr>
        <w:t>NEPOOL comment</w:t>
      </w:r>
      <w:r w:rsidR="001A5FE8">
        <w:rPr>
          <w:rFonts w:ascii="Times New Roman" w:hAnsi="Times New Roman" w:cs="Times New Roman"/>
          <w:bCs/>
          <w:sz w:val="26"/>
          <w:szCs w:val="26"/>
        </w:rPr>
        <w:t>ed</w:t>
      </w:r>
      <w:r w:rsidRPr="000B4905">
        <w:rPr>
          <w:rFonts w:ascii="Times New Roman" w:hAnsi="Times New Roman" w:cs="Times New Roman"/>
          <w:bCs/>
          <w:sz w:val="26"/>
          <w:szCs w:val="26"/>
        </w:rPr>
        <w:t xml:space="preserve"> that, while the general proposal to allow for the sharing of confidential information among RTOs/ISOs might be reasonable, the details to accomplish that proposal need to be considered within each RTO/ISO prior to any Commission action.</w:t>
      </w:r>
      <w:r>
        <w:rPr>
          <w:rFonts w:ascii="Times New Roman" w:hAnsi="Times New Roman" w:cs="Times New Roman"/>
          <w:b/>
          <w:bCs/>
          <w:sz w:val="26"/>
          <w:szCs w:val="26"/>
          <w:vertAlign w:val="superscript"/>
        </w:rPr>
        <w:footnoteReference w:id="14"/>
      </w:r>
    </w:p>
    <w:p w:rsidR="003C5939" w:rsidP="005E5E49" w14:paraId="33F249F0" w14:textId="05B51A27">
      <w:pPr>
        <w:spacing w:after="0" w:line="276" w:lineRule="auto"/>
        <w:rPr>
          <w:rFonts w:ascii="Times New Roman" w:hAnsi="Times New Roman" w:cs="Times New Roman"/>
          <w:bCs/>
          <w:sz w:val="26"/>
          <w:szCs w:val="26"/>
        </w:rPr>
      </w:pPr>
    </w:p>
    <w:p w:rsidR="00EE07DD" w:rsidRPr="001A153B" w:rsidP="005E5E49" w14:paraId="2CC2D2C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rsidR="00EE07DD" w:rsidRPr="001A153B" w:rsidP="005E5E49" w14:paraId="491E0958" w14:textId="77777777">
      <w:pPr>
        <w:spacing w:after="0" w:line="276" w:lineRule="auto"/>
        <w:rPr>
          <w:rFonts w:ascii="Times New Roman" w:hAnsi="Times New Roman" w:cs="Times New Roman"/>
          <w:sz w:val="26"/>
          <w:szCs w:val="26"/>
        </w:rPr>
      </w:pPr>
    </w:p>
    <w:p w:rsidR="00EE07DD" w:rsidRPr="001A153B" w:rsidP="005E5E49" w14:paraId="20594D03" w14:textId="0978F79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w:t>
      </w:r>
      <w:r w:rsidR="009D62CD">
        <w:rPr>
          <w:rFonts w:ascii="Times New Roman" w:hAnsi="Times New Roman" w:cs="Times New Roman"/>
          <w:sz w:val="26"/>
          <w:szCs w:val="26"/>
        </w:rPr>
        <w:t>to</w:t>
      </w:r>
      <w:r w:rsidRPr="001A153B">
        <w:rPr>
          <w:rFonts w:ascii="Times New Roman" w:hAnsi="Times New Roman" w:cs="Times New Roman"/>
          <w:sz w:val="26"/>
          <w:szCs w:val="26"/>
        </w:rPr>
        <w:t xml:space="preserve"> respondents related to </w:t>
      </w:r>
      <w:r w:rsidRPr="001A153B" w:rsidR="003009CB">
        <w:rPr>
          <w:rFonts w:ascii="Times New Roman" w:hAnsi="Times New Roman" w:cs="Times New Roman"/>
          <w:sz w:val="26"/>
          <w:szCs w:val="26"/>
        </w:rPr>
        <w:t>th</w:t>
      </w:r>
      <w:r w:rsidR="002671BE">
        <w:rPr>
          <w:rFonts w:ascii="Times New Roman" w:hAnsi="Times New Roman" w:cs="Times New Roman"/>
          <w:sz w:val="26"/>
          <w:szCs w:val="26"/>
        </w:rPr>
        <w:t>ese</w:t>
      </w:r>
      <w:r w:rsidRPr="001A153B" w:rsidR="003009CB">
        <w:rPr>
          <w:rFonts w:ascii="Times New Roman" w:hAnsi="Times New Roman" w:cs="Times New Roman"/>
          <w:sz w:val="26"/>
          <w:szCs w:val="26"/>
        </w:rPr>
        <w:t xml:space="preserve"> </w:t>
      </w:r>
      <w:r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Pr="001A153B">
        <w:rPr>
          <w:rFonts w:ascii="Times New Roman" w:hAnsi="Times New Roman" w:cs="Times New Roman"/>
          <w:sz w:val="26"/>
          <w:szCs w:val="26"/>
        </w:rPr>
        <w:t>.</w:t>
      </w:r>
    </w:p>
    <w:p w:rsidR="00EE07DD" w:rsidRPr="001A153B" w:rsidP="005E5E49" w14:paraId="1CEC2FFA" w14:textId="77777777">
      <w:pPr>
        <w:spacing w:after="0" w:line="276" w:lineRule="auto"/>
        <w:rPr>
          <w:rFonts w:ascii="Times New Roman" w:hAnsi="Times New Roman" w:cs="Times New Roman"/>
          <w:sz w:val="26"/>
          <w:szCs w:val="26"/>
        </w:rPr>
      </w:pPr>
    </w:p>
    <w:p w:rsidR="00EE07DD" w:rsidRPr="001A153B" w:rsidP="005E5E49" w14:paraId="2BF9530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rsidR="007E6F9B" w:rsidP="005E5E49" w14:paraId="4604389F" w14:textId="4A2E2045">
      <w:pPr>
        <w:spacing w:after="0" w:line="276" w:lineRule="auto"/>
        <w:rPr>
          <w:rFonts w:ascii="Times New Roman" w:hAnsi="Times New Roman" w:cs="Times New Roman"/>
          <w:sz w:val="26"/>
          <w:szCs w:val="26"/>
        </w:rPr>
      </w:pPr>
    </w:p>
    <w:p w:rsidR="00E95DE8" w:rsidP="005E5E49" w14:paraId="6698E55C" w14:textId="43BC1171">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The </w:t>
      </w:r>
      <w:r w:rsidR="00752F1A">
        <w:rPr>
          <w:rFonts w:ascii="Times New Roman" w:hAnsi="Times New Roman" w:cs="Times New Roman"/>
          <w:sz w:val="26"/>
          <w:szCs w:val="26"/>
        </w:rPr>
        <w:t xml:space="preserve">compliance filing </w:t>
      </w:r>
      <w:r w:rsidR="00ED682D">
        <w:rPr>
          <w:rFonts w:ascii="Times New Roman" w:hAnsi="Times New Roman" w:cs="Times New Roman"/>
          <w:sz w:val="26"/>
          <w:szCs w:val="26"/>
        </w:rPr>
        <w:t xml:space="preserve">made by each RTO/ISO </w:t>
      </w:r>
      <w:r w:rsidR="00165540">
        <w:rPr>
          <w:rFonts w:ascii="Times New Roman" w:hAnsi="Times New Roman" w:cs="Times New Roman"/>
          <w:sz w:val="26"/>
          <w:szCs w:val="26"/>
        </w:rPr>
        <w:t xml:space="preserve">will be considered public information when submitted to the Commission. </w:t>
      </w:r>
      <w:r w:rsidR="004C5D3B">
        <w:rPr>
          <w:rFonts w:ascii="Times New Roman" w:hAnsi="Times New Roman" w:cs="Times New Roman"/>
          <w:sz w:val="26"/>
          <w:szCs w:val="26"/>
        </w:rPr>
        <w:t xml:space="preserve"> </w:t>
      </w:r>
      <w:r w:rsidR="00165540">
        <w:rPr>
          <w:rFonts w:ascii="Times New Roman" w:hAnsi="Times New Roman" w:cs="Times New Roman"/>
          <w:sz w:val="26"/>
          <w:szCs w:val="26"/>
        </w:rPr>
        <w:t xml:space="preserve">However, </w:t>
      </w:r>
      <w:r w:rsidR="004C5D3B">
        <w:rPr>
          <w:rFonts w:ascii="Times New Roman" w:hAnsi="Times New Roman" w:cs="Times New Roman"/>
          <w:sz w:val="26"/>
          <w:szCs w:val="26"/>
        </w:rPr>
        <w:t>c</w:t>
      </w:r>
      <w:r w:rsidR="00EE183A">
        <w:rPr>
          <w:rFonts w:ascii="Times New Roman" w:hAnsi="Times New Roman" w:cs="Times New Roman"/>
          <w:sz w:val="26"/>
          <w:szCs w:val="26"/>
        </w:rPr>
        <w:t>redit-related</w:t>
      </w:r>
      <w:r>
        <w:rPr>
          <w:rFonts w:ascii="Times New Roman" w:hAnsi="Times New Roman" w:cs="Times New Roman"/>
          <w:sz w:val="26"/>
          <w:szCs w:val="26"/>
        </w:rPr>
        <w:t xml:space="preserve"> information</w:t>
      </w:r>
      <w:r w:rsidR="00835A7B">
        <w:rPr>
          <w:rFonts w:ascii="Times New Roman" w:hAnsi="Times New Roman" w:cs="Times New Roman"/>
          <w:sz w:val="26"/>
          <w:szCs w:val="26"/>
        </w:rPr>
        <w:t xml:space="preserve"> that is</w:t>
      </w:r>
      <w:r>
        <w:rPr>
          <w:rFonts w:ascii="Times New Roman" w:hAnsi="Times New Roman" w:cs="Times New Roman"/>
          <w:sz w:val="26"/>
          <w:szCs w:val="26"/>
        </w:rPr>
        <w:t xml:space="preserve"> </w:t>
      </w:r>
      <w:r w:rsidR="00635170">
        <w:rPr>
          <w:rFonts w:ascii="Times New Roman" w:hAnsi="Times New Roman" w:cs="Times New Roman"/>
          <w:sz w:val="26"/>
          <w:szCs w:val="26"/>
        </w:rPr>
        <w:t xml:space="preserve">shared among RTOs/ISOs </w:t>
      </w:r>
      <w:r w:rsidR="001C5D74">
        <w:rPr>
          <w:rFonts w:ascii="Times New Roman" w:hAnsi="Times New Roman" w:cs="Times New Roman"/>
          <w:sz w:val="26"/>
          <w:szCs w:val="26"/>
        </w:rPr>
        <w:t xml:space="preserve">after </w:t>
      </w:r>
      <w:r w:rsidR="00ED682D">
        <w:rPr>
          <w:rFonts w:ascii="Times New Roman" w:hAnsi="Times New Roman" w:cs="Times New Roman"/>
          <w:sz w:val="26"/>
          <w:szCs w:val="26"/>
        </w:rPr>
        <w:t xml:space="preserve">the Commission acts on these </w:t>
      </w:r>
      <w:r w:rsidR="001C5D74">
        <w:rPr>
          <w:rFonts w:ascii="Times New Roman" w:hAnsi="Times New Roman" w:cs="Times New Roman"/>
          <w:sz w:val="26"/>
          <w:szCs w:val="26"/>
        </w:rPr>
        <w:t xml:space="preserve">compliance filing </w:t>
      </w:r>
      <w:r>
        <w:rPr>
          <w:rFonts w:ascii="Times New Roman" w:hAnsi="Times New Roman" w:cs="Times New Roman"/>
          <w:sz w:val="26"/>
          <w:szCs w:val="26"/>
        </w:rPr>
        <w:t>is not intended to be shared with the Commission</w:t>
      </w:r>
      <w:r w:rsidR="00BD722F">
        <w:rPr>
          <w:rFonts w:ascii="Times New Roman" w:hAnsi="Times New Roman" w:cs="Times New Roman"/>
          <w:sz w:val="26"/>
          <w:szCs w:val="26"/>
        </w:rPr>
        <w:t>.</w:t>
      </w:r>
      <w:r w:rsidR="00B0186C">
        <w:rPr>
          <w:rFonts w:ascii="Times New Roman" w:hAnsi="Times New Roman" w:cs="Times New Roman"/>
          <w:sz w:val="26"/>
          <w:szCs w:val="26"/>
        </w:rPr>
        <w:t xml:space="preserve"> </w:t>
      </w:r>
      <w:r w:rsidR="00F90349">
        <w:rPr>
          <w:rFonts w:ascii="Times New Roman" w:hAnsi="Times New Roman" w:cs="Times New Roman"/>
          <w:sz w:val="26"/>
          <w:szCs w:val="26"/>
        </w:rPr>
        <w:t xml:space="preserve"> </w:t>
      </w:r>
      <w:r w:rsidR="00B0186C">
        <w:rPr>
          <w:rFonts w:ascii="Times New Roman" w:hAnsi="Times New Roman" w:cs="Times New Roman"/>
          <w:sz w:val="26"/>
          <w:szCs w:val="26"/>
        </w:rPr>
        <w:t xml:space="preserve">Furthermore, credit-related information </w:t>
      </w:r>
      <w:r w:rsidR="00680437">
        <w:rPr>
          <w:rFonts w:ascii="Times New Roman" w:hAnsi="Times New Roman" w:cs="Times New Roman"/>
          <w:sz w:val="26"/>
          <w:szCs w:val="26"/>
        </w:rPr>
        <w:t xml:space="preserve">would be protected </w:t>
      </w:r>
      <w:r w:rsidR="00B77B14">
        <w:rPr>
          <w:rFonts w:ascii="Times New Roman" w:hAnsi="Times New Roman" w:cs="Times New Roman"/>
          <w:sz w:val="26"/>
          <w:szCs w:val="26"/>
        </w:rPr>
        <w:t>consistent with</w:t>
      </w:r>
      <w:r w:rsidR="00800156">
        <w:rPr>
          <w:rFonts w:ascii="Times New Roman" w:hAnsi="Times New Roman" w:cs="Times New Roman"/>
          <w:sz w:val="26"/>
          <w:szCs w:val="26"/>
        </w:rPr>
        <w:t xml:space="preserve"> each</w:t>
      </w:r>
      <w:r w:rsidR="00B77B14">
        <w:rPr>
          <w:rFonts w:ascii="Times New Roman" w:hAnsi="Times New Roman" w:cs="Times New Roman"/>
          <w:sz w:val="26"/>
          <w:szCs w:val="26"/>
        </w:rPr>
        <w:t xml:space="preserve"> RT</w:t>
      </w:r>
      <w:r w:rsidR="00E22331">
        <w:rPr>
          <w:rFonts w:ascii="Times New Roman" w:hAnsi="Times New Roman" w:cs="Times New Roman"/>
          <w:sz w:val="26"/>
          <w:szCs w:val="26"/>
        </w:rPr>
        <w:t>O</w:t>
      </w:r>
      <w:r w:rsidR="00921214">
        <w:rPr>
          <w:rFonts w:ascii="Times New Roman" w:hAnsi="Times New Roman" w:cs="Times New Roman"/>
          <w:sz w:val="26"/>
          <w:szCs w:val="26"/>
        </w:rPr>
        <w:t>’</w:t>
      </w:r>
      <w:r w:rsidR="00E22331">
        <w:rPr>
          <w:rFonts w:ascii="Times New Roman" w:hAnsi="Times New Roman" w:cs="Times New Roman"/>
          <w:sz w:val="26"/>
          <w:szCs w:val="26"/>
        </w:rPr>
        <w:t>s/ISO</w:t>
      </w:r>
      <w:r w:rsidR="00921214">
        <w:rPr>
          <w:rFonts w:ascii="Times New Roman" w:hAnsi="Times New Roman" w:cs="Times New Roman"/>
          <w:sz w:val="26"/>
          <w:szCs w:val="26"/>
        </w:rPr>
        <w:t>’</w:t>
      </w:r>
      <w:r w:rsidR="00E22331">
        <w:rPr>
          <w:rFonts w:ascii="Times New Roman" w:hAnsi="Times New Roman" w:cs="Times New Roman"/>
          <w:sz w:val="26"/>
          <w:szCs w:val="26"/>
        </w:rPr>
        <w:t xml:space="preserve">s </w:t>
      </w:r>
      <w:r w:rsidR="00800156">
        <w:rPr>
          <w:rFonts w:ascii="Times New Roman" w:hAnsi="Times New Roman" w:cs="Times New Roman"/>
          <w:sz w:val="26"/>
          <w:szCs w:val="26"/>
        </w:rPr>
        <w:t>confidentiality provisions.</w:t>
      </w:r>
    </w:p>
    <w:p w:rsidR="00E95DE8" w:rsidRPr="001A153B" w:rsidP="005E5E49" w14:paraId="277DAA48" w14:textId="77777777">
      <w:pPr>
        <w:spacing w:after="0" w:line="276" w:lineRule="auto"/>
        <w:rPr>
          <w:rFonts w:ascii="Times New Roman" w:hAnsi="Times New Roman" w:cs="Times New Roman"/>
          <w:sz w:val="26"/>
          <w:szCs w:val="26"/>
        </w:rPr>
      </w:pPr>
    </w:p>
    <w:p w:rsidR="00EE07DD" w:rsidRPr="001A153B" w:rsidP="005E5E49" w14:paraId="5267E9C2" w14:textId="77777777">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EE07DD" w:rsidRPr="001A153B" w:rsidP="005E5E49" w14:paraId="777F88C5" w14:textId="77777777">
      <w:pPr>
        <w:spacing w:after="0" w:line="276" w:lineRule="auto"/>
        <w:rPr>
          <w:rFonts w:ascii="Times New Roman" w:hAnsi="Times New Roman" w:cs="Times New Roman"/>
          <w:b/>
          <w:bCs/>
          <w:sz w:val="26"/>
          <w:szCs w:val="26"/>
        </w:rPr>
      </w:pPr>
    </w:p>
    <w:p w:rsidR="00EE07DD" w:rsidRPr="001A153B" w:rsidP="005E5E49" w14:paraId="72AEF0D7" w14:textId="113BE6B8">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w:t>
      </w:r>
      <w:r w:rsidR="002671BE">
        <w:rPr>
          <w:rFonts w:ascii="Times New Roman" w:hAnsi="Times New Roman" w:cs="Times New Roman"/>
          <w:sz w:val="26"/>
          <w:szCs w:val="26"/>
        </w:rPr>
        <w:t>ese</w:t>
      </w:r>
      <w:r w:rsidRPr="001A153B">
        <w:rPr>
          <w:rFonts w:ascii="Times New Roman" w:hAnsi="Times New Roman" w:cs="Times New Roman"/>
          <w:sz w:val="26"/>
          <w:szCs w:val="26"/>
        </w:rPr>
        <w:t xml:space="preserve"> </w:t>
      </w:r>
      <w:r w:rsidRPr="001A153B">
        <w:rPr>
          <w:rFonts w:ascii="Times New Roman" w:hAnsi="Times New Roman" w:cs="Times New Roman"/>
          <w:sz w:val="26"/>
          <w:szCs w:val="26"/>
        </w:rPr>
        <w:t>collection</w:t>
      </w:r>
      <w:r w:rsidR="002671BE">
        <w:rPr>
          <w:rFonts w:ascii="Times New Roman" w:hAnsi="Times New Roman" w:cs="Times New Roman"/>
          <w:sz w:val="26"/>
          <w:szCs w:val="26"/>
        </w:rPr>
        <w:t>s</w:t>
      </w:r>
      <w:r w:rsidRPr="001A153B">
        <w:rPr>
          <w:rFonts w:ascii="Times New Roman" w:hAnsi="Times New Roman" w:cs="Times New Roman"/>
          <w:sz w:val="26"/>
          <w:szCs w:val="26"/>
        </w:rPr>
        <w:t xml:space="preserve"> </w:t>
      </w:r>
      <w:r w:rsidR="007B0ED8">
        <w:rPr>
          <w:rFonts w:ascii="Times New Roman" w:hAnsi="Times New Roman" w:cs="Times New Roman"/>
          <w:sz w:val="26"/>
          <w:szCs w:val="26"/>
        </w:rPr>
        <w:t xml:space="preserve">are not delivered to the Commission. </w:t>
      </w:r>
      <w:r w:rsidR="004802EA">
        <w:rPr>
          <w:rFonts w:ascii="Times New Roman" w:hAnsi="Times New Roman" w:cs="Times New Roman"/>
          <w:sz w:val="26"/>
          <w:szCs w:val="26"/>
        </w:rPr>
        <w:t xml:space="preserve"> </w:t>
      </w:r>
      <w:r w:rsidR="007B0ED8">
        <w:rPr>
          <w:rFonts w:ascii="Times New Roman" w:hAnsi="Times New Roman" w:cs="Times New Roman"/>
          <w:sz w:val="26"/>
          <w:szCs w:val="26"/>
        </w:rPr>
        <w:t xml:space="preserve">This collection is a requirement for RTOs/ISOs to share credit-related information as it pertains to </w:t>
      </w:r>
      <w:r w:rsidR="00CC796B">
        <w:rPr>
          <w:rFonts w:ascii="Times New Roman" w:hAnsi="Times New Roman" w:cs="Times New Roman"/>
          <w:sz w:val="26"/>
          <w:szCs w:val="26"/>
        </w:rPr>
        <w:t>market participants</w:t>
      </w:r>
      <w:r w:rsidR="007B0ED8">
        <w:rPr>
          <w:rFonts w:ascii="Times New Roman" w:hAnsi="Times New Roman" w:cs="Times New Roman"/>
          <w:sz w:val="26"/>
          <w:szCs w:val="26"/>
        </w:rPr>
        <w:t xml:space="preserve"> within their </w:t>
      </w:r>
      <w:r w:rsidR="00CC796B">
        <w:rPr>
          <w:rFonts w:ascii="Times New Roman" w:hAnsi="Times New Roman" w:cs="Times New Roman"/>
          <w:sz w:val="26"/>
          <w:szCs w:val="26"/>
        </w:rPr>
        <w:t>own organized wholesale electric market</w:t>
      </w:r>
      <w:r w:rsidR="007B0ED8">
        <w:rPr>
          <w:rFonts w:ascii="Times New Roman" w:hAnsi="Times New Roman" w:cs="Times New Roman"/>
          <w:sz w:val="26"/>
          <w:szCs w:val="26"/>
        </w:rPr>
        <w:t xml:space="preserve"> with other RTOs/ISOs.  </w:t>
      </w:r>
    </w:p>
    <w:p w:rsidR="00EE07DD" w:rsidRPr="001A153B" w:rsidP="005E5E49" w14:paraId="3C5A4AF0" w14:textId="77777777">
      <w:pPr>
        <w:spacing w:after="0" w:line="276" w:lineRule="auto"/>
        <w:rPr>
          <w:rFonts w:ascii="Times New Roman" w:hAnsi="Times New Roman" w:cs="Times New Roman"/>
          <w:sz w:val="26"/>
          <w:szCs w:val="26"/>
        </w:rPr>
      </w:pPr>
    </w:p>
    <w:p w:rsidR="00EE07DD" w:rsidRPr="001A153B" w:rsidP="005E5E49" w14:paraId="6EF9A324"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rsidR="00193C36" w:rsidP="003E55AA" w14:paraId="09362B5A" w14:textId="7E29C4D4">
      <w:pPr>
        <w:spacing w:after="0" w:line="276" w:lineRule="auto"/>
        <w:rPr>
          <w:rFonts w:ascii="Times New Roman" w:hAnsi="Times New Roman" w:cs="Times New Roman"/>
          <w:sz w:val="26"/>
          <w:szCs w:val="26"/>
        </w:rPr>
      </w:pPr>
    </w:p>
    <w:p w:rsidR="00193C36" w:rsidP="003E55AA" w14:paraId="2370EE81" w14:textId="4B374AAA">
      <w:pPr>
        <w:spacing w:after="0" w:line="276" w:lineRule="auto"/>
        <w:rPr>
          <w:rFonts w:ascii="Times New Roman" w:hAnsi="Times New Roman" w:cs="Times New Roman"/>
          <w:sz w:val="26"/>
          <w:szCs w:val="26"/>
        </w:rPr>
      </w:pPr>
      <w:r>
        <w:rPr>
          <w:rFonts w:ascii="Times New Roman" w:hAnsi="Times New Roman" w:cs="Times New Roman"/>
          <w:sz w:val="26"/>
          <w:szCs w:val="26"/>
        </w:rPr>
        <w:t>The FERC</w:t>
      </w:r>
      <w:r w:rsidR="00C80DD5">
        <w:rPr>
          <w:rFonts w:ascii="Times New Roman" w:hAnsi="Times New Roman" w:cs="Times New Roman"/>
          <w:sz w:val="26"/>
          <w:szCs w:val="26"/>
        </w:rPr>
        <w:t>-</w:t>
      </w:r>
      <w:r>
        <w:rPr>
          <w:rFonts w:ascii="Times New Roman" w:hAnsi="Times New Roman" w:cs="Times New Roman"/>
          <w:sz w:val="26"/>
          <w:szCs w:val="26"/>
        </w:rPr>
        <w:t xml:space="preserve">1005 collection is separated into two </w:t>
      </w:r>
      <w:r w:rsidR="00D46BC8">
        <w:rPr>
          <w:rFonts w:ascii="Times New Roman" w:hAnsi="Times New Roman" w:cs="Times New Roman"/>
          <w:sz w:val="26"/>
          <w:szCs w:val="26"/>
        </w:rPr>
        <w:t>activities</w:t>
      </w:r>
      <w:r>
        <w:rPr>
          <w:rFonts w:ascii="Times New Roman" w:hAnsi="Times New Roman" w:cs="Times New Roman"/>
          <w:sz w:val="26"/>
          <w:szCs w:val="26"/>
        </w:rPr>
        <w:t xml:space="preserve">.  The first </w:t>
      </w:r>
      <w:r w:rsidR="00D46BC8">
        <w:rPr>
          <w:rFonts w:ascii="Times New Roman" w:hAnsi="Times New Roman" w:cs="Times New Roman"/>
          <w:sz w:val="26"/>
          <w:szCs w:val="26"/>
        </w:rPr>
        <w:t>activity</w:t>
      </w:r>
      <w:r>
        <w:rPr>
          <w:rFonts w:ascii="Times New Roman" w:hAnsi="Times New Roman" w:cs="Times New Roman"/>
          <w:sz w:val="26"/>
          <w:szCs w:val="26"/>
        </w:rPr>
        <w:t xml:space="preserve"> relates to the compliance filing with the Commission </w:t>
      </w:r>
      <w:r w:rsidR="00815802">
        <w:rPr>
          <w:rFonts w:ascii="Times New Roman" w:hAnsi="Times New Roman" w:cs="Times New Roman"/>
          <w:sz w:val="26"/>
          <w:szCs w:val="26"/>
        </w:rPr>
        <w:t xml:space="preserve">under which </w:t>
      </w:r>
      <w:r>
        <w:rPr>
          <w:rFonts w:ascii="Times New Roman" w:hAnsi="Times New Roman" w:cs="Times New Roman"/>
          <w:sz w:val="26"/>
          <w:szCs w:val="26"/>
        </w:rPr>
        <w:t xml:space="preserve">an RTO/ISO updates its tariff provisions. The second </w:t>
      </w:r>
      <w:r w:rsidR="00D46BC8">
        <w:rPr>
          <w:rFonts w:ascii="Times New Roman" w:hAnsi="Times New Roman" w:cs="Times New Roman"/>
          <w:sz w:val="26"/>
          <w:szCs w:val="26"/>
        </w:rPr>
        <w:t>activity is</w:t>
      </w:r>
      <w:r>
        <w:rPr>
          <w:rFonts w:ascii="Times New Roman" w:hAnsi="Times New Roman" w:cs="Times New Roman"/>
          <w:sz w:val="26"/>
          <w:szCs w:val="26"/>
        </w:rPr>
        <w:t xml:space="preserve"> the ongoing burden related to information sharing</w:t>
      </w:r>
      <w:r w:rsidR="00456FF6">
        <w:rPr>
          <w:rFonts w:ascii="Times New Roman" w:hAnsi="Times New Roman" w:cs="Times New Roman"/>
          <w:sz w:val="26"/>
          <w:szCs w:val="26"/>
        </w:rPr>
        <w:t xml:space="preserve"> among the RTOs/ISOs</w:t>
      </w:r>
      <w:r>
        <w:rPr>
          <w:rFonts w:ascii="Times New Roman" w:hAnsi="Times New Roman" w:cs="Times New Roman"/>
          <w:sz w:val="26"/>
          <w:szCs w:val="26"/>
        </w:rPr>
        <w:t xml:space="preserve">. </w:t>
      </w:r>
    </w:p>
    <w:p w:rsidR="008F581B" w:rsidP="003E55AA" w14:paraId="176AB065" w14:textId="77777777">
      <w:pPr>
        <w:spacing w:after="0" w:line="276" w:lineRule="auto"/>
        <w:rPr>
          <w:rFonts w:ascii="Times New Roman" w:hAnsi="Times New Roman" w:cs="Times New Roman"/>
          <w:sz w:val="26"/>
          <w:szCs w:val="26"/>
        </w:rPr>
      </w:pPr>
    </w:p>
    <w:p w:rsidR="003E55AA" w:rsidRPr="003E55AA" w:rsidP="003E55AA" w14:paraId="0C75975A" w14:textId="1413FD7C">
      <w:pPr>
        <w:spacing w:after="0" w:line="276" w:lineRule="auto"/>
        <w:rPr>
          <w:rFonts w:ascii="Times New Roman" w:hAnsi="Times New Roman" w:cs="Times New Roman"/>
          <w:sz w:val="26"/>
          <w:szCs w:val="26"/>
        </w:rPr>
      </w:pPr>
      <w:r w:rsidRPr="003E55AA">
        <w:rPr>
          <w:rFonts w:ascii="Times New Roman" w:hAnsi="Times New Roman" w:cs="Times New Roman"/>
          <w:sz w:val="26"/>
          <w:szCs w:val="26"/>
        </w:rPr>
        <w:t>The following tables provide the estimated annual burden</w:t>
      </w:r>
      <w:r>
        <w:rPr>
          <w:rStyle w:val="FootnoteReference"/>
          <w:rFonts w:ascii="Times New Roman" w:hAnsi="Times New Roman" w:cs="Times New Roman"/>
          <w:sz w:val="26"/>
          <w:szCs w:val="26"/>
        </w:rPr>
        <w:footnoteReference w:id="15"/>
      </w:r>
      <w:r w:rsidRPr="003E55AA">
        <w:rPr>
          <w:rFonts w:ascii="Times New Roman" w:hAnsi="Times New Roman" w:cs="Times New Roman"/>
          <w:sz w:val="26"/>
          <w:szCs w:val="26"/>
        </w:rPr>
        <w:t xml:space="preserve"> and cost</w:t>
      </w:r>
      <w:r>
        <w:rPr>
          <w:rStyle w:val="FootnoteReference"/>
          <w:rFonts w:ascii="Times New Roman" w:hAnsi="Times New Roman" w:cs="Times New Roman"/>
          <w:sz w:val="26"/>
          <w:szCs w:val="26"/>
        </w:rPr>
        <w:footnoteReference w:id="16"/>
      </w:r>
      <w:r w:rsidRPr="003E55AA">
        <w:rPr>
          <w:rFonts w:ascii="Times New Roman" w:hAnsi="Times New Roman" w:cs="Times New Roman"/>
          <w:sz w:val="26"/>
          <w:szCs w:val="26"/>
        </w:rPr>
        <w:t xml:space="preserve"> related to the FERC</w:t>
      </w:r>
      <w:r w:rsidR="00554116">
        <w:rPr>
          <w:rFonts w:ascii="Times New Roman" w:hAnsi="Times New Roman" w:cs="Times New Roman"/>
          <w:sz w:val="26"/>
          <w:szCs w:val="26"/>
        </w:rPr>
        <w:t>-</w:t>
      </w:r>
      <w:r w:rsidRPr="003E55AA">
        <w:rPr>
          <w:rFonts w:ascii="Times New Roman" w:hAnsi="Times New Roman" w:cs="Times New Roman"/>
          <w:sz w:val="26"/>
          <w:szCs w:val="26"/>
        </w:rPr>
        <w:t>1005 information collection requirements:</w:t>
      </w:r>
    </w:p>
    <w:p w:rsidR="00193C36" w:rsidP="001B775E" w14:paraId="23BA8E48" w14:textId="77777777">
      <w:pPr>
        <w:spacing w:after="0" w:line="276" w:lineRule="auto"/>
        <w:rPr>
          <w:rFonts w:ascii="Times New Roman" w:hAnsi="Times New Roman" w:cs="Times New Roman"/>
          <w:b/>
          <w:sz w:val="26"/>
          <w:szCs w:val="26"/>
        </w:rPr>
      </w:pPr>
      <w:r>
        <w:rPr>
          <w:rFonts w:ascii="Times New Roman" w:hAnsi="Times New Roman" w:cs="Times New Roman"/>
          <w:b/>
          <w:sz w:val="26"/>
          <w:szCs w:val="26"/>
        </w:rPr>
        <w:t xml:space="preserve"> </w:t>
      </w:r>
    </w:p>
    <w:tbl>
      <w:tblPr>
        <w:tblStyle w:val="TableGrid1"/>
        <w:tblW w:w="0" w:type="auto"/>
        <w:tblLook w:val="04A0"/>
      </w:tblPr>
      <w:tblGrid>
        <w:gridCol w:w="1422"/>
        <w:gridCol w:w="1462"/>
        <w:gridCol w:w="1469"/>
        <w:gridCol w:w="1253"/>
        <w:gridCol w:w="1156"/>
        <w:gridCol w:w="1208"/>
        <w:gridCol w:w="1380"/>
      </w:tblGrid>
      <w:tr w14:paraId="72FACCB7" w14:textId="77777777" w:rsidTr="00EC2FD8">
        <w:tblPrEx>
          <w:tblW w:w="0" w:type="auto"/>
          <w:tblLook w:val="04A0"/>
        </w:tblPrEx>
        <w:trPr>
          <w:cantSplit/>
          <w:tblHeader/>
        </w:trPr>
        <w:tc>
          <w:tcPr>
            <w:tcW w:w="0" w:type="auto"/>
          </w:tcPr>
          <w:p w:rsidR="00193C36" w:rsidRPr="00E44A0E" w:rsidP="00193C36" w14:paraId="46F12B9C" w14:textId="77777777">
            <w:pPr>
              <w:jc w:val="center"/>
              <w:rPr>
                <w:rFonts w:eastAsia="Times New Roman"/>
                <w:b/>
              </w:rPr>
            </w:pPr>
            <w:r w:rsidRPr="00E44A0E">
              <w:rPr>
                <w:rFonts w:eastAsia="Times New Roman"/>
                <w:b/>
                <w:sz w:val="22"/>
                <w:szCs w:val="22"/>
              </w:rPr>
              <w:t>A.</w:t>
            </w:r>
          </w:p>
          <w:p w:rsidR="00193C36" w:rsidRPr="00E44A0E" w:rsidP="00193C36" w14:paraId="2C7DEE15" w14:textId="513F7DA6">
            <w:pPr>
              <w:jc w:val="center"/>
              <w:rPr>
                <w:rFonts w:eastAsia="Times New Roman"/>
                <w:b/>
              </w:rPr>
            </w:pPr>
            <w:r w:rsidRPr="00E44A0E">
              <w:rPr>
                <w:rFonts w:eastAsia="Times New Roman"/>
                <w:b/>
                <w:sz w:val="22"/>
                <w:szCs w:val="22"/>
              </w:rPr>
              <w:t>Collection</w:t>
            </w:r>
          </w:p>
        </w:tc>
        <w:tc>
          <w:tcPr>
            <w:tcW w:w="0" w:type="auto"/>
          </w:tcPr>
          <w:p w:rsidR="00193C36" w:rsidRPr="00E44A0E" w:rsidP="00193C36" w14:paraId="76236EA5" w14:textId="77777777">
            <w:pPr>
              <w:jc w:val="center"/>
              <w:rPr>
                <w:rFonts w:eastAsia="Times New Roman"/>
                <w:b/>
              </w:rPr>
            </w:pPr>
            <w:r w:rsidRPr="00E44A0E">
              <w:rPr>
                <w:rFonts w:eastAsia="Times New Roman"/>
                <w:b/>
                <w:sz w:val="22"/>
                <w:szCs w:val="22"/>
              </w:rPr>
              <w:t>B.</w:t>
            </w:r>
          </w:p>
          <w:p w:rsidR="00193C36" w:rsidRPr="00E44A0E" w:rsidP="00193C36" w14:paraId="4858BA09" w14:textId="77777777">
            <w:pPr>
              <w:jc w:val="center"/>
              <w:rPr>
                <w:rFonts w:eastAsia="Times New Roman"/>
                <w:b/>
              </w:rPr>
            </w:pPr>
            <w:r w:rsidRPr="00E44A0E">
              <w:rPr>
                <w:rFonts w:eastAsia="Times New Roman"/>
                <w:b/>
                <w:sz w:val="22"/>
                <w:szCs w:val="22"/>
              </w:rPr>
              <w:t>Number of Respondents</w:t>
            </w:r>
          </w:p>
        </w:tc>
        <w:tc>
          <w:tcPr>
            <w:tcW w:w="0" w:type="auto"/>
          </w:tcPr>
          <w:p w:rsidR="00193C36" w:rsidRPr="00E44A0E" w:rsidP="00193C36" w14:paraId="0EE5BC1F" w14:textId="77777777">
            <w:pPr>
              <w:jc w:val="center"/>
              <w:rPr>
                <w:rFonts w:eastAsia="Times New Roman"/>
                <w:b/>
              </w:rPr>
            </w:pPr>
            <w:r w:rsidRPr="00E44A0E">
              <w:rPr>
                <w:rFonts w:eastAsia="Times New Roman"/>
                <w:b/>
                <w:sz w:val="22"/>
                <w:szCs w:val="22"/>
              </w:rPr>
              <w:t>C.</w:t>
            </w:r>
          </w:p>
          <w:p w:rsidR="00193C36" w:rsidRPr="00E44A0E" w:rsidP="00193C36" w14:paraId="1E6EA45D" w14:textId="77777777">
            <w:pPr>
              <w:jc w:val="center"/>
              <w:rPr>
                <w:rFonts w:eastAsia="Times New Roman"/>
                <w:b/>
              </w:rPr>
            </w:pPr>
            <w:r w:rsidRPr="00E44A0E">
              <w:rPr>
                <w:rFonts w:eastAsia="Times New Roman"/>
                <w:b/>
                <w:sz w:val="22"/>
                <w:szCs w:val="22"/>
              </w:rPr>
              <w:t>Annual Number of Responses per Respondent</w:t>
            </w:r>
          </w:p>
        </w:tc>
        <w:tc>
          <w:tcPr>
            <w:tcW w:w="0" w:type="auto"/>
          </w:tcPr>
          <w:p w:rsidR="00193C36" w:rsidRPr="00E44A0E" w:rsidP="00193C36" w14:paraId="15A458FB" w14:textId="77777777">
            <w:pPr>
              <w:jc w:val="center"/>
              <w:rPr>
                <w:rFonts w:eastAsia="Times New Roman"/>
                <w:b/>
              </w:rPr>
            </w:pPr>
            <w:r w:rsidRPr="00E44A0E">
              <w:rPr>
                <w:rFonts w:eastAsia="Times New Roman"/>
                <w:b/>
                <w:sz w:val="22"/>
                <w:szCs w:val="22"/>
              </w:rPr>
              <w:t>D.</w:t>
            </w:r>
          </w:p>
          <w:p w:rsidR="00193C36" w:rsidRPr="00E44A0E" w:rsidP="00193C36" w14:paraId="5CF65CD0" w14:textId="77777777">
            <w:pPr>
              <w:jc w:val="center"/>
              <w:rPr>
                <w:rFonts w:eastAsia="Times New Roman"/>
                <w:b/>
              </w:rPr>
            </w:pPr>
            <w:r w:rsidRPr="00E44A0E">
              <w:rPr>
                <w:rFonts w:eastAsia="Times New Roman"/>
                <w:b/>
                <w:sz w:val="22"/>
                <w:szCs w:val="22"/>
              </w:rPr>
              <w:t>Total Number of Responses</w:t>
            </w:r>
          </w:p>
          <w:p w:rsidR="00193C36" w:rsidRPr="00E44A0E" w:rsidP="00193C36" w14:paraId="72538A46" w14:textId="77777777">
            <w:pPr>
              <w:jc w:val="center"/>
              <w:rPr>
                <w:rFonts w:eastAsia="Times New Roman"/>
                <w:b/>
              </w:rPr>
            </w:pPr>
            <w:r w:rsidRPr="00E44A0E">
              <w:rPr>
                <w:rFonts w:eastAsia="Times New Roman"/>
                <w:b/>
                <w:sz w:val="22"/>
                <w:szCs w:val="22"/>
              </w:rPr>
              <w:t>(Column B x Column C)</w:t>
            </w:r>
          </w:p>
        </w:tc>
        <w:tc>
          <w:tcPr>
            <w:tcW w:w="0" w:type="auto"/>
          </w:tcPr>
          <w:p w:rsidR="00193C36" w:rsidRPr="00E44A0E" w:rsidP="00193C36" w14:paraId="09ECA328" w14:textId="77777777">
            <w:pPr>
              <w:jc w:val="center"/>
              <w:rPr>
                <w:rFonts w:eastAsia="Times New Roman"/>
                <w:b/>
              </w:rPr>
            </w:pPr>
            <w:r w:rsidRPr="00E44A0E">
              <w:rPr>
                <w:rFonts w:eastAsia="Times New Roman"/>
                <w:b/>
                <w:sz w:val="22"/>
                <w:szCs w:val="22"/>
              </w:rPr>
              <w:t>E.</w:t>
            </w:r>
          </w:p>
          <w:p w:rsidR="00193C36" w:rsidRPr="00E44A0E" w:rsidP="00193C36" w14:paraId="563BF598" w14:textId="77777777">
            <w:pPr>
              <w:jc w:val="center"/>
              <w:rPr>
                <w:rFonts w:eastAsia="Times New Roman"/>
                <w:b/>
              </w:rPr>
            </w:pPr>
            <w:r w:rsidRPr="00E44A0E">
              <w:rPr>
                <w:rFonts w:eastAsia="Times New Roman"/>
                <w:b/>
                <w:sz w:val="22"/>
                <w:szCs w:val="22"/>
              </w:rPr>
              <w:t>Average Burden Hrs. &amp;</w:t>
            </w:r>
          </w:p>
          <w:p w:rsidR="00193C36" w:rsidRPr="00E44A0E" w:rsidP="00193C36" w14:paraId="5549ADAC" w14:textId="77777777">
            <w:pPr>
              <w:jc w:val="center"/>
              <w:rPr>
                <w:rFonts w:eastAsia="Times New Roman"/>
                <w:b/>
              </w:rPr>
            </w:pPr>
            <w:r w:rsidRPr="00E44A0E">
              <w:rPr>
                <w:rFonts w:eastAsia="Times New Roman"/>
                <w:b/>
                <w:sz w:val="22"/>
                <w:szCs w:val="22"/>
              </w:rPr>
              <w:t xml:space="preserve">Cost per </w:t>
            </w:r>
            <w:r w:rsidRPr="00E44A0E">
              <w:rPr>
                <w:rFonts w:eastAsia="Times New Roman"/>
                <w:b/>
                <w:sz w:val="22"/>
                <w:szCs w:val="22"/>
              </w:rPr>
              <w:br/>
              <w:t>Response</w:t>
            </w:r>
          </w:p>
        </w:tc>
        <w:tc>
          <w:tcPr>
            <w:tcW w:w="0" w:type="auto"/>
          </w:tcPr>
          <w:p w:rsidR="00193C36" w:rsidRPr="00E44A0E" w:rsidP="00193C36" w14:paraId="06987714" w14:textId="77777777">
            <w:pPr>
              <w:jc w:val="center"/>
              <w:rPr>
                <w:rFonts w:eastAsia="Times New Roman"/>
                <w:b/>
              </w:rPr>
            </w:pPr>
            <w:r w:rsidRPr="00E44A0E">
              <w:rPr>
                <w:rFonts w:eastAsia="Times New Roman"/>
                <w:b/>
                <w:sz w:val="22"/>
                <w:szCs w:val="22"/>
              </w:rPr>
              <w:t>F.</w:t>
            </w:r>
          </w:p>
          <w:p w:rsidR="00193C36" w:rsidRPr="00E44A0E" w:rsidP="00193C36" w14:paraId="221CFAB5" w14:textId="77777777">
            <w:pPr>
              <w:jc w:val="center"/>
              <w:rPr>
                <w:rFonts w:eastAsia="Times New Roman"/>
                <w:b/>
              </w:rPr>
            </w:pPr>
            <w:r w:rsidRPr="00E44A0E">
              <w:rPr>
                <w:rFonts w:eastAsia="Times New Roman"/>
                <w:b/>
                <w:sz w:val="22"/>
                <w:szCs w:val="22"/>
              </w:rPr>
              <w:t>Total Annual Hr. Burdens &amp; Total Annual Cost</w:t>
            </w:r>
          </w:p>
          <w:p w:rsidR="00193C36" w:rsidRPr="00E44A0E" w:rsidP="00193C36" w14:paraId="4CCAAD52" w14:textId="77777777">
            <w:pPr>
              <w:jc w:val="center"/>
              <w:rPr>
                <w:rFonts w:eastAsia="Times New Roman"/>
                <w:b/>
              </w:rPr>
            </w:pPr>
            <w:r w:rsidRPr="00E44A0E">
              <w:rPr>
                <w:rFonts w:eastAsia="Times New Roman"/>
                <w:b/>
                <w:sz w:val="22"/>
                <w:szCs w:val="22"/>
              </w:rPr>
              <w:t>(Column D x Column E)</w:t>
            </w:r>
          </w:p>
        </w:tc>
        <w:tc>
          <w:tcPr>
            <w:tcW w:w="0" w:type="auto"/>
          </w:tcPr>
          <w:p w:rsidR="00193C36" w:rsidRPr="00E44A0E" w:rsidP="00193C36" w14:paraId="16680C24" w14:textId="77777777">
            <w:pPr>
              <w:jc w:val="center"/>
              <w:rPr>
                <w:rFonts w:eastAsia="Times New Roman"/>
                <w:b/>
              </w:rPr>
            </w:pPr>
            <w:r w:rsidRPr="00E44A0E">
              <w:rPr>
                <w:rFonts w:eastAsia="Times New Roman"/>
                <w:b/>
                <w:sz w:val="22"/>
                <w:szCs w:val="22"/>
              </w:rPr>
              <w:t>G.</w:t>
            </w:r>
          </w:p>
          <w:p w:rsidR="00193C36" w:rsidRPr="00E44A0E" w:rsidP="00193C36" w14:paraId="30A68364" w14:textId="77777777">
            <w:pPr>
              <w:jc w:val="center"/>
              <w:rPr>
                <w:rFonts w:eastAsia="Times New Roman"/>
                <w:b/>
              </w:rPr>
            </w:pPr>
            <w:r w:rsidRPr="00E44A0E">
              <w:rPr>
                <w:rFonts w:eastAsia="Times New Roman"/>
                <w:b/>
                <w:sz w:val="22"/>
                <w:szCs w:val="22"/>
              </w:rPr>
              <w:t xml:space="preserve">Cost per </w:t>
            </w:r>
            <w:r w:rsidRPr="00E44A0E">
              <w:rPr>
                <w:rFonts w:eastAsia="Times New Roman"/>
                <w:b/>
                <w:sz w:val="22"/>
                <w:szCs w:val="22"/>
              </w:rPr>
              <w:br/>
              <w:t>Respondent</w:t>
            </w:r>
          </w:p>
          <w:p w:rsidR="00193C36" w:rsidRPr="00E44A0E" w:rsidP="00193C36" w14:paraId="7F0B63A6" w14:textId="77777777">
            <w:pPr>
              <w:jc w:val="center"/>
              <w:rPr>
                <w:rFonts w:eastAsia="Times New Roman"/>
                <w:b/>
              </w:rPr>
            </w:pPr>
            <w:r w:rsidRPr="00E44A0E">
              <w:rPr>
                <w:rFonts w:eastAsia="Times New Roman"/>
                <w:b/>
                <w:sz w:val="22"/>
                <w:szCs w:val="22"/>
              </w:rPr>
              <w:t>(Column F ÷ Column B)</w:t>
            </w:r>
          </w:p>
        </w:tc>
      </w:tr>
      <w:tr w14:paraId="1FB72760" w14:textId="77777777" w:rsidTr="00EC2FD8">
        <w:tblPrEx>
          <w:tblW w:w="0" w:type="auto"/>
          <w:tblLook w:val="04A0"/>
        </w:tblPrEx>
        <w:trPr>
          <w:cantSplit/>
        </w:trPr>
        <w:tc>
          <w:tcPr>
            <w:tcW w:w="0" w:type="auto"/>
            <w:vAlign w:val="bottom"/>
          </w:tcPr>
          <w:p w:rsidR="00193C36" w:rsidRPr="00E44A0E" w:rsidP="00193C36" w14:paraId="1A8C7A99" w14:textId="23384063">
            <w:pPr>
              <w:jc w:val="right"/>
              <w:rPr>
                <w:rFonts w:eastAsia="Times New Roman"/>
              </w:rPr>
            </w:pPr>
            <w:r w:rsidRPr="00E44A0E">
              <w:rPr>
                <w:rFonts w:eastAsia="Times New Roman"/>
                <w:sz w:val="22"/>
                <w:szCs w:val="22"/>
              </w:rPr>
              <w:t>RTO/ISOs (compliance filing)</w:t>
            </w:r>
            <w:r>
              <w:rPr>
                <w:rFonts w:eastAsia="Times New Roman"/>
                <w:b/>
                <w:szCs w:val="22"/>
                <w:vertAlign w:val="superscript"/>
              </w:rPr>
              <w:footnoteReference w:id="17"/>
            </w:r>
          </w:p>
        </w:tc>
        <w:tc>
          <w:tcPr>
            <w:tcW w:w="0" w:type="auto"/>
            <w:vAlign w:val="bottom"/>
          </w:tcPr>
          <w:p w:rsidR="00193C36" w:rsidRPr="00E44A0E" w:rsidP="00193C36" w14:paraId="1A480BA3" w14:textId="77777777">
            <w:pPr>
              <w:jc w:val="right"/>
              <w:rPr>
                <w:rFonts w:eastAsia="Times New Roman"/>
              </w:rPr>
            </w:pPr>
            <w:r w:rsidRPr="00E44A0E">
              <w:rPr>
                <w:rFonts w:eastAsia="Times New Roman"/>
                <w:sz w:val="22"/>
                <w:szCs w:val="22"/>
              </w:rPr>
              <w:t>6</w:t>
            </w:r>
          </w:p>
        </w:tc>
        <w:tc>
          <w:tcPr>
            <w:tcW w:w="0" w:type="auto"/>
            <w:vAlign w:val="bottom"/>
          </w:tcPr>
          <w:p w:rsidR="00193C36" w:rsidRPr="00E44A0E" w:rsidP="00193C36" w14:paraId="58F32DB3" w14:textId="77777777">
            <w:pPr>
              <w:jc w:val="right"/>
              <w:rPr>
                <w:rFonts w:eastAsia="Times New Roman"/>
              </w:rPr>
            </w:pPr>
            <w:r w:rsidRPr="00E44A0E">
              <w:rPr>
                <w:rFonts w:eastAsia="Times New Roman"/>
                <w:sz w:val="22"/>
                <w:szCs w:val="22"/>
              </w:rPr>
              <w:t>1</w:t>
            </w:r>
          </w:p>
        </w:tc>
        <w:tc>
          <w:tcPr>
            <w:tcW w:w="0" w:type="auto"/>
            <w:vAlign w:val="bottom"/>
          </w:tcPr>
          <w:p w:rsidR="00193C36" w:rsidRPr="00E44A0E" w:rsidP="00193C36" w14:paraId="042D22CB" w14:textId="77777777">
            <w:pPr>
              <w:jc w:val="right"/>
              <w:rPr>
                <w:rFonts w:eastAsia="Times New Roman"/>
              </w:rPr>
            </w:pPr>
            <w:r w:rsidRPr="00E44A0E">
              <w:rPr>
                <w:rFonts w:eastAsia="Times New Roman"/>
                <w:sz w:val="22"/>
                <w:szCs w:val="22"/>
              </w:rPr>
              <w:t>6</w:t>
            </w:r>
          </w:p>
        </w:tc>
        <w:tc>
          <w:tcPr>
            <w:tcW w:w="0" w:type="auto"/>
            <w:vAlign w:val="bottom"/>
          </w:tcPr>
          <w:p w:rsidR="00193C36" w:rsidRPr="00E44A0E" w:rsidP="00193C36" w14:paraId="529C7566" w14:textId="77777777">
            <w:pPr>
              <w:jc w:val="right"/>
              <w:rPr>
                <w:rFonts w:eastAsia="Times New Roman"/>
              </w:rPr>
            </w:pPr>
            <w:r w:rsidRPr="00E44A0E">
              <w:rPr>
                <w:rFonts w:eastAsia="Times New Roman"/>
                <w:sz w:val="22"/>
                <w:szCs w:val="22"/>
              </w:rPr>
              <w:t>25 hrs.; $2,175</w:t>
            </w:r>
          </w:p>
        </w:tc>
        <w:tc>
          <w:tcPr>
            <w:tcW w:w="0" w:type="auto"/>
            <w:vAlign w:val="bottom"/>
          </w:tcPr>
          <w:p w:rsidR="00193C36" w:rsidRPr="00E44A0E" w:rsidP="00193C36" w14:paraId="5750B7F9" w14:textId="77777777">
            <w:pPr>
              <w:jc w:val="right"/>
              <w:rPr>
                <w:rFonts w:eastAsia="Times New Roman"/>
              </w:rPr>
            </w:pPr>
            <w:r w:rsidRPr="00E44A0E">
              <w:rPr>
                <w:rFonts w:eastAsia="Times New Roman"/>
                <w:sz w:val="22"/>
                <w:szCs w:val="22"/>
              </w:rPr>
              <w:t>150 hrs.; $13,050</w:t>
            </w:r>
          </w:p>
        </w:tc>
        <w:tc>
          <w:tcPr>
            <w:tcW w:w="0" w:type="auto"/>
            <w:vAlign w:val="bottom"/>
          </w:tcPr>
          <w:p w:rsidR="00193C36" w:rsidRPr="00E44A0E" w:rsidP="00193C36" w14:paraId="4EAEB734" w14:textId="77777777">
            <w:pPr>
              <w:jc w:val="right"/>
              <w:rPr>
                <w:rFonts w:eastAsia="Times New Roman"/>
              </w:rPr>
            </w:pPr>
            <w:r w:rsidRPr="00E44A0E">
              <w:rPr>
                <w:rFonts w:eastAsia="Times New Roman"/>
                <w:sz w:val="22"/>
                <w:szCs w:val="22"/>
              </w:rPr>
              <w:t>$2,175</w:t>
            </w:r>
          </w:p>
        </w:tc>
      </w:tr>
      <w:tr w14:paraId="45021069" w14:textId="77777777" w:rsidTr="00EC2FD8">
        <w:tblPrEx>
          <w:tblW w:w="0" w:type="auto"/>
          <w:tblLook w:val="04A0"/>
        </w:tblPrEx>
        <w:trPr>
          <w:cantSplit/>
        </w:trPr>
        <w:tc>
          <w:tcPr>
            <w:tcW w:w="0" w:type="auto"/>
            <w:vAlign w:val="bottom"/>
          </w:tcPr>
          <w:p w:rsidR="00193C36" w:rsidRPr="00E44A0E" w:rsidP="00193C36" w14:paraId="506E4D6A" w14:textId="77777777">
            <w:pPr>
              <w:jc w:val="right"/>
              <w:rPr>
                <w:rFonts w:eastAsia="Times New Roman"/>
              </w:rPr>
            </w:pPr>
            <w:r w:rsidRPr="00E44A0E">
              <w:rPr>
                <w:rFonts w:eastAsia="Times New Roman"/>
                <w:sz w:val="22"/>
                <w:szCs w:val="22"/>
              </w:rPr>
              <w:t>RTO/ISOs (ongoing information sharing)</w:t>
            </w:r>
            <w:r>
              <w:rPr>
                <w:rFonts w:eastAsia="Times New Roman"/>
                <w:b/>
                <w:szCs w:val="22"/>
                <w:vertAlign w:val="superscript"/>
              </w:rPr>
              <w:footnoteReference w:id="18"/>
            </w:r>
          </w:p>
        </w:tc>
        <w:tc>
          <w:tcPr>
            <w:tcW w:w="0" w:type="auto"/>
            <w:vAlign w:val="bottom"/>
          </w:tcPr>
          <w:p w:rsidR="00193C36" w:rsidRPr="00E44A0E" w:rsidP="00193C36" w14:paraId="329CB68C" w14:textId="77777777">
            <w:pPr>
              <w:jc w:val="right"/>
              <w:rPr>
                <w:rFonts w:eastAsia="Times New Roman"/>
              </w:rPr>
            </w:pPr>
            <w:r w:rsidRPr="00E44A0E">
              <w:rPr>
                <w:rFonts w:eastAsia="Times New Roman"/>
                <w:sz w:val="22"/>
                <w:szCs w:val="22"/>
              </w:rPr>
              <w:t>6</w:t>
            </w:r>
          </w:p>
        </w:tc>
        <w:tc>
          <w:tcPr>
            <w:tcW w:w="0" w:type="auto"/>
            <w:vAlign w:val="bottom"/>
          </w:tcPr>
          <w:p w:rsidR="00193C36" w:rsidRPr="00E44A0E" w:rsidP="00193C36" w14:paraId="4113E6EF" w14:textId="77777777">
            <w:pPr>
              <w:jc w:val="right"/>
              <w:rPr>
                <w:rFonts w:eastAsia="Times New Roman"/>
              </w:rPr>
            </w:pPr>
            <w:r w:rsidRPr="00E44A0E">
              <w:rPr>
                <w:rFonts w:eastAsia="Times New Roman"/>
                <w:sz w:val="22"/>
                <w:szCs w:val="22"/>
              </w:rPr>
              <w:t>2</w:t>
            </w:r>
          </w:p>
        </w:tc>
        <w:tc>
          <w:tcPr>
            <w:tcW w:w="0" w:type="auto"/>
            <w:vAlign w:val="bottom"/>
          </w:tcPr>
          <w:p w:rsidR="00193C36" w:rsidRPr="00E44A0E" w:rsidP="00193C36" w14:paraId="338F4301" w14:textId="77777777">
            <w:pPr>
              <w:jc w:val="right"/>
              <w:rPr>
                <w:rFonts w:eastAsia="Times New Roman"/>
              </w:rPr>
            </w:pPr>
            <w:r w:rsidRPr="00E44A0E">
              <w:rPr>
                <w:rFonts w:eastAsia="Times New Roman"/>
                <w:sz w:val="22"/>
                <w:szCs w:val="22"/>
              </w:rPr>
              <w:t>12</w:t>
            </w:r>
          </w:p>
        </w:tc>
        <w:tc>
          <w:tcPr>
            <w:tcW w:w="0" w:type="auto"/>
            <w:vAlign w:val="bottom"/>
          </w:tcPr>
          <w:p w:rsidR="00193C36" w:rsidRPr="00E44A0E" w:rsidP="00193C36" w14:paraId="1A0A5196" w14:textId="77777777">
            <w:pPr>
              <w:jc w:val="right"/>
              <w:rPr>
                <w:rFonts w:eastAsia="Times New Roman"/>
              </w:rPr>
            </w:pPr>
            <w:r w:rsidRPr="00E44A0E">
              <w:rPr>
                <w:rFonts w:eastAsia="Times New Roman"/>
                <w:sz w:val="22"/>
                <w:szCs w:val="22"/>
              </w:rPr>
              <w:t>4 hrs.; $348</w:t>
            </w:r>
          </w:p>
        </w:tc>
        <w:tc>
          <w:tcPr>
            <w:tcW w:w="0" w:type="auto"/>
            <w:vAlign w:val="bottom"/>
          </w:tcPr>
          <w:p w:rsidR="00193C36" w:rsidRPr="00E44A0E" w:rsidP="00193C36" w14:paraId="18E8A144" w14:textId="77777777">
            <w:pPr>
              <w:jc w:val="center"/>
              <w:rPr>
                <w:rFonts w:eastAsia="Times New Roman"/>
              </w:rPr>
            </w:pPr>
            <w:r w:rsidRPr="00E44A0E">
              <w:rPr>
                <w:rFonts w:eastAsia="Times New Roman"/>
                <w:sz w:val="22"/>
                <w:szCs w:val="22"/>
              </w:rPr>
              <w:t>48 hrs.; $4,176</w:t>
            </w:r>
          </w:p>
        </w:tc>
        <w:tc>
          <w:tcPr>
            <w:tcW w:w="0" w:type="auto"/>
            <w:vAlign w:val="bottom"/>
          </w:tcPr>
          <w:p w:rsidR="00193C36" w:rsidRPr="00E44A0E" w:rsidP="00193C36" w14:paraId="2F7F62E7" w14:textId="77777777">
            <w:pPr>
              <w:jc w:val="right"/>
              <w:rPr>
                <w:rFonts w:eastAsia="Times New Roman"/>
              </w:rPr>
            </w:pPr>
            <w:r w:rsidRPr="00E44A0E">
              <w:rPr>
                <w:rFonts w:eastAsia="Times New Roman"/>
                <w:sz w:val="22"/>
                <w:szCs w:val="22"/>
              </w:rPr>
              <w:t>$696</w:t>
            </w:r>
          </w:p>
        </w:tc>
      </w:tr>
      <w:tr w14:paraId="4FA3B9FA" w14:textId="77777777" w:rsidTr="00EC2FD8">
        <w:tblPrEx>
          <w:tblW w:w="0" w:type="auto"/>
          <w:tblLook w:val="04A0"/>
        </w:tblPrEx>
        <w:trPr>
          <w:cantSplit/>
        </w:trPr>
        <w:tc>
          <w:tcPr>
            <w:tcW w:w="0" w:type="auto"/>
            <w:vAlign w:val="bottom"/>
          </w:tcPr>
          <w:p w:rsidR="00193C36" w:rsidRPr="00E44A0E" w:rsidP="00193C36" w14:paraId="7B3C5379" w14:textId="77777777">
            <w:pPr>
              <w:jc w:val="right"/>
              <w:rPr>
                <w:rFonts w:eastAsia="Times New Roman"/>
              </w:rPr>
            </w:pPr>
            <w:r w:rsidRPr="00E44A0E">
              <w:rPr>
                <w:rFonts w:eastAsia="Times New Roman"/>
                <w:sz w:val="22"/>
                <w:szCs w:val="22"/>
              </w:rPr>
              <w:t>Totals</w:t>
            </w:r>
          </w:p>
        </w:tc>
        <w:tc>
          <w:tcPr>
            <w:tcW w:w="0" w:type="auto"/>
            <w:vAlign w:val="bottom"/>
          </w:tcPr>
          <w:p w:rsidR="00193C36" w:rsidRPr="00E44A0E" w:rsidP="00193C36" w14:paraId="545B4629" w14:textId="77777777">
            <w:pPr>
              <w:jc w:val="center"/>
              <w:rPr>
                <w:rFonts w:eastAsia="Times New Roman"/>
              </w:rPr>
            </w:pPr>
          </w:p>
        </w:tc>
        <w:tc>
          <w:tcPr>
            <w:tcW w:w="0" w:type="auto"/>
            <w:vAlign w:val="bottom"/>
          </w:tcPr>
          <w:p w:rsidR="00193C36" w:rsidRPr="00E44A0E" w:rsidP="008F581B" w14:paraId="4C9F80D0" w14:textId="20A27BB4">
            <w:pPr>
              <w:jc w:val="right"/>
              <w:rPr>
                <w:rFonts w:eastAsia="Times New Roman"/>
              </w:rPr>
            </w:pPr>
            <w:r w:rsidRPr="00E44A0E">
              <w:rPr>
                <w:rFonts w:eastAsia="Times New Roman"/>
                <w:sz w:val="22"/>
                <w:szCs w:val="22"/>
              </w:rPr>
              <w:t>3</w:t>
            </w:r>
          </w:p>
        </w:tc>
        <w:tc>
          <w:tcPr>
            <w:tcW w:w="0" w:type="auto"/>
            <w:vAlign w:val="bottom"/>
          </w:tcPr>
          <w:p w:rsidR="00193C36" w:rsidRPr="00E44A0E" w:rsidP="00193C36" w14:paraId="1E1D9750" w14:textId="69137935">
            <w:pPr>
              <w:jc w:val="right"/>
              <w:rPr>
                <w:rFonts w:eastAsia="Times New Roman"/>
              </w:rPr>
            </w:pPr>
            <w:r w:rsidRPr="00E44A0E">
              <w:rPr>
                <w:rFonts w:eastAsia="Times New Roman"/>
                <w:sz w:val="22"/>
                <w:szCs w:val="22"/>
              </w:rPr>
              <w:t>18</w:t>
            </w:r>
          </w:p>
        </w:tc>
        <w:tc>
          <w:tcPr>
            <w:tcW w:w="0" w:type="auto"/>
            <w:vAlign w:val="bottom"/>
          </w:tcPr>
          <w:p w:rsidR="00193C36" w:rsidRPr="00E44A0E" w:rsidP="00193C36" w14:paraId="7042932E" w14:textId="77777777">
            <w:pPr>
              <w:jc w:val="right"/>
              <w:rPr>
                <w:rFonts w:eastAsia="Times New Roman"/>
              </w:rPr>
            </w:pPr>
            <w:r w:rsidRPr="00E44A0E">
              <w:rPr>
                <w:rFonts w:eastAsia="Times New Roman"/>
                <w:sz w:val="22"/>
                <w:szCs w:val="22"/>
              </w:rPr>
              <w:t>―</w:t>
            </w:r>
          </w:p>
        </w:tc>
        <w:tc>
          <w:tcPr>
            <w:tcW w:w="0" w:type="auto"/>
            <w:vAlign w:val="bottom"/>
          </w:tcPr>
          <w:p w:rsidR="00193C36" w:rsidRPr="00E44A0E" w:rsidP="00193C36" w14:paraId="4515319D" w14:textId="77777777">
            <w:pPr>
              <w:jc w:val="center"/>
              <w:rPr>
                <w:rFonts w:eastAsia="Times New Roman"/>
              </w:rPr>
            </w:pPr>
            <w:r w:rsidRPr="00E44A0E">
              <w:rPr>
                <w:rFonts w:eastAsia="Times New Roman"/>
                <w:sz w:val="22"/>
                <w:szCs w:val="22"/>
              </w:rPr>
              <w:t>198 hrs.; $17,226</w:t>
            </w:r>
          </w:p>
        </w:tc>
        <w:tc>
          <w:tcPr>
            <w:tcW w:w="0" w:type="auto"/>
            <w:vAlign w:val="bottom"/>
          </w:tcPr>
          <w:p w:rsidR="00193C36" w:rsidRPr="00E44A0E" w:rsidP="008F581B" w14:paraId="591D2F12" w14:textId="147068AF">
            <w:pPr>
              <w:jc w:val="right"/>
              <w:rPr>
                <w:rFonts w:eastAsia="Times New Roman"/>
              </w:rPr>
            </w:pPr>
            <w:r w:rsidRPr="00E44A0E">
              <w:rPr>
                <w:rFonts w:eastAsia="Times New Roman"/>
                <w:sz w:val="22"/>
                <w:szCs w:val="22"/>
              </w:rPr>
              <w:t>$2,871</w:t>
            </w:r>
          </w:p>
        </w:tc>
      </w:tr>
    </w:tbl>
    <w:p w:rsidR="002671BE" w:rsidP="001B775E" w14:paraId="08DC914B" w14:textId="73912EBA">
      <w:pPr>
        <w:spacing w:after="0" w:line="276" w:lineRule="auto"/>
        <w:rPr>
          <w:rFonts w:ascii="Times New Roman" w:hAnsi="Times New Roman" w:cs="Times New Roman"/>
          <w:b/>
          <w:sz w:val="26"/>
          <w:szCs w:val="26"/>
        </w:rPr>
      </w:pPr>
    </w:p>
    <w:p w:rsidR="00E95DE8" w:rsidRPr="002671BE" w:rsidP="001B775E" w14:paraId="11E2E7ED" w14:textId="77777777">
      <w:pPr>
        <w:spacing w:after="0" w:line="276" w:lineRule="auto"/>
        <w:rPr>
          <w:rFonts w:ascii="Times New Roman" w:hAnsi="Times New Roman" w:cs="Times New Roman"/>
          <w:b/>
          <w:sz w:val="26"/>
          <w:szCs w:val="26"/>
        </w:rPr>
      </w:pPr>
    </w:p>
    <w:p w:rsidR="00EE07DD" w:rsidRPr="00FB148F" w:rsidP="005E5E49" w14:paraId="253F5B2A" w14:textId="77777777">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rsidR="00EE07DD" w:rsidP="005E5E49" w14:paraId="4369C45D" w14:textId="56418B7F">
      <w:pPr>
        <w:spacing w:after="0" w:line="276" w:lineRule="auto"/>
        <w:rPr>
          <w:rFonts w:ascii="Times New Roman" w:hAnsi="Times New Roman" w:cs="Times New Roman"/>
          <w:sz w:val="26"/>
          <w:szCs w:val="26"/>
        </w:rPr>
      </w:pPr>
    </w:p>
    <w:p w:rsidR="00002472" w:rsidP="005E5E49" w14:paraId="2B915D61" w14:textId="5DF0400F">
      <w:pPr>
        <w:spacing w:after="0" w:line="276" w:lineRule="auto"/>
        <w:rPr>
          <w:rFonts w:ascii="Times New Roman" w:hAnsi="Times New Roman" w:cs="Times New Roman"/>
          <w:sz w:val="26"/>
          <w:szCs w:val="26"/>
        </w:rPr>
      </w:pPr>
      <w:r>
        <w:rPr>
          <w:rFonts w:ascii="Times New Roman" w:hAnsi="Times New Roman" w:cs="Times New Roman"/>
          <w:sz w:val="26"/>
          <w:szCs w:val="26"/>
        </w:rPr>
        <w:t>The total annual cost to respondents is related to burden hours and the Commission does not estimate any additional costs for FERC</w:t>
      </w:r>
      <w:r w:rsidR="00386539">
        <w:rPr>
          <w:rFonts w:ascii="Times New Roman" w:hAnsi="Times New Roman" w:cs="Times New Roman"/>
          <w:sz w:val="26"/>
          <w:szCs w:val="26"/>
        </w:rPr>
        <w:t>-</w:t>
      </w:r>
      <w:r>
        <w:rPr>
          <w:rFonts w:ascii="Times New Roman" w:hAnsi="Times New Roman" w:cs="Times New Roman"/>
          <w:sz w:val="26"/>
          <w:szCs w:val="26"/>
        </w:rPr>
        <w:t>1005</w:t>
      </w:r>
      <w:r w:rsidR="00E252B0">
        <w:rPr>
          <w:rFonts w:ascii="Times New Roman" w:hAnsi="Times New Roman" w:cs="Times New Roman"/>
          <w:sz w:val="26"/>
          <w:szCs w:val="26"/>
        </w:rPr>
        <w:t>.</w:t>
      </w:r>
    </w:p>
    <w:p w:rsidR="00193C36" w:rsidRPr="001A153B" w:rsidP="005E5E49" w14:paraId="438129DA" w14:textId="77777777">
      <w:pPr>
        <w:spacing w:after="0" w:line="276" w:lineRule="auto"/>
        <w:rPr>
          <w:rFonts w:ascii="Times New Roman" w:hAnsi="Times New Roman" w:cs="Times New Roman"/>
          <w:sz w:val="26"/>
          <w:szCs w:val="26"/>
        </w:rPr>
      </w:pPr>
    </w:p>
    <w:p w:rsidR="00EE07DD" w:rsidRPr="001A153B" w:rsidP="005E5E49" w14:paraId="4B9EF89B"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rsidR="00EE07DD" w:rsidRPr="001A153B" w:rsidP="005E5E49" w14:paraId="34543224" w14:textId="77777777">
      <w:pPr>
        <w:spacing w:after="0" w:line="276" w:lineRule="auto"/>
        <w:rPr>
          <w:rFonts w:ascii="Times New Roman" w:hAnsi="Times New Roman" w:cs="Times New Roman"/>
          <w:sz w:val="26"/>
          <w:szCs w:val="26"/>
        </w:rPr>
      </w:pPr>
    </w:p>
    <w:p w:rsidR="000751F8" w:rsidRPr="000751F8" w:rsidP="000751F8" w14:paraId="4B20CFD1" w14:textId="1DFF417B">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 xml:space="preserve">The estimate of the cost for </w:t>
      </w:r>
      <w:r w:rsidR="00F14B37">
        <w:rPr>
          <w:rFonts w:ascii="Times New Roman" w:hAnsi="Times New Roman" w:cs="Times New Roman"/>
          <w:sz w:val="26"/>
          <w:szCs w:val="26"/>
        </w:rPr>
        <w:t>“</w:t>
      </w:r>
      <w:r w:rsidRPr="000751F8">
        <w:rPr>
          <w:rFonts w:ascii="Times New Roman" w:hAnsi="Times New Roman" w:cs="Times New Roman"/>
          <w:sz w:val="26"/>
          <w:szCs w:val="26"/>
        </w:rPr>
        <w:t>analysis and processing of filings</w:t>
      </w:r>
      <w:r w:rsidR="00F14B37">
        <w:rPr>
          <w:rFonts w:ascii="Times New Roman" w:hAnsi="Times New Roman" w:cs="Times New Roman"/>
          <w:sz w:val="26"/>
          <w:szCs w:val="26"/>
        </w:rPr>
        <w:t>”</w:t>
      </w:r>
      <w:r>
        <w:rPr>
          <w:rFonts w:ascii="Times New Roman" w:hAnsi="Times New Roman" w:cs="Times New Roman"/>
          <w:b/>
          <w:bCs/>
          <w:sz w:val="26"/>
          <w:szCs w:val="26"/>
          <w:vertAlign w:val="superscript"/>
        </w:rPr>
        <w:footnoteReference w:id="19"/>
      </w:r>
      <w:r w:rsidRPr="000751F8">
        <w:rPr>
          <w:rFonts w:ascii="Times New Roman" w:hAnsi="Times New Roman" w:cs="Times New Roman"/>
          <w:sz w:val="26"/>
          <w:szCs w:val="26"/>
          <w:vertAlign w:val="superscript"/>
        </w:rPr>
        <w:t xml:space="preserve"> </w:t>
      </w:r>
      <w:r w:rsidRPr="000751F8">
        <w:rPr>
          <w:rFonts w:ascii="Times New Roman" w:hAnsi="Times New Roman" w:cs="Times New Roman"/>
          <w:sz w:val="26"/>
          <w:szCs w:val="26"/>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2021, as noted.</w:t>
      </w:r>
    </w:p>
    <w:p w:rsidR="000751F8" w:rsidRPr="000751F8" w:rsidP="000751F8" w14:paraId="44D16775" w14:textId="77777777">
      <w:pPr>
        <w:spacing w:after="0" w:line="276" w:lineRule="auto"/>
        <w:rPr>
          <w:rFonts w:ascii="Times New Roman" w:hAnsi="Times New Roman" w:cs="Times New Roman"/>
          <w:sz w:val="26"/>
          <w:szCs w:val="26"/>
        </w:rPr>
      </w:pPr>
    </w:p>
    <w:p w:rsidR="000751F8" w:rsidRPr="000751F8" w:rsidP="000751F8" w14:paraId="307AC7E0" w14:textId="339E6603">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The Paperwork Reduction Act (PRA) Administrative Cost (estimate of $</w:t>
      </w:r>
      <w:r w:rsidRPr="002F5E08" w:rsidR="002F5E08">
        <w:rPr>
          <w:rFonts w:ascii="Times New Roman" w:hAnsi="Times New Roman" w:cs="Times New Roman"/>
          <w:sz w:val="26"/>
          <w:szCs w:val="26"/>
        </w:rPr>
        <w:t>7,694</w:t>
      </w:r>
      <w:r w:rsidR="002F5E08">
        <w:rPr>
          <w:rFonts w:ascii="Times New Roman" w:hAnsi="Times New Roman" w:cs="Times New Roman"/>
          <w:b/>
          <w:bCs/>
          <w:sz w:val="26"/>
          <w:szCs w:val="26"/>
        </w:rPr>
        <w:t xml:space="preserve"> </w:t>
      </w:r>
      <w:r w:rsidRPr="000751F8">
        <w:rPr>
          <w:rFonts w:ascii="Times New Roman" w:hAnsi="Times New Roman" w:cs="Times New Roman"/>
          <w:sz w:val="26"/>
          <w:szCs w:val="26"/>
        </w:rPr>
        <w:t xml:space="preserve">per collection annually) is the average annual FERC cost associated with preparing, issuing, and submitting materials necessary to comply with the PRA of 1995 for rulemakings, orders, or any other vehicle used to create, modify, extend, or discontinue an information collection.  It also includes the cost of publishing the necessary notices in the Federal Register. </w:t>
      </w:r>
    </w:p>
    <w:p w:rsidR="000751F8" w:rsidRPr="000751F8" w:rsidP="000751F8" w14:paraId="7152A414" w14:textId="77777777">
      <w:pPr>
        <w:spacing w:after="0" w:line="276"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27F9B4E" w14:textId="77777777" w:rsidTr="00EC2FD8">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0751F8" w:rsidRPr="000751F8" w:rsidP="000751F8" w14:paraId="0A6D8CF4" w14:textId="77777777">
            <w:pPr>
              <w:spacing w:after="0" w:line="276"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0751F8" w:rsidRPr="000751F8" w:rsidP="000751F8" w14:paraId="27C51F85"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0751F8" w:rsidRPr="000751F8" w:rsidP="000751F8" w14:paraId="5056F19B"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Estimated Annual Federal Cost</w:t>
            </w:r>
          </w:p>
        </w:tc>
      </w:tr>
      <w:tr w14:paraId="771B89F0"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0751F8" w:rsidP="000751F8" w14:paraId="6475CA90" w14:textId="45EB5551">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20"/>
            </w:r>
            <w:r w:rsidRPr="000751F8">
              <w:rPr>
                <w:rFonts w:ascii="Times New Roman" w:hAnsi="Times New Roman" w:cs="Times New Roman"/>
                <w:sz w:val="26"/>
                <w:szCs w:val="26"/>
              </w:rPr>
              <w:t xml:space="preserve"> for FERC</w:t>
            </w:r>
            <w:r w:rsidR="00690C8E">
              <w:rPr>
                <w:rFonts w:ascii="Times New Roman" w:hAnsi="Times New Roman" w:cs="Times New Roman"/>
                <w:sz w:val="26"/>
                <w:szCs w:val="26"/>
              </w:rPr>
              <w:t>-</w:t>
            </w:r>
            <w:r w:rsidRPr="000751F8">
              <w:rPr>
                <w:rFonts w:ascii="Times New Roman" w:hAnsi="Times New Roman" w:cs="Times New Roman"/>
                <w:sz w:val="26"/>
                <w:szCs w:val="26"/>
              </w:rPr>
              <w:t>1005</w:t>
            </w:r>
          </w:p>
        </w:tc>
        <w:tc>
          <w:tcPr>
            <w:tcW w:w="3201" w:type="dxa"/>
            <w:tcBorders>
              <w:top w:val="single" w:sz="4" w:space="0" w:color="auto"/>
              <w:left w:val="single" w:sz="4" w:space="0" w:color="auto"/>
              <w:bottom w:val="single" w:sz="4" w:space="0" w:color="auto"/>
              <w:right w:val="single" w:sz="4" w:space="0" w:color="auto"/>
            </w:tcBorders>
            <w:vAlign w:val="bottom"/>
            <w:hideMark/>
          </w:tcPr>
          <w:p w:rsidR="000751F8" w:rsidRPr="000751F8" w:rsidP="000751F8" w14:paraId="15E8DE3E" w14:textId="1D0D8279">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0.06 (rounded)</w:t>
            </w:r>
            <w:r>
              <w:rPr>
                <w:rFonts w:ascii="Times New Roman" w:hAnsi="Times New Roman" w:cs="Times New Roman"/>
                <w:sz w:val="26"/>
                <w:szCs w:val="26"/>
                <w:vertAlign w:val="superscript"/>
              </w:rPr>
              <w:footnoteReference w:id="21"/>
            </w: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0751F8" w:rsidP="000751F8" w14:paraId="21A2A187" w14:textId="36B7839F">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w:t>
            </w:r>
            <w:r w:rsidRPr="00AE0CA4" w:rsidR="00AE0CA4">
              <w:rPr>
                <w:rFonts w:ascii="Times New Roman" w:hAnsi="Times New Roman" w:cs="Times New Roman"/>
                <w:sz w:val="26"/>
                <w:szCs w:val="26"/>
              </w:rPr>
              <w:t>11,335</w:t>
            </w:r>
            <w:r>
              <w:rPr>
                <w:rFonts w:ascii="Times New Roman" w:hAnsi="Times New Roman" w:cs="Times New Roman"/>
                <w:sz w:val="26"/>
                <w:szCs w:val="26"/>
                <w:vertAlign w:val="superscript"/>
              </w:rPr>
              <w:footnoteReference w:id="22"/>
            </w:r>
          </w:p>
        </w:tc>
      </w:tr>
      <w:tr w14:paraId="143208F7"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0751F8" w:rsidP="000751F8" w14:paraId="7687AA7B" w14:textId="77777777">
            <w:pPr>
              <w:spacing w:after="0" w:line="276" w:lineRule="auto"/>
              <w:rPr>
                <w:rFonts w:ascii="Times New Roman" w:hAnsi="Times New Roman" w:cs="Times New Roman"/>
                <w:sz w:val="26"/>
                <w:szCs w:val="26"/>
              </w:rPr>
            </w:pPr>
            <w:r w:rsidRPr="000751F8">
              <w:rPr>
                <w:rFonts w:ascii="Times New Roman" w:hAnsi="Times New Roman" w:cs="Times New Roman"/>
                <w:sz w:val="26"/>
                <w:szCs w:val="26"/>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0751F8" w:rsidRPr="000751F8" w:rsidP="000751F8" w14:paraId="4DA418E9" w14:textId="77777777">
            <w:pPr>
              <w:spacing w:after="0" w:line="276"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0751F8" w:rsidP="000751F8" w14:paraId="2B5C6F99" w14:textId="6E08A04F">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w:t>
            </w:r>
            <w:r w:rsidRPr="002F5E08" w:rsidR="002F5E08">
              <w:rPr>
                <w:rFonts w:ascii="Times New Roman" w:hAnsi="Times New Roman" w:cs="Times New Roman"/>
                <w:sz w:val="26"/>
                <w:szCs w:val="26"/>
              </w:rPr>
              <w:t>7,694</w:t>
            </w:r>
          </w:p>
        </w:tc>
      </w:tr>
      <w:tr w14:paraId="60F94FE4"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0751F8" w:rsidP="000751F8" w14:paraId="5E8EB10A" w14:textId="77777777">
            <w:pPr>
              <w:spacing w:after="0" w:line="276" w:lineRule="auto"/>
              <w:rPr>
                <w:rFonts w:ascii="Times New Roman" w:hAnsi="Times New Roman" w:cs="Times New Roman"/>
                <w:b/>
                <w:sz w:val="26"/>
                <w:szCs w:val="26"/>
              </w:rPr>
            </w:pPr>
            <w:r w:rsidRPr="000751F8">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751F8" w:rsidRPr="000751F8" w:rsidP="000751F8" w14:paraId="232AA726" w14:textId="77777777">
            <w:pPr>
              <w:spacing w:after="0" w:line="276"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0751F8" w:rsidP="000751F8" w14:paraId="365B2077" w14:textId="18E998B9">
            <w:pPr>
              <w:spacing w:after="0" w:line="276" w:lineRule="auto"/>
              <w:jc w:val="right"/>
              <w:rPr>
                <w:rFonts w:ascii="Times New Roman" w:hAnsi="Times New Roman" w:cs="Times New Roman"/>
                <w:sz w:val="26"/>
                <w:szCs w:val="26"/>
              </w:rPr>
            </w:pPr>
            <w:r w:rsidRPr="000751F8">
              <w:rPr>
                <w:rFonts w:ascii="Times New Roman" w:hAnsi="Times New Roman" w:cs="Times New Roman"/>
                <w:sz w:val="26"/>
                <w:szCs w:val="26"/>
              </w:rPr>
              <w:t>$</w:t>
            </w:r>
            <w:r w:rsidRPr="00E76AE7" w:rsidR="00E76AE7">
              <w:rPr>
                <w:rFonts w:ascii="Times New Roman" w:hAnsi="Times New Roman" w:cs="Times New Roman"/>
                <w:sz w:val="26"/>
                <w:szCs w:val="26"/>
              </w:rPr>
              <w:t>19,029</w:t>
            </w:r>
          </w:p>
        </w:tc>
      </w:tr>
    </w:tbl>
    <w:p w:rsidR="00EE07DD" w:rsidRPr="001A153B" w:rsidP="005E5E49" w14:paraId="099907C3" w14:textId="77777777">
      <w:pPr>
        <w:spacing w:after="0" w:line="276" w:lineRule="auto"/>
        <w:rPr>
          <w:rFonts w:ascii="Times New Roman" w:hAnsi="Times New Roman" w:cs="Times New Roman"/>
          <w:sz w:val="26"/>
          <w:szCs w:val="26"/>
        </w:rPr>
      </w:pPr>
    </w:p>
    <w:p w:rsidR="00EE07DD" w:rsidP="005E5E49" w14:paraId="4ECB8610"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rsidR="00632770" w:rsidP="00945E1B" w14:paraId="21F5095E" w14:textId="77777777">
      <w:pPr>
        <w:spacing w:after="0" w:line="276" w:lineRule="auto"/>
        <w:rPr>
          <w:rFonts w:ascii="Times New Roman" w:hAnsi="Times New Roman" w:cs="Times New Roman"/>
          <w:b/>
          <w:sz w:val="26"/>
          <w:szCs w:val="26"/>
        </w:rPr>
      </w:pPr>
    </w:p>
    <w:p w:rsidR="00945E1B" w:rsidP="00945E1B" w14:paraId="1C8BF4AA" w14:textId="7EF1EBEE">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965E15" w:rsidP="005E5E49" w14:paraId="552537F4" w14:textId="77777777">
      <w:pPr>
        <w:spacing w:after="0" w:line="276"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BFD0D23" w14:textId="77777777" w:rsidTr="00022939">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0FE06AE1" w14:textId="55AF2A28">
            <w:pPr>
              <w:spacing w:after="0" w:line="240" w:lineRule="auto"/>
              <w:rPr>
                <w:rFonts w:ascii="Times New Roman" w:hAnsi="Times New Roman" w:cs="Times New Roman"/>
                <w:b/>
                <w:sz w:val="26"/>
                <w:szCs w:val="26"/>
              </w:rPr>
            </w:pP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2F70E80C" w14:textId="44EE06DE">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1982D194"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4AAEDD9A"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317837AF"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14:paraId="2291A558" w14:textId="77777777" w:rsidTr="00C83B00">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65EDEC60"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C83B00" w:rsidRPr="001A153B" w:rsidP="00C83B00" w14:paraId="73921808" w14:textId="28CB47A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18</w:t>
            </w:r>
          </w:p>
        </w:tc>
        <w:tc>
          <w:tcPr>
            <w:tcW w:w="162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46B0E018" w14:textId="725145C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0A91D5DC" w14:textId="6E005C2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17C603EF" w14:textId="3AC5DED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52175776" w14:textId="77777777" w:rsidTr="00C83B00">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4880D951" w14:textId="6AE16FC0">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C83B00" w:rsidRPr="001A153B" w:rsidP="00C83B00" w14:paraId="121DC2AF" w14:textId="3470F0F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198</w:t>
            </w:r>
          </w:p>
        </w:tc>
        <w:tc>
          <w:tcPr>
            <w:tcW w:w="1620" w:type="dxa"/>
            <w:tcBorders>
              <w:top w:val="single" w:sz="4" w:space="0" w:color="auto"/>
              <w:left w:val="single" w:sz="4" w:space="0" w:color="auto"/>
              <w:bottom w:val="single" w:sz="4" w:space="0" w:color="auto"/>
              <w:right w:val="single" w:sz="4" w:space="0" w:color="auto"/>
            </w:tcBorders>
            <w:vAlign w:val="bottom"/>
          </w:tcPr>
          <w:p w:rsidR="00C83B00" w:rsidRPr="001A153B" w:rsidP="00C83B00" w14:paraId="1AC26747" w14:textId="32EDD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vAlign w:val="bottom"/>
          </w:tcPr>
          <w:p w:rsidR="00C83B00" w:rsidRPr="001A153B" w:rsidP="00C83B00" w14:paraId="2F00CF02" w14:textId="65035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4D124CC1" w14:textId="4E3350A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341CC373" w14:textId="77777777" w:rsidTr="00C83B00">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6483316B" w14:textId="64E361F2">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C83B00" w:rsidRPr="001A153B" w:rsidP="00C83B00" w14:paraId="180BB0C3" w14:textId="0C051D9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1388E8FB" w14:textId="6A36968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065EAB3F" w14:textId="723F9AD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1A153B" w:rsidP="00C83B00" w14:paraId="78DC3CFE" w14:textId="5B84411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76658D" w:rsidP="005E5E49" w14:paraId="3F4392F6" w14:textId="77777777">
      <w:pPr>
        <w:spacing w:after="0" w:line="276" w:lineRule="auto"/>
        <w:rPr>
          <w:rFonts w:ascii="Times New Roman" w:hAnsi="Times New Roman" w:cs="Times New Roman"/>
          <w:sz w:val="26"/>
          <w:szCs w:val="26"/>
        </w:rPr>
      </w:pPr>
    </w:p>
    <w:p w:rsidR="00EE07DD" w:rsidRPr="001A153B" w:rsidP="005E5E49" w14:paraId="1E69C388"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rsidR="00EE07DD" w:rsidRPr="001A153B" w:rsidP="005E5E49" w14:paraId="5A7EFBEA" w14:textId="77777777">
      <w:pPr>
        <w:spacing w:after="0" w:line="276" w:lineRule="auto"/>
        <w:rPr>
          <w:rFonts w:ascii="Times New Roman" w:hAnsi="Times New Roman" w:cs="Times New Roman"/>
          <w:sz w:val="26"/>
          <w:szCs w:val="26"/>
        </w:rPr>
      </w:pPr>
    </w:p>
    <w:p w:rsidR="00EE07DD" w:rsidRPr="001A153B" w:rsidP="005E5E49" w14:paraId="54933319"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rsidR="00EE07DD" w:rsidRPr="001A153B" w:rsidP="005E5E49" w14:paraId="2E1C1FEC" w14:textId="77777777">
      <w:pPr>
        <w:spacing w:after="0" w:line="276" w:lineRule="auto"/>
        <w:rPr>
          <w:rFonts w:ascii="Times New Roman" w:hAnsi="Times New Roman" w:cs="Times New Roman"/>
          <w:sz w:val="26"/>
          <w:szCs w:val="26"/>
        </w:rPr>
      </w:pPr>
    </w:p>
    <w:p w:rsidR="00EE07DD" w:rsidRPr="001A153B" w:rsidP="005E5E49" w14:paraId="08017269"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rsidR="00EE07DD" w:rsidRPr="001A153B" w:rsidP="005E5E49" w14:paraId="3A8ED92C" w14:textId="77777777">
      <w:pPr>
        <w:spacing w:after="0" w:line="276" w:lineRule="auto"/>
        <w:rPr>
          <w:rFonts w:ascii="Times New Roman" w:hAnsi="Times New Roman" w:cs="Times New Roman"/>
          <w:sz w:val="26"/>
          <w:szCs w:val="26"/>
        </w:rPr>
      </w:pPr>
    </w:p>
    <w:p w:rsidR="00705642" w:rsidRPr="00FA5095" w:rsidP="00705642" w14:paraId="641676F3" w14:textId="01537C70">
      <w:pPr>
        <w:spacing w:after="0" w:line="276" w:lineRule="auto"/>
        <w:rPr>
          <w:rFonts w:ascii="Times New Roman" w:hAnsi="Times New Roman" w:cs="Times New Roman"/>
          <w:sz w:val="26"/>
          <w:szCs w:val="26"/>
        </w:rPr>
      </w:pPr>
      <w:r>
        <w:rPr>
          <w:rFonts w:ascii="Times New Roman" w:hAnsi="Times New Roman" w:cs="Times New Roman"/>
          <w:sz w:val="26"/>
          <w:szCs w:val="26"/>
        </w:rPr>
        <w:t>F</w:t>
      </w:r>
      <w:r w:rsidRPr="00FA5095">
        <w:rPr>
          <w:rFonts w:ascii="Times New Roman" w:hAnsi="Times New Roman" w:cs="Times New Roman"/>
          <w:sz w:val="26"/>
          <w:szCs w:val="26"/>
        </w:rPr>
        <w:t xml:space="preserve">ERC provides the OMB Control Numbers of the information collections </w:t>
      </w:r>
      <w:r w:rsidRPr="000976D8">
        <w:rPr>
          <w:rFonts w:ascii="Times New Roman" w:hAnsi="Times New Roman" w:cs="Times New Roman"/>
          <w:sz w:val="26"/>
          <w:szCs w:val="26"/>
        </w:rPr>
        <w:t>along with their expiration dates</w:t>
      </w:r>
      <w:r w:rsidRPr="006F1CA0">
        <w:rPr>
          <w:rFonts w:ascii="Times New Roman" w:hAnsi="Times New Roman" w:cs="Times New Roman"/>
          <w:sz w:val="26"/>
          <w:szCs w:val="26"/>
        </w:rPr>
        <w:t xml:space="preserve"> on this site at</w:t>
      </w:r>
      <w:r w:rsidR="00D8382C">
        <w:rPr>
          <w:rFonts w:ascii="Times New Roman" w:hAnsi="Times New Roman" w:cs="Times New Roman"/>
          <w:sz w:val="26"/>
          <w:szCs w:val="26"/>
        </w:rPr>
        <w:t xml:space="preserve"> </w:t>
      </w:r>
      <w:hyperlink r:id="rId9" w:history="1">
        <w:r w:rsidRPr="00D8382C" w:rsidR="00D8382C">
          <w:rPr>
            <w:rStyle w:val="Hyperlink"/>
            <w:sz w:val="26"/>
            <w:szCs w:val="26"/>
          </w:rPr>
          <w:t>Information Collections | Federal Energy Regulatory Commission (ferc.gov)</w:t>
        </w:r>
      </w:hyperlink>
      <w:r w:rsidR="00D8382C">
        <w:rPr>
          <w:rFonts w:ascii="Times New Roman" w:hAnsi="Times New Roman" w:cs="Times New Roman"/>
          <w:sz w:val="26"/>
          <w:szCs w:val="26"/>
        </w:rPr>
        <w:t>.</w:t>
      </w:r>
    </w:p>
    <w:p w:rsidR="00EE07DD" w:rsidRPr="001A153B" w:rsidP="005E5E49" w14:paraId="29A2525F" w14:textId="77777777">
      <w:pPr>
        <w:spacing w:after="0" w:line="276" w:lineRule="auto"/>
        <w:rPr>
          <w:rFonts w:ascii="Times New Roman" w:hAnsi="Times New Roman" w:cs="Times New Roman"/>
          <w:sz w:val="26"/>
          <w:szCs w:val="26"/>
        </w:rPr>
      </w:pPr>
    </w:p>
    <w:p w:rsidR="00EE07DD" w:rsidRPr="001A153B" w:rsidP="005E5E49" w14:paraId="533ED27D"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rsidR="00EE07DD" w:rsidRPr="001A153B" w:rsidP="005E5E49" w14:paraId="2C1DE64B" w14:textId="77777777">
      <w:pPr>
        <w:spacing w:after="0" w:line="276" w:lineRule="auto"/>
        <w:rPr>
          <w:rFonts w:ascii="Times New Roman" w:hAnsi="Times New Roman" w:cs="Times New Roman"/>
          <w:b/>
          <w:sz w:val="26"/>
          <w:szCs w:val="26"/>
        </w:rPr>
      </w:pPr>
    </w:p>
    <w:p w:rsidR="00EE07DD" w:rsidRPr="001A153B" w:rsidP="005E5E49" w14:paraId="12189FC5" w14:textId="114756EE">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E1C" w14:paraId="3DED26F5" w14:textId="5036CDD3">
    <w:pPr>
      <w:pStyle w:val="Footer"/>
      <w:jc w:val="right"/>
    </w:pPr>
    <w:sdt>
      <w:sdtPr>
        <w:id w:val="140765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31E1C" w14:paraId="4DFC68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1250" w:rsidP="00EE07DD" w14:paraId="4051C2E0" w14:textId="77777777">
      <w:pPr>
        <w:spacing w:after="0" w:line="240" w:lineRule="auto"/>
      </w:pPr>
      <w:r>
        <w:separator/>
      </w:r>
    </w:p>
  </w:footnote>
  <w:footnote w:type="continuationSeparator" w:id="1">
    <w:p w:rsidR="00921250" w:rsidP="00EE07DD" w14:paraId="798CDD28" w14:textId="77777777">
      <w:pPr>
        <w:spacing w:after="0" w:line="240" w:lineRule="auto"/>
      </w:pPr>
      <w:r>
        <w:continuationSeparator/>
      </w:r>
    </w:p>
  </w:footnote>
  <w:footnote w:type="continuationNotice" w:id="2">
    <w:p w:rsidR="00921250" w14:paraId="15072327" w14:textId="77777777">
      <w:pPr>
        <w:spacing w:after="0" w:line="240" w:lineRule="auto"/>
      </w:pPr>
    </w:p>
  </w:footnote>
  <w:footnote w:id="3">
    <w:p w:rsidR="00AE0FB4" w:rsidRPr="009E21CC" w:rsidP="009E21CC" w14:paraId="4F7E719E"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16 U.S.C. § 824e.</w:t>
      </w:r>
    </w:p>
  </w:footnote>
  <w:footnote w:id="4">
    <w:p w:rsidR="008C34C9" w:rsidRPr="009E21CC" w:rsidP="009E21CC" w14:paraId="057468CF" w14:textId="1C0DC403">
      <w:pPr>
        <w:pStyle w:val="FootnoteText"/>
        <w:spacing w:after="120"/>
        <w:ind w:firstLine="720"/>
        <w:rPr>
          <w:rFonts w:ascii="Times New Roman" w:hAnsi="Times New Roman" w:cs="Times New Roman"/>
          <w:sz w:val="26"/>
          <w:szCs w:val="26"/>
        </w:rPr>
      </w:pPr>
      <w:r w:rsidRPr="009E21CC">
        <w:rPr>
          <w:rFonts w:ascii="Times New Roman" w:hAnsi="Times New Roman" w:cs="Times New Roman"/>
          <w:sz w:val="26"/>
          <w:szCs w:val="26"/>
          <w:vertAlign w:val="superscript"/>
        </w:rPr>
        <w:footnoteRef/>
      </w:r>
      <w:r w:rsidRPr="009E21CC">
        <w:rPr>
          <w:rFonts w:ascii="Times New Roman" w:hAnsi="Times New Roman" w:cs="Times New Roman"/>
          <w:sz w:val="26"/>
          <w:szCs w:val="26"/>
          <w:vertAlign w:val="superscript"/>
        </w:rPr>
        <w:t xml:space="preserve"> </w:t>
      </w:r>
      <w:r w:rsidRPr="009E21CC">
        <w:rPr>
          <w:rFonts w:ascii="Times New Roman" w:hAnsi="Times New Roman" w:cs="Times New Roman"/>
          <w:sz w:val="26"/>
          <w:szCs w:val="26"/>
        </w:rPr>
        <w:t>IRC Initial Comments at 2</w:t>
      </w:r>
      <w:r w:rsidRPr="009E21CC" w:rsidR="00156A19">
        <w:rPr>
          <w:rFonts w:ascii="Times New Roman" w:hAnsi="Times New Roman" w:cs="Times New Roman"/>
          <w:sz w:val="26"/>
          <w:szCs w:val="26"/>
        </w:rPr>
        <w:t>;</w:t>
      </w:r>
      <w:r w:rsidRPr="009E21CC" w:rsidR="00407310">
        <w:rPr>
          <w:rFonts w:ascii="Times New Roman" w:hAnsi="Times New Roman" w:cs="Times New Roman"/>
          <w:sz w:val="26"/>
          <w:szCs w:val="26"/>
        </w:rPr>
        <w:t xml:space="preserve"> </w:t>
      </w:r>
      <w:r w:rsidRPr="009E21CC" w:rsidR="00B47284">
        <w:rPr>
          <w:rFonts w:ascii="Times New Roman" w:hAnsi="Times New Roman" w:cs="Times New Roman"/>
          <w:sz w:val="26"/>
          <w:szCs w:val="26"/>
        </w:rPr>
        <w:t>EEI Comments at 3.</w:t>
      </w:r>
    </w:p>
  </w:footnote>
  <w:footnote w:id="5">
    <w:p w:rsidR="005D2081" w:rsidRPr="009E21CC" w:rsidP="009E21CC" w14:paraId="7E6E9939" w14:textId="3FCC9AF5">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w:t>
      </w:r>
      <w:r w:rsidRPr="009E21CC" w:rsidR="00A6323F">
        <w:rPr>
          <w:rFonts w:ascii="Times New Roman" w:hAnsi="Times New Roman" w:cs="Times New Roman"/>
          <w:sz w:val="26"/>
          <w:szCs w:val="26"/>
        </w:rPr>
        <w:t>EEI Comments at 3</w:t>
      </w:r>
      <w:r w:rsidRPr="009E21CC" w:rsidR="00C450E1">
        <w:rPr>
          <w:rFonts w:ascii="Times New Roman" w:hAnsi="Times New Roman" w:cs="Times New Roman"/>
          <w:sz w:val="26"/>
          <w:szCs w:val="26"/>
        </w:rPr>
        <w:t>;</w:t>
      </w:r>
      <w:r w:rsidRPr="009E21CC" w:rsidR="00DE7A71">
        <w:rPr>
          <w:rFonts w:ascii="Times New Roman" w:hAnsi="Times New Roman" w:cs="Times New Roman"/>
          <w:sz w:val="26"/>
          <w:szCs w:val="26"/>
        </w:rPr>
        <w:t xml:space="preserve"> Indicated PJM Utilities Comments at 13-14.</w:t>
      </w:r>
    </w:p>
  </w:footnote>
  <w:footnote w:id="6">
    <w:p w:rsidR="00406568" w:rsidRPr="009E21CC" w:rsidP="009E21CC" w14:paraId="4FBD630A" w14:textId="58A3857F">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b/>
          <w:bCs/>
          <w:sz w:val="26"/>
          <w:szCs w:val="26"/>
        </w:rPr>
        <w:t xml:space="preserve"> </w:t>
      </w:r>
      <w:r w:rsidRPr="009E21CC">
        <w:rPr>
          <w:rFonts w:ascii="Times New Roman" w:hAnsi="Times New Roman" w:cs="Times New Roman"/>
          <w:sz w:val="26"/>
          <w:szCs w:val="26"/>
        </w:rPr>
        <w:t>Dominion Comments at 4-5</w:t>
      </w:r>
      <w:r w:rsidRPr="009E21CC" w:rsidR="00C450E1">
        <w:rPr>
          <w:rFonts w:ascii="Times New Roman" w:hAnsi="Times New Roman" w:cs="Times New Roman"/>
          <w:sz w:val="26"/>
          <w:szCs w:val="26"/>
        </w:rPr>
        <w:t>;</w:t>
      </w:r>
      <w:r w:rsidRPr="009E21CC" w:rsidR="00F7336B">
        <w:rPr>
          <w:rFonts w:ascii="Times New Roman" w:hAnsi="Times New Roman" w:cs="Times New Roman"/>
          <w:sz w:val="26"/>
          <w:szCs w:val="26"/>
        </w:rPr>
        <w:t xml:space="preserve"> EPSA Comments at </w:t>
      </w:r>
      <w:r w:rsidRPr="009E21CC" w:rsidR="006933AC">
        <w:rPr>
          <w:rFonts w:ascii="Times New Roman" w:hAnsi="Times New Roman" w:cs="Times New Roman"/>
          <w:sz w:val="26"/>
          <w:szCs w:val="26"/>
        </w:rPr>
        <w:t>6.</w:t>
      </w:r>
    </w:p>
  </w:footnote>
  <w:footnote w:id="7">
    <w:p w:rsidR="000D0EC4" w:rsidRPr="009E21CC" w:rsidP="009E21CC" w14:paraId="52C377ED" w14:textId="27616D44">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sidR="00A85621">
        <w:rPr>
          <w:rFonts w:ascii="Times New Roman" w:hAnsi="Times New Roman" w:cs="Times New Roman"/>
          <w:sz w:val="26"/>
          <w:szCs w:val="26"/>
        </w:rPr>
        <w:t>IRC Comments</w:t>
      </w:r>
      <w:r w:rsidRPr="009E21CC" w:rsidR="005D2081">
        <w:rPr>
          <w:rFonts w:ascii="Times New Roman" w:hAnsi="Times New Roman" w:cs="Times New Roman"/>
          <w:sz w:val="26"/>
          <w:szCs w:val="26"/>
        </w:rPr>
        <w:t xml:space="preserve"> at 3</w:t>
      </w:r>
      <w:r w:rsidRPr="009E21CC" w:rsidR="00C450E1">
        <w:rPr>
          <w:rFonts w:ascii="Times New Roman" w:hAnsi="Times New Roman" w:cs="Times New Roman"/>
          <w:sz w:val="26"/>
          <w:szCs w:val="26"/>
        </w:rPr>
        <w:t>;</w:t>
      </w:r>
      <w:r w:rsidRPr="009E21CC" w:rsidR="005D2081">
        <w:rPr>
          <w:rFonts w:ascii="Times New Roman" w:hAnsi="Times New Roman" w:cs="Times New Roman"/>
          <w:sz w:val="26"/>
          <w:szCs w:val="26"/>
        </w:rPr>
        <w:t xml:space="preserve"> SPP MMU Comments at 4.</w:t>
      </w:r>
    </w:p>
  </w:footnote>
  <w:footnote w:id="8">
    <w:p w:rsidR="00C450E1" w:rsidRPr="009E21CC" w:rsidP="009E21CC" w14:paraId="624012E0"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Indicated PJM Utilities Comments at 13; EEI Comments at 4. </w:t>
      </w:r>
    </w:p>
  </w:footnote>
  <w:footnote w:id="9">
    <w:p w:rsidR="00E86F3C" w:rsidRPr="009E21CC" w:rsidP="009E21CC" w14:paraId="7D52916D"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Pr>
          <w:rStyle w:val="FootnoteReference"/>
          <w:rFonts w:ascii="Times New Roman" w:hAnsi="Times New Roman" w:cs="Times New Roman"/>
          <w:sz w:val="26"/>
          <w:szCs w:val="26"/>
          <w:vertAlign w:val="baseline"/>
        </w:rPr>
        <w:t>NEPOOL Comments at 9-10.</w:t>
      </w:r>
    </w:p>
  </w:footnote>
  <w:footnote w:id="10">
    <w:p w:rsidR="00535064" w:rsidRPr="009E21CC" w:rsidP="009E21CC" w14:paraId="0FB90703"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Energy Trading Institute Request for Technical Conference and Petition for Rulemaking to Update Credit and Risk Management Rules and Procedures in the Organized Markets, </w:t>
      </w:r>
      <w:r w:rsidRPr="009E21CC">
        <w:rPr>
          <w:rFonts w:ascii="Times New Roman" w:hAnsi="Times New Roman" w:cs="Times New Roman"/>
          <w:i/>
          <w:iCs/>
          <w:sz w:val="26"/>
          <w:szCs w:val="26"/>
        </w:rPr>
        <w:t>Credit Reforms in Organized Wholesale Electric Markets</w:t>
      </w:r>
      <w:r w:rsidRPr="009E21CC">
        <w:rPr>
          <w:rFonts w:ascii="Times New Roman" w:hAnsi="Times New Roman" w:cs="Times New Roman"/>
          <w:sz w:val="26"/>
          <w:szCs w:val="26"/>
        </w:rPr>
        <w:t>, Docket No. AD20-6-000 (Dec. 16, 2019).</w:t>
      </w:r>
    </w:p>
  </w:footnote>
  <w:footnote w:id="11">
    <w:p w:rsidR="00535064" w:rsidRPr="009E21CC" w:rsidP="009E21CC" w14:paraId="6E83D613"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w:t>
      </w:r>
      <w:r w:rsidRPr="009E21CC">
        <w:rPr>
          <w:rFonts w:ascii="Times New Roman" w:hAnsi="Times New Roman" w:cs="Times New Roman"/>
          <w:i/>
          <w:iCs/>
          <w:sz w:val="26"/>
          <w:szCs w:val="26"/>
        </w:rPr>
        <w:t>See</w:t>
      </w:r>
      <w:r w:rsidRPr="009E21CC">
        <w:rPr>
          <w:rFonts w:ascii="Times New Roman" w:hAnsi="Times New Roman" w:cs="Times New Roman"/>
          <w:sz w:val="26"/>
          <w:szCs w:val="26"/>
        </w:rPr>
        <w:t xml:space="preserve"> </w:t>
      </w:r>
      <w:r w:rsidRPr="009E21CC">
        <w:rPr>
          <w:rFonts w:ascii="Times New Roman" w:hAnsi="Times New Roman" w:cs="Times New Roman"/>
          <w:i/>
          <w:iCs/>
          <w:sz w:val="26"/>
          <w:szCs w:val="26"/>
        </w:rPr>
        <w:t>RTO/ISO</w:t>
      </w:r>
      <w:r w:rsidRPr="009E21CC">
        <w:rPr>
          <w:rFonts w:ascii="Times New Roman" w:hAnsi="Times New Roman" w:cs="Times New Roman"/>
          <w:i/>
          <w:sz w:val="26"/>
          <w:szCs w:val="26"/>
        </w:rPr>
        <w:t xml:space="preserve"> Credit Principles and Practices</w:t>
      </w:r>
      <w:r w:rsidRPr="009E21CC">
        <w:rPr>
          <w:rFonts w:ascii="Times New Roman" w:hAnsi="Times New Roman" w:cs="Times New Roman"/>
          <w:sz w:val="26"/>
          <w:szCs w:val="26"/>
        </w:rPr>
        <w:t xml:space="preserve">, Technical Conference, Docket No. AD21-6-000, </w:t>
      </w:r>
      <w:r w:rsidRPr="009E21CC">
        <w:rPr>
          <w:rFonts w:ascii="Times New Roman" w:hAnsi="Times New Roman" w:cs="Times New Roman"/>
          <w:i/>
          <w:iCs/>
          <w:sz w:val="26"/>
          <w:szCs w:val="26"/>
        </w:rPr>
        <w:t>et al.</w:t>
      </w:r>
      <w:r w:rsidRPr="009E21CC">
        <w:rPr>
          <w:rFonts w:ascii="Times New Roman" w:hAnsi="Times New Roman" w:cs="Times New Roman"/>
          <w:sz w:val="26"/>
          <w:szCs w:val="26"/>
        </w:rPr>
        <w:t>, Tr.</w:t>
      </w:r>
      <w:r w:rsidRPr="009E21CC">
        <w:rPr>
          <w:rFonts w:ascii="Times New Roman" w:hAnsi="Times New Roman" w:cs="Times New Roman"/>
          <w:i/>
          <w:iCs/>
          <w:sz w:val="26"/>
          <w:szCs w:val="26"/>
        </w:rPr>
        <w:t xml:space="preserve"> </w:t>
      </w:r>
      <w:r w:rsidRPr="009E21CC">
        <w:rPr>
          <w:rFonts w:ascii="Times New Roman" w:hAnsi="Times New Roman" w:cs="Times New Roman"/>
          <w:sz w:val="26"/>
          <w:szCs w:val="26"/>
        </w:rPr>
        <w:t>100:24-102:20, 106:1-24 (</w:t>
      </w:r>
      <w:r w:rsidRPr="009E21CC">
        <w:rPr>
          <w:rFonts w:ascii="Times New Roman" w:hAnsi="Times New Roman" w:cs="Times New Roman"/>
          <w:sz w:val="26"/>
          <w:szCs w:val="26"/>
        </w:rPr>
        <w:t>Bloczynski</w:t>
      </w:r>
      <w:r w:rsidRPr="009E21CC">
        <w:rPr>
          <w:rFonts w:ascii="Times New Roman" w:hAnsi="Times New Roman" w:cs="Times New Roman"/>
          <w:sz w:val="26"/>
          <w:szCs w:val="26"/>
        </w:rPr>
        <w:t xml:space="preserve">) (Feb. 25, 2021); </w:t>
      </w:r>
      <w:r w:rsidRPr="009E21CC">
        <w:rPr>
          <w:rFonts w:ascii="Times New Roman" w:hAnsi="Times New Roman" w:cs="Times New Roman"/>
          <w:i/>
          <w:iCs/>
          <w:sz w:val="26"/>
          <w:szCs w:val="26"/>
        </w:rPr>
        <w:t>id.</w:t>
      </w:r>
      <w:r w:rsidRPr="009E21CC">
        <w:rPr>
          <w:rFonts w:ascii="Times New Roman" w:hAnsi="Times New Roman" w:cs="Times New Roman"/>
          <w:sz w:val="26"/>
          <w:szCs w:val="26"/>
        </w:rPr>
        <w:t xml:space="preserve"> at Tr. 102:25-104:5 (Brown); </w:t>
      </w:r>
      <w:r w:rsidRPr="009E21CC">
        <w:rPr>
          <w:rFonts w:ascii="Times New Roman" w:hAnsi="Times New Roman" w:cs="Times New Roman"/>
          <w:i/>
          <w:iCs/>
          <w:sz w:val="26"/>
          <w:szCs w:val="26"/>
        </w:rPr>
        <w:t>id.</w:t>
      </w:r>
      <w:r w:rsidRPr="009E21CC">
        <w:rPr>
          <w:rFonts w:ascii="Times New Roman" w:hAnsi="Times New Roman" w:cs="Times New Roman"/>
          <w:sz w:val="26"/>
          <w:szCs w:val="26"/>
        </w:rPr>
        <w:t xml:space="preserve"> at Tr. 104:7-105:9 (</w:t>
      </w:r>
      <w:r w:rsidRPr="009E21CC">
        <w:rPr>
          <w:rFonts w:ascii="Times New Roman" w:hAnsi="Times New Roman" w:cs="Times New Roman"/>
          <w:sz w:val="26"/>
          <w:szCs w:val="26"/>
        </w:rPr>
        <w:t>Prevratil</w:t>
      </w:r>
      <w:r w:rsidRPr="009E21CC">
        <w:rPr>
          <w:rFonts w:ascii="Times New Roman" w:hAnsi="Times New Roman" w:cs="Times New Roman"/>
          <w:sz w:val="26"/>
          <w:szCs w:val="26"/>
        </w:rPr>
        <w:t xml:space="preserve">); </w:t>
      </w:r>
      <w:r w:rsidRPr="009E21CC">
        <w:rPr>
          <w:rFonts w:ascii="Times New Roman" w:hAnsi="Times New Roman" w:cs="Times New Roman"/>
          <w:i/>
          <w:iCs/>
          <w:sz w:val="26"/>
          <w:szCs w:val="26"/>
        </w:rPr>
        <w:t>id.</w:t>
      </w:r>
      <w:r w:rsidRPr="009E21CC">
        <w:rPr>
          <w:rFonts w:ascii="Times New Roman" w:hAnsi="Times New Roman" w:cs="Times New Roman"/>
          <w:sz w:val="26"/>
          <w:szCs w:val="26"/>
        </w:rPr>
        <w:t xml:space="preserve"> at Tr. 105:12-105:24 (</w:t>
      </w:r>
      <w:r w:rsidRPr="009E21CC">
        <w:rPr>
          <w:rFonts w:ascii="Times New Roman" w:hAnsi="Times New Roman" w:cs="Times New Roman"/>
          <w:sz w:val="26"/>
          <w:szCs w:val="26"/>
        </w:rPr>
        <w:t>Seghesio</w:t>
      </w:r>
      <w:r w:rsidRPr="009E21CC">
        <w:rPr>
          <w:rFonts w:ascii="Times New Roman" w:hAnsi="Times New Roman" w:cs="Times New Roman"/>
          <w:sz w:val="26"/>
          <w:szCs w:val="26"/>
        </w:rPr>
        <w:t xml:space="preserve">).  Further, one panelist emphasized that credit-related information sharing would bring additional transparency to organized wholesale electric markets to the benefit of market participants and consumers.  </w:t>
      </w:r>
      <w:r w:rsidRPr="009E21CC">
        <w:rPr>
          <w:rFonts w:ascii="Times New Roman" w:hAnsi="Times New Roman" w:cs="Times New Roman"/>
          <w:i/>
          <w:iCs/>
          <w:sz w:val="26"/>
          <w:szCs w:val="26"/>
        </w:rPr>
        <w:t>See id.</w:t>
      </w:r>
      <w:r w:rsidRPr="009E21CC">
        <w:rPr>
          <w:rFonts w:ascii="Times New Roman" w:hAnsi="Times New Roman" w:cs="Times New Roman"/>
          <w:sz w:val="26"/>
          <w:szCs w:val="26"/>
        </w:rPr>
        <w:t xml:space="preserve"> at Tr. 30:15-23, 58:1-9 (</w:t>
      </w:r>
      <w:r w:rsidRPr="009E21CC">
        <w:rPr>
          <w:rFonts w:ascii="Times New Roman" w:hAnsi="Times New Roman" w:cs="Times New Roman"/>
          <w:sz w:val="26"/>
          <w:szCs w:val="26"/>
        </w:rPr>
        <w:t>Heinle</w:t>
      </w:r>
      <w:r w:rsidRPr="009E21CC">
        <w:rPr>
          <w:rFonts w:ascii="Times New Roman" w:hAnsi="Times New Roman" w:cs="Times New Roman"/>
          <w:sz w:val="26"/>
          <w:szCs w:val="26"/>
        </w:rPr>
        <w:t>).</w:t>
      </w:r>
    </w:p>
  </w:footnote>
  <w:footnote w:id="12">
    <w:p w:rsidR="005D5C5B" w:rsidRPr="009E21CC" w:rsidP="009E21CC" w14:paraId="3373F402" w14:textId="59D6A67C">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w:t>
      </w:r>
      <w:r w:rsidRPr="009E21CC" w:rsidR="007E5D89">
        <w:rPr>
          <w:rFonts w:ascii="Times New Roman" w:hAnsi="Times New Roman" w:cs="Times New Roman"/>
          <w:sz w:val="26"/>
          <w:szCs w:val="26"/>
        </w:rPr>
        <w:t>IRC Comments</w:t>
      </w:r>
      <w:r w:rsidRPr="009E21CC">
        <w:rPr>
          <w:rFonts w:ascii="Times New Roman" w:hAnsi="Times New Roman" w:cs="Times New Roman"/>
          <w:sz w:val="26"/>
          <w:szCs w:val="26"/>
        </w:rPr>
        <w:t xml:space="preserve"> at 8</w:t>
      </w:r>
      <w:r w:rsidRPr="009E21CC" w:rsidR="00DE7A71">
        <w:rPr>
          <w:rFonts w:ascii="Times New Roman" w:hAnsi="Times New Roman" w:cs="Times New Roman"/>
          <w:sz w:val="26"/>
          <w:szCs w:val="26"/>
        </w:rPr>
        <w:t>.</w:t>
      </w:r>
    </w:p>
  </w:footnote>
  <w:footnote w:id="13">
    <w:p w:rsidR="000B4905" w:rsidRPr="009E21CC" w:rsidP="009E21CC" w14:paraId="7B08EEF5" w14:textId="25FE54D5">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Pr>
          <w:rFonts w:ascii="Times New Roman" w:hAnsi="Times New Roman" w:cs="Times New Roman"/>
          <w:sz w:val="26"/>
          <w:szCs w:val="26"/>
        </w:rPr>
        <w:t xml:space="preserve"> ETI Comments </w:t>
      </w:r>
      <w:r w:rsidRPr="009E21CC" w:rsidR="005D5C5B">
        <w:rPr>
          <w:rFonts w:ascii="Times New Roman" w:hAnsi="Times New Roman" w:cs="Times New Roman"/>
          <w:sz w:val="26"/>
          <w:szCs w:val="26"/>
        </w:rPr>
        <w:t xml:space="preserve">on </w:t>
      </w:r>
      <w:r w:rsidRPr="009E21CC">
        <w:rPr>
          <w:rFonts w:ascii="Times New Roman" w:hAnsi="Times New Roman" w:cs="Times New Roman"/>
          <w:sz w:val="26"/>
          <w:szCs w:val="26"/>
        </w:rPr>
        <w:t>at 12-13.</w:t>
      </w:r>
    </w:p>
  </w:footnote>
  <w:footnote w:id="14">
    <w:p w:rsidR="000B4905" w:rsidRPr="009E21CC" w:rsidP="009E21CC" w14:paraId="1CDC448F"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NEPOOL Comments at 6-8.</w:t>
      </w:r>
    </w:p>
    <w:p w:rsidR="000B4905" w:rsidRPr="009E21CC" w:rsidP="009E21CC" w14:paraId="493EEA8E" w14:textId="77777777">
      <w:pPr>
        <w:pStyle w:val="FootnoteText"/>
        <w:spacing w:after="120"/>
        <w:ind w:firstLine="720"/>
        <w:rPr>
          <w:rFonts w:ascii="Times New Roman" w:hAnsi="Times New Roman" w:cs="Times New Roman"/>
          <w:sz w:val="26"/>
          <w:szCs w:val="26"/>
        </w:rPr>
      </w:pPr>
    </w:p>
  </w:footnote>
  <w:footnote w:id="15">
    <w:p w:rsidR="003E55AA" w:rsidRPr="009E21CC" w:rsidP="009E21CC" w14:paraId="19E418E2" w14:textId="2127C5B1">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Burden is defined as the total time, effort, or financial resources expended by persons to generate, maintain, retain, disclose, or provide information to or for a </w:t>
      </w:r>
      <w:r w:rsidRPr="009E21CC">
        <w:rPr>
          <w:rFonts w:ascii="Times New Roman" w:hAnsi="Times New Roman" w:cs="Times New Roman"/>
          <w:sz w:val="26"/>
          <w:szCs w:val="26"/>
        </w:rPr>
        <w:t>Federal</w:t>
      </w:r>
      <w:r w:rsidRPr="009E21CC">
        <w:rPr>
          <w:rFonts w:ascii="Times New Roman" w:hAnsi="Times New Roman" w:cs="Times New Roman"/>
          <w:sz w:val="26"/>
          <w:szCs w:val="26"/>
        </w:rPr>
        <w:t xml:space="preserve"> agency.  For further explanation of what is included in the information collection burden, refer to Title 5 Code of Federal Regulations 1320.3.  The burden hours and costs are rounded for ease of presentation.</w:t>
      </w:r>
    </w:p>
  </w:footnote>
  <w:footnote w:id="16">
    <w:p w:rsidR="003E55AA" w:rsidRPr="009E21CC" w:rsidP="009E21CC" w14:paraId="05B60C33" w14:textId="0F574828">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w:t>
      </w:r>
      <w:r w:rsidRPr="009E21CC">
        <w:rPr>
          <w:rFonts w:ascii="Times New Roman" w:eastAsia="Times New Roman" w:hAnsi="Times New Roman" w:cs="Times New Roman"/>
          <w:sz w:val="26"/>
          <w:szCs w:val="26"/>
        </w:rPr>
        <w:t>The</w:t>
      </w:r>
      <w:r w:rsidRPr="009E21CC" w:rsidR="002B75C0">
        <w:rPr>
          <w:rFonts w:ascii="Times New Roman" w:eastAsia="Times New Roman" w:hAnsi="Times New Roman" w:cs="Times New Roman"/>
          <w:sz w:val="26"/>
          <w:szCs w:val="26"/>
        </w:rPr>
        <w:t xml:space="preserve"> Commission assumes the</w:t>
      </w:r>
      <w:r w:rsidRPr="009E21CC">
        <w:rPr>
          <w:rFonts w:ascii="Times New Roman" w:eastAsia="Times New Roman" w:hAnsi="Times New Roman" w:cs="Times New Roman"/>
          <w:sz w:val="26"/>
          <w:szCs w:val="26"/>
        </w:rPr>
        <w:t xml:space="preserve"> cost </w:t>
      </w:r>
      <w:r w:rsidRPr="009E21CC" w:rsidR="008F581B">
        <w:rPr>
          <w:rFonts w:ascii="Times New Roman" w:eastAsia="Times New Roman" w:hAnsi="Times New Roman" w:cs="Times New Roman"/>
          <w:sz w:val="26"/>
          <w:szCs w:val="26"/>
        </w:rPr>
        <w:t>to</w:t>
      </w:r>
      <w:r w:rsidRPr="009E21CC" w:rsidR="002B75C0">
        <w:rPr>
          <w:rFonts w:ascii="Times New Roman" w:eastAsia="Times New Roman" w:hAnsi="Times New Roman" w:cs="Times New Roman"/>
          <w:sz w:val="26"/>
          <w:szCs w:val="26"/>
        </w:rPr>
        <w:t xml:space="preserve"> industry for the FERC</w:t>
      </w:r>
      <w:r w:rsidRPr="009E21CC" w:rsidR="00705CD9">
        <w:rPr>
          <w:rFonts w:ascii="Times New Roman" w:eastAsia="Times New Roman" w:hAnsi="Times New Roman" w:cs="Times New Roman"/>
          <w:sz w:val="26"/>
          <w:szCs w:val="26"/>
        </w:rPr>
        <w:t>-</w:t>
      </w:r>
      <w:r w:rsidRPr="009E21CC" w:rsidR="002B75C0">
        <w:rPr>
          <w:rFonts w:ascii="Times New Roman" w:eastAsia="Times New Roman" w:hAnsi="Times New Roman" w:cs="Times New Roman"/>
          <w:sz w:val="26"/>
          <w:szCs w:val="26"/>
        </w:rPr>
        <w:t xml:space="preserve">1005 collection is comparable to the FERC </w:t>
      </w:r>
      <w:r w:rsidRPr="009E21CC">
        <w:rPr>
          <w:rFonts w:ascii="Times New Roman" w:eastAsia="Times New Roman" w:hAnsi="Times New Roman" w:cs="Times New Roman"/>
          <w:sz w:val="26"/>
          <w:szCs w:val="26"/>
        </w:rPr>
        <w:t>2021 Commission-wide average cost salary plus benefits of $87.00/</w:t>
      </w:r>
      <w:r w:rsidRPr="009E21CC">
        <w:rPr>
          <w:rFonts w:ascii="Times New Roman" w:eastAsia="Times New Roman" w:hAnsi="Times New Roman" w:cs="Times New Roman"/>
          <w:sz w:val="26"/>
          <w:szCs w:val="26"/>
        </w:rPr>
        <w:t>hour</w:t>
      </w:r>
      <w:r w:rsidRPr="009E21CC" w:rsidR="002B75C0">
        <w:rPr>
          <w:rFonts w:ascii="Times New Roman" w:eastAsia="Times New Roman" w:hAnsi="Times New Roman" w:cs="Times New Roman"/>
          <w:sz w:val="26"/>
          <w:szCs w:val="26"/>
        </w:rPr>
        <w:t xml:space="preserve"> </w:t>
      </w:r>
      <w:r w:rsidRPr="009E21CC">
        <w:rPr>
          <w:rFonts w:ascii="Times New Roman" w:eastAsia="Times New Roman" w:hAnsi="Times New Roman" w:cs="Times New Roman"/>
          <w:sz w:val="26"/>
          <w:szCs w:val="26"/>
        </w:rPr>
        <w:t xml:space="preserve"> .</w:t>
      </w:r>
    </w:p>
  </w:footnote>
  <w:footnote w:id="17">
    <w:p w:rsidR="00193C36" w:rsidRPr="009E21CC" w:rsidP="009E21CC" w14:paraId="57229000" w14:textId="4B5E6921">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Pr>
          <w:rFonts w:ascii="Times New Roman" w:hAnsi="Times New Roman" w:cs="Times New Roman"/>
          <w:sz w:val="26"/>
          <w:szCs w:val="26"/>
        </w:rPr>
        <w:t>The Commission’s hourly and cost estimates for the compliance filing assumes that each RTO/ISO would need to develop and file tariff revisions with the Commission.</w:t>
      </w:r>
    </w:p>
  </w:footnote>
  <w:footnote w:id="18">
    <w:p w:rsidR="00193C36" w:rsidRPr="009E21CC" w:rsidP="009E21CC" w14:paraId="63FB2438"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The Commission does not know the extent of information sharing that would occur in this proposed rule but estimates that information sharing may occur roughly twice per year on average, per RTO/ISO.  The Commission invites comment by affected entities if they believe the estimate is unreasonable.</w:t>
      </w:r>
    </w:p>
  </w:footnote>
  <w:footnote w:id="19">
    <w:p w:rsidR="000751F8" w:rsidRPr="009E21CC" w:rsidP="009E21CC" w14:paraId="577AD5CA" w14:textId="53BF8E1F">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Pr>
          <w:rFonts w:ascii="Times New Roman" w:hAnsi="Times New Roman" w:cs="Times New Roman"/>
          <w:sz w:val="26"/>
          <w:szCs w:val="26"/>
        </w:rPr>
        <w:t>The estimate uses the FERC’s FY 202</w:t>
      </w:r>
      <w:r w:rsidRPr="009E21CC" w:rsidR="002F5E08">
        <w:rPr>
          <w:rFonts w:ascii="Times New Roman" w:hAnsi="Times New Roman" w:cs="Times New Roman"/>
          <w:sz w:val="26"/>
          <w:szCs w:val="26"/>
        </w:rPr>
        <w:t>2</w:t>
      </w:r>
      <w:r w:rsidRPr="009E21CC">
        <w:rPr>
          <w:rFonts w:ascii="Times New Roman" w:hAnsi="Times New Roman" w:cs="Times New Roman"/>
          <w:sz w:val="26"/>
          <w:szCs w:val="26"/>
        </w:rPr>
        <w:t xml:space="preserve"> average annual salary plus benefits of one FERC FTE (full-time equivalent [$18</w:t>
      </w:r>
      <w:r w:rsidRPr="009E21CC" w:rsidR="002F5E08">
        <w:rPr>
          <w:rFonts w:ascii="Times New Roman" w:hAnsi="Times New Roman" w:cs="Times New Roman"/>
          <w:sz w:val="26"/>
          <w:szCs w:val="26"/>
        </w:rPr>
        <w:t>8</w:t>
      </w:r>
      <w:r w:rsidRPr="009E21CC">
        <w:rPr>
          <w:rFonts w:ascii="Times New Roman" w:hAnsi="Times New Roman" w:cs="Times New Roman"/>
          <w:sz w:val="26"/>
          <w:szCs w:val="26"/>
        </w:rPr>
        <w:t>,</w:t>
      </w:r>
      <w:r w:rsidRPr="009E21CC" w:rsidR="00315045">
        <w:rPr>
          <w:rFonts w:ascii="Times New Roman" w:hAnsi="Times New Roman" w:cs="Times New Roman"/>
          <w:sz w:val="26"/>
          <w:szCs w:val="26"/>
        </w:rPr>
        <w:t>922</w:t>
      </w:r>
      <w:r w:rsidRPr="009E21CC">
        <w:rPr>
          <w:rFonts w:ascii="Times New Roman" w:hAnsi="Times New Roman" w:cs="Times New Roman"/>
          <w:sz w:val="26"/>
          <w:szCs w:val="26"/>
        </w:rPr>
        <w:t xml:space="preserve"> per year or $</w:t>
      </w:r>
      <w:r w:rsidRPr="009E21CC" w:rsidR="007E02F9">
        <w:rPr>
          <w:rFonts w:ascii="Times New Roman" w:hAnsi="Times New Roman" w:cs="Times New Roman"/>
          <w:sz w:val="26"/>
          <w:szCs w:val="26"/>
        </w:rPr>
        <w:t>91</w:t>
      </w:r>
      <w:r w:rsidRPr="009E21CC">
        <w:rPr>
          <w:rFonts w:ascii="Times New Roman" w:hAnsi="Times New Roman" w:cs="Times New Roman"/>
          <w:sz w:val="26"/>
          <w:szCs w:val="26"/>
        </w:rPr>
        <w:t>.00 per hour]).  (These estimates were updated in June 2021.)</w:t>
      </w:r>
    </w:p>
  </w:footnote>
  <w:footnote w:id="20">
    <w:p w:rsidR="000751F8" w:rsidRPr="009E21CC" w:rsidP="009E21CC" w14:paraId="1E6878CE" w14:textId="77777777">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Style w:val="FootnoteReference"/>
          <w:rFonts w:ascii="Times New Roman" w:hAnsi="Times New Roman" w:cs="Times New Roman"/>
          <w:sz w:val="26"/>
          <w:szCs w:val="26"/>
        </w:rPr>
        <w:t xml:space="preserve"> </w:t>
      </w:r>
      <w:r w:rsidRPr="009E21CC">
        <w:rPr>
          <w:rFonts w:ascii="Times New Roman" w:hAnsi="Times New Roman" w:cs="Times New Roman"/>
          <w:sz w:val="26"/>
          <w:szCs w:val="26"/>
        </w:rPr>
        <w:t xml:space="preserve">The FERC 1005 collection does not collect or analyze information, it requires credit-related information sharing amongst RTOs/ISOs. Therefore, the only cost to the government is the PRA related costs. </w:t>
      </w:r>
    </w:p>
  </w:footnote>
  <w:footnote w:id="21">
    <w:p w:rsidR="000751F8" w:rsidRPr="009E21CC" w:rsidP="009E21CC" w14:paraId="28EF492F" w14:textId="215154BD">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The Commission estimates 120 hours of federal employee time required to review the compliance filing. One full employee is 2080 hours per year, when divided, it results in the total employee calculation to be .06 of an </w:t>
      </w:r>
      <w:r w:rsidRPr="009E21CC">
        <w:rPr>
          <w:rFonts w:ascii="Times New Roman" w:hAnsi="Times New Roman" w:cs="Times New Roman"/>
          <w:sz w:val="26"/>
          <w:szCs w:val="26"/>
        </w:rPr>
        <w:t>employee</w:t>
      </w:r>
      <w:r w:rsidRPr="009E21CC">
        <w:rPr>
          <w:rFonts w:ascii="Times New Roman" w:hAnsi="Times New Roman" w:cs="Times New Roman"/>
          <w:sz w:val="26"/>
          <w:szCs w:val="26"/>
        </w:rPr>
        <w:t xml:space="preserve"> (rounded).</w:t>
      </w:r>
    </w:p>
  </w:footnote>
  <w:footnote w:id="22">
    <w:p w:rsidR="000751F8" w:rsidRPr="009E21CC" w:rsidP="009E21CC" w14:paraId="7ED75B73" w14:textId="71F14ECA">
      <w:pPr>
        <w:pStyle w:val="FootnoteText"/>
        <w:spacing w:after="120"/>
        <w:ind w:firstLine="720"/>
        <w:rPr>
          <w:rFonts w:ascii="Times New Roman" w:hAnsi="Times New Roman" w:cs="Times New Roman"/>
          <w:sz w:val="26"/>
          <w:szCs w:val="26"/>
        </w:rPr>
      </w:pPr>
      <w:r w:rsidRPr="009E21CC">
        <w:rPr>
          <w:rStyle w:val="FootnoteReference"/>
          <w:rFonts w:ascii="Times New Roman" w:hAnsi="Times New Roman" w:cs="Times New Roman"/>
          <w:sz w:val="26"/>
          <w:szCs w:val="26"/>
        </w:rPr>
        <w:footnoteRef/>
      </w:r>
      <w:r w:rsidRPr="009E21CC">
        <w:rPr>
          <w:rFonts w:ascii="Times New Roman" w:hAnsi="Times New Roman" w:cs="Times New Roman"/>
          <w:sz w:val="26"/>
          <w:szCs w:val="26"/>
        </w:rPr>
        <w:t xml:space="preserve"> The annual federal cost is derived from the total cost of the compliance filing divided by three years the collection would be active. The total cost is calculated to be $10,440.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E1C" w14:paraId="6ED5C772" w14:textId="79F04E84">
    <w:pPr>
      <w:pStyle w:val="Header"/>
      <w:rPr>
        <w:rFonts w:ascii="Times New Roman" w:hAnsi="Times New Roman" w:cs="Times New Roman"/>
        <w:sz w:val="26"/>
        <w:szCs w:val="26"/>
      </w:rPr>
    </w:pPr>
    <w:r>
      <w:rPr>
        <w:rFonts w:ascii="Times New Roman" w:hAnsi="Times New Roman" w:cs="Times New Roman"/>
        <w:sz w:val="26"/>
        <w:szCs w:val="26"/>
      </w:rPr>
      <w:t>Final Rule in RM22-13-000</w:t>
    </w:r>
    <w:r w:rsidR="00E158A8">
      <w:rPr>
        <w:rFonts w:ascii="Times New Roman" w:hAnsi="Times New Roman" w:cs="Times New Roman"/>
        <w:sz w:val="26"/>
        <w:szCs w:val="26"/>
      </w:rPr>
      <w:t xml:space="preserve"> for </w:t>
    </w:r>
    <w:r>
      <w:rPr>
        <w:rFonts w:ascii="Times New Roman" w:hAnsi="Times New Roman" w:cs="Times New Roman"/>
        <w:sz w:val="26"/>
        <w:szCs w:val="26"/>
      </w:rPr>
      <w:t>FERC</w:t>
    </w:r>
    <w:r w:rsidR="00705CD9">
      <w:rPr>
        <w:rFonts w:ascii="Times New Roman" w:hAnsi="Times New Roman" w:cs="Times New Roman"/>
        <w:sz w:val="26"/>
        <w:szCs w:val="26"/>
      </w:rPr>
      <w:t>-</w:t>
    </w:r>
    <w:r w:rsidR="00AE0FB4">
      <w:rPr>
        <w:rFonts w:ascii="Times New Roman" w:hAnsi="Times New Roman" w:cs="Times New Roman"/>
        <w:sz w:val="26"/>
        <w:szCs w:val="26"/>
      </w:rPr>
      <w:t xml:space="preserve">1005 </w:t>
    </w:r>
    <w:r w:rsidR="00E158A8">
      <w:rPr>
        <w:rFonts w:ascii="Times New Roman" w:hAnsi="Times New Roman" w:cs="Times New Roman"/>
        <w:sz w:val="26"/>
        <w:szCs w:val="26"/>
      </w:rPr>
      <w:t>Credit</w:t>
    </w:r>
    <w:r w:rsidR="00FC1019">
      <w:rPr>
        <w:rFonts w:ascii="Times New Roman" w:hAnsi="Times New Roman" w:cs="Times New Roman"/>
        <w:sz w:val="26"/>
        <w:szCs w:val="26"/>
      </w:rPr>
      <w:t>-</w:t>
    </w:r>
    <w:r w:rsidR="00E158A8">
      <w:rPr>
        <w:rFonts w:ascii="Times New Roman" w:hAnsi="Times New Roman" w:cs="Times New Roman"/>
        <w:sz w:val="26"/>
        <w:szCs w:val="26"/>
      </w:rPr>
      <w:t>Related Information Sharing</w:t>
    </w:r>
  </w:p>
  <w:p w:rsidR="00AE0FB4" w14:paraId="4266B273" w14:textId="17E2B174">
    <w:pPr>
      <w:pStyle w:val="Header"/>
      <w:rPr>
        <w:rFonts w:ascii="Times New Roman" w:hAnsi="Times New Roman" w:cs="Times New Roman"/>
        <w:sz w:val="26"/>
        <w:szCs w:val="26"/>
      </w:rPr>
    </w:pPr>
    <w:r>
      <w:rPr>
        <w:rFonts w:ascii="Times New Roman" w:hAnsi="Times New Roman" w:cs="Times New Roman"/>
        <w:sz w:val="26"/>
        <w:szCs w:val="26"/>
      </w:rPr>
      <w:t xml:space="preserve">OMB Control No. </w:t>
    </w:r>
    <w:r w:rsidRPr="00115DE7">
      <w:rPr>
        <w:rFonts w:ascii="Times New Roman" w:hAnsi="Times New Roman" w:cs="Times New Roman"/>
        <w:sz w:val="26"/>
        <w:szCs w:val="26"/>
      </w:rPr>
      <w:t>1902-</w:t>
    </w:r>
    <w:r w:rsidRPr="00115DE7" w:rsidR="00115DE7">
      <w:rPr>
        <w:rFonts w:ascii="Times New Roman" w:hAnsi="Times New Roman" w:cs="Times New Roman"/>
        <w:sz w:val="26"/>
        <w:szCs w:val="26"/>
      </w:rPr>
      <w:t>0325</w:t>
    </w:r>
  </w:p>
  <w:p w:rsidR="00E158A8" w14:paraId="73967872" w14:textId="3CA29F69">
    <w:pPr>
      <w:pStyle w:val="Header"/>
      <w:rPr>
        <w:rFonts w:ascii="Times New Roman" w:hAnsi="Times New Roman" w:cs="Times New Roman"/>
        <w:sz w:val="26"/>
        <w:szCs w:val="26"/>
      </w:rPr>
    </w:pPr>
    <w:r>
      <w:rPr>
        <w:rFonts w:ascii="Times New Roman" w:hAnsi="Times New Roman" w:cs="Times New Roman"/>
        <w:sz w:val="26"/>
        <w:szCs w:val="26"/>
      </w:rPr>
      <w:t>RIN:</w:t>
    </w:r>
    <w:r w:rsidR="003731DB">
      <w:rPr>
        <w:rFonts w:ascii="Times New Roman" w:hAnsi="Times New Roman" w:cs="Times New Roman"/>
        <w:sz w:val="26"/>
        <w:szCs w:val="26"/>
      </w:rPr>
      <w:t xml:space="preserve">  </w:t>
    </w:r>
    <w:r w:rsidRPr="003731DB" w:rsidR="003731DB">
      <w:rPr>
        <w:rFonts w:ascii="Times New Roman" w:hAnsi="Times New Roman" w:cs="Times New Roman"/>
        <w:sz w:val="26"/>
        <w:szCs w:val="26"/>
      </w:rPr>
      <w:t>1902-AG02</w:t>
    </w:r>
  </w:p>
  <w:p w:rsidR="00331E1C" w14:paraId="47A16FF2" w14:textId="74638AA5">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874513"/>
    <w:multiLevelType w:val="hybridMultilevel"/>
    <w:tmpl w:val="48067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C0FA8"/>
    <w:multiLevelType w:val="hybridMultilevel"/>
    <w:tmpl w:val="88221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C011D"/>
    <w:multiLevelType w:val="hybridMultilevel"/>
    <w:tmpl w:val="DEBA0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65357"/>
    <w:multiLevelType w:val="hybridMultilevel"/>
    <w:tmpl w:val="09DA5614"/>
    <w:lvl w:ilvl="0">
      <w:start w:val="1"/>
      <w:numFmt w:val="bullet"/>
      <w:lvlText w:val=""/>
      <w:lvlJc w:val="left"/>
      <w:pPr>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4F5BEB"/>
    <w:multiLevelType w:val="hybridMultilevel"/>
    <w:tmpl w:val="1BEC9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2E3C9A"/>
    <w:multiLevelType w:val="hybridMultilevel"/>
    <w:tmpl w:val="23B40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0D4B3C"/>
    <w:multiLevelType w:val="hybridMultilevel"/>
    <w:tmpl w:val="04F6B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0413DC"/>
    <w:multiLevelType w:val="hybridMultilevel"/>
    <w:tmpl w:val="3C588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6D036E5"/>
    <w:multiLevelType w:val="hybridMultilevel"/>
    <w:tmpl w:val="3FF4F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B1393F"/>
    <w:multiLevelType w:val="hybridMultilevel"/>
    <w:tmpl w:val="54C80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2659B4"/>
    <w:multiLevelType w:val="hybridMultilevel"/>
    <w:tmpl w:val="15D844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6">
    <w:nsid w:val="709010DA"/>
    <w:multiLevelType w:val="hybridMultilevel"/>
    <w:tmpl w:val="66B007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C2F66AD"/>
    <w:multiLevelType w:val="hybridMultilevel"/>
    <w:tmpl w:val="9C029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1438EC"/>
    <w:multiLevelType w:val="hybridMultilevel"/>
    <w:tmpl w:val="EDE4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4"/>
  </w:num>
  <w:num w:numId="6">
    <w:abstractNumId w:val="4"/>
  </w:num>
  <w:num w:numId="7">
    <w:abstractNumId w:val="6"/>
  </w:num>
  <w:num w:numId="8">
    <w:abstractNumId w:val="7"/>
  </w:num>
  <w:num w:numId="9">
    <w:abstractNumId w:val="17"/>
  </w:num>
  <w:num w:numId="10">
    <w:abstractNumId w:val="18"/>
  </w:num>
  <w:num w:numId="11">
    <w:abstractNumId w:val="2"/>
  </w:num>
  <w:num w:numId="12">
    <w:abstractNumId w:val="16"/>
  </w:num>
  <w:num w:numId="13">
    <w:abstractNumId w:val="3"/>
  </w:num>
  <w:num w:numId="14">
    <w:abstractNumId w:val="15"/>
  </w:num>
  <w:num w:numId="15">
    <w:abstractNumId w:val="9"/>
  </w:num>
  <w:num w:numId="16">
    <w:abstractNumId w:val="8"/>
  </w:num>
  <w:num w:numId="17">
    <w:abstractNumId w:val="11"/>
  </w:num>
  <w:num w:numId="18">
    <w:abstractNumId w:val="13"/>
  </w:num>
  <w:num w:numId="19">
    <w:abstractNumId w:val="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2472"/>
    <w:rsid w:val="0000406C"/>
    <w:rsid w:val="00005DDA"/>
    <w:rsid w:val="00014369"/>
    <w:rsid w:val="0002072E"/>
    <w:rsid w:val="00022939"/>
    <w:rsid w:val="000233B3"/>
    <w:rsid w:val="000239A4"/>
    <w:rsid w:val="0002522C"/>
    <w:rsid w:val="0003321A"/>
    <w:rsid w:val="00036C64"/>
    <w:rsid w:val="0004169F"/>
    <w:rsid w:val="0004171E"/>
    <w:rsid w:val="00041CA6"/>
    <w:rsid w:val="00043630"/>
    <w:rsid w:val="0004391B"/>
    <w:rsid w:val="000441D9"/>
    <w:rsid w:val="00044938"/>
    <w:rsid w:val="00045A6A"/>
    <w:rsid w:val="00055EB7"/>
    <w:rsid w:val="00057577"/>
    <w:rsid w:val="00057CB1"/>
    <w:rsid w:val="0006195E"/>
    <w:rsid w:val="0006289C"/>
    <w:rsid w:val="00062EE2"/>
    <w:rsid w:val="00063DB0"/>
    <w:rsid w:val="00065504"/>
    <w:rsid w:val="0006761F"/>
    <w:rsid w:val="00074577"/>
    <w:rsid w:val="000751F8"/>
    <w:rsid w:val="00082E09"/>
    <w:rsid w:val="00085D69"/>
    <w:rsid w:val="0009265A"/>
    <w:rsid w:val="000976D8"/>
    <w:rsid w:val="000A1D2D"/>
    <w:rsid w:val="000A5C09"/>
    <w:rsid w:val="000A75AF"/>
    <w:rsid w:val="000B04BA"/>
    <w:rsid w:val="000B196E"/>
    <w:rsid w:val="000B4905"/>
    <w:rsid w:val="000B7B26"/>
    <w:rsid w:val="000C2AA0"/>
    <w:rsid w:val="000D0EC4"/>
    <w:rsid w:val="000D0F0E"/>
    <w:rsid w:val="000D140E"/>
    <w:rsid w:val="000D15F0"/>
    <w:rsid w:val="000D1D2B"/>
    <w:rsid w:val="000D2745"/>
    <w:rsid w:val="000D2AEC"/>
    <w:rsid w:val="000D7513"/>
    <w:rsid w:val="000E39B6"/>
    <w:rsid w:val="000E739D"/>
    <w:rsid w:val="000F0896"/>
    <w:rsid w:val="000F0E16"/>
    <w:rsid w:val="000F22D7"/>
    <w:rsid w:val="000F2C1C"/>
    <w:rsid w:val="000F2F31"/>
    <w:rsid w:val="000F4954"/>
    <w:rsid w:val="000F5551"/>
    <w:rsid w:val="000F636D"/>
    <w:rsid w:val="000F763B"/>
    <w:rsid w:val="00104BFC"/>
    <w:rsid w:val="001065AA"/>
    <w:rsid w:val="0011429F"/>
    <w:rsid w:val="00114F38"/>
    <w:rsid w:val="00115DE7"/>
    <w:rsid w:val="0011680F"/>
    <w:rsid w:val="001174A0"/>
    <w:rsid w:val="001218E0"/>
    <w:rsid w:val="00121F31"/>
    <w:rsid w:val="00132D81"/>
    <w:rsid w:val="00132F57"/>
    <w:rsid w:val="00137E46"/>
    <w:rsid w:val="0014043E"/>
    <w:rsid w:val="00141CCF"/>
    <w:rsid w:val="001424BD"/>
    <w:rsid w:val="001448BA"/>
    <w:rsid w:val="001462E3"/>
    <w:rsid w:val="00146903"/>
    <w:rsid w:val="00146999"/>
    <w:rsid w:val="001543C4"/>
    <w:rsid w:val="00156A19"/>
    <w:rsid w:val="00156BFC"/>
    <w:rsid w:val="00157E24"/>
    <w:rsid w:val="00160FEE"/>
    <w:rsid w:val="00165540"/>
    <w:rsid w:val="0016795A"/>
    <w:rsid w:val="00171072"/>
    <w:rsid w:val="0017163D"/>
    <w:rsid w:val="001718EB"/>
    <w:rsid w:val="00173291"/>
    <w:rsid w:val="001806B8"/>
    <w:rsid w:val="001815A9"/>
    <w:rsid w:val="00182CEE"/>
    <w:rsid w:val="001907FC"/>
    <w:rsid w:val="00193C36"/>
    <w:rsid w:val="001A0055"/>
    <w:rsid w:val="001A0E49"/>
    <w:rsid w:val="001A153B"/>
    <w:rsid w:val="001A2CAC"/>
    <w:rsid w:val="001A5FE8"/>
    <w:rsid w:val="001B178A"/>
    <w:rsid w:val="001B2950"/>
    <w:rsid w:val="001B2B40"/>
    <w:rsid w:val="001B3044"/>
    <w:rsid w:val="001B775E"/>
    <w:rsid w:val="001C2EDF"/>
    <w:rsid w:val="001C5D74"/>
    <w:rsid w:val="001C6EF8"/>
    <w:rsid w:val="001D2653"/>
    <w:rsid w:val="001D31B0"/>
    <w:rsid w:val="001E01EC"/>
    <w:rsid w:val="001E2949"/>
    <w:rsid w:val="001E2DAB"/>
    <w:rsid w:val="001E63A2"/>
    <w:rsid w:val="001E680F"/>
    <w:rsid w:val="001E6E08"/>
    <w:rsid w:val="001E7BB4"/>
    <w:rsid w:val="001F171A"/>
    <w:rsid w:val="001F499B"/>
    <w:rsid w:val="001F6968"/>
    <w:rsid w:val="001F7AAC"/>
    <w:rsid w:val="00202139"/>
    <w:rsid w:val="00203191"/>
    <w:rsid w:val="00204C54"/>
    <w:rsid w:val="0020792B"/>
    <w:rsid w:val="00207C6B"/>
    <w:rsid w:val="00211D09"/>
    <w:rsid w:val="00215EF5"/>
    <w:rsid w:val="00217788"/>
    <w:rsid w:val="00220510"/>
    <w:rsid w:val="00230646"/>
    <w:rsid w:val="00230C24"/>
    <w:rsid w:val="00231271"/>
    <w:rsid w:val="00232F79"/>
    <w:rsid w:val="00235817"/>
    <w:rsid w:val="00235B3D"/>
    <w:rsid w:val="0024037A"/>
    <w:rsid w:val="00241F5E"/>
    <w:rsid w:val="002421C3"/>
    <w:rsid w:val="0024377F"/>
    <w:rsid w:val="00243EAD"/>
    <w:rsid w:val="002468F8"/>
    <w:rsid w:val="00251968"/>
    <w:rsid w:val="002561A0"/>
    <w:rsid w:val="0025702F"/>
    <w:rsid w:val="00261272"/>
    <w:rsid w:val="00261928"/>
    <w:rsid w:val="00263765"/>
    <w:rsid w:val="00264414"/>
    <w:rsid w:val="002644DE"/>
    <w:rsid w:val="00267047"/>
    <w:rsid w:val="002671BE"/>
    <w:rsid w:val="00270F5F"/>
    <w:rsid w:val="00271094"/>
    <w:rsid w:val="00292EC3"/>
    <w:rsid w:val="00292EFF"/>
    <w:rsid w:val="002944B6"/>
    <w:rsid w:val="00295062"/>
    <w:rsid w:val="00297D06"/>
    <w:rsid w:val="002A0B1A"/>
    <w:rsid w:val="002A2289"/>
    <w:rsid w:val="002A25B7"/>
    <w:rsid w:val="002A2BD4"/>
    <w:rsid w:val="002A47C4"/>
    <w:rsid w:val="002A5172"/>
    <w:rsid w:val="002A677A"/>
    <w:rsid w:val="002A727B"/>
    <w:rsid w:val="002A764D"/>
    <w:rsid w:val="002A79EC"/>
    <w:rsid w:val="002B0F9F"/>
    <w:rsid w:val="002B1175"/>
    <w:rsid w:val="002B438D"/>
    <w:rsid w:val="002B4546"/>
    <w:rsid w:val="002B75C0"/>
    <w:rsid w:val="002C1BC5"/>
    <w:rsid w:val="002C34BC"/>
    <w:rsid w:val="002C460A"/>
    <w:rsid w:val="002C5549"/>
    <w:rsid w:val="002C7D36"/>
    <w:rsid w:val="002D2613"/>
    <w:rsid w:val="002D4F3D"/>
    <w:rsid w:val="002D607B"/>
    <w:rsid w:val="002D643E"/>
    <w:rsid w:val="002D6D7F"/>
    <w:rsid w:val="002D7389"/>
    <w:rsid w:val="002E0CF6"/>
    <w:rsid w:val="002E17E8"/>
    <w:rsid w:val="002E3B64"/>
    <w:rsid w:val="002E3EC2"/>
    <w:rsid w:val="002E3FF2"/>
    <w:rsid w:val="002E6450"/>
    <w:rsid w:val="002E6E27"/>
    <w:rsid w:val="002F5E02"/>
    <w:rsid w:val="002F5E08"/>
    <w:rsid w:val="002F6772"/>
    <w:rsid w:val="003009CB"/>
    <w:rsid w:val="00302813"/>
    <w:rsid w:val="00303AA2"/>
    <w:rsid w:val="00304DD1"/>
    <w:rsid w:val="0030502F"/>
    <w:rsid w:val="003072C9"/>
    <w:rsid w:val="003113E7"/>
    <w:rsid w:val="00315045"/>
    <w:rsid w:val="00317286"/>
    <w:rsid w:val="00317BF1"/>
    <w:rsid w:val="00317F26"/>
    <w:rsid w:val="00321873"/>
    <w:rsid w:val="00324AF8"/>
    <w:rsid w:val="00326EEC"/>
    <w:rsid w:val="00330601"/>
    <w:rsid w:val="00331E1C"/>
    <w:rsid w:val="00332E80"/>
    <w:rsid w:val="00333B49"/>
    <w:rsid w:val="00333FAF"/>
    <w:rsid w:val="00334770"/>
    <w:rsid w:val="00340BE8"/>
    <w:rsid w:val="003415B8"/>
    <w:rsid w:val="003419EC"/>
    <w:rsid w:val="00342C1D"/>
    <w:rsid w:val="00346152"/>
    <w:rsid w:val="003463E6"/>
    <w:rsid w:val="00347315"/>
    <w:rsid w:val="00347B6B"/>
    <w:rsid w:val="00347DBA"/>
    <w:rsid w:val="00350D7D"/>
    <w:rsid w:val="00351B15"/>
    <w:rsid w:val="00351CDB"/>
    <w:rsid w:val="0035596B"/>
    <w:rsid w:val="003564C4"/>
    <w:rsid w:val="003608F6"/>
    <w:rsid w:val="00361B75"/>
    <w:rsid w:val="00362548"/>
    <w:rsid w:val="003627E7"/>
    <w:rsid w:val="00363C94"/>
    <w:rsid w:val="003645AF"/>
    <w:rsid w:val="00365644"/>
    <w:rsid w:val="00365F10"/>
    <w:rsid w:val="00365F18"/>
    <w:rsid w:val="00366F54"/>
    <w:rsid w:val="003706A1"/>
    <w:rsid w:val="003731DB"/>
    <w:rsid w:val="00373575"/>
    <w:rsid w:val="00375E64"/>
    <w:rsid w:val="00382540"/>
    <w:rsid w:val="00384424"/>
    <w:rsid w:val="00386539"/>
    <w:rsid w:val="00386CE2"/>
    <w:rsid w:val="003A3561"/>
    <w:rsid w:val="003B001E"/>
    <w:rsid w:val="003B1840"/>
    <w:rsid w:val="003B2522"/>
    <w:rsid w:val="003B4A8A"/>
    <w:rsid w:val="003B4AB8"/>
    <w:rsid w:val="003C124B"/>
    <w:rsid w:val="003C187C"/>
    <w:rsid w:val="003C1C29"/>
    <w:rsid w:val="003C1F6F"/>
    <w:rsid w:val="003C27B1"/>
    <w:rsid w:val="003C27D1"/>
    <w:rsid w:val="003C2C06"/>
    <w:rsid w:val="003C3B80"/>
    <w:rsid w:val="003C3C96"/>
    <w:rsid w:val="003C4B60"/>
    <w:rsid w:val="003C5939"/>
    <w:rsid w:val="003D0AA4"/>
    <w:rsid w:val="003D34F1"/>
    <w:rsid w:val="003E4D3C"/>
    <w:rsid w:val="003E4D3F"/>
    <w:rsid w:val="003E55AA"/>
    <w:rsid w:val="003E5801"/>
    <w:rsid w:val="003F63CA"/>
    <w:rsid w:val="00400636"/>
    <w:rsid w:val="00401346"/>
    <w:rsid w:val="004050A3"/>
    <w:rsid w:val="00406568"/>
    <w:rsid w:val="00407310"/>
    <w:rsid w:val="00411B7C"/>
    <w:rsid w:val="00415E68"/>
    <w:rsid w:val="004178F7"/>
    <w:rsid w:val="00417C7C"/>
    <w:rsid w:val="004206DC"/>
    <w:rsid w:val="00421445"/>
    <w:rsid w:val="004232B1"/>
    <w:rsid w:val="004270B1"/>
    <w:rsid w:val="00431007"/>
    <w:rsid w:val="00432B6F"/>
    <w:rsid w:val="00432E66"/>
    <w:rsid w:val="004374ED"/>
    <w:rsid w:val="004422BA"/>
    <w:rsid w:val="004428B5"/>
    <w:rsid w:val="00443F87"/>
    <w:rsid w:val="004448F4"/>
    <w:rsid w:val="004462AF"/>
    <w:rsid w:val="00450F42"/>
    <w:rsid w:val="00453FE9"/>
    <w:rsid w:val="00456FF6"/>
    <w:rsid w:val="00457857"/>
    <w:rsid w:val="00460C6A"/>
    <w:rsid w:val="00462199"/>
    <w:rsid w:val="00462867"/>
    <w:rsid w:val="00465E43"/>
    <w:rsid w:val="004663B3"/>
    <w:rsid w:val="00476649"/>
    <w:rsid w:val="0047785C"/>
    <w:rsid w:val="004802EA"/>
    <w:rsid w:val="0048671E"/>
    <w:rsid w:val="00490443"/>
    <w:rsid w:val="00492303"/>
    <w:rsid w:val="004965CF"/>
    <w:rsid w:val="00497A0D"/>
    <w:rsid w:val="004A076E"/>
    <w:rsid w:val="004A1FBC"/>
    <w:rsid w:val="004A2A27"/>
    <w:rsid w:val="004A4ACC"/>
    <w:rsid w:val="004A7DCE"/>
    <w:rsid w:val="004B34A4"/>
    <w:rsid w:val="004C2555"/>
    <w:rsid w:val="004C2E6D"/>
    <w:rsid w:val="004C30FF"/>
    <w:rsid w:val="004C5D3B"/>
    <w:rsid w:val="004C6685"/>
    <w:rsid w:val="004C6E93"/>
    <w:rsid w:val="004D19AD"/>
    <w:rsid w:val="004D28B2"/>
    <w:rsid w:val="004D331A"/>
    <w:rsid w:val="004D380D"/>
    <w:rsid w:val="004D63B4"/>
    <w:rsid w:val="004D6BDA"/>
    <w:rsid w:val="004D76AD"/>
    <w:rsid w:val="004D7711"/>
    <w:rsid w:val="004D7868"/>
    <w:rsid w:val="004E45C2"/>
    <w:rsid w:val="004E6DEF"/>
    <w:rsid w:val="004F19B9"/>
    <w:rsid w:val="005020EC"/>
    <w:rsid w:val="005058F1"/>
    <w:rsid w:val="00506CBC"/>
    <w:rsid w:val="0051011E"/>
    <w:rsid w:val="005111E7"/>
    <w:rsid w:val="00515A6B"/>
    <w:rsid w:val="00520A3A"/>
    <w:rsid w:val="00520CC6"/>
    <w:rsid w:val="00526E58"/>
    <w:rsid w:val="005273F0"/>
    <w:rsid w:val="00535064"/>
    <w:rsid w:val="00535ED6"/>
    <w:rsid w:val="005369D4"/>
    <w:rsid w:val="0053716E"/>
    <w:rsid w:val="00540B02"/>
    <w:rsid w:val="00541622"/>
    <w:rsid w:val="00541AF7"/>
    <w:rsid w:val="00542FFE"/>
    <w:rsid w:val="00544A03"/>
    <w:rsid w:val="00545AA4"/>
    <w:rsid w:val="00545E7E"/>
    <w:rsid w:val="005509DB"/>
    <w:rsid w:val="005533A4"/>
    <w:rsid w:val="00553E4B"/>
    <w:rsid w:val="00554116"/>
    <w:rsid w:val="00556C16"/>
    <w:rsid w:val="005647D7"/>
    <w:rsid w:val="00567B80"/>
    <w:rsid w:val="00567E1D"/>
    <w:rsid w:val="00567E71"/>
    <w:rsid w:val="005700E7"/>
    <w:rsid w:val="00570228"/>
    <w:rsid w:val="00573554"/>
    <w:rsid w:val="00575DD1"/>
    <w:rsid w:val="00575DF3"/>
    <w:rsid w:val="00575E5B"/>
    <w:rsid w:val="00580354"/>
    <w:rsid w:val="005841E4"/>
    <w:rsid w:val="00587C53"/>
    <w:rsid w:val="0059050B"/>
    <w:rsid w:val="005907DF"/>
    <w:rsid w:val="00592242"/>
    <w:rsid w:val="0059341D"/>
    <w:rsid w:val="00595138"/>
    <w:rsid w:val="005A0862"/>
    <w:rsid w:val="005A1993"/>
    <w:rsid w:val="005A1BAF"/>
    <w:rsid w:val="005A388A"/>
    <w:rsid w:val="005B1365"/>
    <w:rsid w:val="005B207C"/>
    <w:rsid w:val="005B3816"/>
    <w:rsid w:val="005C3272"/>
    <w:rsid w:val="005C4E97"/>
    <w:rsid w:val="005C50B4"/>
    <w:rsid w:val="005C7F4D"/>
    <w:rsid w:val="005D2081"/>
    <w:rsid w:val="005D5C5B"/>
    <w:rsid w:val="005D5EFC"/>
    <w:rsid w:val="005D75C3"/>
    <w:rsid w:val="005E0034"/>
    <w:rsid w:val="005E04D8"/>
    <w:rsid w:val="005E0621"/>
    <w:rsid w:val="005E28CE"/>
    <w:rsid w:val="005E3106"/>
    <w:rsid w:val="005E3E85"/>
    <w:rsid w:val="005E40CE"/>
    <w:rsid w:val="005E5E49"/>
    <w:rsid w:val="005E622A"/>
    <w:rsid w:val="005F1FF2"/>
    <w:rsid w:val="005F2368"/>
    <w:rsid w:val="005F32BA"/>
    <w:rsid w:val="005F3E61"/>
    <w:rsid w:val="005F7016"/>
    <w:rsid w:val="005F7530"/>
    <w:rsid w:val="005F753C"/>
    <w:rsid w:val="0060030D"/>
    <w:rsid w:val="00605309"/>
    <w:rsid w:val="00606894"/>
    <w:rsid w:val="00606DD7"/>
    <w:rsid w:val="00610457"/>
    <w:rsid w:val="0061185B"/>
    <w:rsid w:val="006119DE"/>
    <w:rsid w:val="00612360"/>
    <w:rsid w:val="006140AE"/>
    <w:rsid w:val="0061721D"/>
    <w:rsid w:val="0062150E"/>
    <w:rsid w:val="0062409E"/>
    <w:rsid w:val="006272D9"/>
    <w:rsid w:val="00632770"/>
    <w:rsid w:val="00632813"/>
    <w:rsid w:val="00635170"/>
    <w:rsid w:val="006362E9"/>
    <w:rsid w:val="00640254"/>
    <w:rsid w:val="0064066A"/>
    <w:rsid w:val="0064201D"/>
    <w:rsid w:val="0064214F"/>
    <w:rsid w:val="00644588"/>
    <w:rsid w:val="00647B0B"/>
    <w:rsid w:val="00651477"/>
    <w:rsid w:val="00651B1F"/>
    <w:rsid w:val="00652DB6"/>
    <w:rsid w:val="00656100"/>
    <w:rsid w:val="006601E1"/>
    <w:rsid w:val="00663DC6"/>
    <w:rsid w:val="006647AA"/>
    <w:rsid w:val="00664F74"/>
    <w:rsid w:val="0066614A"/>
    <w:rsid w:val="0067266E"/>
    <w:rsid w:val="00673CC9"/>
    <w:rsid w:val="0067484B"/>
    <w:rsid w:val="0067799F"/>
    <w:rsid w:val="00680437"/>
    <w:rsid w:val="006820D3"/>
    <w:rsid w:val="00684381"/>
    <w:rsid w:val="0068695B"/>
    <w:rsid w:val="00690C8E"/>
    <w:rsid w:val="006910EE"/>
    <w:rsid w:val="006933AC"/>
    <w:rsid w:val="006963BA"/>
    <w:rsid w:val="006963CA"/>
    <w:rsid w:val="006A2431"/>
    <w:rsid w:val="006A6230"/>
    <w:rsid w:val="006A64E5"/>
    <w:rsid w:val="006A70CE"/>
    <w:rsid w:val="006A7280"/>
    <w:rsid w:val="006B0E56"/>
    <w:rsid w:val="006C0C5E"/>
    <w:rsid w:val="006C18FA"/>
    <w:rsid w:val="006D03A4"/>
    <w:rsid w:val="006D1723"/>
    <w:rsid w:val="006D3186"/>
    <w:rsid w:val="006D6BF7"/>
    <w:rsid w:val="006D761D"/>
    <w:rsid w:val="006E2325"/>
    <w:rsid w:val="006E39C1"/>
    <w:rsid w:val="006E56CA"/>
    <w:rsid w:val="006E7CD0"/>
    <w:rsid w:val="006F111D"/>
    <w:rsid w:val="006F1CA0"/>
    <w:rsid w:val="006F44D1"/>
    <w:rsid w:val="006F49E4"/>
    <w:rsid w:val="006F4F49"/>
    <w:rsid w:val="006F7C4C"/>
    <w:rsid w:val="007002ED"/>
    <w:rsid w:val="00701E2B"/>
    <w:rsid w:val="0070200B"/>
    <w:rsid w:val="007045B1"/>
    <w:rsid w:val="00704E8E"/>
    <w:rsid w:val="00705642"/>
    <w:rsid w:val="00705CD9"/>
    <w:rsid w:val="00715520"/>
    <w:rsid w:val="007162B9"/>
    <w:rsid w:val="00716C63"/>
    <w:rsid w:val="00720A08"/>
    <w:rsid w:val="00720FB1"/>
    <w:rsid w:val="00720FFD"/>
    <w:rsid w:val="00725449"/>
    <w:rsid w:val="00726D51"/>
    <w:rsid w:val="00727706"/>
    <w:rsid w:val="007312A7"/>
    <w:rsid w:val="00735128"/>
    <w:rsid w:val="0074051B"/>
    <w:rsid w:val="00740F29"/>
    <w:rsid w:val="00740F80"/>
    <w:rsid w:val="00741A13"/>
    <w:rsid w:val="007442C4"/>
    <w:rsid w:val="00751927"/>
    <w:rsid w:val="00752230"/>
    <w:rsid w:val="00752F1A"/>
    <w:rsid w:val="007576EE"/>
    <w:rsid w:val="00757763"/>
    <w:rsid w:val="00761ED4"/>
    <w:rsid w:val="00764D8C"/>
    <w:rsid w:val="0076658D"/>
    <w:rsid w:val="0077140E"/>
    <w:rsid w:val="00775575"/>
    <w:rsid w:val="007865F4"/>
    <w:rsid w:val="00792082"/>
    <w:rsid w:val="00794AD3"/>
    <w:rsid w:val="007A1F8F"/>
    <w:rsid w:val="007A4AC4"/>
    <w:rsid w:val="007A668B"/>
    <w:rsid w:val="007A6AFD"/>
    <w:rsid w:val="007B0ED8"/>
    <w:rsid w:val="007B1783"/>
    <w:rsid w:val="007B1FC5"/>
    <w:rsid w:val="007B29B4"/>
    <w:rsid w:val="007B58E8"/>
    <w:rsid w:val="007C2290"/>
    <w:rsid w:val="007C51CD"/>
    <w:rsid w:val="007C5F8D"/>
    <w:rsid w:val="007C66AE"/>
    <w:rsid w:val="007C6DE8"/>
    <w:rsid w:val="007C76D7"/>
    <w:rsid w:val="007D1FF7"/>
    <w:rsid w:val="007D2500"/>
    <w:rsid w:val="007D2B93"/>
    <w:rsid w:val="007D4745"/>
    <w:rsid w:val="007D7940"/>
    <w:rsid w:val="007E014D"/>
    <w:rsid w:val="007E0193"/>
    <w:rsid w:val="007E01A1"/>
    <w:rsid w:val="007E02F9"/>
    <w:rsid w:val="007E3A02"/>
    <w:rsid w:val="007E5D89"/>
    <w:rsid w:val="007E6E58"/>
    <w:rsid w:val="007E6F9B"/>
    <w:rsid w:val="007E7CD9"/>
    <w:rsid w:val="007F4613"/>
    <w:rsid w:val="007F4E4E"/>
    <w:rsid w:val="007F6879"/>
    <w:rsid w:val="00800156"/>
    <w:rsid w:val="008041C5"/>
    <w:rsid w:val="00807167"/>
    <w:rsid w:val="00810E5C"/>
    <w:rsid w:val="00815433"/>
    <w:rsid w:val="00815802"/>
    <w:rsid w:val="00820AB8"/>
    <w:rsid w:val="00821764"/>
    <w:rsid w:val="00822404"/>
    <w:rsid w:val="00823DFB"/>
    <w:rsid w:val="00824371"/>
    <w:rsid w:val="00830A5B"/>
    <w:rsid w:val="00831BE0"/>
    <w:rsid w:val="008321BB"/>
    <w:rsid w:val="008339DA"/>
    <w:rsid w:val="008358EA"/>
    <w:rsid w:val="00835A7B"/>
    <w:rsid w:val="00843FF1"/>
    <w:rsid w:val="00847AAC"/>
    <w:rsid w:val="00850B27"/>
    <w:rsid w:val="00850F59"/>
    <w:rsid w:val="00861404"/>
    <w:rsid w:val="008623D6"/>
    <w:rsid w:val="008633A0"/>
    <w:rsid w:val="00867C66"/>
    <w:rsid w:val="00872BDC"/>
    <w:rsid w:val="0087323D"/>
    <w:rsid w:val="00873610"/>
    <w:rsid w:val="00875860"/>
    <w:rsid w:val="008764BF"/>
    <w:rsid w:val="008847C0"/>
    <w:rsid w:val="0088525B"/>
    <w:rsid w:val="00886FA3"/>
    <w:rsid w:val="00894D0C"/>
    <w:rsid w:val="00896B58"/>
    <w:rsid w:val="008A1961"/>
    <w:rsid w:val="008A1D23"/>
    <w:rsid w:val="008A1F07"/>
    <w:rsid w:val="008A200C"/>
    <w:rsid w:val="008A2949"/>
    <w:rsid w:val="008A2A17"/>
    <w:rsid w:val="008A429C"/>
    <w:rsid w:val="008A5EFC"/>
    <w:rsid w:val="008B1AFF"/>
    <w:rsid w:val="008B2F4C"/>
    <w:rsid w:val="008B513A"/>
    <w:rsid w:val="008B5D9A"/>
    <w:rsid w:val="008C1625"/>
    <w:rsid w:val="008C1649"/>
    <w:rsid w:val="008C34C9"/>
    <w:rsid w:val="008C4F27"/>
    <w:rsid w:val="008C73F0"/>
    <w:rsid w:val="008D1B05"/>
    <w:rsid w:val="008D3C02"/>
    <w:rsid w:val="008D3CF0"/>
    <w:rsid w:val="008D5783"/>
    <w:rsid w:val="008E0ABF"/>
    <w:rsid w:val="008E15F4"/>
    <w:rsid w:val="008E3675"/>
    <w:rsid w:val="008E4006"/>
    <w:rsid w:val="008E76DF"/>
    <w:rsid w:val="008F54E5"/>
    <w:rsid w:val="008F581B"/>
    <w:rsid w:val="008F62E3"/>
    <w:rsid w:val="0090010E"/>
    <w:rsid w:val="009029F6"/>
    <w:rsid w:val="00904875"/>
    <w:rsid w:val="00906FF3"/>
    <w:rsid w:val="0090783F"/>
    <w:rsid w:val="009079B6"/>
    <w:rsid w:val="009161F8"/>
    <w:rsid w:val="00916BA0"/>
    <w:rsid w:val="00920987"/>
    <w:rsid w:val="00921214"/>
    <w:rsid w:val="00921250"/>
    <w:rsid w:val="00921390"/>
    <w:rsid w:val="00924C0B"/>
    <w:rsid w:val="00926071"/>
    <w:rsid w:val="00936602"/>
    <w:rsid w:val="0093741A"/>
    <w:rsid w:val="0094039D"/>
    <w:rsid w:val="0094129D"/>
    <w:rsid w:val="00945E1B"/>
    <w:rsid w:val="0094713B"/>
    <w:rsid w:val="00947AC7"/>
    <w:rsid w:val="00947EBE"/>
    <w:rsid w:val="009544D9"/>
    <w:rsid w:val="00956191"/>
    <w:rsid w:val="00957420"/>
    <w:rsid w:val="00962522"/>
    <w:rsid w:val="00962AEE"/>
    <w:rsid w:val="00962E02"/>
    <w:rsid w:val="00964518"/>
    <w:rsid w:val="00965E15"/>
    <w:rsid w:val="00966DB6"/>
    <w:rsid w:val="0096768A"/>
    <w:rsid w:val="009710D9"/>
    <w:rsid w:val="00971D82"/>
    <w:rsid w:val="00973329"/>
    <w:rsid w:val="009766BA"/>
    <w:rsid w:val="00981904"/>
    <w:rsid w:val="00983004"/>
    <w:rsid w:val="009841A2"/>
    <w:rsid w:val="00987FB6"/>
    <w:rsid w:val="00991159"/>
    <w:rsid w:val="009913F0"/>
    <w:rsid w:val="00995314"/>
    <w:rsid w:val="0099573C"/>
    <w:rsid w:val="00996331"/>
    <w:rsid w:val="0099664C"/>
    <w:rsid w:val="009A0BF6"/>
    <w:rsid w:val="009A4C60"/>
    <w:rsid w:val="009A6AF5"/>
    <w:rsid w:val="009B0C54"/>
    <w:rsid w:val="009B347E"/>
    <w:rsid w:val="009B3AA9"/>
    <w:rsid w:val="009B6241"/>
    <w:rsid w:val="009C3301"/>
    <w:rsid w:val="009C3CE8"/>
    <w:rsid w:val="009C41D3"/>
    <w:rsid w:val="009C4DCE"/>
    <w:rsid w:val="009C7317"/>
    <w:rsid w:val="009C79B5"/>
    <w:rsid w:val="009D62CD"/>
    <w:rsid w:val="009D75AE"/>
    <w:rsid w:val="009E03C9"/>
    <w:rsid w:val="009E047C"/>
    <w:rsid w:val="009E21CC"/>
    <w:rsid w:val="009E3247"/>
    <w:rsid w:val="009E4573"/>
    <w:rsid w:val="009E46D2"/>
    <w:rsid w:val="009F19D9"/>
    <w:rsid w:val="009F60A1"/>
    <w:rsid w:val="00A05E44"/>
    <w:rsid w:val="00A075EF"/>
    <w:rsid w:val="00A113F6"/>
    <w:rsid w:val="00A14827"/>
    <w:rsid w:val="00A171BD"/>
    <w:rsid w:val="00A2087B"/>
    <w:rsid w:val="00A20D81"/>
    <w:rsid w:val="00A21098"/>
    <w:rsid w:val="00A22DA8"/>
    <w:rsid w:val="00A22ED1"/>
    <w:rsid w:val="00A24792"/>
    <w:rsid w:val="00A25678"/>
    <w:rsid w:val="00A26800"/>
    <w:rsid w:val="00A31E1A"/>
    <w:rsid w:val="00A33B76"/>
    <w:rsid w:val="00A368B6"/>
    <w:rsid w:val="00A4131E"/>
    <w:rsid w:val="00A4138D"/>
    <w:rsid w:val="00A47387"/>
    <w:rsid w:val="00A51696"/>
    <w:rsid w:val="00A536E8"/>
    <w:rsid w:val="00A54458"/>
    <w:rsid w:val="00A56BAC"/>
    <w:rsid w:val="00A56D8C"/>
    <w:rsid w:val="00A57102"/>
    <w:rsid w:val="00A61655"/>
    <w:rsid w:val="00A61F32"/>
    <w:rsid w:val="00A6209E"/>
    <w:rsid w:val="00A6323F"/>
    <w:rsid w:val="00A757A6"/>
    <w:rsid w:val="00A77695"/>
    <w:rsid w:val="00A776BD"/>
    <w:rsid w:val="00A81BDF"/>
    <w:rsid w:val="00A8449B"/>
    <w:rsid w:val="00A85621"/>
    <w:rsid w:val="00A8777B"/>
    <w:rsid w:val="00A908B7"/>
    <w:rsid w:val="00A9303E"/>
    <w:rsid w:val="00A93DDD"/>
    <w:rsid w:val="00A966E7"/>
    <w:rsid w:val="00AA0D88"/>
    <w:rsid w:val="00AA680A"/>
    <w:rsid w:val="00AB0837"/>
    <w:rsid w:val="00AB2D50"/>
    <w:rsid w:val="00AB74F3"/>
    <w:rsid w:val="00AC3DE9"/>
    <w:rsid w:val="00AD0AFC"/>
    <w:rsid w:val="00AD0D46"/>
    <w:rsid w:val="00AD49EA"/>
    <w:rsid w:val="00AD593E"/>
    <w:rsid w:val="00AD63B5"/>
    <w:rsid w:val="00AD659A"/>
    <w:rsid w:val="00AD72E6"/>
    <w:rsid w:val="00AD79C8"/>
    <w:rsid w:val="00AE0CA4"/>
    <w:rsid w:val="00AE0CEB"/>
    <w:rsid w:val="00AE0FB4"/>
    <w:rsid w:val="00AE5283"/>
    <w:rsid w:val="00AE5A7D"/>
    <w:rsid w:val="00AE649E"/>
    <w:rsid w:val="00AE7894"/>
    <w:rsid w:val="00AF7AF4"/>
    <w:rsid w:val="00B0186C"/>
    <w:rsid w:val="00B0406B"/>
    <w:rsid w:val="00B058C3"/>
    <w:rsid w:val="00B063B8"/>
    <w:rsid w:val="00B1798F"/>
    <w:rsid w:val="00B31120"/>
    <w:rsid w:val="00B318DA"/>
    <w:rsid w:val="00B3250D"/>
    <w:rsid w:val="00B3621D"/>
    <w:rsid w:val="00B37DC7"/>
    <w:rsid w:val="00B40459"/>
    <w:rsid w:val="00B43869"/>
    <w:rsid w:val="00B44E7C"/>
    <w:rsid w:val="00B45B0D"/>
    <w:rsid w:val="00B47284"/>
    <w:rsid w:val="00B509AC"/>
    <w:rsid w:val="00B513DB"/>
    <w:rsid w:val="00B526CB"/>
    <w:rsid w:val="00B5591D"/>
    <w:rsid w:val="00B57C69"/>
    <w:rsid w:val="00B608A6"/>
    <w:rsid w:val="00B638F1"/>
    <w:rsid w:val="00B65F92"/>
    <w:rsid w:val="00B71262"/>
    <w:rsid w:val="00B72FAE"/>
    <w:rsid w:val="00B7301B"/>
    <w:rsid w:val="00B74E1F"/>
    <w:rsid w:val="00B760A4"/>
    <w:rsid w:val="00B76A6C"/>
    <w:rsid w:val="00B76FDA"/>
    <w:rsid w:val="00B77B14"/>
    <w:rsid w:val="00B77B3D"/>
    <w:rsid w:val="00B80284"/>
    <w:rsid w:val="00B82D87"/>
    <w:rsid w:val="00B8316F"/>
    <w:rsid w:val="00B84BA1"/>
    <w:rsid w:val="00B86F57"/>
    <w:rsid w:val="00B91072"/>
    <w:rsid w:val="00B910DC"/>
    <w:rsid w:val="00B91256"/>
    <w:rsid w:val="00B9255B"/>
    <w:rsid w:val="00B92712"/>
    <w:rsid w:val="00B942FB"/>
    <w:rsid w:val="00B95186"/>
    <w:rsid w:val="00BA1856"/>
    <w:rsid w:val="00BA5651"/>
    <w:rsid w:val="00BA608F"/>
    <w:rsid w:val="00BA7761"/>
    <w:rsid w:val="00BB1A80"/>
    <w:rsid w:val="00BB214B"/>
    <w:rsid w:val="00BB4A2A"/>
    <w:rsid w:val="00BC4418"/>
    <w:rsid w:val="00BC58F3"/>
    <w:rsid w:val="00BD2896"/>
    <w:rsid w:val="00BD5183"/>
    <w:rsid w:val="00BD722F"/>
    <w:rsid w:val="00BE0AED"/>
    <w:rsid w:val="00BE2088"/>
    <w:rsid w:val="00BE5154"/>
    <w:rsid w:val="00BE78AF"/>
    <w:rsid w:val="00BF0769"/>
    <w:rsid w:val="00BF0D6F"/>
    <w:rsid w:val="00BF2557"/>
    <w:rsid w:val="00BF2FCF"/>
    <w:rsid w:val="00BF49A0"/>
    <w:rsid w:val="00BF6782"/>
    <w:rsid w:val="00C002C5"/>
    <w:rsid w:val="00C00677"/>
    <w:rsid w:val="00C011CB"/>
    <w:rsid w:val="00C05E76"/>
    <w:rsid w:val="00C06300"/>
    <w:rsid w:val="00C0703A"/>
    <w:rsid w:val="00C078C7"/>
    <w:rsid w:val="00C12B03"/>
    <w:rsid w:val="00C14E72"/>
    <w:rsid w:val="00C155E9"/>
    <w:rsid w:val="00C17AD9"/>
    <w:rsid w:val="00C21E95"/>
    <w:rsid w:val="00C26CD5"/>
    <w:rsid w:val="00C26D32"/>
    <w:rsid w:val="00C3024A"/>
    <w:rsid w:val="00C30434"/>
    <w:rsid w:val="00C309E0"/>
    <w:rsid w:val="00C34A38"/>
    <w:rsid w:val="00C36823"/>
    <w:rsid w:val="00C3740A"/>
    <w:rsid w:val="00C427AC"/>
    <w:rsid w:val="00C44F73"/>
    <w:rsid w:val="00C450E1"/>
    <w:rsid w:val="00C46833"/>
    <w:rsid w:val="00C4715A"/>
    <w:rsid w:val="00C47329"/>
    <w:rsid w:val="00C51DD9"/>
    <w:rsid w:val="00C52BC5"/>
    <w:rsid w:val="00C55DA8"/>
    <w:rsid w:val="00C6148C"/>
    <w:rsid w:val="00C614CD"/>
    <w:rsid w:val="00C6191F"/>
    <w:rsid w:val="00C62C08"/>
    <w:rsid w:val="00C62E0C"/>
    <w:rsid w:val="00C71D22"/>
    <w:rsid w:val="00C75584"/>
    <w:rsid w:val="00C7638F"/>
    <w:rsid w:val="00C76EC8"/>
    <w:rsid w:val="00C80DD5"/>
    <w:rsid w:val="00C80FAE"/>
    <w:rsid w:val="00C83B00"/>
    <w:rsid w:val="00C85CF1"/>
    <w:rsid w:val="00C86270"/>
    <w:rsid w:val="00C8695C"/>
    <w:rsid w:val="00C91495"/>
    <w:rsid w:val="00C93C53"/>
    <w:rsid w:val="00C947F6"/>
    <w:rsid w:val="00C95D73"/>
    <w:rsid w:val="00C9696D"/>
    <w:rsid w:val="00C96E68"/>
    <w:rsid w:val="00C972BD"/>
    <w:rsid w:val="00CA0178"/>
    <w:rsid w:val="00CA04B1"/>
    <w:rsid w:val="00CA17E0"/>
    <w:rsid w:val="00CA1C81"/>
    <w:rsid w:val="00CA3AD6"/>
    <w:rsid w:val="00CA4D2B"/>
    <w:rsid w:val="00CB0893"/>
    <w:rsid w:val="00CB0D91"/>
    <w:rsid w:val="00CB25B0"/>
    <w:rsid w:val="00CB3CF8"/>
    <w:rsid w:val="00CB5397"/>
    <w:rsid w:val="00CC4096"/>
    <w:rsid w:val="00CC723F"/>
    <w:rsid w:val="00CC796B"/>
    <w:rsid w:val="00CD0860"/>
    <w:rsid w:val="00CD1396"/>
    <w:rsid w:val="00CD2BFB"/>
    <w:rsid w:val="00CD7109"/>
    <w:rsid w:val="00CE6265"/>
    <w:rsid w:val="00CF3048"/>
    <w:rsid w:val="00CF753A"/>
    <w:rsid w:val="00D0175C"/>
    <w:rsid w:val="00D02A53"/>
    <w:rsid w:val="00D06049"/>
    <w:rsid w:val="00D06456"/>
    <w:rsid w:val="00D10E45"/>
    <w:rsid w:val="00D11EAA"/>
    <w:rsid w:val="00D1732C"/>
    <w:rsid w:val="00D202BE"/>
    <w:rsid w:val="00D203D1"/>
    <w:rsid w:val="00D21DD1"/>
    <w:rsid w:val="00D22F36"/>
    <w:rsid w:val="00D2523C"/>
    <w:rsid w:val="00D26F9B"/>
    <w:rsid w:val="00D30C7F"/>
    <w:rsid w:val="00D324D4"/>
    <w:rsid w:val="00D351C8"/>
    <w:rsid w:val="00D455B5"/>
    <w:rsid w:val="00D46460"/>
    <w:rsid w:val="00D46BC8"/>
    <w:rsid w:val="00D50375"/>
    <w:rsid w:val="00D5204E"/>
    <w:rsid w:val="00D5512B"/>
    <w:rsid w:val="00D568D4"/>
    <w:rsid w:val="00D63B65"/>
    <w:rsid w:val="00D63E3D"/>
    <w:rsid w:val="00D642F8"/>
    <w:rsid w:val="00D64AEE"/>
    <w:rsid w:val="00D66570"/>
    <w:rsid w:val="00D71273"/>
    <w:rsid w:val="00D744A6"/>
    <w:rsid w:val="00D74589"/>
    <w:rsid w:val="00D74D20"/>
    <w:rsid w:val="00D752A4"/>
    <w:rsid w:val="00D75DCE"/>
    <w:rsid w:val="00D774A4"/>
    <w:rsid w:val="00D801D5"/>
    <w:rsid w:val="00D83652"/>
    <w:rsid w:val="00D8382C"/>
    <w:rsid w:val="00D8564F"/>
    <w:rsid w:val="00D8573C"/>
    <w:rsid w:val="00D8690C"/>
    <w:rsid w:val="00D9014F"/>
    <w:rsid w:val="00D901B0"/>
    <w:rsid w:val="00D90FDF"/>
    <w:rsid w:val="00D92548"/>
    <w:rsid w:val="00D9436D"/>
    <w:rsid w:val="00D94804"/>
    <w:rsid w:val="00D9715F"/>
    <w:rsid w:val="00DA17AD"/>
    <w:rsid w:val="00DA408B"/>
    <w:rsid w:val="00DA5C3E"/>
    <w:rsid w:val="00DB1603"/>
    <w:rsid w:val="00DB24BD"/>
    <w:rsid w:val="00DB56DF"/>
    <w:rsid w:val="00DC0D6E"/>
    <w:rsid w:val="00DC0FDF"/>
    <w:rsid w:val="00DC258C"/>
    <w:rsid w:val="00DC3D2E"/>
    <w:rsid w:val="00DD4A43"/>
    <w:rsid w:val="00DD6633"/>
    <w:rsid w:val="00DE10FA"/>
    <w:rsid w:val="00DE4765"/>
    <w:rsid w:val="00DE7A71"/>
    <w:rsid w:val="00DF116A"/>
    <w:rsid w:val="00DF1F89"/>
    <w:rsid w:val="00DF2120"/>
    <w:rsid w:val="00DF3472"/>
    <w:rsid w:val="00DF3CD2"/>
    <w:rsid w:val="00DF4D46"/>
    <w:rsid w:val="00DF55BB"/>
    <w:rsid w:val="00E01600"/>
    <w:rsid w:val="00E0166E"/>
    <w:rsid w:val="00E0319F"/>
    <w:rsid w:val="00E05FD3"/>
    <w:rsid w:val="00E074B8"/>
    <w:rsid w:val="00E11F0D"/>
    <w:rsid w:val="00E12256"/>
    <w:rsid w:val="00E158A8"/>
    <w:rsid w:val="00E15D58"/>
    <w:rsid w:val="00E17761"/>
    <w:rsid w:val="00E2127C"/>
    <w:rsid w:val="00E22010"/>
    <w:rsid w:val="00E22331"/>
    <w:rsid w:val="00E244D0"/>
    <w:rsid w:val="00E252B0"/>
    <w:rsid w:val="00E2726A"/>
    <w:rsid w:val="00E30C8D"/>
    <w:rsid w:val="00E372D3"/>
    <w:rsid w:val="00E37E43"/>
    <w:rsid w:val="00E44A0E"/>
    <w:rsid w:val="00E45258"/>
    <w:rsid w:val="00E477E5"/>
    <w:rsid w:val="00E65AD8"/>
    <w:rsid w:val="00E66F43"/>
    <w:rsid w:val="00E71A04"/>
    <w:rsid w:val="00E7287B"/>
    <w:rsid w:val="00E740FC"/>
    <w:rsid w:val="00E74FBF"/>
    <w:rsid w:val="00E76AE7"/>
    <w:rsid w:val="00E829BB"/>
    <w:rsid w:val="00E82AA4"/>
    <w:rsid w:val="00E82E27"/>
    <w:rsid w:val="00E838EF"/>
    <w:rsid w:val="00E849B0"/>
    <w:rsid w:val="00E8521E"/>
    <w:rsid w:val="00E857E9"/>
    <w:rsid w:val="00E85BB5"/>
    <w:rsid w:val="00E86F3C"/>
    <w:rsid w:val="00E91742"/>
    <w:rsid w:val="00E92527"/>
    <w:rsid w:val="00E95DE8"/>
    <w:rsid w:val="00E9627F"/>
    <w:rsid w:val="00EA1620"/>
    <w:rsid w:val="00EA1E9B"/>
    <w:rsid w:val="00EA32D8"/>
    <w:rsid w:val="00EA51F1"/>
    <w:rsid w:val="00EA71E7"/>
    <w:rsid w:val="00EA77E8"/>
    <w:rsid w:val="00EB2346"/>
    <w:rsid w:val="00EB318A"/>
    <w:rsid w:val="00EB3B0A"/>
    <w:rsid w:val="00EB678B"/>
    <w:rsid w:val="00EB6EB9"/>
    <w:rsid w:val="00EB7F94"/>
    <w:rsid w:val="00EC0B52"/>
    <w:rsid w:val="00EC2D9C"/>
    <w:rsid w:val="00EC2FD8"/>
    <w:rsid w:val="00EC4619"/>
    <w:rsid w:val="00EC47F1"/>
    <w:rsid w:val="00EC5253"/>
    <w:rsid w:val="00EC703D"/>
    <w:rsid w:val="00EC74A0"/>
    <w:rsid w:val="00ED0084"/>
    <w:rsid w:val="00ED217A"/>
    <w:rsid w:val="00ED4BCA"/>
    <w:rsid w:val="00ED5BD1"/>
    <w:rsid w:val="00ED5F9E"/>
    <w:rsid w:val="00ED682D"/>
    <w:rsid w:val="00ED7B77"/>
    <w:rsid w:val="00EE07DD"/>
    <w:rsid w:val="00EE183A"/>
    <w:rsid w:val="00EE51CB"/>
    <w:rsid w:val="00EE6C71"/>
    <w:rsid w:val="00EE6D5C"/>
    <w:rsid w:val="00EF409B"/>
    <w:rsid w:val="00EF4A10"/>
    <w:rsid w:val="00EF5E52"/>
    <w:rsid w:val="00EF6797"/>
    <w:rsid w:val="00EF775D"/>
    <w:rsid w:val="00F00627"/>
    <w:rsid w:val="00F0276C"/>
    <w:rsid w:val="00F0315C"/>
    <w:rsid w:val="00F049FE"/>
    <w:rsid w:val="00F07277"/>
    <w:rsid w:val="00F100E2"/>
    <w:rsid w:val="00F11EF0"/>
    <w:rsid w:val="00F124E9"/>
    <w:rsid w:val="00F12A94"/>
    <w:rsid w:val="00F1367A"/>
    <w:rsid w:val="00F14B37"/>
    <w:rsid w:val="00F304C0"/>
    <w:rsid w:val="00F324EE"/>
    <w:rsid w:val="00F32E5F"/>
    <w:rsid w:val="00F334DA"/>
    <w:rsid w:val="00F411C5"/>
    <w:rsid w:val="00F4485B"/>
    <w:rsid w:val="00F44A71"/>
    <w:rsid w:val="00F45983"/>
    <w:rsid w:val="00F46170"/>
    <w:rsid w:val="00F46F6D"/>
    <w:rsid w:val="00F56268"/>
    <w:rsid w:val="00F62195"/>
    <w:rsid w:val="00F665FB"/>
    <w:rsid w:val="00F715DC"/>
    <w:rsid w:val="00F7258C"/>
    <w:rsid w:val="00F7336B"/>
    <w:rsid w:val="00F7371E"/>
    <w:rsid w:val="00F73913"/>
    <w:rsid w:val="00F81126"/>
    <w:rsid w:val="00F81B09"/>
    <w:rsid w:val="00F85B23"/>
    <w:rsid w:val="00F8673D"/>
    <w:rsid w:val="00F90349"/>
    <w:rsid w:val="00F91B6A"/>
    <w:rsid w:val="00F942D3"/>
    <w:rsid w:val="00F9601D"/>
    <w:rsid w:val="00FA135F"/>
    <w:rsid w:val="00FA2360"/>
    <w:rsid w:val="00FA46D4"/>
    <w:rsid w:val="00FA5095"/>
    <w:rsid w:val="00FA5D72"/>
    <w:rsid w:val="00FA678B"/>
    <w:rsid w:val="00FA7BBF"/>
    <w:rsid w:val="00FB0AA5"/>
    <w:rsid w:val="00FB148F"/>
    <w:rsid w:val="00FB15B2"/>
    <w:rsid w:val="00FB1D0C"/>
    <w:rsid w:val="00FB76DA"/>
    <w:rsid w:val="00FC1019"/>
    <w:rsid w:val="00FC112D"/>
    <w:rsid w:val="00FC181D"/>
    <w:rsid w:val="00FC3670"/>
    <w:rsid w:val="00FD0CC5"/>
    <w:rsid w:val="00FD1439"/>
    <w:rsid w:val="00FD5B3B"/>
    <w:rsid w:val="00FD7413"/>
    <w:rsid w:val="00FD79D2"/>
    <w:rsid w:val="00FD7E9F"/>
    <w:rsid w:val="00FE146B"/>
    <w:rsid w:val="00FE26A2"/>
    <w:rsid w:val="00FE324D"/>
    <w:rsid w:val="00FF4728"/>
    <w:rsid w:val="00FF4E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52918"/>
  <w15:docId w15:val="{46D3D6DE-E9D1-4F21-9B57-58DE7BB8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EE07DD"/>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 w:type="character" w:styleId="UnresolvedMention">
    <w:name w:val="Unresolved Mention"/>
    <w:basedOn w:val="DefaultParagraphFont"/>
    <w:uiPriority w:val="99"/>
    <w:unhideWhenUsed/>
    <w:rsid w:val="00DC0FDF"/>
    <w:rPr>
      <w:color w:val="605E5C"/>
      <w:shd w:val="clear" w:color="auto" w:fill="E1DFDD"/>
    </w:rPr>
  </w:style>
  <w:style w:type="table" w:customStyle="1" w:styleId="TableGrid1">
    <w:name w:val="Table Grid1"/>
    <w:basedOn w:val="TableNormal"/>
    <w:next w:val="TableGrid"/>
    <w:uiPriority w:val="59"/>
    <w:rsid w:val="00193C36"/>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838EF"/>
    <w:rPr>
      <w:color w:val="2B579A"/>
      <w:shd w:val="clear" w:color="auto" w:fill="E1DFDD"/>
    </w:rPr>
  </w:style>
  <w:style w:type="paragraph" w:styleId="Revision">
    <w:name w:val="Revision"/>
    <w:hidden/>
    <w:uiPriority w:val="99"/>
    <w:semiHidden/>
    <w:rsid w:val="00CB0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0" ma:contentTypeDescription="Create a new document." ma:contentTypeScope="" ma:versionID="435ad1e76eb60a24ceec017349575cea">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6190c614c0c0b72b70864a73f6288dce"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customXml/itemProps2.xml><?xml version="1.0" encoding="utf-8"?>
<ds:datastoreItem xmlns:ds="http://schemas.openxmlformats.org/officeDocument/2006/customXml" ds:itemID="{2CE5995B-DA6B-4E16-A395-CABD895ECCE6}">
  <ds:schemaRefs>
    <ds:schemaRef ds:uri="http://schemas.microsoft.com/office/2006/metadata/properties"/>
    <ds:schemaRef ds:uri="http://schemas.microsoft.com/office/2006/documentManagement/types"/>
    <ds:schemaRef ds:uri="http://schemas.microsoft.com/sharepoint/v3"/>
    <ds:schemaRef ds:uri="78edd478-49c5-4036-aeda-1e3c971e39e9"/>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sharepoint/v4"/>
    <ds:schemaRef ds:uri="1a753c31-ab9c-47ce-9170-7bde905681ea"/>
    <ds:schemaRef ds:uri="http://www.w3.org/XML/1998/namespace"/>
  </ds:schemaRefs>
</ds:datastoreItem>
</file>

<file path=customXml/itemProps3.xml><?xml version="1.0" encoding="utf-8"?>
<ds:datastoreItem xmlns:ds="http://schemas.openxmlformats.org/officeDocument/2006/customXml" ds:itemID="{68A1E318-80C0-418E-A879-88F41CDC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FERC Form No. 60 -61 -555A supporting statement</vt:lpstr>
    </vt:vector>
  </TitlesOfParts>
  <Company>FERC</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60 -61 -555A supporting statement</dc:title>
  <dc:creator>Michele Chambers</dc:creator>
  <cp:lastModifiedBy>Christopher Kozler</cp:lastModifiedBy>
  <cp:revision>2</cp:revision>
  <cp:lastPrinted>2022-03-25T19:52:00Z</cp:lastPrinted>
  <dcterms:created xsi:type="dcterms:W3CDTF">2023-06-21T17:44:00Z</dcterms:created>
  <dcterms:modified xsi:type="dcterms:W3CDTF">2023-06-21T17:44:00Z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MSIP_Label_6155a89b-0f08-4a93-8ea2-8a916d6643b5_ActionId">
    <vt:lpwstr>adafd0a4-84c5-48ea-a431-288e009014ca</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2022-04-05T16:09:58Z</vt:lpwstr>
  </property>
  <property fmtid="{D5CDD505-2E9C-101B-9397-08002B2CF9AE}" pid="9" name="MSIP_Label_6155a89b-0f08-4a93-8ea2-8a916d6643b5_SiteId">
    <vt:lpwstr>19caa9e9-04ff-43fa-885f-d77fac387903</vt:lpwstr>
  </property>
</Properties>
</file>