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3F422CAF">
      <w:pPr>
        <w:jc w:val="center"/>
      </w:pPr>
      <w:r w:rsidRPr="00980E58">
        <w:t>[</w:t>
      </w:r>
      <w:r w:rsidRPr="007633DD">
        <w:t>Docket No</w:t>
      </w:r>
      <w:r w:rsidRPr="00413FDE">
        <w:t xml:space="preserve">. </w:t>
      </w:r>
      <w:r w:rsidRPr="00413FDE" w:rsidR="00613169">
        <w:t>IC</w:t>
      </w:r>
      <w:r w:rsidR="007F7B74">
        <w:t>23</w:t>
      </w:r>
      <w:r w:rsidRPr="00413FDE" w:rsidR="00613169">
        <w:t>-</w:t>
      </w:r>
      <w:r w:rsidR="007A5C0A">
        <w:t>6</w:t>
      </w:r>
      <w:r w:rsidRPr="00413FDE" w:rsidR="00613169">
        <w:t>-000</w:t>
      </w:r>
      <w:r w:rsidRPr="00413FDE">
        <w:t>]</w:t>
      </w:r>
    </w:p>
    <w:p w:rsidR="00A2604E" w:rsidP="00A2604E" w14:paraId="4D16FE54" w14:textId="77777777"/>
    <w:p w:rsidR="00A2604E" w:rsidP="00A2604E" w14:paraId="0627AE31" w14:textId="290DE742">
      <w:pPr>
        <w:jc w:val="center"/>
      </w:pPr>
      <w:r>
        <w:t>COMMISSION INFORMATION COLLECTION ACTIVITIES (FERC-</w:t>
      </w:r>
      <w:r w:rsidR="00206037">
        <w:t>153</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33092C" w:rsidP="009562A5" w14:paraId="38884393" w14:textId="07C8F863">
      <w:pPr>
        <w:jc w:val="center"/>
      </w:pPr>
      <w:r w:rsidRPr="009562A5">
        <w:t>(April 7, 2023)</w:t>
      </w:r>
    </w:p>
    <w:p w:rsidR="009562A5" w:rsidRPr="009562A5" w:rsidP="009562A5" w14:paraId="43EDA0D7" w14:textId="77777777"/>
    <w:p w:rsidR="000C5E3A" w:rsidRPr="000C5E3A" w:rsidP="000C5E3A" w14:paraId="6BB1CF1E"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206037" w:rsidRPr="00E67CB0" w:rsidP="7F2CD91F" w14:paraId="7007A6EE" w14:textId="5DA5F933">
      <w:pPr>
        <w:spacing w:after="160" w:line="480" w:lineRule="auto"/>
        <w:rPr>
          <w:i/>
          <w:iCs/>
        </w:rPr>
      </w:pPr>
      <w:r w:rsidRPr="7F2CD91F">
        <w:rPr>
          <w:b/>
          <w:bCs/>
        </w:rPr>
        <w:t>SUMMARY:</w:t>
      </w:r>
      <w:r>
        <w:t xml:space="preserve">  </w:t>
      </w:r>
      <w:r>
        <w:t xml:space="preserve">In compliance with the requirements of the Paperwork Reduction Act of 1995 (PRA), the Federal Energy Regulatory Commission (Commission or FERC) is soliciting public comment on the currently approved information collection, FERC-153, </w:t>
      </w:r>
      <w:r w:rsidRPr="7F2CD91F">
        <w:rPr>
          <w:i/>
          <w:iCs/>
        </w:rPr>
        <w:t>Generic Clearance for the Collection of Qualitative Feedback on Commission Service Delivery</w:t>
      </w:r>
      <w:r w:rsidRPr="7F2CD91F" w:rsidR="00E67CB0">
        <w:rPr>
          <w:i/>
          <w:iCs/>
        </w:rPr>
        <w:t>.</w:t>
      </w:r>
    </w:p>
    <w:p w:rsidR="00A2604E" w:rsidRPr="00524164" w:rsidP="00206037" w14:paraId="5C5B574A" w14:textId="590A0250">
      <w:pPr>
        <w:spacing w:after="160"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5157105A">
      <w:pPr>
        <w:spacing w:line="480" w:lineRule="auto"/>
      </w:pPr>
      <w:r w:rsidRPr="00524164">
        <w:rPr>
          <w:b/>
        </w:rPr>
        <w:t>ADDRESSES:</w:t>
      </w:r>
      <w:r w:rsidRPr="00524164">
        <w:t xml:space="preserve">  </w:t>
      </w:r>
      <w:bookmarkStart w:id="1" w:name="OLE_LINK1"/>
      <w:r w:rsidRPr="0042765E">
        <w:t xml:space="preserve">You may submit your comments (identified by Docket No. </w:t>
      </w:r>
      <w:r w:rsidRPr="00413FDE">
        <w:t>IC</w:t>
      </w:r>
      <w:r w:rsidR="007F7B74">
        <w:t>23</w:t>
      </w:r>
      <w:r w:rsidRPr="00413FDE">
        <w:t>-</w:t>
      </w:r>
      <w:r w:rsidR="007A5C0A">
        <w:t>6</w:t>
      </w:r>
      <w:r w:rsidR="003F7A51">
        <w:t>-</w:t>
      </w:r>
      <w:r w:rsidRPr="00413FDE">
        <w:t>000</w:t>
      </w:r>
      <w:r w:rsidRPr="0042765E">
        <w:t>) by one of the following methods:</w:t>
      </w:r>
    </w:p>
    <w:p w:rsidR="0042765E" w:rsidRPr="0042765E" w:rsidP="0042765E" w14:paraId="6929A881" w14:textId="2A2C07BB">
      <w:pPr>
        <w:spacing w:line="480" w:lineRule="auto"/>
      </w:pPr>
      <w:r w:rsidRPr="0042765E">
        <w:t xml:space="preserve">Electronic filing through </w:t>
      </w:r>
      <w:hyperlink r:id="rId10" w:history="1">
        <w:r w:rsidRPr="0093061F" w:rsidR="009D2BE4">
          <w:rPr>
            <w:rStyle w:val="Hyperlink"/>
          </w:rPr>
          <w:t>https://www.ferc.gov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68BD2DC3">
      <w:pPr>
        <w:pStyle w:val="ListParagraph"/>
        <w:numPr>
          <w:ilvl w:val="1"/>
          <w:numId w:val="6"/>
        </w:numPr>
        <w:spacing w:line="480" w:lineRule="auto"/>
      </w:pPr>
      <w:r w:rsidRPr="0042765E">
        <w:t xml:space="preserve">Hand (including courier) delivery: </w:t>
      </w:r>
      <w:r w:rsidR="00117A32">
        <w:t>Addressed</w:t>
      </w:r>
      <w:r w:rsidRPr="0042765E" w:rsidR="00117A32">
        <w:t xml:space="preserve"> </w:t>
      </w:r>
      <w:r w:rsidRPr="0042765E">
        <w:t xml:space="preserve">to: Federal Energy Regulatory Commission, </w:t>
      </w:r>
      <w:r w:rsidR="00117A32">
        <w:t>Secretary of the Commission,</w:t>
      </w:r>
      <w:r w:rsidRPr="0042765E">
        <w:t>12225 Wilkins Avenue, Rockville, MD 20852.</w:t>
      </w:r>
    </w:p>
    <w:p w:rsidR="00FB078F" w:rsidP="0042765E" w14:paraId="1FF43EEC" w14:textId="4928DE79">
      <w:pPr>
        <w:spacing w:line="480" w:lineRule="auto"/>
      </w:pPr>
      <w:r w:rsidRPr="002F3236">
        <w:rPr>
          <w:i/>
        </w:rPr>
        <w:t xml:space="preserve">Instructions: </w:t>
      </w:r>
      <w:r>
        <w:t xml:space="preserve">All submissions must be formatted and filed in accordance with submission guidelines at:   </w:t>
      </w:r>
      <w:hyperlink r:id="rId10" w:history="1">
        <w:r w:rsidRPr="0093061F" w:rsidR="009D2BE4">
          <w:rPr>
            <w:rStyle w:val="Hyperlink"/>
          </w:rPr>
          <w:t>https://www.ferc.gov</w:t>
        </w:r>
      </w:hyperlink>
      <w:r>
        <w:t xml:space="preserve">.  For user assistance, contact FERC Online Support by e-mail at </w:t>
      </w:r>
      <w:hyperlink r:id="rId11" w:history="1">
        <w:r w:rsidRPr="002F1FA4" w:rsidR="00A334E0">
          <w:rPr>
            <w:rStyle w:val="Hyperlink"/>
          </w:rPr>
          <w:t>ferconlinesupport@ferc.gov</w:t>
        </w:r>
      </w:hyperlink>
      <w:r w:rsidR="00A334E0">
        <w:t>,</w:t>
      </w:r>
      <w:r>
        <w:t xml:space="preserve"> or by phone at (866) 208-3676 (toll-free).</w:t>
      </w:r>
    </w:p>
    <w:p w:rsidR="00FB078F" w:rsidP="00FB078F" w14:paraId="781EB4A7" w14:textId="128E6A8F">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93061F" w:rsidR="00F3751C">
          <w:rPr>
            <w:rStyle w:val="Hyperlink"/>
          </w:rPr>
          <w:t>https://www.ferc.gov</w:t>
        </w:r>
      </w:hyperlink>
      <w:r>
        <w:t xml:space="preserve">. </w:t>
      </w:r>
    </w:p>
    <w:bookmarkEnd w:id="1"/>
    <w:p w:rsidR="00FB078F" w:rsidP="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502-8663.</w:t>
      </w:r>
    </w:p>
    <w:p w:rsidR="00206037" w:rsidRPr="00206037" w:rsidP="00206037" w14:paraId="466885D9" w14:textId="77777777">
      <w:pPr>
        <w:spacing w:line="480" w:lineRule="auto"/>
      </w:pPr>
      <w:r w:rsidRPr="00206037">
        <w:rPr>
          <w:b/>
        </w:rPr>
        <w:t>SUPPLEMENTARY INFORMATION:</w:t>
      </w:r>
      <w:r w:rsidRPr="00206037">
        <w:t xml:space="preserve">  </w:t>
      </w:r>
    </w:p>
    <w:p w:rsidR="00206037" w:rsidRPr="00206037" w:rsidP="00206037" w14:paraId="32E3B478" w14:textId="21C94A3D">
      <w:pPr>
        <w:spacing w:line="480" w:lineRule="auto"/>
      </w:pPr>
      <w:r w:rsidRPr="7F2CD91F">
        <w:rPr>
          <w:i/>
          <w:iCs/>
        </w:rPr>
        <w:t xml:space="preserve">Title: </w:t>
      </w:r>
      <w:r>
        <w:t xml:space="preserve">FERC-153, </w:t>
      </w:r>
      <w:r w:rsidRPr="7F2CD91F">
        <w:rPr>
          <w:i/>
          <w:iCs/>
        </w:rPr>
        <w:t>Generic Clearance for the Collection of Qualitative Feedback on Commission Service Delivery</w:t>
      </w:r>
    </w:p>
    <w:p w:rsidR="00206037" w:rsidRPr="00206037" w:rsidP="00206037" w14:paraId="648F22E1" w14:textId="77777777">
      <w:pPr>
        <w:spacing w:line="480" w:lineRule="auto"/>
      </w:pPr>
      <w:r w:rsidRPr="00206037">
        <w:rPr>
          <w:i/>
        </w:rPr>
        <w:t xml:space="preserve">OMB Control No.: </w:t>
      </w:r>
      <w:r w:rsidRPr="00206037">
        <w:t xml:space="preserve"> 1902-0293</w:t>
      </w:r>
    </w:p>
    <w:p w:rsidR="00206037" w:rsidRPr="00206037" w:rsidP="00206037" w14:paraId="6239EFEC" w14:textId="77777777">
      <w:pPr>
        <w:spacing w:line="480" w:lineRule="auto"/>
      </w:pPr>
      <w:r w:rsidRPr="00206037">
        <w:rPr>
          <w:i/>
        </w:rPr>
        <w:t>Type of Request:</w:t>
      </w:r>
      <w:r w:rsidRPr="00206037">
        <w:t xml:space="preserve"> Generic information collection</w:t>
      </w:r>
    </w:p>
    <w:p w:rsidR="00206037" w:rsidRPr="00206037" w:rsidP="00206037" w14:paraId="63B616EF" w14:textId="7B9239FC">
      <w:pPr>
        <w:spacing w:line="480" w:lineRule="auto"/>
      </w:pPr>
      <w:r w:rsidRPr="7F2CD91F">
        <w:rPr>
          <w:i/>
          <w:iCs/>
        </w:rPr>
        <w:t xml:space="preserve">Abstract: </w:t>
      </w:r>
      <w:r>
        <w:t xml:space="preserve">This information collection provides a means to garner qualitative customer and stakeholder feedback in an efficient, timely manner, in accordance with the Administration’s commitment to improving service delivery.  By qualitative feedback, </w:t>
      </w:r>
      <w:r>
        <w:t>we mean data that provides useful insights on perceptions and opinions but are not statistical surveys that yield quantitative results that can be generalized to the population of study.  Th</w:t>
      </w:r>
      <w:r w:rsidR="002721E8">
        <w:t>e</w:t>
      </w:r>
      <w:r>
        <w:t xml:space="preserve"> feedback provide</w:t>
      </w:r>
      <w:r w:rsidR="002721E8">
        <w:t>s</w:t>
      </w:r>
      <w:r>
        <w:t xml:space="preserve"> insights into customer or stakeholder perceptions, experiences, </w:t>
      </w:r>
      <w:r w:rsidR="002721E8">
        <w:t xml:space="preserve">and </w:t>
      </w:r>
      <w:r>
        <w:t>expectation</w:t>
      </w:r>
      <w:r w:rsidR="002721E8">
        <w:t>s. The feedback</w:t>
      </w:r>
      <w:r>
        <w:t xml:space="preserve"> provide</w:t>
      </w:r>
      <w:r w:rsidR="002721E8">
        <w:t>s</w:t>
      </w:r>
      <w:r>
        <w:t xml:space="preserve"> an early warning </w:t>
      </w:r>
      <w:r w:rsidR="002721E8">
        <w:t xml:space="preserve">of </w:t>
      </w:r>
      <w:r>
        <w:t>service</w:t>
      </w:r>
      <w:r w:rsidR="002721E8">
        <w:t xml:space="preserve"> issues and helps </w:t>
      </w:r>
      <w:r>
        <w:t xml:space="preserve">focus attention on areas where communication, </w:t>
      </w:r>
      <w:r w:rsidR="002721E8">
        <w:t xml:space="preserve">training, </w:t>
      </w:r>
      <w:r>
        <w:t>or changes in operations might improve delivery of products or services.  This collection allow</w:t>
      </w:r>
      <w:r w:rsidR="002721E8">
        <w:t>s</w:t>
      </w:r>
      <w:r>
        <w:t xml:space="preserve"> for ongoing, </w:t>
      </w:r>
      <w:r>
        <w:t>collaborative</w:t>
      </w:r>
      <w:r>
        <w:t xml:space="preserve"> and actionable communications between FERC and its customers and stakeholders.  It also allow</w:t>
      </w:r>
      <w:r w:rsidR="002721E8">
        <w:t>s</w:t>
      </w:r>
      <w:r>
        <w:t xml:space="preserve"> feedback to contribute directly to the improvement of program management.</w:t>
      </w:r>
    </w:p>
    <w:p w:rsidR="00206037" w:rsidRPr="00206037" w:rsidP="7F2CD91F" w14:paraId="5B9AC5BC" w14:textId="6F2CE2C1">
      <w:pPr>
        <w:spacing w:line="480" w:lineRule="auto"/>
        <w:ind w:firstLine="720"/>
      </w:pPr>
      <w:r>
        <w:t xml:space="preserve">The solicitation of feedback will target </w:t>
      </w:r>
      <w:r w:rsidR="00B978A7">
        <w:t>topics such as</w:t>
      </w:r>
      <w:r>
        <w:t>: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Commission’s services will be unavailable.</w:t>
      </w:r>
    </w:p>
    <w:p w:rsidR="00206037" w:rsidRPr="00206037" w:rsidP="00206037" w14:paraId="5BA0A140" w14:textId="77777777">
      <w:pPr>
        <w:spacing w:line="480" w:lineRule="auto"/>
      </w:pPr>
      <w:r w:rsidRPr="00206037">
        <w:tab/>
        <w:t>The Commission will only submit a collection for approval under this generic clearance if it meets the following conditions:</w:t>
      </w:r>
    </w:p>
    <w:p w:rsidR="00206037" w:rsidRPr="00206037" w:rsidP="00206037" w14:paraId="3C56F9EE" w14:textId="77777777">
      <w:pPr>
        <w:spacing w:line="480" w:lineRule="auto"/>
      </w:pPr>
      <w:r w:rsidRPr="00206037">
        <w:t>•</w:t>
      </w:r>
      <w:r w:rsidRPr="00206037">
        <w:tab/>
        <w:t xml:space="preserve">The collections are </w:t>
      </w:r>
      <w:r w:rsidRPr="00206037">
        <w:t>voluntary;</w:t>
      </w:r>
    </w:p>
    <w:p w:rsidR="00206037" w:rsidRPr="00206037" w:rsidP="00206037" w14:paraId="6FBEE597" w14:textId="77777777">
      <w:pPr>
        <w:spacing w:line="480" w:lineRule="auto"/>
      </w:pPr>
      <w:r w:rsidRPr="00206037">
        <w:t>•</w:t>
      </w:r>
      <w:r w:rsidRPr="00206037">
        <w:tab/>
        <w:t xml:space="preserve">The collections are low burden for respondents (based on considerations of total burden hours, total number of respondents, or burden hours per respondent) and are low-cost for both the respondents and the Federal </w:t>
      </w:r>
      <w:r w:rsidRPr="00206037">
        <w:t>Government;</w:t>
      </w:r>
    </w:p>
    <w:p w:rsidR="00206037" w:rsidRPr="00206037" w:rsidP="00206037" w14:paraId="097AD2A9" w14:textId="77777777">
      <w:pPr>
        <w:spacing w:line="480" w:lineRule="auto"/>
      </w:pPr>
      <w:r w:rsidRPr="00206037">
        <w:t>•</w:t>
      </w:r>
      <w:r w:rsidRPr="00206037">
        <w:tab/>
        <w:t xml:space="preserve">The collections are non-controversial and do not raise issues of concern to other Federal </w:t>
      </w:r>
      <w:r w:rsidRPr="00206037">
        <w:t>agencies;</w:t>
      </w:r>
    </w:p>
    <w:p w:rsidR="00206037" w:rsidRPr="00206037" w:rsidP="00206037" w14:paraId="47F05A29" w14:textId="77777777">
      <w:pPr>
        <w:spacing w:line="480" w:lineRule="auto"/>
      </w:pPr>
      <w:r w:rsidRPr="00206037">
        <w:t>•</w:t>
      </w:r>
      <w:r w:rsidRPr="00206037">
        <w:tab/>
        <w:t xml:space="preserve">The collection is targeted to the solicitation of opinions from respondents who have experience with the program or may have experience with the program </w:t>
      </w:r>
      <w:r w:rsidRPr="00206037">
        <w:t>soon;</w:t>
      </w:r>
    </w:p>
    <w:p w:rsidR="00206037" w:rsidRPr="00206037" w:rsidP="00206037" w14:paraId="6ABFBCA5" w14:textId="77777777">
      <w:pPr>
        <w:spacing w:line="480" w:lineRule="auto"/>
      </w:pPr>
      <w:r w:rsidRPr="00206037">
        <w:t>•</w:t>
      </w:r>
      <w:r w:rsidRPr="00206037">
        <w:tab/>
        <w:t xml:space="preserve">Personal identifiable information (PII) is collected only to the extent necessary and is not </w:t>
      </w:r>
      <w:r w:rsidRPr="00206037">
        <w:t>retained;</w:t>
      </w:r>
    </w:p>
    <w:p w:rsidR="00206037" w:rsidRPr="00206037" w:rsidP="00206037" w14:paraId="58B4F968" w14:textId="77777777">
      <w:pPr>
        <w:spacing w:line="480" w:lineRule="auto"/>
      </w:pPr>
      <w:r w:rsidRPr="00206037">
        <w:t>•</w:t>
      </w:r>
      <w:r w:rsidRPr="00206037">
        <w:tab/>
        <w:t>Information gathered is intended to be used only internally for general service improvement and program management purposes and is not intended for release outside of the Commission (if released, the Commission must indicate the qualitative nature of the information</w:t>
      </w:r>
      <w:r w:rsidRPr="00206037">
        <w:t>);</w:t>
      </w:r>
    </w:p>
    <w:p w:rsidR="00206037" w:rsidRPr="00206037" w:rsidP="00206037" w14:paraId="31D0E11A" w14:textId="77777777">
      <w:pPr>
        <w:spacing w:line="480" w:lineRule="auto"/>
      </w:pPr>
      <w:r w:rsidRPr="00206037">
        <w:t>•</w:t>
      </w:r>
      <w:r w:rsidRPr="00206037">
        <w:tab/>
        <w:t>Information gathered will not be used for the purpose of substantially informing influential policy decisions; and</w:t>
      </w:r>
    </w:p>
    <w:p w:rsidR="00206037" w:rsidRPr="00206037" w:rsidP="00206037" w14:paraId="35585F83" w14:textId="77777777">
      <w:pPr>
        <w:spacing w:line="480" w:lineRule="auto"/>
      </w:pPr>
      <w:r w:rsidRPr="00206037">
        <w:t>•</w:t>
      </w:r>
      <w:r w:rsidRPr="00206037">
        <w:tab/>
        <w:t>Information gathered will yield qualitative information; the collections will not be designed or expected to yield statistically reliable results or used as though the results are generalizable to the population of study.</w:t>
      </w:r>
    </w:p>
    <w:p w:rsidR="00206037" w:rsidRPr="00206037" w:rsidP="00206037" w14:paraId="1A54FFDB" w14:textId="77777777">
      <w:pPr>
        <w:spacing w:line="480" w:lineRule="auto"/>
      </w:pPr>
      <w:r w:rsidRPr="00206037">
        <w:tab/>
        <w:t xml:space="preserve">Feedback collected under this generic clearance provides useful information, but it does not yield data that can be generalized to the overall population.  This type of generic clearance for qualitative information will not be used for quantitative information collections that are designed to yield reliably actionable results, such as monitoring trends over time or documenting program performance.  Such data uses require more rigorous designs that address: the target population to which generalizations will be made, the sampling frame, the sample design (including stratification and clustering), the precision </w:t>
      </w:r>
      <w:r w:rsidRPr="00206037">
        <w:t xml:space="preserve">requirements or power calculations that justify the proposed sample size, the expected response rate, methods for assessing potential non-response bias, the protocols for data collection, and any testing procedures that were or will be undertaken prior to fielding the study. </w:t>
      </w:r>
    </w:p>
    <w:p w:rsidR="00206037" w:rsidRPr="00206037" w:rsidP="00206037" w14:paraId="49E8312D" w14:textId="77777777">
      <w:pPr>
        <w:spacing w:line="480" w:lineRule="auto"/>
      </w:pPr>
      <w:r w:rsidRPr="00206037">
        <w:tab/>
        <w:t>As a general matter, this information collection will not result in any new system of records containing privacy information and will not ask questions of a sensitive nature, such as sexual behavior and attitudes, religious beliefs, and other matters that are commonly considered private.</w:t>
      </w:r>
    </w:p>
    <w:p w:rsidR="00206037" w:rsidRPr="00206037" w:rsidP="00206037" w14:paraId="24C64497" w14:textId="547EBB5B">
      <w:pPr>
        <w:spacing w:line="480" w:lineRule="auto"/>
      </w:pPr>
      <w:r w:rsidRPr="00206037">
        <w:tab/>
      </w:r>
      <w:r w:rsidRPr="00206037">
        <w:rPr>
          <w:i/>
        </w:rPr>
        <w:t xml:space="preserve">Type of Respondents/Affected Public: </w:t>
      </w:r>
      <w:r w:rsidRPr="00206037">
        <w:t xml:space="preserve">Individuals and households; Businesses or other for-profit and not-for-profit organizations; State, Local, or Tribal government. </w:t>
      </w:r>
    </w:p>
    <w:p w:rsidR="00206037" w:rsidRPr="00206037" w:rsidP="00206037" w14:paraId="65421FEF" w14:textId="64361F57">
      <w:pPr>
        <w:spacing w:line="480" w:lineRule="auto"/>
      </w:pPr>
      <w:r w:rsidRPr="7F2CD91F">
        <w:rPr>
          <w:i/>
          <w:iCs/>
        </w:rPr>
        <w:t>Estimate of Annual Burden</w:t>
      </w:r>
      <w:r>
        <w:rPr>
          <w:b/>
          <w:bCs/>
          <w:i/>
          <w:iCs/>
          <w:vertAlign w:val="superscript"/>
        </w:rPr>
        <w:footnoteReference w:id="3"/>
      </w:r>
      <w:r w:rsidRPr="7F2CD91F">
        <w:rPr>
          <w:i/>
          <w:iCs/>
        </w:rPr>
        <w:t xml:space="preserve">: </w:t>
      </w:r>
      <w:r w:rsidRPr="00206037">
        <w:t>The Commission estimates the annual public reporting burden for the information collection as:</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320"/>
        <w:gridCol w:w="1406"/>
        <w:gridCol w:w="1407"/>
        <w:gridCol w:w="1493"/>
        <w:gridCol w:w="1756"/>
      </w:tblGrid>
      <w:tr w14:paraId="27E3242C" w14:textId="77777777" w:rsidTr="001E78C1">
        <w:tblPrEx>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bottom w:val="single" w:sz="4" w:space="0" w:color="auto"/>
            </w:tcBorders>
            <w:shd w:val="clear" w:color="auto" w:fill="D9D9D9"/>
          </w:tcPr>
          <w:p w:rsidR="00206037" w:rsidRPr="00206037" w:rsidP="00206037" w14:paraId="34CFEDD0" w14:textId="77777777">
            <w:pPr>
              <w:tabs>
                <w:tab w:val="num" w:pos="720"/>
              </w:tabs>
              <w:jc w:val="center"/>
              <w:rPr>
                <w:rFonts w:eastAsia="Calibri"/>
                <w:b/>
                <w:szCs w:val="26"/>
              </w:rPr>
            </w:pPr>
            <w:r w:rsidRPr="00206037">
              <w:rPr>
                <w:rFonts w:eastAsia="Calibri"/>
                <w:b/>
                <w:szCs w:val="26"/>
              </w:rPr>
              <w:t>Estimated Annual Burden for Generic Clearance for FERC-153</w:t>
            </w:r>
          </w:p>
        </w:tc>
      </w:tr>
      <w:tr w14:paraId="7A7EDCC2" w14:textId="77777777" w:rsidTr="001E78C1">
        <w:tblPrEx>
          <w:tblW w:w="4991" w:type="pct"/>
          <w:tblLayout w:type="fixed"/>
          <w:tblLook w:val="01E0"/>
        </w:tblPrEx>
        <w:trPr>
          <w:cantSplit/>
        </w:trPr>
        <w:tc>
          <w:tcPr>
            <w:tcW w:w="1045" w:type="pct"/>
            <w:shd w:val="clear" w:color="auto" w:fill="D9D9D9"/>
          </w:tcPr>
          <w:p w:rsidR="00206037" w:rsidRPr="00206037" w:rsidP="00206037" w14:paraId="4FEF7D22" w14:textId="77777777">
            <w:pPr>
              <w:tabs>
                <w:tab w:val="num" w:pos="720"/>
              </w:tabs>
              <w:jc w:val="center"/>
              <w:rPr>
                <w:rFonts w:eastAsia="Calibri"/>
                <w:b/>
                <w:szCs w:val="26"/>
              </w:rPr>
            </w:pPr>
          </w:p>
        </w:tc>
        <w:tc>
          <w:tcPr>
            <w:tcW w:w="707" w:type="pct"/>
            <w:shd w:val="clear" w:color="auto" w:fill="D9D9D9"/>
            <w:vAlign w:val="bottom"/>
          </w:tcPr>
          <w:p w:rsidR="00206037" w:rsidRPr="00206037" w:rsidP="00206037" w14:paraId="31A05054" w14:textId="77777777">
            <w:pPr>
              <w:tabs>
                <w:tab w:val="num" w:pos="720"/>
              </w:tabs>
              <w:jc w:val="center"/>
              <w:rPr>
                <w:rFonts w:eastAsia="Calibri"/>
                <w:b/>
                <w:szCs w:val="26"/>
              </w:rPr>
            </w:pPr>
            <w:r w:rsidRPr="00206037">
              <w:rPr>
                <w:rFonts w:eastAsia="Calibri"/>
                <w:b/>
                <w:szCs w:val="26"/>
              </w:rPr>
              <w:t>Number of Respondents</w:t>
            </w:r>
          </w:p>
          <w:p w:rsidR="00206037" w:rsidRPr="00206037" w:rsidP="00206037" w14:paraId="6E366B39" w14:textId="77777777">
            <w:pPr>
              <w:tabs>
                <w:tab w:val="num" w:pos="720"/>
              </w:tabs>
              <w:jc w:val="center"/>
              <w:rPr>
                <w:rFonts w:eastAsia="Calibri"/>
                <w:b/>
                <w:szCs w:val="26"/>
              </w:rPr>
            </w:pPr>
            <w:r w:rsidRPr="00206037">
              <w:rPr>
                <w:rFonts w:eastAsia="Calibri"/>
                <w:b/>
                <w:szCs w:val="26"/>
              </w:rPr>
              <w:t>(1)</w:t>
            </w:r>
          </w:p>
        </w:tc>
        <w:tc>
          <w:tcPr>
            <w:tcW w:w="753" w:type="pct"/>
            <w:shd w:val="clear" w:color="auto" w:fill="D9D9D9"/>
            <w:vAlign w:val="bottom"/>
          </w:tcPr>
          <w:p w:rsidR="00206037" w:rsidRPr="00206037" w:rsidP="00206037" w14:paraId="38BC5933" w14:textId="77777777">
            <w:pPr>
              <w:tabs>
                <w:tab w:val="num" w:pos="720"/>
              </w:tabs>
              <w:jc w:val="center"/>
              <w:rPr>
                <w:rFonts w:eastAsia="Calibri"/>
                <w:b/>
                <w:szCs w:val="26"/>
              </w:rPr>
            </w:pPr>
            <w:r w:rsidRPr="00206037">
              <w:rPr>
                <w:rFonts w:eastAsia="Calibri"/>
                <w:b/>
                <w:szCs w:val="26"/>
              </w:rPr>
              <w:t>Number of Responses per Respondent</w:t>
            </w:r>
          </w:p>
          <w:p w:rsidR="00206037" w:rsidRPr="00206037" w:rsidP="00206037" w14:paraId="2CB6DE28" w14:textId="77777777">
            <w:pPr>
              <w:tabs>
                <w:tab w:val="num" w:pos="720"/>
              </w:tabs>
              <w:jc w:val="center"/>
              <w:rPr>
                <w:rFonts w:eastAsia="Calibri"/>
                <w:b/>
                <w:szCs w:val="26"/>
              </w:rPr>
            </w:pPr>
            <w:r w:rsidRPr="00206037">
              <w:rPr>
                <w:rFonts w:eastAsia="Calibri"/>
                <w:b/>
                <w:szCs w:val="26"/>
              </w:rPr>
              <w:t>(2)</w:t>
            </w:r>
          </w:p>
        </w:tc>
        <w:tc>
          <w:tcPr>
            <w:tcW w:w="754" w:type="pct"/>
            <w:shd w:val="clear" w:color="auto" w:fill="D9D9D9"/>
            <w:vAlign w:val="bottom"/>
          </w:tcPr>
          <w:p w:rsidR="00206037" w:rsidRPr="00206037" w:rsidP="00206037" w14:paraId="7E757C32" w14:textId="77777777">
            <w:pPr>
              <w:tabs>
                <w:tab w:val="num" w:pos="720"/>
              </w:tabs>
              <w:jc w:val="center"/>
              <w:rPr>
                <w:rFonts w:eastAsia="Calibri"/>
                <w:b/>
                <w:szCs w:val="26"/>
              </w:rPr>
            </w:pPr>
            <w:r w:rsidRPr="00206037">
              <w:rPr>
                <w:rFonts w:eastAsia="Calibri"/>
                <w:b/>
                <w:szCs w:val="26"/>
              </w:rPr>
              <w:t>Total Number of Responses (</w:t>
            </w:r>
            <w:r w:rsidRPr="00206037">
              <w:rPr>
                <w:rFonts w:eastAsia="Calibri"/>
                <w:b/>
                <w:szCs w:val="26"/>
              </w:rPr>
              <w:t>1)*</w:t>
            </w:r>
            <w:r w:rsidRPr="00206037">
              <w:rPr>
                <w:rFonts w:eastAsia="Calibri"/>
                <w:b/>
                <w:szCs w:val="26"/>
              </w:rPr>
              <w:t>(2)=(3)</w:t>
            </w:r>
          </w:p>
        </w:tc>
        <w:tc>
          <w:tcPr>
            <w:tcW w:w="800" w:type="pct"/>
            <w:shd w:val="clear" w:color="auto" w:fill="D9D9D9"/>
            <w:vAlign w:val="bottom"/>
          </w:tcPr>
          <w:p w:rsidR="00206037" w:rsidRPr="00206037" w:rsidP="00206037" w14:paraId="7C2A77EE" w14:textId="77777777">
            <w:pPr>
              <w:tabs>
                <w:tab w:val="num" w:pos="720"/>
              </w:tabs>
              <w:jc w:val="center"/>
              <w:rPr>
                <w:rFonts w:eastAsia="Calibri"/>
                <w:b/>
                <w:szCs w:val="26"/>
              </w:rPr>
            </w:pPr>
            <w:r w:rsidRPr="00206037">
              <w:rPr>
                <w:rFonts w:eastAsia="Calibri"/>
                <w:b/>
                <w:szCs w:val="26"/>
              </w:rPr>
              <w:t>Average Burden Minutes per Response</w:t>
            </w:r>
          </w:p>
          <w:p w:rsidR="00206037" w:rsidRPr="00206037" w:rsidP="00206037" w14:paraId="0447E9B7" w14:textId="77777777">
            <w:pPr>
              <w:tabs>
                <w:tab w:val="num" w:pos="720"/>
              </w:tabs>
              <w:jc w:val="center"/>
              <w:rPr>
                <w:rFonts w:eastAsia="Calibri"/>
                <w:b/>
                <w:szCs w:val="26"/>
              </w:rPr>
            </w:pPr>
            <w:r w:rsidRPr="00206037">
              <w:rPr>
                <w:rFonts w:eastAsia="Calibri"/>
                <w:b/>
                <w:szCs w:val="26"/>
              </w:rPr>
              <w:t>(4)</w:t>
            </w:r>
          </w:p>
        </w:tc>
        <w:tc>
          <w:tcPr>
            <w:tcW w:w="941" w:type="pct"/>
            <w:shd w:val="clear" w:color="auto" w:fill="D9D9D9"/>
            <w:vAlign w:val="bottom"/>
          </w:tcPr>
          <w:p w:rsidR="00206037" w:rsidRPr="00206037" w:rsidP="00206037" w14:paraId="55DDB585" w14:textId="77777777">
            <w:pPr>
              <w:tabs>
                <w:tab w:val="num" w:pos="720"/>
              </w:tabs>
              <w:jc w:val="center"/>
              <w:rPr>
                <w:rFonts w:eastAsia="Calibri"/>
                <w:b/>
                <w:szCs w:val="26"/>
              </w:rPr>
            </w:pPr>
            <w:r w:rsidRPr="00206037">
              <w:rPr>
                <w:rFonts w:eastAsia="Calibri"/>
                <w:b/>
                <w:szCs w:val="26"/>
              </w:rPr>
              <w:t>Total Burden Hours</w:t>
            </w:r>
          </w:p>
          <w:p w:rsidR="00206037" w:rsidRPr="00206037" w:rsidP="00206037" w14:paraId="35899751" w14:textId="77777777">
            <w:pPr>
              <w:tabs>
                <w:tab w:val="num" w:pos="720"/>
              </w:tabs>
              <w:jc w:val="center"/>
              <w:rPr>
                <w:rFonts w:eastAsia="Calibri"/>
                <w:b/>
                <w:szCs w:val="26"/>
              </w:rPr>
            </w:pPr>
            <w:r w:rsidRPr="00206037">
              <w:rPr>
                <w:rFonts w:eastAsia="Calibri"/>
                <w:b/>
                <w:szCs w:val="26"/>
              </w:rPr>
              <w:t>(</w:t>
            </w:r>
            <w:r w:rsidRPr="00206037">
              <w:rPr>
                <w:rFonts w:eastAsia="Calibri"/>
                <w:b/>
                <w:szCs w:val="26"/>
              </w:rPr>
              <w:t>3)*</w:t>
            </w:r>
            <w:r w:rsidRPr="00206037">
              <w:rPr>
                <w:rFonts w:eastAsia="Calibri"/>
                <w:b/>
                <w:szCs w:val="26"/>
              </w:rPr>
              <w:t>(4)=(5)</w:t>
            </w:r>
          </w:p>
        </w:tc>
      </w:tr>
      <w:tr w14:paraId="402ECB8D" w14:textId="77777777" w:rsidTr="001E78C1">
        <w:tblPrEx>
          <w:tblW w:w="4991" w:type="pct"/>
          <w:tblLayout w:type="fixed"/>
          <w:tblLook w:val="01E0"/>
        </w:tblPrEx>
        <w:trPr>
          <w:cantSplit/>
          <w:trHeight w:val="70"/>
        </w:trPr>
        <w:tc>
          <w:tcPr>
            <w:tcW w:w="1045" w:type="pct"/>
            <w:vAlign w:val="bottom"/>
          </w:tcPr>
          <w:p w:rsidR="00206037" w:rsidRPr="00206037" w:rsidP="00206037" w14:paraId="6FE7F29D" w14:textId="77777777">
            <w:pPr>
              <w:tabs>
                <w:tab w:val="num" w:pos="720"/>
              </w:tabs>
              <w:rPr>
                <w:rFonts w:eastAsia="Calibri"/>
                <w:szCs w:val="26"/>
              </w:rPr>
            </w:pPr>
            <w:r w:rsidRPr="00206037">
              <w:rPr>
                <w:rFonts w:eastAsia="Calibri"/>
                <w:szCs w:val="26"/>
              </w:rPr>
              <w:t>Generic Clearance</w:t>
            </w:r>
          </w:p>
        </w:tc>
        <w:tc>
          <w:tcPr>
            <w:tcW w:w="707" w:type="pct"/>
            <w:vAlign w:val="bottom"/>
          </w:tcPr>
          <w:p w:rsidR="00206037" w:rsidRPr="00206037" w:rsidP="00206037" w14:paraId="30535FDB" w14:textId="77777777">
            <w:pPr>
              <w:tabs>
                <w:tab w:val="num" w:pos="720"/>
              </w:tabs>
              <w:jc w:val="right"/>
              <w:rPr>
                <w:rFonts w:eastAsia="Calibri"/>
                <w:szCs w:val="26"/>
              </w:rPr>
            </w:pPr>
            <w:r w:rsidRPr="00206037">
              <w:rPr>
                <w:rFonts w:eastAsia="Calibri"/>
                <w:szCs w:val="26"/>
              </w:rPr>
              <w:t>27,000</w:t>
            </w:r>
          </w:p>
        </w:tc>
        <w:tc>
          <w:tcPr>
            <w:tcW w:w="753" w:type="pct"/>
            <w:vAlign w:val="bottom"/>
          </w:tcPr>
          <w:p w:rsidR="00206037" w:rsidRPr="00206037" w:rsidP="00206037" w14:paraId="099120EA" w14:textId="77777777">
            <w:pPr>
              <w:tabs>
                <w:tab w:val="num" w:pos="720"/>
              </w:tabs>
              <w:jc w:val="right"/>
              <w:rPr>
                <w:rFonts w:eastAsia="Calibri"/>
                <w:szCs w:val="26"/>
              </w:rPr>
            </w:pPr>
            <w:r w:rsidRPr="00206037">
              <w:rPr>
                <w:rFonts w:eastAsia="Calibri"/>
                <w:szCs w:val="26"/>
              </w:rPr>
              <w:t>1</w:t>
            </w:r>
          </w:p>
        </w:tc>
        <w:tc>
          <w:tcPr>
            <w:tcW w:w="754" w:type="pct"/>
            <w:vAlign w:val="bottom"/>
          </w:tcPr>
          <w:p w:rsidR="00206037" w:rsidRPr="00206037" w:rsidP="00206037" w14:paraId="1FA86802" w14:textId="77777777">
            <w:pPr>
              <w:tabs>
                <w:tab w:val="num" w:pos="720"/>
              </w:tabs>
              <w:jc w:val="right"/>
              <w:rPr>
                <w:rFonts w:eastAsia="Calibri"/>
                <w:szCs w:val="26"/>
              </w:rPr>
            </w:pPr>
            <w:r w:rsidRPr="00206037">
              <w:rPr>
                <w:rFonts w:eastAsia="Calibri"/>
                <w:szCs w:val="26"/>
              </w:rPr>
              <w:t>27,000</w:t>
            </w:r>
          </w:p>
        </w:tc>
        <w:tc>
          <w:tcPr>
            <w:tcW w:w="800" w:type="pct"/>
            <w:vAlign w:val="bottom"/>
          </w:tcPr>
          <w:p w:rsidR="00206037" w:rsidRPr="00206037" w:rsidP="00206037" w14:paraId="1AAAD4A5" w14:textId="77777777">
            <w:pPr>
              <w:tabs>
                <w:tab w:val="num" w:pos="720"/>
              </w:tabs>
              <w:jc w:val="right"/>
              <w:rPr>
                <w:rFonts w:eastAsia="Calibri"/>
                <w:szCs w:val="26"/>
              </w:rPr>
            </w:pPr>
            <w:r w:rsidRPr="00206037">
              <w:rPr>
                <w:rFonts w:eastAsia="Calibri"/>
                <w:szCs w:val="26"/>
              </w:rPr>
              <w:t>10 minutes</w:t>
            </w:r>
          </w:p>
        </w:tc>
        <w:tc>
          <w:tcPr>
            <w:tcW w:w="941" w:type="pct"/>
            <w:vAlign w:val="bottom"/>
          </w:tcPr>
          <w:p w:rsidR="00206037" w:rsidRPr="00206037" w:rsidP="00206037" w14:paraId="26AC6F19" w14:textId="77777777">
            <w:pPr>
              <w:keepNext/>
              <w:keepLines/>
              <w:tabs>
                <w:tab w:val="num" w:pos="720"/>
              </w:tabs>
              <w:jc w:val="right"/>
              <w:outlineLvl w:val="3"/>
              <w:rPr>
                <w:rFonts w:eastAsia="Calibri"/>
                <w:szCs w:val="26"/>
              </w:rPr>
            </w:pPr>
            <w:r w:rsidRPr="00206037">
              <w:rPr>
                <w:rFonts w:eastAsia="Calibri"/>
                <w:szCs w:val="26"/>
              </w:rPr>
              <w:t>4,500 hours</w:t>
            </w:r>
            <w:r>
              <w:rPr>
                <w:rFonts w:eastAsia="Calibri"/>
                <w:b/>
                <w:szCs w:val="26"/>
                <w:vertAlign w:val="superscript"/>
              </w:rPr>
              <w:footnoteReference w:id="4"/>
            </w:r>
          </w:p>
        </w:tc>
      </w:tr>
    </w:tbl>
    <w:p w:rsidR="00206037" w:rsidRPr="00206037" w:rsidP="00206037" w14:paraId="5E43C646" w14:textId="77777777">
      <w:pPr>
        <w:spacing w:line="480" w:lineRule="auto"/>
        <w:rPr>
          <w:i/>
        </w:rPr>
      </w:pPr>
    </w:p>
    <w:p w:rsidR="00881405" w:rsidP="002906E5"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E1F12" w14:paraId="4A2BE181" w14:textId="77777777">
      <w:pPr>
        <w:ind w:firstLine="2174"/>
        <w:jc w:val="center"/>
      </w:pPr>
      <w:r w:rsidRPr="00AB4DBF">
        <w:t>Kimberly D. Bose,</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D5AEC" w:rsidP="00B01B16" w14:paraId="526178C1" w14:textId="77777777">
      <w:r>
        <w:separator/>
      </w:r>
    </w:p>
  </w:footnote>
  <w:footnote w:type="continuationSeparator" w:id="1">
    <w:p w:rsidR="003D5AEC" w:rsidP="00B01B16" w14:paraId="58790E49" w14:textId="77777777">
      <w:r>
        <w:continuationSeparator/>
      </w:r>
    </w:p>
  </w:footnote>
  <w:footnote w:type="continuationNotice" w:id="2">
    <w:p w:rsidR="003D5AEC" w14:paraId="45C08B17" w14:textId="77777777"/>
  </w:footnote>
  <w:footnote w:id="3">
    <w:p w:rsidR="00206037" w:rsidRPr="0008283D" w:rsidP="00206037" w14:paraId="691A5467" w14:textId="77777777">
      <w:pPr>
        <w:pStyle w:val="FootnoteText"/>
        <w:rPr>
          <w:sz w:val="26"/>
          <w:szCs w:val="26"/>
        </w:rPr>
      </w:pPr>
      <w:r w:rsidRPr="0008283D">
        <w:rPr>
          <w:rStyle w:val="FootnoteReference"/>
        </w:rPr>
        <w:footnoteRef/>
      </w:r>
      <w:r w:rsidRPr="0008283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rsidR="00206037" w:rsidRPr="00E90CE0" w:rsidP="00206037" w14:paraId="3224DF9E" w14:textId="77777777">
      <w:pPr>
        <w:pStyle w:val="FootnoteText"/>
        <w:rPr>
          <w:sz w:val="26"/>
          <w:szCs w:val="26"/>
        </w:rPr>
      </w:pPr>
      <w:r w:rsidRPr="00E90CE0">
        <w:rPr>
          <w:rStyle w:val="FootnoteReference"/>
        </w:rPr>
        <w:footnoteRef/>
      </w:r>
      <w:r w:rsidRPr="00E90CE0">
        <w:rPr>
          <w:sz w:val="26"/>
          <w:szCs w:val="26"/>
        </w:rPr>
        <w:t xml:space="preserve"> 4,500 hours = 270,000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6EC78F57">
        <w:pPr>
          <w:pStyle w:val="Header"/>
        </w:pPr>
        <w:r w:rsidRPr="00D954AE">
          <w:t>Docket No. IC2</w:t>
        </w:r>
        <w:r w:rsidR="007F7B74">
          <w:t>3</w:t>
        </w:r>
        <w:r w:rsidRPr="00D954AE">
          <w:t>-</w:t>
        </w:r>
        <w:r w:rsidR="007A5C0A">
          <w:t>6</w:t>
        </w:r>
        <w:r w:rsidRPr="00D954AE">
          <w:t>-000</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81407">
          <w:rPr>
            <w:noProof/>
          </w:rPr>
          <w:t>4</w:t>
        </w:r>
        <w:r>
          <w:rPr>
            <w:noProof/>
            <w:color w:val="2B579A"/>
            <w:shd w:val="clear" w:color="auto" w:fill="E6E6E6"/>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1"/>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78D5"/>
    <w:rsid w:val="00062427"/>
    <w:rsid w:val="0006681D"/>
    <w:rsid w:val="00072E34"/>
    <w:rsid w:val="00082413"/>
    <w:rsid w:val="0008283D"/>
    <w:rsid w:val="00084E3D"/>
    <w:rsid w:val="0008692A"/>
    <w:rsid w:val="00097607"/>
    <w:rsid w:val="000A0250"/>
    <w:rsid w:val="000A2903"/>
    <w:rsid w:val="000A3078"/>
    <w:rsid w:val="000A3C2F"/>
    <w:rsid w:val="000A6164"/>
    <w:rsid w:val="000A6F37"/>
    <w:rsid w:val="000A7E68"/>
    <w:rsid w:val="000B431B"/>
    <w:rsid w:val="000B5B66"/>
    <w:rsid w:val="000B5C78"/>
    <w:rsid w:val="000C5E3A"/>
    <w:rsid w:val="000D2970"/>
    <w:rsid w:val="000D318C"/>
    <w:rsid w:val="000D6969"/>
    <w:rsid w:val="000E1256"/>
    <w:rsid w:val="000E2568"/>
    <w:rsid w:val="000E4C61"/>
    <w:rsid w:val="000F23F7"/>
    <w:rsid w:val="000F3BC3"/>
    <w:rsid w:val="000F606E"/>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6042"/>
    <w:rsid w:val="0017684C"/>
    <w:rsid w:val="00177704"/>
    <w:rsid w:val="00181BF7"/>
    <w:rsid w:val="00184A26"/>
    <w:rsid w:val="00184B43"/>
    <w:rsid w:val="0018602B"/>
    <w:rsid w:val="0019402A"/>
    <w:rsid w:val="001971AD"/>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00EE"/>
    <w:rsid w:val="001F1CDF"/>
    <w:rsid w:val="001F5A3B"/>
    <w:rsid w:val="00202E41"/>
    <w:rsid w:val="0020446B"/>
    <w:rsid w:val="00206037"/>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21E8"/>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1BDD"/>
    <w:rsid w:val="002F1FA4"/>
    <w:rsid w:val="002F3236"/>
    <w:rsid w:val="002F4401"/>
    <w:rsid w:val="002F708A"/>
    <w:rsid w:val="00301E3D"/>
    <w:rsid w:val="00303516"/>
    <w:rsid w:val="00306318"/>
    <w:rsid w:val="00311D90"/>
    <w:rsid w:val="00314219"/>
    <w:rsid w:val="003149BC"/>
    <w:rsid w:val="0033092C"/>
    <w:rsid w:val="0033340D"/>
    <w:rsid w:val="00336AD9"/>
    <w:rsid w:val="00340D3C"/>
    <w:rsid w:val="00353270"/>
    <w:rsid w:val="00365468"/>
    <w:rsid w:val="003658A2"/>
    <w:rsid w:val="003673EC"/>
    <w:rsid w:val="00373A2E"/>
    <w:rsid w:val="003758CE"/>
    <w:rsid w:val="00376525"/>
    <w:rsid w:val="00397ABE"/>
    <w:rsid w:val="003A2C3F"/>
    <w:rsid w:val="003A32E7"/>
    <w:rsid w:val="003B29FB"/>
    <w:rsid w:val="003B435C"/>
    <w:rsid w:val="003B5B0B"/>
    <w:rsid w:val="003C08DE"/>
    <w:rsid w:val="003C3E7A"/>
    <w:rsid w:val="003D0BB4"/>
    <w:rsid w:val="003D28D2"/>
    <w:rsid w:val="003D361D"/>
    <w:rsid w:val="003D5AEC"/>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33F15"/>
    <w:rsid w:val="004417C4"/>
    <w:rsid w:val="00441F16"/>
    <w:rsid w:val="00443282"/>
    <w:rsid w:val="00447C9E"/>
    <w:rsid w:val="004509A3"/>
    <w:rsid w:val="00450D64"/>
    <w:rsid w:val="004562F1"/>
    <w:rsid w:val="004628F2"/>
    <w:rsid w:val="00465456"/>
    <w:rsid w:val="00471921"/>
    <w:rsid w:val="00480D2D"/>
    <w:rsid w:val="00491543"/>
    <w:rsid w:val="00492E7E"/>
    <w:rsid w:val="00496F03"/>
    <w:rsid w:val="00497A62"/>
    <w:rsid w:val="004A2FEC"/>
    <w:rsid w:val="004A661D"/>
    <w:rsid w:val="004A6FC8"/>
    <w:rsid w:val="004B7463"/>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2191"/>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281B"/>
    <w:rsid w:val="00663FBE"/>
    <w:rsid w:val="00664931"/>
    <w:rsid w:val="006670C8"/>
    <w:rsid w:val="00672790"/>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A5C0A"/>
    <w:rsid w:val="007B1F57"/>
    <w:rsid w:val="007B370F"/>
    <w:rsid w:val="007B4938"/>
    <w:rsid w:val="007B71AB"/>
    <w:rsid w:val="007D02D8"/>
    <w:rsid w:val="007E3706"/>
    <w:rsid w:val="007F4CD3"/>
    <w:rsid w:val="007F61C2"/>
    <w:rsid w:val="007F7B74"/>
    <w:rsid w:val="00800590"/>
    <w:rsid w:val="00801456"/>
    <w:rsid w:val="008018DB"/>
    <w:rsid w:val="00802851"/>
    <w:rsid w:val="008037D8"/>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71D53"/>
    <w:rsid w:val="00871DCE"/>
    <w:rsid w:val="008755D6"/>
    <w:rsid w:val="00880340"/>
    <w:rsid w:val="00881405"/>
    <w:rsid w:val="00882BFE"/>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12D0"/>
    <w:rsid w:val="00920472"/>
    <w:rsid w:val="0093061F"/>
    <w:rsid w:val="009330C3"/>
    <w:rsid w:val="00940C0F"/>
    <w:rsid w:val="00944E3A"/>
    <w:rsid w:val="00951DA7"/>
    <w:rsid w:val="00951DC3"/>
    <w:rsid w:val="0095548F"/>
    <w:rsid w:val="009562A5"/>
    <w:rsid w:val="00957820"/>
    <w:rsid w:val="009744C8"/>
    <w:rsid w:val="00974530"/>
    <w:rsid w:val="00974659"/>
    <w:rsid w:val="00976F19"/>
    <w:rsid w:val="00980E58"/>
    <w:rsid w:val="009815BD"/>
    <w:rsid w:val="00981886"/>
    <w:rsid w:val="00990102"/>
    <w:rsid w:val="00990FEC"/>
    <w:rsid w:val="00992257"/>
    <w:rsid w:val="009928CD"/>
    <w:rsid w:val="009949AA"/>
    <w:rsid w:val="00995921"/>
    <w:rsid w:val="009A1B08"/>
    <w:rsid w:val="009B0524"/>
    <w:rsid w:val="009B166F"/>
    <w:rsid w:val="009B3667"/>
    <w:rsid w:val="009C3CB9"/>
    <w:rsid w:val="009C4A13"/>
    <w:rsid w:val="009C745D"/>
    <w:rsid w:val="009D2BE4"/>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334E0"/>
    <w:rsid w:val="00A417A2"/>
    <w:rsid w:val="00A52189"/>
    <w:rsid w:val="00A57463"/>
    <w:rsid w:val="00A664DF"/>
    <w:rsid w:val="00A71219"/>
    <w:rsid w:val="00A713D0"/>
    <w:rsid w:val="00A722D4"/>
    <w:rsid w:val="00A75AAA"/>
    <w:rsid w:val="00A82A29"/>
    <w:rsid w:val="00A86B6F"/>
    <w:rsid w:val="00A959E1"/>
    <w:rsid w:val="00AA516A"/>
    <w:rsid w:val="00AA5B0E"/>
    <w:rsid w:val="00AA6A4A"/>
    <w:rsid w:val="00AB4DBF"/>
    <w:rsid w:val="00AC0504"/>
    <w:rsid w:val="00AC1DB7"/>
    <w:rsid w:val="00AC381D"/>
    <w:rsid w:val="00AC3A7C"/>
    <w:rsid w:val="00AC62A6"/>
    <w:rsid w:val="00AC664F"/>
    <w:rsid w:val="00AC750B"/>
    <w:rsid w:val="00AD1E15"/>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043"/>
    <w:rsid w:val="00B20A44"/>
    <w:rsid w:val="00B24588"/>
    <w:rsid w:val="00B274AE"/>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F8C"/>
    <w:rsid w:val="00B8460F"/>
    <w:rsid w:val="00B84D34"/>
    <w:rsid w:val="00B95477"/>
    <w:rsid w:val="00B978A7"/>
    <w:rsid w:val="00BA1D81"/>
    <w:rsid w:val="00BA7130"/>
    <w:rsid w:val="00BB436B"/>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D6896"/>
    <w:rsid w:val="00CE0C1B"/>
    <w:rsid w:val="00CE64F2"/>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75AC7"/>
    <w:rsid w:val="00D808E3"/>
    <w:rsid w:val="00D85E13"/>
    <w:rsid w:val="00D86288"/>
    <w:rsid w:val="00D872BC"/>
    <w:rsid w:val="00D954AE"/>
    <w:rsid w:val="00D96929"/>
    <w:rsid w:val="00DA1B6F"/>
    <w:rsid w:val="00DA529F"/>
    <w:rsid w:val="00DB5AAE"/>
    <w:rsid w:val="00DB62D5"/>
    <w:rsid w:val="00DB636B"/>
    <w:rsid w:val="00DB6882"/>
    <w:rsid w:val="00DC4B63"/>
    <w:rsid w:val="00DC5017"/>
    <w:rsid w:val="00DC5129"/>
    <w:rsid w:val="00DD01A0"/>
    <w:rsid w:val="00DD7F1B"/>
    <w:rsid w:val="00DE1A87"/>
    <w:rsid w:val="00DE451F"/>
    <w:rsid w:val="00E03D2D"/>
    <w:rsid w:val="00E12A7A"/>
    <w:rsid w:val="00E21B31"/>
    <w:rsid w:val="00E27FD6"/>
    <w:rsid w:val="00E36A0F"/>
    <w:rsid w:val="00E400C7"/>
    <w:rsid w:val="00E40322"/>
    <w:rsid w:val="00E40CB4"/>
    <w:rsid w:val="00E41DB9"/>
    <w:rsid w:val="00E4627E"/>
    <w:rsid w:val="00E56612"/>
    <w:rsid w:val="00E67CB0"/>
    <w:rsid w:val="00E71CC0"/>
    <w:rsid w:val="00E731AE"/>
    <w:rsid w:val="00E74310"/>
    <w:rsid w:val="00E762BB"/>
    <w:rsid w:val="00E865C8"/>
    <w:rsid w:val="00E8661B"/>
    <w:rsid w:val="00E9084E"/>
    <w:rsid w:val="00E90CE0"/>
    <w:rsid w:val="00E962E6"/>
    <w:rsid w:val="00E97D7C"/>
    <w:rsid w:val="00EA1793"/>
    <w:rsid w:val="00EA689F"/>
    <w:rsid w:val="00EB5157"/>
    <w:rsid w:val="00EC1434"/>
    <w:rsid w:val="00EC72B0"/>
    <w:rsid w:val="00EC77B3"/>
    <w:rsid w:val="00ED0142"/>
    <w:rsid w:val="00ED74AF"/>
    <w:rsid w:val="00EE18F2"/>
    <w:rsid w:val="00EE365D"/>
    <w:rsid w:val="00EF33BE"/>
    <w:rsid w:val="00EF4F97"/>
    <w:rsid w:val="00F05673"/>
    <w:rsid w:val="00F061C4"/>
    <w:rsid w:val="00F126FC"/>
    <w:rsid w:val="00F12983"/>
    <w:rsid w:val="00F15359"/>
    <w:rsid w:val="00F175C4"/>
    <w:rsid w:val="00F23714"/>
    <w:rsid w:val="00F245A2"/>
    <w:rsid w:val="00F309CB"/>
    <w:rsid w:val="00F33EED"/>
    <w:rsid w:val="00F33EEE"/>
    <w:rsid w:val="00F3751C"/>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82EE1"/>
    <w:rsid w:val="00F93134"/>
    <w:rsid w:val="00FA3E17"/>
    <w:rsid w:val="00FB078F"/>
    <w:rsid w:val="00FB3586"/>
    <w:rsid w:val="00FC128B"/>
    <w:rsid w:val="00FC3F00"/>
    <w:rsid w:val="00FC750D"/>
    <w:rsid w:val="00FD0EA3"/>
    <w:rsid w:val="00FE34E4"/>
    <w:rsid w:val="00FF1D71"/>
    <w:rsid w:val="00FF5141"/>
    <w:rsid w:val="00FF74B3"/>
    <w:rsid w:val="2B7BEA93"/>
    <w:rsid w:val="35D2C7CD"/>
    <w:rsid w:val="655BEAE6"/>
    <w:rsid w:val="6E7C09D0"/>
    <w:rsid w:val="7F2CD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B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ferconlinesupport@ferc.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6FC0E-7454-4DA3-B80C-4681321D276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www.w3.org/XML/1998/namespace"/>
  </ds:schemaRefs>
</ds:datastoreItem>
</file>

<file path=customXml/itemProps4.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5.xml><?xml version="1.0" encoding="utf-8"?>
<ds:datastoreItem xmlns:ds="http://schemas.openxmlformats.org/officeDocument/2006/customXml" ds:itemID="{D0ACA339-BE58-4D64-A95B-2D86C650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2023-05-17T11:05:00Z</dcterms:created>
  <dcterms:modified xsi:type="dcterms:W3CDTF">2023-05-17T11:05:00Z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6155a89b-0f08-4a93-8ea2-8a916d6643b5_ActionId">
    <vt:lpwstr>b9d8d4a6-d90a-45fc-b951-a548d1f153cc</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2023-01-10T17:19:52Z</vt:lpwstr>
  </property>
  <property fmtid="{D5CDD505-2E9C-101B-9397-08002B2CF9AE}" pid="10" name="MSIP_Label_6155a89b-0f08-4a93-8ea2-8a916d6643b5_SiteId">
    <vt:lpwstr>19caa9e9-04ff-43fa-885f-d77fac387903</vt:lpwstr>
  </property>
</Properties>
</file>