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69EA" w14:paraId="68204659"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United States Environmental Protection Agency</w:t>
      </w:r>
    </w:p>
    <w:p w:rsidR="008869EA" w14:paraId="3937BC38"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58" w:lineRule="exact"/>
      </w:pPr>
    </w:p>
    <w:p w:rsidR="008869EA" w14:paraId="2A3C7BCC"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noProof/>
          <w:sz w:val="32"/>
        </w:rPr>
        <mc:AlternateContent>
          <mc:Choice Requires="wps">
            <w:drawing>
              <wp:anchor distT="0" distB="0" distL="114300" distR="114300" simplePos="0" relativeHeight="251672576" behindDoc="0" locked="0" layoutInCell="1" allowOverlap="1">
                <wp:simplePos x="0" y="0"/>
                <wp:positionH relativeFrom="column">
                  <wp:posOffset>-1847215</wp:posOffset>
                </wp:positionH>
                <wp:positionV relativeFrom="paragraph">
                  <wp:posOffset>118110</wp:posOffset>
                </wp:positionV>
                <wp:extent cx="6400800" cy="0"/>
                <wp:effectExtent l="19685" t="27940" r="27940" b="19685"/>
                <wp:wrapNone/>
                <wp:docPr id="46" name="Line 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00800" cy="0"/>
                        </a:xfrm>
                        <a:prstGeom prst="line">
                          <a:avLst/>
                        </a:prstGeom>
                        <a:noFill/>
                        <a:ln w="381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5" style="mso-height-percent:0;mso-height-relative:page;mso-width-percent:0;mso-width-relative:page;mso-wrap-distance-bottom:0;mso-wrap-distance-left:9pt;mso-wrap-distance-right:9pt;mso-wrap-distance-top:0;mso-wrap-style:square;position:absolute;visibility:visible;z-index:251673600" from="-145.45pt,9.3pt" to="358.55pt,9.3pt" strokeweight="3pt"/>
            </w:pict>
          </mc:Fallback>
        </mc:AlternateContent>
      </w:r>
    </w:p>
    <w:p w:rsidR="008869EA" w14:paraId="6D661793"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rPr>
      </w:pPr>
      <w:r>
        <w:rPr>
          <w:noProof/>
        </w:rPr>
        <mc:AlternateContent>
          <mc:Choice Requires="wps">
            <w:drawing>
              <wp:anchor distT="152400" distB="152400" distL="152400" distR="152400" simplePos="0" relativeHeight="251662336" behindDoc="0" locked="0" layoutInCell="1" allowOverlap="1">
                <wp:simplePos x="0" y="0"/>
                <wp:positionH relativeFrom="margin">
                  <wp:posOffset>-1774190</wp:posOffset>
                </wp:positionH>
                <wp:positionV relativeFrom="paragraph">
                  <wp:posOffset>116840</wp:posOffset>
                </wp:positionV>
                <wp:extent cx="841375" cy="466090"/>
                <wp:effectExtent l="0" t="1905" r="0" b="0"/>
                <wp:wrapSquare wrapText="largest"/>
                <wp:docPr id="4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1375" cy="46609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3AC" w14:paraId="39CE440D" w14:textId="77777777">
                            <w:r>
                              <w:rPr>
                                <w:rFonts w:ascii="Arial" w:hAnsi="Arial"/>
                                <w:b/>
                                <w:sz w:val="48"/>
                              </w:rPr>
                              <w:t>EPA</w:t>
                            </w:r>
                          </w:p>
                        </w:txbxContent>
                      </wps:txbx>
                      <wps:bodyPr rot="0" vert="horz" wrap="square" lIns="0" tIns="76200" rIns="76200" bIns="7620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66.25pt;height:36.7pt;margin-top:9.2pt;margin-left:-139.7pt;mso-height-percent:0;mso-height-relative:page;mso-position-horizontal-relative:margin;mso-width-percent:0;mso-width-relative:page;mso-wrap-distance-bottom:12pt;mso-wrap-distance-left:12pt;mso-wrap-distance-right:12pt;mso-wrap-distance-top:12pt;mso-wrap-style:square;position:absolute;visibility:visible;v-text-anchor:top;z-index:251663360" stroked="f">
                <v:textbox inset="0,6pt,6pt,6pt">
                  <w:txbxContent>
                    <w:p w:rsidR="005343AC" w14:paraId="4310483C" w14:textId="77777777">
                      <w:r>
                        <w:rPr>
                          <w:rFonts w:ascii="Arial" w:hAnsi="Arial"/>
                          <w:b/>
                          <w:sz w:val="48"/>
                        </w:rPr>
                        <w:t>EPA</w:t>
                      </w:r>
                    </w:p>
                  </w:txbxContent>
                </v:textbox>
                <w10:wrap type="square" side="largest"/>
              </v:shape>
            </w:pict>
          </mc:Fallback>
        </mc:AlternateContent>
      </w:r>
      <w:r w:rsidR="008869EA">
        <w:rPr>
          <w:sz w:val="32"/>
        </w:rPr>
        <w:t>Office of Air and Radiation</w:t>
      </w:r>
    </w:p>
    <w:p w:rsidR="008869EA" w14:paraId="00A353C6"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rPr>
      </w:pPr>
      <w:r>
        <w:rPr>
          <w:sz w:val="32"/>
        </w:rPr>
        <w:t>Office of Air Quality Planning and Standards</w:t>
      </w:r>
    </w:p>
    <w:p w:rsidR="008869EA" w14:paraId="14D17FAA"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rPr>
      </w:pPr>
      <w:r>
        <w:rPr>
          <w:sz w:val="32"/>
        </w:rPr>
        <w:t>Air Quality Policy Division</w:t>
      </w:r>
    </w:p>
    <w:p w:rsidR="006510F8" w14:paraId="441B6118"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32"/>
        </w:rPr>
        <w:t>Geographic Strategies Group</w:t>
      </w:r>
    </w:p>
    <w:p w:rsidR="008869EA" w14:paraId="6968ADDF"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noProof/>
        </w:rPr>
        <mc:AlternateContent>
          <mc:Choice Requires="wps">
            <w:drawing>
              <wp:anchor distT="0" distB="0" distL="114300" distR="114300" simplePos="0" relativeHeight="251676672" behindDoc="0" locked="0" layoutInCell="1" allowOverlap="1">
                <wp:simplePos x="0" y="0"/>
                <wp:positionH relativeFrom="column">
                  <wp:posOffset>-1784350</wp:posOffset>
                </wp:positionH>
                <wp:positionV relativeFrom="paragraph">
                  <wp:posOffset>166370</wp:posOffset>
                </wp:positionV>
                <wp:extent cx="1851025" cy="266065"/>
                <wp:effectExtent l="0" t="0" r="0" b="0"/>
                <wp:wrapNone/>
                <wp:docPr id="44" name="Text Box 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51025" cy="26606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3AC" w:rsidRPr="00F33916" w14:paraId="0AA6D255" w14:textId="7C0A8BAD"/>
                        </w:txbxContent>
                      </wps:txbx>
                      <wps:bodyPr rot="0" vert="horz" wrap="square" lIns="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6" o:spid="_x0000_s1027" type="#_x0000_t202" style="width:145.75pt;height:20.95pt;margin-top:13.1pt;margin-left:-140.5pt;mso-height-percent:0;mso-height-relative:page;mso-width-percent:0;mso-width-relative:page;mso-wrap-distance-bottom:0;mso-wrap-distance-left:9pt;mso-wrap-distance-right:9pt;mso-wrap-distance-top:0;mso-wrap-style:square;position:absolute;visibility:visible;v-text-anchor:top;z-index:251677696" stroked="f">
                <v:textbox inset="0">
                  <w:txbxContent>
                    <w:p w:rsidR="005343AC" w:rsidRPr="00F33916" w14:paraId="672A6659" w14:textId="7C0A8BAD"/>
                  </w:txbxContent>
                </v:textbox>
              </v:shape>
            </w:pict>
          </mc:Fallback>
        </mc:AlternateContent>
      </w:r>
      <w:r>
        <w:rPr>
          <w:noProof/>
          <w:sz w:val="32"/>
        </w:rPr>
        <mc:AlternateContent>
          <mc:Choice Requires="wps">
            <w:drawing>
              <wp:anchor distT="0" distB="0" distL="114300" distR="114300" simplePos="0" relativeHeight="251674624" behindDoc="0" locked="0" layoutInCell="1" allowOverlap="1">
                <wp:simplePos x="0" y="0"/>
                <wp:positionH relativeFrom="column">
                  <wp:posOffset>-1847215</wp:posOffset>
                </wp:positionH>
                <wp:positionV relativeFrom="paragraph">
                  <wp:posOffset>96520</wp:posOffset>
                </wp:positionV>
                <wp:extent cx="6400800" cy="0"/>
                <wp:effectExtent l="19685" t="20955" r="27940" b="26670"/>
                <wp:wrapNone/>
                <wp:docPr id="43" name="Line 5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00800" cy="0"/>
                        </a:xfrm>
                        <a:prstGeom prst="line">
                          <a:avLst/>
                        </a:prstGeom>
                        <a:noFill/>
                        <a:ln w="381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8" style="mso-height-percent:0;mso-height-relative:page;mso-width-percent:0;mso-width-relative:page;mso-wrap-distance-bottom:0;mso-wrap-distance-left:9pt;mso-wrap-distance-right:9pt;mso-wrap-distance-top:0;mso-wrap-style:square;position:absolute;visibility:visible;z-index:251675648" from="-145.45pt,7.6pt" to="358.55pt,7.6pt" strokeweight="3pt"/>
            </w:pict>
          </mc:Fallback>
        </mc:AlternateContent>
      </w:r>
    </w:p>
    <w:p w:rsidR="008869EA" w14:paraId="6FE32591"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58" w:lineRule="exact"/>
      </w:pPr>
    </w:p>
    <w:p w:rsidR="008869EA" w:rsidP="005D29C8" w14:paraId="7825188B"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2960"/>
        <w:rPr>
          <w:b/>
        </w:rPr>
      </w:pPr>
      <w:r>
        <w:rPr>
          <w:b/>
        </w:rPr>
        <w:t>August, 2003</w:t>
      </w:r>
    </w:p>
    <w:p w:rsidR="005D29C8" w:rsidP="005D29C8" w14:paraId="422B89DA"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2960"/>
      </w:pPr>
    </w:p>
    <w:p w:rsidR="008869EA" w14:paraId="1B5445B1"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C2F63" w:rsidP="00A40417" w14:paraId="0B025472" w14:textId="77777777">
      <w:pPr>
        <w:jc w:val="center"/>
        <w:rPr>
          <w:b/>
          <w:sz w:val="36"/>
          <w:szCs w:val="36"/>
        </w:rPr>
      </w:pPr>
    </w:p>
    <w:p w:rsidR="00A40417" w:rsidRPr="00087AC9" w:rsidP="00A40417" w14:paraId="736E5547" w14:textId="77777777">
      <w:pPr>
        <w:jc w:val="center"/>
        <w:rPr>
          <w:b/>
          <w:sz w:val="36"/>
          <w:szCs w:val="36"/>
        </w:rPr>
      </w:pPr>
      <w:r w:rsidRPr="00087AC9">
        <w:rPr>
          <w:b/>
          <w:sz w:val="36"/>
          <w:szCs w:val="36"/>
        </w:rPr>
        <w:t>INFORMATION COLLECTION REQUEST</w:t>
      </w:r>
    </w:p>
    <w:p w:rsidR="00A40417" w:rsidRPr="00087AC9" w:rsidP="00A40417" w14:paraId="6ACA8A03" w14:textId="77777777">
      <w:pPr>
        <w:jc w:val="center"/>
        <w:rPr>
          <w:b/>
          <w:sz w:val="36"/>
          <w:szCs w:val="36"/>
        </w:rPr>
      </w:pPr>
      <w:r w:rsidRPr="00087AC9">
        <w:rPr>
          <w:b/>
          <w:sz w:val="36"/>
          <w:szCs w:val="36"/>
        </w:rPr>
        <w:t>SUPPORTING STATEMENT FOR</w:t>
      </w:r>
    </w:p>
    <w:p w:rsidR="00A40417" w:rsidRPr="00087AC9" w:rsidP="00A40417" w14:paraId="771D93CA" w14:textId="176C148F">
      <w:pPr>
        <w:jc w:val="center"/>
        <w:rPr>
          <w:b/>
          <w:sz w:val="36"/>
          <w:szCs w:val="36"/>
        </w:rPr>
      </w:pPr>
      <w:r w:rsidRPr="00087AC9">
        <w:rPr>
          <w:b/>
          <w:sz w:val="36"/>
          <w:szCs w:val="36"/>
        </w:rPr>
        <w:t>EPA ICR NUMBER 2</w:t>
      </w:r>
      <w:r w:rsidRPr="00087AC9" w:rsidR="00707162">
        <w:rPr>
          <w:b/>
          <w:sz w:val="36"/>
          <w:szCs w:val="36"/>
        </w:rPr>
        <w:t>705.0</w:t>
      </w:r>
      <w:r w:rsidR="003D395C">
        <w:rPr>
          <w:b/>
          <w:sz w:val="36"/>
          <w:szCs w:val="36"/>
        </w:rPr>
        <w:t>2</w:t>
      </w:r>
      <w:r w:rsidRPr="00087AC9">
        <w:rPr>
          <w:b/>
          <w:sz w:val="36"/>
          <w:szCs w:val="36"/>
        </w:rPr>
        <w:t>,</w:t>
      </w:r>
    </w:p>
    <w:p w:rsidR="008869EA" w:rsidRPr="00087AC9" w:rsidP="00707162" w14:paraId="5F866D2C" w14:textId="77E60BE4">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36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ight="356"/>
        <w:jc w:val="both"/>
      </w:pPr>
      <w:r w:rsidRPr="00087AC9">
        <w:rPr>
          <w:b/>
          <w:sz w:val="36"/>
          <w:szCs w:val="36"/>
        </w:rPr>
        <w:t xml:space="preserve">ICR </w:t>
      </w:r>
      <w:r w:rsidRPr="00087AC9" w:rsidR="00355B9E">
        <w:rPr>
          <w:b/>
          <w:sz w:val="36"/>
          <w:szCs w:val="36"/>
        </w:rPr>
        <w:t>f</w:t>
      </w:r>
      <w:r w:rsidRPr="00087AC9">
        <w:rPr>
          <w:b/>
          <w:sz w:val="36"/>
          <w:szCs w:val="36"/>
        </w:rPr>
        <w:t xml:space="preserve">or </w:t>
      </w:r>
      <w:r w:rsidRPr="00087AC9" w:rsidR="00355B9E">
        <w:rPr>
          <w:b/>
          <w:sz w:val="36"/>
          <w:szCs w:val="36"/>
        </w:rPr>
        <w:t>t</w:t>
      </w:r>
      <w:r w:rsidRPr="00087AC9">
        <w:rPr>
          <w:b/>
          <w:sz w:val="36"/>
          <w:szCs w:val="36"/>
        </w:rPr>
        <w:t xml:space="preserve">he </w:t>
      </w:r>
      <w:r w:rsidR="008C3196">
        <w:rPr>
          <w:b/>
          <w:sz w:val="36"/>
          <w:szCs w:val="36"/>
        </w:rPr>
        <w:t>Final</w:t>
      </w:r>
      <w:r w:rsidRPr="00087AC9">
        <w:rPr>
          <w:b/>
          <w:sz w:val="36"/>
          <w:szCs w:val="36"/>
        </w:rPr>
        <w:t xml:space="preserve"> Rule, </w:t>
      </w:r>
      <w:r w:rsidRPr="00922698" w:rsidR="00922698">
        <w:rPr>
          <w:b/>
          <w:sz w:val="36"/>
          <w:szCs w:val="36"/>
        </w:rPr>
        <w:t>Federal “Good Neighbor Plan” for the 2015 Ozone National Ambient Air Quality Standards</w:t>
      </w:r>
      <w:r w:rsidRPr="00087AC9" w:rsidR="0090178D">
        <w:rPr>
          <w:b/>
          <w:sz w:val="36"/>
          <w:szCs w:val="36"/>
        </w:rPr>
        <w:t>: Transport Obligations for non-Electric Generating Units</w:t>
      </w:r>
      <w:r w:rsidRPr="00087AC9" w:rsidR="006A7DE2">
        <w:rPr>
          <w:noProof/>
        </w:rPr>
        <mc:AlternateContent>
          <mc:Choice Requires="wps">
            <w:drawing>
              <wp:anchor distT="57150" distB="57150" distL="57150" distR="57150" simplePos="0" relativeHeight="251744256" behindDoc="1" locked="0" layoutInCell="0" allowOverlap="1">
                <wp:simplePos x="0" y="0"/>
                <wp:positionH relativeFrom="margin">
                  <wp:posOffset>-1828800</wp:posOffset>
                </wp:positionH>
                <wp:positionV relativeFrom="margin">
                  <wp:posOffset>7085330</wp:posOffset>
                </wp:positionV>
                <wp:extent cx="6400800" cy="1631315"/>
                <wp:effectExtent l="0" t="1270" r="0" b="0"/>
                <wp:wrapNone/>
                <wp:docPr id="42"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00800" cy="16313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3AC" w14:paraId="6C08DD3B" w14:textId="77777777">
                            <w:r>
                              <w:rPr>
                                <w:noProof/>
                              </w:rPr>
                              <w:drawing>
                                <wp:inline distT="0" distB="0" distL="0" distR="0">
                                  <wp:extent cx="6400800" cy="16287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xmlns:r="http://schemas.openxmlformats.org/officeDocument/2006/relationships" r:embed="rId10"/>
                                          <a:stretch>
                                            <a:fillRect/>
                                          </a:stretch>
                                        </pic:blipFill>
                                        <pic:spPr bwMode="auto">
                                          <a:xfrm>
                                            <a:off x="0" y="0"/>
                                            <a:ext cx="6400800" cy="1628775"/>
                                          </a:xfrm>
                                          <a:prstGeom prst="rect">
                                            <a:avLst/>
                                          </a:prstGeom>
                                          <a:noFill/>
                                          <a:ln w="9525">
                                            <a:noFill/>
                                            <a:miter lim="800000"/>
                                            <a:headEnd/>
                                            <a:tailEnd/>
                                          </a:ln>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1029" type="#_x0000_t202" style="width:7in;height:128.45pt;margin-top:557.9pt;margin-left:-2in;mso-height-percent:0;mso-height-relative:page;mso-position-horizontal-relative:margin;mso-position-vertical-relative:margin;mso-width-percent:0;mso-width-relative:page;mso-wrap-distance-bottom:4.5pt;mso-wrap-distance-left:4.5pt;mso-wrap-distance-right:4.5pt;mso-wrap-distance-top:4.5pt;mso-wrap-style:square;position:absolute;visibility:visible;v-text-anchor:top;z-index:-251571200" o:allowincell="f" stroked="f">
                <v:textbox inset="0,0,0,0">
                  <w:txbxContent>
                    <w:p w:rsidR="005343AC" w14:paraId="0A37501D" w14:textId="77777777">
                      <w:drawing>
                        <wp:inline distT="0" distB="0" distL="0" distR="0">
                          <wp:extent cx="6400800" cy="1628775"/>
                          <wp:effectExtent l="19050" t="0" r="0" b="0"/>
                          <wp:docPr id="28025734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257345" name="Picture 2"/>
                                  <pic:cNvPicPr>
                                    <a:picLocks noChangeAspect="1" noChangeArrowheads="1"/>
                                  </pic:cNvPicPr>
                                </pic:nvPicPr>
                                <pic:blipFill>
                                  <a:blip xmlns:r="http://schemas.openxmlformats.org/officeDocument/2006/relationships" r:embed="rId10"/>
                                  <a:stretch>
                                    <a:fillRect/>
                                  </a:stretch>
                                </pic:blipFill>
                                <pic:spPr bwMode="auto">
                                  <a:xfrm>
                                    <a:off x="0" y="0"/>
                                    <a:ext cx="6400800" cy="1628775"/>
                                  </a:xfrm>
                                  <a:prstGeom prst="rect">
                                    <a:avLst/>
                                  </a:prstGeom>
                                  <a:noFill/>
                                  <a:ln w="9525">
                                    <a:noFill/>
                                    <a:miter lim="800000"/>
                                    <a:headEnd/>
                                    <a:tailEnd/>
                                  </a:ln>
                                </pic:spPr>
                              </pic:pic>
                            </a:graphicData>
                          </a:graphic>
                        </wp:inline>
                      </w:drawing>
                    </w:p>
                  </w:txbxContent>
                </v:textbox>
                <w10:wrap anchorx="margin" anchory="margin"/>
              </v:shape>
            </w:pict>
          </mc:Fallback>
        </mc:AlternateContent>
      </w:r>
    </w:p>
    <w:p w:rsidR="008869EA" w:rsidRPr="00087AC9" w14:paraId="43171504"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69EA" w:rsidRPr="00087AC9" w14:paraId="678E00BC"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69EA" w:rsidRPr="00087AC9" w14:paraId="4DBF14AC"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69EA" w:rsidRPr="00087AC9" w14:paraId="3688E54C"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69EA" w:rsidRPr="00087AC9" w14:paraId="3CD17425"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69EA" w:rsidRPr="00087AC9" w14:paraId="4A61799F"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69EA" w:rsidRPr="00087AC9" w14:paraId="18839BDC"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69EA" w:rsidRPr="00087AC9" w14:paraId="0BFF0B43"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69EA" w:rsidRPr="00087AC9" w14:paraId="525FAFA1"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69EA" w:rsidRPr="00087AC9" w14:paraId="3BE1865C"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34" w:lineRule="exact"/>
      </w:pPr>
    </w:p>
    <w:p w:rsidR="008869EA" w:rsidRPr="00087AC9" w14:paraId="55EC4D37"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69EA" w:rsidRPr="00087AC9" w14:paraId="655B0FFE"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69EA" w:rsidRPr="00087AC9" w14:paraId="71817B61"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2960"/>
        <w:rPr>
          <w:rFonts w:ascii="Courier" w:hAnsi="Courier"/>
        </w:rPr>
      </w:pPr>
      <w:r w:rsidRPr="00087AC9">
        <w:rPr>
          <w:b/>
          <w:noProof/>
          <w:sz w:val="36"/>
        </w:rPr>
        <mc:AlternateContent>
          <mc:Choice Requires="wps">
            <w:drawing>
              <wp:anchor distT="0" distB="0" distL="114300" distR="114300" simplePos="0" relativeHeight="251680768" behindDoc="0" locked="0" layoutInCell="1" allowOverlap="1">
                <wp:simplePos x="0" y="0"/>
                <wp:positionH relativeFrom="column">
                  <wp:posOffset>-1844675</wp:posOffset>
                </wp:positionH>
                <wp:positionV relativeFrom="paragraph">
                  <wp:posOffset>1583055</wp:posOffset>
                </wp:positionV>
                <wp:extent cx="1414145" cy="266065"/>
                <wp:effectExtent l="3175" t="2540" r="1905" b="0"/>
                <wp:wrapNone/>
                <wp:docPr id="41" name="Text Box 5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14145" cy="26606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3AC" w:rsidP="005A437B" w14:paraId="6F45742B" w14:textId="1E69A1CF">
                            <w:r>
                              <w:t>EPA # 2705.0</w:t>
                            </w:r>
                            <w:r w:rsidR="003D395C">
                              <w:t>2</w:t>
                            </w:r>
                            <w:r>
                              <w:t xml:space="preserve"> </w:t>
                            </w:r>
                          </w:p>
                        </w:txbxContent>
                      </wps:txbx>
                      <wps:bodyPr rot="0" vert="horz" wrap="square" lIns="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8" o:spid="_x0000_s1030" type="#_x0000_t202" style="width:111.35pt;height:20.95pt;margin-top:124.65pt;margin-left:-145.25pt;mso-height-percent:0;mso-height-relative:page;mso-width-percent:0;mso-width-relative:page;mso-wrap-distance-bottom:0;mso-wrap-distance-left:9pt;mso-wrap-distance-right:9pt;mso-wrap-distance-top:0;mso-wrap-style:square;position:absolute;visibility:visible;v-text-anchor:top;z-index:251681792" stroked="f">
                <v:textbox inset="0">
                  <w:txbxContent>
                    <w:p w:rsidR="005343AC" w:rsidP="005A437B" w14:paraId="670F6C94" w14:textId="1E69A1CF">
                      <w:r>
                        <w:t>EPA # 2705.0</w:t>
                      </w:r>
                      <w:r w:rsidR="003D395C">
                        <w:t>2</w:t>
                      </w:r>
                      <w:r>
                        <w:t xml:space="preserve"> </w:t>
                      </w:r>
                    </w:p>
                  </w:txbxContent>
                </v:textbox>
              </v:shape>
            </w:pict>
          </mc:Fallback>
        </mc:AlternateContent>
      </w:r>
      <w:r w:rsidRPr="00087AC9">
        <w:rPr>
          <w:b/>
          <w:noProof/>
          <w:sz w:val="36"/>
        </w:rPr>
        <mc:AlternateContent>
          <mc:Choice Requires="wps">
            <w:drawing>
              <wp:anchor distT="0" distB="0" distL="114300" distR="114300" simplePos="0" relativeHeight="251678720" behindDoc="0" locked="0" layoutInCell="1" allowOverlap="1">
                <wp:simplePos x="0" y="0"/>
                <wp:positionH relativeFrom="column">
                  <wp:posOffset>-1850390</wp:posOffset>
                </wp:positionH>
                <wp:positionV relativeFrom="paragraph">
                  <wp:posOffset>1913255</wp:posOffset>
                </wp:positionV>
                <wp:extent cx="6422390" cy="0"/>
                <wp:effectExtent l="26035" t="27940" r="19050" b="19685"/>
                <wp:wrapNone/>
                <wp:docPr id="40" name="Line 5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22390" cy="0"/>
                        </a:xfrm>
                        <a:prstGeom prst="line">
                          <a:avLst/>
                        </a:prstGeom>
                        <a:noFill/>
                        <a:ln w="381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31" style="mso-height-percent:0;mso-height-relative:page;mso-width-percent:0;mso-width-relative:page;mso-wrap-distance-bottom:0;mso-wrap-distance-left:9pt;mso-wrap-distance-right:9pt;mso-wrap-distance-top:0;mso-wrap-style:square;position:absolute;visibility:visible;z-index:251679744" from="-145.7pt,150.65pt" to="5in,150.65pt" strokeweight="3pt"/>
            </w:pict>
          </mc:Fallback>
        </mc:AlternateContent>
      </w:r>
      <w:r w:rsidRPr="00087AC9" w:rsidR="008869EA">
        <w:rPr>
          <w:b/>
        </w:rPr>
        <w:t>EPA # 1230.16</w:t>
      </w:r>
    </w:p>
    <w:p w:rsidR="00440C98" w:rsidRPr="00087AC9" w:rsidP="00440C98" w14:paraId="0F673EF6" w14:textId="77777777"/>
    <w:p w:rsidR="00440C98" w:rsidRPr="00087AC9" w:rsidP="00440C98" w14:paraId="06E72DA0" w14:textId="7643FE50">
      <w:r w:rsidRPr="00087AC9">
        <w:rPr>
          <w:rFonts w:ascii="Courier" w:hAnsi="Courier"/>
        </w:rPr>
        <w:br w:type="page"/>
      </w:r>
      <w:r w:rsidRPr="00087AC9" w:rsidR="006A7DE2">
        <w:rPr>
          <w:noProof/>
        </w:rPr>
        <mc:AlternateContent>
          <mc:Choice Requires="wps">
            <w:drawing>
              <wp:anchor distT="152400" distB="152400" distL="152400" distR="152400" simplePos="0" relativeHeight="251664384" behindDoc="0" locked="0" layoutInCell="1" allowOverlap="1">
                <wp:simplePos x="0" y="0"/>
                <wp:positionH relativeFrom="margin">
                  <wp:posOffset>-2286000</wp:posOffset>
                </wp:positionH>
                <wp:positionV relativeFrom="paragraph">
                  <wp:posOffset>0</wp:posOffset>
                </wp:positionV>
                <wp:extent cx="1684020" cy="360680"/>
                <wp:effectExtent l="0" t="2540" r="1905" b="0"/>
                <wp:wrapSquare wrapText="largest"/>
                <wp:docPr id="39"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4020" cy="3606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3AC" w14:paraId="02F53F93" w14:textId="77777777">
                            <w:r>
                              <w:rPr>
                                <w:rFonts w:ascii="Arial" w:hAnsi="Arial"/>
                                <w:b/>
                              </w:rPr>
                              <w:t>Executive Summary</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4" o:spid="_x0000_s1032" type="#_x0000_t202" style="width:132.6pt;height:28.4pt;margin-top:0;margin-left:-180pt;mso-height-percent:0;mso-height-relative:page;mso-position-horizontal-relative:margin;mso-width-percent:0;mso-width-relative:page;mso-wrap-distance-bottom:12pt;mso-wrap-distance-left:12pt;mso-wrap-distance-right:12pt;mso-wrap-distance-top:12pt;mso-wrap-style:square;position:absolute;visibility:visible;v-text-anchor:top;z-index:251665408" filled="f" stroked="f">
                <v:textbox inset="0,0,6pt,6pt">
                  <w:txbxContent>
                    <w:p w:rsidR="005343AC" w14:paraId="2664F4B3" w14:textId="77777777">
                      <w:r>
                        <w:rPr>
                          <w:rFonts w:ascii="Arial" w:hAnsi="Arial"/>
                          <w:b/>
                        </w:rPr>
                        <w:t>Executive Summary</w:t>
                      </w:r>
                    </w:p>
                  </w:txbxContent>
                </v:textbox>
                <w10:wrap type="square" side="largest"/>
              </v:shape>
            </w:pict>
          </mc:Fallback>
        </mc:AlternateContent>
      </w:r>
      <w:r w:rsidRPr="00087AC9" w:rsidR="006A7DE2">
        <w:rPr>
          <w:noProof/>
        </w:rPr>
        <mc:AlternateContent>
          <mc:Choice Requires="wps">
            <w:drawing>
              <wp:anchor distT="0" distB="0" distL="114300" distR="114300" simplePos="0" relativeHeight="251699200" behindDoc="0" locked="0" layoutInCell="1" allowOverlap="1">
                <wp:simplePos x="0" y="0"/>
                <wp:positionH relativeFrom="column">
                  <wp:posOffset>-33020</wp:posOffset>
                </wp:positionH>
                <wp:positionV relativeFrom="paragraph">
                  <wp:posOffset>-4377690</wp:posOffset>
                </wp:positionV>
                <wp:extent cx="1199515" cy="234315"/>
                <wp:effectExtent l="0" t="0" r="0" b="0"/>
                <wp:wrapNone/>
                <wp:docPr id="38" name="Text Box 1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99515" cy="2343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3AC" w:rsidRPr="000C7495" w14:paraId="01D2AE68" w14:textId="77777777">
                            <w:pPr>
                              <w:rPr>
                                <w:b/>
                                <w:i/>
                              </w:rPr>
                            </w:pPr>
                            <w:r w:rsidRPr="000C7495">
                              <w:rPr>
                                <w:b/>
                                <w:i/>
                              </w:rPr>
                              <w:t>Draft 05/01/06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40" o:spid="_x0000_s1033" type="#_x0000_t202" style="width:94.45pt;height:18.45pt;margin-top:-344.7pt;margin-left:-2.6pt;mso-height-percent:0;mso-height-relative:page;mso-width-percent:0;mso-width-relative:page;mso-wrap-distance-bottom:0;mso-wrap-distance-left:9pt;mso-wrap-distance-right:9pt;mso-wrap-distance-top:0;mso-wrap-style:square;position:absolute;visibility:visible;v-text-anchor:top;z-index:251700224" stroked="f">
                <v:textbox>
                  <w:txbxContent>
                    <w:p w:rsidR="005343AC" w:rsidRPr="000C7495" w14:paraId="3A5B01D5" w14:textId="77777777">
                      <w:pPr>
                        <w:rPr>
                          <w:b/>
                          <w:i/>
                        </w:rPr>
                      </w:pPr>
                      <w:r w:rsidRPr="000C7495">
                        <w:rPr>
                          <w:b/>
                          <w:i/>
                        </w:rPr>
                        <w:t>Draft 05/01/06</w:t>
                      </w:r>
                    </w:p>
                  </w:txbxContent>
                </v:textbox>
              </v:shape>
            </w:pict>
          </mc:Fallback>
        </mc:AlternateContent>
      </w:r>
      <w:r w:rsidRPr="00087AC9" w:rsidR="00440C98">
        <w:t>This</w:t>
      </w:r>
      <w:r w:rsidRPr="00087AC9" w:rsidR="005717B3">
        <w:t xml:space="preserve"> is a new information collection request</w:t>
      </w:r>
      <w:r w:rsidRPr="00087AC9" w:rsidR="00440C98">
        <w:t xml:space="preserve"> </w:t>
      </w:r>
      <w:r w:rsidRPr="00087AC9" w:rsidR="005717B3">
        <w:t>(</w:t>
      </w:r>
      <w:r w:rsidRPr="00087AC9" w:rsidR="00440C98">
        <w:t>ICR</w:t>
      </w:r>
      <w:r w:rsidRPr="00087AC9" w:rsidR="005717B3">
        <w:t>)</w:t>
      </w:r>
      <w:r w:rsidRPr="00087AC9" w:rsidR="00440C98">
        <w:t xml:space="preserve">, EPA </w:t>
      </w:r>
      <w:r w:rsidRPr="00087AC9" w:rsidR="005717B3">
        <w:t>2705.0</w:t>
      </w:r>
      <w:r w:rsidR="003D395C">
        <w:t>2</w:t>
      </w:r>
      <w:r w:rsidRPr="00087AC9" w:rsidR="0075122F">
        <w:t>,</w:t>
      </w:r>
      <w:r w:rsidRPr="00087AC9" w:rsidR="005717B3">
        <w:t xml:space="preserve"> and it</w:t>
      </w:r>
      <w:r w:rsidRPr="00087AC9" w:rsidR="006D5844">
        <w:t xml:space="preserve"> </w:t>
      </w:r>
      <w:r w:rsidRPr="00087AC9" w:rsidR="003B31B5">
        <w:t xml:space="preserve">addresses the </w:t>
      </w:r>
      <w:r w:rsidRPr="00087AC9" w:rsidR="005717B3">
        <w:t>monitoring,</w:t>
      </w:r>
      <w:r w:rsidRPr="00087AC9" w:rsidR="00E52917">
        <w:t xml:space="preserve"> calibrating,</w:t>
      </w:r>
      <w:r w:rsidRPr="00087AC9" w:rsidR="005717B3">
        <w:t xml:space="preserve"> recordkeeping</w:t>
      </w:r>
      <w:r w:rsidRPr="00087AC9" w:rsidR="00FC3C1F">
        <w:t>,</w:t>
      </w:r>
      <w:r w:rsidRPr="00087AC9" w:rsidR="005717B3">
        <w:t xml:space="preserve"> reporting</w:t>
      </w:r>
      <w:r w:rsidR="00BC7F1A">
        <w:t>,</w:t>
      </w:r>
      <w:r w:rsidRPr="00087AC9" w:rsidR="005717B3">
        <w:t xml:space="preserve"> </w:t>
      </w:r>
      <w:r w:rsidRPr="00087AC9" w:rsidR="00FC3C1F">
        <w:t xml:space="preserve">and testing </w:t>
      </w:r>
      <w:r w:rsidRPr="00087AC9" w:rsidR="003B31B5">
        <w:t xml:space="preserve">requirements under the </w:t>
      </w:r>
      <w:r w:rsidR="00D9140D">
        <w:t>final</w:t>
      </w:r>
      <w:r w:rsidRPr="00087AC9" w:rsidR="005717B3">
        <w:t xml:space="preserve"> rule, entitled “</w:t>
      </w:r>
      <w:r w:rsidRPr="00922698" w:rsidR="00922698">
        <w:t>Federal Good Neighbor Plan for the 2015 Ozone National Ambient Air Quality Standards</w:t>
      </w:r>
      <w:r w:rsidR="00BC7F1A">
        <w:t>.</w:t>
      </w:r>
      <w:r w:rsidRPr="00087AC9" w:rsidR="005717B3">
        <w:t>”</w:t>
      </w:r>
    </w:p>
    <w:p w:rsidR="00FC3C1F" w:rsidRPr="00087AC9" w:rsidP="00440C98" w14:paraId="7EF3E6A6"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01CC5" w:rsidRPr="00087AC9" w:rsidP="00440C98" w14:paraId="385ABA97" w14:textId="341ABB4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87AC9">
        <w:rPr>
          <w:noProof/>
        </w:rPr>
        <mc:AlternateContent>
          <mc:Choice Requires="wps">
            <w:drawing>
              <wp:anchor distT="0" distB="0" distL="114300" distR="114300" simplePos="0" relativeHeight="251740160" behindDoc="0" locked="0" layoutInCell="1" allowOverlap="1">
                <wp:simplePos x="0" y="0"/>
                <wp:positionH relativeFrom="column">
                  <wp:posOffset>-33020</wp:posOffset>
                </wp:positionH>
                <wp:positionV relativeFrom="paragraph">
                  <wp:posOffset>-1924685</wp:posOffset>
                </wp:positionV>
                <wp:extent cx="1671320" cy="234315"/>
                <wp:effectExtent l="0" t="0" r="0" b="0"/>
                <wp:wrapNone/>
                <wp:docPr id="37" name="Text Box 1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1320" cy="2343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3AC" w:rsidRPr="000C7495" w:rsidP="00440C98" w14:paraId="738F4794" w14:textId="77777777">
                            <w:pPr>
                              <w:rPr>
                                <w:b/>
                                <w:i/>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74" o:spid="_x0000_s1034" type="#_x0000_t202" style="width:131.6pt;height:18.45pt;margin-top:-151.55pt;margin-left:-2.6pt;mso-height-percent:0;mso-height-relative:page;mso-width-percent:0;mso-width-relative:page;mso-wrap-distance-bottom:0;mso-wrap-distance-left:9pt;mso-wrap-distance-right:9pt;mso-wrap-distance-top:0;mso-wrap-style:square;position:absolute;visibility:visible;v-text-anchor:top;z-index:251741184" stroked="f">
                <v:textbox>
                  <w:txbxContent>
                    <w:p w:rsidR="005343AC" w:rsidRPr="000C7495" w:rsidP="00440C98" w14:paraId="5DAB6C7B" w14:textId="77777777">
                      <w:pPr>
                        <w:rPr>
                          <w:b/>
                          <w:i/>
                        </w:rPr>
                      </w:pPr>
                    </w:p>
                  </w:txbxContent>
                </v:textbox>
              </v:shape>
            </w:pict>
          </mc:Fallback>
        </mc:AlternateContent>
      </w:r>
      <w:r w:rsidRPr="00087AC9" w:rsidR="00E52917">
        <w:t>Owners and operators of c</w:t>
      </w:r>
      <w:r w:rsidRPr="00087AC9" w:rsidR="00A339B3">
        <w:t xml:space="preserve">ertain non-Electric Generating Unit (non-EGU) industry </w:t>
      </w:r>
      <w:r w:rsidRPr="00087AC9" w:rsidR="00E52917">
        <w:t xml:space="preserve">stationary </w:t>
      </w:r>
      <w:r w:rsidRPr="00087AC9" w:rsidR="00FC3C1F">
        <w:t>sources will potentially modify or install new emission controls and associated monitoring systems</w:t>
      </w:r>
      <w:r w:rsidRPr="00087AC9" w:rsidR="00A339B3">
        <w:t xml:space="preserve"> to meet the nitrogen oxide</w:t>
      </w:r>
      <w:r w:rsidRPr="00087AC9" w:rsidR="00E52917">
        <w:t>s</w:t>
      </w:r>
      <w:r w:rsidRPr="00087AC9" w:rsidR="00A339B3">
        <w:t xml:space="preserve"> (NOx) emission limits of this </w:t>
      </w:r>
      <w:r w:rsidR="00D9140D">
        <w:t>final</w:t>
      </w:r>
      <w:r w:rsidRPr="00087AC9" w:rsidR="00A339B3">
        <w:t xml:space="preserve"> rule.  </w:t>
      </w:r>
      <w:r w:rsidRPr="00087AC9" w:rsidR="00440C98">
        <w:t xml:space="preserve">The burden </w:t>
      </w:r>
      <w:r w:rsidRPr="00087AC9" w:rsidR="003B31B5">
        <w:t xml:space="preserve">in this ICR </w:t>
      </w:r>
      <w:r w:rsidRPr="00087AC9" w:rsidR="00440C98">
        <w:t>reflect</w:t>
      </w:r>
      <w:r w:rsidRPr="00087AC9" w:rsidR="004817C3">
        <w:t>s</w:t>
      </w:r>
      <w:r w:rsidRPr="00087AC9" w:rsidR="00A339B3">
        <w:t xml:space="preserve"> the</w:t>
      </w:r>
      <w:r w:rsidRPr="00087AC9" w:rsidR="00E01CC5">
        <w:t xml:space="preserve"> new</w:t>
      </w:r>
      <w:r w:rsidRPr="00087AC9" w:rsidR="00A339B3">
        <w:t xml:space="preserve"> </w:t>
      </w:r>
      <w:r w:rsidRPr="00087AC9" w:rsidR="00FC3C1F">
        <w:t xml:space="preserve">monitoring, </w:t>
      </w:r>
      <w:r w:rsidRPr="00087AC9" w:rsidR="00E52917">
        <w:t xml:space="preserve">calibrating, </w:t>
      </w:r>
      <w:r w:rsidRPr="00087AC9" w:rsidR="00FC3C1F">
        <w:t>recordkeeping, reporting</w:t>
      </w:r>
      <w:r w:rsidR="00BC7F1A">
        <w:t>,</w:t>
      </w:r>
      <w:r w:rsidRPr="00087AC9" w:rsidR="00FC3C1F">
        <w:t xml:space="preserve"> an</w:t>
      </w:r>
      <w:r w:rsidRPr="00087AC9" w:rsidR="00A339B3">
        <w:t xml:space="preserve">d testing </w:t>
      </w:r>
      <w:r w:rsidRPr="00087AC9" w:rsidR="00E01CC5">
        <w:t>activiti</w:t>
      </w:r>
      <w:r w:rsidRPr="00087AC9" w:rsidR="00A339B3">
        <w:t>es required by industry.</w:t>
      </w:r>
      <w:r w:rsidR="00542B4B">
        <w:t xml:space="preserve"> It also includes estimates of administrative burden on the EPA in implementing the rule. </w:t>
      </w:r>
    </w:p>
    <w:p w:rsidR="00440C98" w:rsidRPr="00087AC9" w:rsidP="00440C98" w14:paraId="6130AB88"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A339B3" w:rsidRPr="00087AC9" w:rsidP="00440C98" w14:paraId="5E41585B" w14:textId="4BFE305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087AC9">
        <w:rPr>
          <w:b/>
        </w:rPr>
        <w:t>Table E-1</w:t>
      </w:r>
      <w:r w:rsidRPr="00087AC9">
        <w:rPr>
          <w:rFonts w:ascii="CourierNewPSMT" w:hAnsi="CourierNewPSMT" w:cs="CourierNewPSMT"/>
        </w:rPr>
        <w:t xml:space="preserve"> </w:t>
      </w:r>
      <w:r w:rsidRPr="00087AC9">
        <w:rPr>
          <w:b/>
        </w:rPr>
        <w:t xml:space="preserve">Estimated </w:t>
      </w:r>
      <w:r w:rsidRPr="00087AC9">
        <w:rPr>
          <w:b/>
        </w:rPr>
        <w:t>I</w:t>
      </w:r>
      <w:r w:rsidRPr="00087AC9" w:rsidR="00A775CB">
        <w:rPr>
          <w:b/>
        </w:rPr>
        <w:t>n</w:t>
      </w:r>
      <w:r w:rsidRPr="00087AC9">
        <w:rPr>
          <w:b/>
        </w:rPr>
        <w:t>dustry</w:t>
      </w:r>
      <w:r w:rsidRPr="00087AC9" w:rsidR="002775B1">
        <w:rPr>
          <w:b/>
        </w:rPr>
        <w:t xml:space="preserve"> </w:t>
      </w:r>
      <w:r w:rsidRPr="00087AC9">
        <w:rPr>
          <w:b/>
        </w:rPr>
        <w:t>Respondent</w:t>
      </w:r>
      <w:r w:rsidR="00C2484C">
        <w:rPr>
          <w:b/>
        </w:rPr>
        <w:t>s’</w:t>
      </w:r>
      <w:r w:rsidRPr="00087AC9">
        <w:rPr>
          <w:b/>
        </w:rPr>
        <w:t xml:space="preserve"> </w:t>
      </w:r>
    </w:p>
    <w:p w:rsidR="00440C98" w:rsidRPr="00087AC9" w:rsidP="00E813E6" w14:paraId="23317D17" w14:textId="123033D6">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pPr>
      <w:r w:rsidRPr="00087AC9">
        <w:rPr>
          <w:b/>
        </w:rPr>
        <w:t>Burden to Implement</w:t>
      </w:r>
      <w:r w:rsidRPr="00087AC9" w:rsidR="00442D7A">
        <w:rPr>
          <w:b/>
        </w:rPr>
        <w:t xml:space="preserve"> </w:t>
      </w:r>
      <w:r w:rsidRPr="00087AC9">
        <w:rPr>
          <w:b/>
        </w:rPr>
        <w:t>Requirements</w:t>
      </w:r>
      <w:r w:rsidRPr="00087AC9" w:rsidR="00E83DC2">
        <w:rPr>
          <w:b/>
        </w:rPr>
        <w:t xml:space="preserve"> </w:t>
      </w:r>
    </w:p>
    <w:tbl>
      <w:tblPr>
        <w:tblW w:w="6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58" w:type="dxa"/>
          <w:right w:w="115" w:type="dxa"/>
        </w:tblCellMar>
        <w:tblLook w:val="01E0"/>
      </w:tblPr>
      <w:tblGrid>
        <w:gridCol w:w="1885"/>
        <w:gridCol w:w="2070"/>
        <w:gridCol w:w="2160"/>
      </w:tblGrid>
      <w:tr w14:paraId="107587B8" w14:textId="77777777" w:rsidTr="00353086">
        <w:tblPrEx>
          <w:tblW w:w="6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58" w:type="dxa"/>
            <w:right w:w="115" w:type="dxa"/>
          </w:tblCellMar>
          <w:tblLook w:val="01E0"/>
        </w:tblPrEx>
        <w:trPr>
          <w:tblHeader/>
        </w:trPr>
        <w:tc>
          <w:tcPr>
            <w:tcW w:w="1885" w:type="dxa"/>
            <w:vMerge w:val="restart"/>
            <w:vAlign w:val="center"/>
          </w:tcPr>
          <w:p w:rsidR="007B531C" w:rsidRPr="00087AC9" w:rsidP="0072715D" w14:paraId="3C98986C" w14:textId="77777777">
            <w:pPr>
              <w:rPr>
                <w:rFonts w:ascii="Arial" w:hAnsi="Arial" w:cs="Arial"/>
                <w:b/>
                <w:sz w:val="16"/>
                <w:szCs w:val="16"/>
              </w:rPr>
            </w:pPr>
            <w:r w:rsidRPr="00087AC9">
              <w:rPr>
                <w:rFonts w:ascii="Arial" w:hAnsi="Arial" w:cs="Arial"/>
                <w:b/>
                <w:sz w:val="16"/>
                <w:szCs w:val="16"/>
              </w:rPr>
              <w:t>Task Element</w:t>
            </w:r>
          </w:p>
        </w:tc>
        <w:tc>
          <w:tcPr>
            <w:tcW w:w="4230" w:type="dxa"/>
            <w:gridSpan w:val="2"/>
          </w:tcPr>
          <w:p w:rsidR="007B531C" w:rsidRPr="00087AC9" w:rsidP="0072715D" w14:paraId="451C427F" w14:textId="6DBCF37B">
            <w:pPr>
              <w:jc w:val="center"/>
              <w:rPr>
                <w:rFonts w:ascii="Arial" w:hAnsi="Arial" w:cs="Arial"/>
                <w:b/>
                <w:sz w:val="16"/>
                <w:szCs w:val="16"/>
              </w:rPr>
            </w:pPr>
            <w:r w:rsidRPr="00087AC9">
              <w:rPr>
                <w:rFonts w:ascii="Arial" w:hAnsi="Arial" w:cs="Arial"/>
                <w:b/>
                <w:sz w:val="16"/>
                <w:szCs w:val="16"/>
              </w:rPr>
              <w:t>Industry</w:t>
            </w:r>
          </w:p>
        </w:tc>
      </w:tr>
      <w:tr w14:paraId="31F16FDC" w14:textId="77777777" w:rsidTr="00353086">
        <w:tblPrEx>
          <w:tblW w:w="6115" w:type="dxa"/>
          <w:tblLayout w:type="fixed"/>
          <w:tblCellMar>
            <w:top w:w="115" w:type="dxa"/>
            <w:left w:w="115" w:type="dxa"/>
            <w:bottom w:w="58" w:type="dxa"/>
            <w:right w:w="115" w:type="dxa"/>
          </w:tblCellMar>
          <w:tblLook w:val="01E0"/>
        </w:tblPrEx>
        <w:trPr>
          <w:trHeight w:val="579"/>
          <w:tblHeader/>
        </w:trPr>
        <w:tc>
          <w:tcPr>
            <w:tcW w:w="1885" w:type="dxa"/>
            <w:vMerge/>
          </w:tcPr>
          <w:p w:rsidR="007B531C" w:rsidRPr="00087AC9" w:rsidP="0072715D" w14:paraId="07E44CD4" w14:textId="77777777">
            <w:pPr>
              <w:rPr>
                <w:rFonts w:ascii="Arial" w:hAnsi="Arial" w:cs="Arial"/>
                <w:b/>
                <w:sz w:val="16"/>
                <w:szCs w:val="16"/>
              </w:rPr>
            </w:pPr>
          </w:p>
        </w:tc>
        <w:tc>
          <w:tcPr>
            <w:tcW w:w="2070" w:type="dxa"/>
            <w:shd w:val="clear" w:color="auto" w:fill="auto"/>
          </w:tcPr>
          <w:p w:rsidR="007B531C" w:rsidRPr="00087AC9" w:rsidP="0072715D" w14:paraId="5C641038" w14:textId="77777777">
            <w:pPr>
              <w:rPr>
                <w:rFonts w:ascii="Arial" w:hAnsi="Arial" w:cs="Arial"/>
                <w:b/>
                <w:sz w:val="16"/>
                <w:szCs w:val="16"/>
              </w:rPr>
            </w:pPr>
            <w:r w:rsidRPr="00087AC9">
              <w:rPr>
                <w:rFonts w:ascii="Arial" w:hAnsi="Arial" w:cs="Arial"/>
                <w:b/>
                <w:sz w:val="16"/>
                <w:szCs w:val="16"/>
              </w:rPr>
              <w:t>Average Annual Hours</w:t>
            </w:r>
          </w:p>
        </w:tc>
        <w:tc>
          <w:tcPr>
            <w:tcW w:w="2160" w:type="dxa"/>
            <w:shd w:val="clear" w:color="auto" w:fill="auto"/>
          </w:tcPr>
          <w:p w:rsidR="007B531C" w:rsidRPr="00087AC9" w:rsidP="0072715D" w14:paraId="05CF1ED2" w14:textId="77777777">
            <w:pPr>
              <w:rPr>
                <w:rFonts w:ascii="Arial" w:hAnsi="Arial" w:cs="Arial"/>
                <w:b/>
                <w:sz w:val="16"/>
                <w:szCs w:val="16"/>
              </w:rPr>
            </w:pPr>
            <w:r w:rsidRPr="00087AC9">
              <w:rPr>
                <w:rFonts w:ascii="Arial" w:hAnsi="Arial" w:cs="Arial"/>
                <w:b/>
                <w:sz w:val="16"/>
                <w:szCs w:val="16"/>
              </w:rPr>
              <w:t>Average Annual Cost ($)</w:t>
            </w:r>
          </w:p>
        </w:tc>
      </w:tr>
      <w:tr w14:paraId="58D45533" w14:textId="77777777" w:rsidTr="00353086">
        <w:tblPrEx>
          <w:tblW w:w="6115" w:type="dxa"/>
          <w:tblLayout w:type="fixed"/>
          <w:tblCellMar>
            <w:top w:w="115" w:type="dxa"/>
            <w:left w:w="115" w:type="dxa"/>
            <w:bottom w:w="58" w:type="dxa"/>
            <w:right w:w="115" w:type="dxa"/>
          </w:tblCellMar>
          <w:tblLook w:val="01E0"/>
        </w:tblPrEx>
        <w:tc>
          <w:tcPr>
            <w:tcW w:w="1885" w:type="dxa"/>
          </w:tcPr>
          <w:p w:rsidR="00442D7A" w:rsidRPr="00087AC9" w:rsidP="00442D7A" w14:paraId="527CA7FE" w14:textId="20B53747">
            <w:pPr>
              <w:rPr>
                <w:rFonts w:ascii="Arial" w:hAnsi="Arial" w:cs="Arial"/>
                <w:sz w:val="16"/>
                <w:szCs w:val="16"/>
              </w:rPr>
            </w:pPr>
            <w:r w:rsidRPr="00087AC9">
              <w:rPr>
                <w:rFonts w:ascii="Arial" w:hAnsi="Arial" w:cs="Arial"/>
                <w:sz w:val="16"/>
                <w:szCs w:val="16"/>
              </w:rPr>
              <w:t xml:space="preserve">Total Burden by </w:t>
            </w:r>
            <w:r w:rsidRPr="00087AC9" w:rsidR="00353086">
              <w:rPr>
                <w:rFonts w:ascii="Arial" w:hAnsi="Arial" w:cs="Arial"/>
                <w:sz w:val="16"/>
                <w:szCs w:val="16"/>
              </w:rPr>
              <w:t xml:space="preserve">Industry </w:t>
            </w:r>
            <w:r w:rsidRPr="00087AC9">
              <w:rPr>
                <w:rFonts w:ascii="Arial" w:hAnsi="Arial" w:cs="Arial"/>
                <w:sz w:val="16"/>
                <w:szCs w:val="16"/>
              </w:rPr>
              <w:t>Respondent</w:t>
            </w:r>
            <w:r w:rsidR="00C2484C">
              <w:rPr>
                <w:rFonts w:ascii="Arial" w:hAnsi="Arial" w:cs="Arial"/>
                <w:sz w:val="16"/>
                <w:szCs w:val="16"/>
              </w:rPr>
              <w:t>s</w:t>
            </w:r>
            <w:r w:rsidRPr="00087AC9">
              <w:rPr>
                <w:rFonts w:ascii="Arial" w:hAnsi="Arial" w:cs="Arial"/>
                <w:sz w:val="16"/>
                <w:szCs w:val="16"/>
              </w:rPr>
              <w:t xml:space="preserve"> </w:t>
            </w:r>
          </w:p>
        </w:tc>
        <w:tc>
          <w:tcPr>
            <w:tcW w:w="2070" w:type="dxa"/>
            <w:shd w:val="clear" w:color="auto" w:fill="auto"/>
          </w:tcPr>
          <w:p w:rsidR="00442D7A" w:rsidRPr="00087AC9" w:rsidP="00442D7A" w14:paraId="1345ACB8" w14:textId="51D2C300">
            <w:pPr>
              <w:rPr>
                <w:rFonts w:ascii="Arial" w:hAnsi="Arial" w:cs="Arial"/>
                <w:i/>
                <w:sz w:val="16"/>
                <w:szCs w:val="16"/>
              </w:rPr>
            </w:pPr>
            <w:r>
              <w:rPr>
                <w:rFonts w:ascii="Arial" w:hAnsi="Arial" w:cs="Arial"/>
                <w:i/>
                <w:sz w:val="16"/>
                <w:szCs w:val="16"/>
              </w:rPr>
              <w:t>1</w:t>
            </w:r>
            <w:r w:rsidR="000F19FB">
              <w:rPr>
                <w:rFonts w:ascii="Arial" w:hAnsi="Arial" w:cs="Arial"/>
                <w:i/>
                <w:sz w:val="16"/>
                <w:szCs w:val="16"/>
              </w:rPr>
              <w:t>1,481</w:t>
            </w:r>
          </w:p>
        </w:tc>
        <w:tc>
          <w:tcPr>
            <w:tcW w:w="2160" w:type="dxa"/>
            <w:shd w:val="clear" w:color="auto" w:fill="auto"/>
          </w:tcPr>
          <w:p w:rsidR="00442D7A" w:rsidRPr="00087AC9" w:rsidP="00442D7A" w14:paraId="72FFC277" w14:textId="38B885A5">
            <w:pPr>
              <w:rPr>
                <w:rFonts w:ascii="Arial" w:hAnsi="Arial" w:cs="Arial"/>
                <w:i/>
                <w:sz w:val="16"/>
                <w:szCs w:val="16"/>
              </w:rPr>
            </w:pPr>
            <w:r>
              <w:rPr>
                <w:rFonts w:ascii="Arial" w:hAnsi="Arial" w:cs="Arial"/>
                <w:i/>
                <w:sz w:val="16"/>
                <w:szCs w:val="16"/>
              </w:rPr>
              <w:t>$</w:t>
            </w:r>
            <w:r w:rsidR="000F19FB">
              <w:rPr>
                <w:rFonts w:ascii="Arial" w:hAnsi="Arial" w:cs="Arial"/>
                <w:i/>
                <w:sz w:val="16"/>
                <w:szCs w:val="16"/>
              </w:rPr>
              <w:t>3,823,000</w:t>
            </w:r>
          </w:p>
        </w:tc>
      </w:tr>
    </w:tbl>
    <w:p w:rsidR="00440C98" w:rsidRPr="00087AC9" w:rsidP="00440C98" w14:paraId="0BF684D2" w14:textId="26F68074">
      <w:pPr>
        <w:ind w:left="-1260"/>
        <w:rPr>
          <w:rFonts w:ascii="Arial" w:hAnsi="Arial" w:cs="Arial"/>
          <w:b/>
          <w:color w:val="000000"/>
        </w:rPr>
      </w:pPr>
    </w:p>
    <w:p w:rsidR="00440C98" w:rsidRPr="00087AC9" w:rsidP="00440C98" w14:paraId="0B522D7B" w14:textId="619EB7D6">
      <w:pPr>
        <w:rPr>
          <w:color w:val="000000"/>
          <w:sz w:val="22"/>
          <w:szCs w:val="22"/>
        </w:rPr>
      </w:pPr>
    </w:p>
    <w:p w:rsidR="0049325E" w:rsidRPr="00087AC9" w:rsidP="00440C98" w14:paraId="60B1DCB4" w14:textId="77777777">
      <w:pPr>
        <w:rPr>
          <w:color w:val="000000"/>
        </w:rPr>
      </w:pPr>
      <w:r w:rsidRPr="00087AC9">
        <w:rPr>
          <w:color w:val="000000"/>
        </w:rPr>
        <w:br w:type="page"/>
      </w:r>
      <w:r w:rsidRPr="00087AC9" w:rsidR="00F33916">
        <w:rPr>
          <w:noProof/>
        </w:rPr>
        <mc:AlternateContent>
          <mc:Choice Requires="wps">
            <w:drawing>
              <wp:anchor distT="152400" distB="152400" distL="152400" distR="152400" simplePos="0" relativeHeight="251705344" behindDoc="0" locked="0" layoutInCell="1" allowOverlap="1">
                <wp:simplePos x="0" y="0"/>
                <wp:positionH relativeFrom="margin">
                  <wp:posOffset>-2295525</wp:posOffset>
                </wp:positionH>
                <wp:positionV relativeFrom="paragraph">
                  <wp:posOffset>240665</wp:posOffset>
                </wp:positionV>
                <wp:extent cx="1684020" cy="351790"/>
                <wp:effectExtent l="0" t="2540" r="1905" b="0"/>
                <wp:wrapSquare wrapText="largest"/>
                <wp:docPr id="34" name="Text Box 1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4020" cy="351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3AC" w:rsidP="00440C98" w14:paraId="2E4377ED" w14:textId="77777777">
                            <w:r>
                              <w:rPr>
                                <w:rFonts w:ascii="Arial" w:hAnsi="Arial"/>
                                <w:b/>
                              </w:rPr>
                              <w:t>1.1</w:t>
                            </w:r>
                            <w:r>
                              <w:rPr>
                                <w:rFonts w:ascii="Arial" w:hAnsi="Arial"/>
                                <w:b/>
                              </w:rPr>
                              <w:tab/>
                            </w:r>
                            <w:r>
                              <w:rPr>
                                <w:rFonts w:ascii="Arial" w:hAnsi="Arial"/>
                                <w:b/>
                              </w:rPr>
                              <w:t>Title</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154" o:spid="_x0000_s1035" type="#_x0000_t202" style="width:132.6pt;height:27.7pt;margin-top:18.95pt;margin-left:-180.75pt;mso-height-percent:0;mso-height-relative:page;mso-position-horizontal-relative:margin;mso-width-percent:0;mso-width-relative:page;mso-wrap-distance-bottom:12pt;mso-wrap-distance-left:12pt;mso-wrap-distance-right:12pt;mso-wrap-distance-top:12pt;mso-wrap-style:square;position:absolute;visibility:visible;v-text-anchor:top;z-index:251706368" filled="f" stroked="f">
                <v:textbox inset="0,0,6pt,6pt">
                  <w:txbxContent>
                    <w:p w:rsidR="005343AC" w:rsidP="00440C98" w14:paraId="6DFC2A73" w14:textId="77777777">
                      <w:r>
                        <w:rPr>
                          <w:rFonts w:ascii="Arial" w:hAnsi="Arial"/>
                          <w:b/>
                        </w:rPr>
                        <w:t>1.1</w:t>
                      </w:r>
                      <w:r>
                        <w:rPr>
                          <w:rFonts w:ascii="Arial" w:hAnsi="Arial"/>
                          <w:b/>
                        </w:rPr>
                        <w:tab/>
                      </w:r>
                      <w:r>
                        <w:rPr>
                          <w:rFonts w:ascii="Arial" w:hAnsi="Arial"/>
                          <w:b/>
                        </w:rPr>
                        <w:t>Title</w:t>
                      </w:r>
                    </w:p>
                  </w:txbxContent>
                </v:textbox>
                <w10:wrap type="square" side="largest"/>
              </v:shape>
            </w:pict>
          </mc:Fallback>
        </mc:AlternateContent>
      </w:r>
      <w:r w:rsidRPr="00087AC9" w:rsidR="006A7DE2">
        <w:rPr>
          <w:noProof/>
        </w:rPr>
        <mc:AlternateContent>
          <mc:Choice Requires="wps">
            <w:drawing>
              <wp:anchor distT="152400" distB="152400" distL="152400" distR="152400" simplePos="0" relativeHeight="251738112" behindDoc="0" locked="0" layoutInCell="1" allowOverlap="1">
                <wp:simplePos x="0" y="0"/>
                <wp:positionH relativeFrom="margin">
                  <wp:posOffset>1967865</wp:posOffset>
                </wp:positionH>
                <wp:positionV relativeFrom="paragraph">
                  <wp:posOffset>753110</wp:posOffset>
                </wp:positionV>
                <wp:extent cx="2347595" cy="1297940"/>
                <wp:effectExtent l="15240" t="12700" r="18415" b="13335"/>
                <wp:wrapSquare wrapText="left"/>
                <wp:docPr id="36" name="Text Box 1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47595" cy="1297940"/>
                        </a:xfrm>
                        <a:prstGeom prst="rect">
                          <a:avLst/>
                        </a:prstGeom>
                        <a:noFill/>
                        <a:ln w="24384">
                          <a:solidFill>
                            <a:srgbClr val="000000"/>
                          </a:solidFill>
                          <a:miter lim="800000"/>
                          <a:headEnd/>
                          <a:tailEnd/>
                        </a:ln>
                        <a:extLst>
                          <a:ext xmlns:a="http://schemas.openxmlformats.org/drawingml/2006/main" uri="{909E8E84-426E-40DD-AFC4-6F175D3DCCD1}">
                            <a14:hiddenFill xmlns:a14="http://schemas.microsoft.com/office/drawing/2010/main">
                              <a:solidFill>
                                <a:srgbClr val="FF0000"/>
                              </a:solidFill>
                            </a14:hiddenFill>
                          </a:ext>
                        </a:extLst>
                      </wps:spPr>
                      <wps:txbx>
                        <w:txbxContent>
                          <w:p w:rsidR="005343AC" w:rsidP="00440C98" w14:paraId="2829BF17" w14:textId="517EC2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r>
                              <w:rPr>
                                <w:rFonts w:ascii="Arial" w:hAnsi="Arial"/>
                                <w:b/>
                              </w:rPr>
                              <w:t>EPA TRACKING NUMBER: 2705.0</w:t>
                            </w:r>
                            <w:r w:rsidR="003D395C">
                              <w:rPr>
                                <w:rFonts w:ascii="Arial" w:hAnsi="Arial"/>
                                <w:b/>
                              </w:rPr>
                              <w:t>2</w:t>
                            </w:r>
                          </w:p>
                          <w:p w:rsidR="005343AC" w:rsidP="00440C98" w14:paraId="6494A9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p>
                          <w:p w:rsidR="005343AC" w:rsidP="00440C98" w14:paraId="362ECD0E" w14:textId="70E8A7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r>
                              <w:rPr>
                                <w:rFonts w:ascii="Arial" w:hAnsi="Arial"/>
                                <w:b/>
                              </w:rPr>
                              <w:t>OMB Control NUMBER:</w:t>
                            </w:r>
                          </w:p>
                          <w:p w:rsidR="005343AC" w:rsidP="00440C98" w14:paraId="3C7D57C5" w14:textId="5A0FA6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r>
                              <w:rPr>
                                <w:rFonts w:ascii="Arial" w:hAnsi="Arial"/>
                                <w:b/>
                              </w:rPr>
                              <w:t>2060-NEW</w:t>
                            </w:r>
                          </w:p>
                        </w:txbxContent>
                      </wps:txbx>
                      <wps:bodyPr rot="0" vert="horz" wrap="square" lIns="76200" tIns="7620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172" o:spid="_x0000_s1036" type="#_x0000_t202" style="width:184.85pt;height:102.2pt;margin-top:59.3pt;margin-left:154.95pt;mso-height-percent:0;mso-height-relative:page;mso-position-horizontal-relative:margin;mso-width-percent:0;mso-width-relative:page;mso-wrap-distance-bottom:12pt;mso-wrap-distance-left:12pt;mso-wrap-distance-right:12pt;mso-wrap-distance-top:12pt;mso-wrap-style:square;position:absolute;visibility:visible;v-text-anchor:top;z-index:251739136" filled="f" fillcolor="red" strokeweight="1.92pt">
                <v:textbox inset="6pt,6pt,6pt,6pt">
                  <w:txbxContent>
                    <w:p w:rsidR="005343AC" w:rsidP="00440C98" w14:paraId="7A0545D5" w14:textId="517EC2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r>
                        <w:rPr>
                          <w:rFonts w:ascii="Arial" w:hAnsi="Arial"/>
                          <w:b/>
                        </w:rPr>
                        <w:t>EPA TRACKING NUMBER: 2705.0</w:t>
                      </w:r>
                      <w:r w:rsidR="003D395C">
                        <w:rPr>
                          <w:rFonts w:ascii="Arial" w:hAnsi="Arial"/>
                          <w:b/>
                        </w:rPr>
                        <w:t>2</w:t>
                      </w:r>
                    </w:p>
                    <w:p w:rsidR="005343AC" w:rsidP="00440C98" w14:paraId="02EB378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p>
                    <w:p w:rsidR="005343AC" w:rsidP="00440C98" w14:paraId="5E934101" w14:textId="70E8A7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r>
                        <w:rPr>
                          <w:rFonts w:ascii="Arial" w:hAnsi="Arial"/>
                          <w:b/>
                        </w:rPr>
                        <w:t>OMB Control NUMBER:</w:t>
                      </w:r>
                    </w:p>
                    <w:p w:rsidR="005343AC" w:rsidP="00440C98" w14:paraId="7B9838C9" w14:textId="5A0FA6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jc w:val="center"/>
                        <w:rPr>
                          <w:rFonts w:ascii="Arial" w:hAnsi="Arial"/>
                          <w:b/>
                        </w:rPr>
                      </w:pPr>
                      <w:r>
                        <w:rPr>
                          <w:rFonts w:ascii="Arial" w:hAnsi="Arial"/>
                          <w:b/>
                        </w:rPr>
                        <w:t>2060-NEW</w:t>
                      </w:r>
                    </w:p>
                  </w:txbxContent>
                </v:textbox>
                <w10:wrap type="square" side="left"/>
              </v:shape>
            </w:pict>
          </mc:Fallback>
        </mc:AlternateContent>
      </w:r>
      <w:r w:rsidRPr="00087AC9" w:rsidR="006A7DE2">
        <w:rPr>
          <w:noProof/>
        </w:rPr>
        <mc:AlternateContent>
          <mc:Choice Requires="wps">
            <w:drawing>
              <wp:anchor distT="152400" distB="152400" distL="152400" distR="152400" simplePos="0" relativeHeight="251703296" behindDoc="0" locked="0" layoutInCell="1" allowOverlap="1">
                <wp:simplePos x="0" y="0"/>
                <wp:positionH relativeFrom="margin">
                  <wp:posOffset>-2286000</wp:posOffset>
                </wp:positionH>
                <wp:positionV relativeFrom="paragraph">
                  <wp:posOffset>-353695</wp:posOffset>
                </wp:positionV>
                <wp:extent cx="6762115" cy="273050"/>
                <wp:effectExtent l="0" t="1270" r="635" b="1905"/>
                <wp:wrapSquare wrapText="largest"/>
                <wp:docPr id="35" name="Text Box 1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62115" cy="2730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3AC" w:rsidP="00440C98" w14:paraId="33D1FE5E" w14:textId="77777777">
                            <w:r>
                              <w:rPr>
                                <w:rFonts w:ascii="Arial" w:hAnsi="Arial"/>
                                <w:b/>
                              </w:rPr>
                              <w:t>1</w:t>
                            </w:r>
                            <w:r>
                              <w:rPr>
                                <w:rFonts w:ascii="Arial" w:hAnsi="Arial"/>
                                <w:b/>
                              </w:rPr>
                              <w:tab/>
                            </w:r>
                            <w:r w:rsidRPr="009A6412">
                              <w:rPr>
                                <w:rStyle w:val="Heading1Char"/>
                                <w:sz w:val="24"/>
                                <w:szCs w:val="24"/>
                              </w:rPr>
                              <w:t>Identification of the Information Collection</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153" o:spid="_x0000_s1037" type="#_x0000_t202" style="width:532.45pt;height:21.5pt;margin-top:-27.85pt;margin-left:-180pt;mso-height-percent:0;mso-height-relative:page;mso-position-horizontal-relative:margin;mso-width-percent:0;mso-width-relative:page;mso-wrap-distance-bottom:12pt;mso-wrap-distance-left:12pt;mso-wrap-distance-right:12pt;mso-wrap-distance-top:12pt;mso-wrap-style:square;position:absolute;visibility:visible;v-text-anchor:top;z-index:251704320" filled="f" stroked="f">
                <v:textbox inset="0,0,6pt,6pt">
                  <w:txbxContent>
                    <w:p w:rsidR="005343AC" w:rsidP="00440C98" w14:paraId="411E7CE8" w14:textId="77777777">
                      <w:r>
                        <w:rPr>
                          <w:rFonts w:ascii="Arial" w:hAnsi="Arial"/>
                          <w:b/>
                        </w:rPr>
                        <w:t>1</w:t>
                      </w:r>
                      <w:r>
                        <w:rPr>
                          <w:rFonts w:ascii="Arial" w:hAnsi="Arial"/>
                          <w:b/>
                        </w:rPr>
                        <w:tab/>
                      </w:r>
                      <w:r w:rsidRPr="009A6412">
                        <w:rPr>
                          <w:rStyle w:val="Heading1Char"/>
                          <w:sz w:val="24"/>
                          <w:szCs w:val="24"/>
                        </w:rPr>
                        <w:t>Identification of the Information Collection</w:t>
                      </w:r>
                    </w:p>
                  </w:txbxContent>
                </v:textbox>
                <w10:wrap type="square" side="largest"/>
              </v:shape>
            </w:pict>
          </mc:Fallback>
        </mc:AlternateContent>
      </w:r>
      <w:r w:rsidRPr="00087AC9">
        <w:rPr>
          <w:color w:val="000000"/>
        </w:rPr>
        <w:t xml:space="preserve">This document fulfills the Agency's requirements under the Paperwork Reduction Act (PRA) </w:t>
      </w:r>
      <w:r w:rsidRPr="00087AC9">
        <w:rPr>
          <w:color w:val="000000"/>
        </w:rPr>
        <w:t>with regard to</w:t>
      </w:r>
      <w:r w:rsidRPr="00087AC9">
        <w:rPr>
          <w:color w:val="000000"/>
        </w:rPr>
        <w:t xml:space="preserve"> determining the regulatory burden associated with the implementation of the</w:t>
      </w:r>
    </w:p>
    <w:p w:rsidR="00440C98" w:rsidRPr="00087AC9" w:rsidP="00440C98" w14:paraId="6AA77C35" w14:textId="4316FBA0">
      <w:pPr>
        <w:rPr>
          <w:color w:val="000000"/>
        </w:rPr>
      </w:pPr>
      <w:r>
        <w:rPr>
          <w:color w:val="000000"/>
        </w:rPr>
        <w:t>final</w:t>
      </w:r>
      <w:r w:rsidRPr="00087AC9" w:rsidR="0049325E">
        <w:rPr>
          <w:color w:val="000000"/>
        </w:rPr>
        <w:t xml:space="preserve"> rule, entitled “Federal </w:t>
      </w:r>
      <w:r w:rsidR="00C2484C">
        <w:rPr>
          <w:color w:val="000000"/>
        </w:rPr>
        <w:t>Good Neighbor</w:t>
      </w:r>
      <w:r w:rsidRPr="00087AC9" w:rsidR="00C2484C">
        <w:rPr>
          <w:color w:val="000000"/>
        </w:rPr>
        <w:t xml:space="preserve"> </w:t>
      </w:r>
      <w:r w:rsidRPr="00087AC9" w:rsidR="0049325E">
        <w:rPr>
          <w:color w:val="000000"/>
        </w:rPr>
        <w:t>Plan Addressing Regional Ozone Transport for the 2015 Primary Ozone National Ambient Air Quality Standard”</w:t>
      </w:r>
      <w:r w:rsidR="00BB4E9E">
        <w:rPr>
          <w:color w:val="000000"/>
        </w:rPr>
        <w:t xml:space="preserve"> (final rule).</w:t>
      </w:r>
      <w:r w:rsidRPr="00087AC9" w:rsidR="007843EB">
        <w:rPr>
          <w:color w:val="000000"/>
        </w:rPr>
        <w:t xml:space="preserve">  </w:t>
      </w:r>
      <w:r w:rsidRPr="00087AC9">
        <w:rPr>
          <w:color w:val="000000"/>
        </w:rPr>
        <w:t>The title of this Information Collection Request (ICR) is</w:t>
      </w:r>
      <w:r w:rsidRPr="00087AC9" w:rsidR="007843EB">
        <w:rPr>
          <w:color w:val="000000"/>
        </w:rPr>
        <w:t xml:space="preserve"> “ICR for the </w:t>
      </w:r>
      <w:r>
        <w:rPr>
          <w:color w:val="000000"/>
        </w:rPr>
        <w:t>Final</w:t>
      </w:r>
      <w:r w:rsidRPr="00087AC9" w:rsidR="007843EB">
        <w:rPr>
          <w:color w:val="000000"/>
        </w:rPr>
        <w:t xml:space="preserve"> Rule, </w:t>
      </w:r>
      <w:r w:rsidRPr="008756E3" w:rsidR="008756E3">
        <w:rPr>
          <w:color w:val="000000"/>
        </w:rPr>
        <w:t>Federal “Good Neighbor Plan” for the 2015 Ozone National Ambient Air Quality Standards</w:t>
      </w:r>
      <w:r w:rsidRPr="00087AC9" w:rsidR="007843EB">
        <w:rPr>
          <w:color w:val="000000"/>
        </w:rPr>
        <w:t>: Transport Obligations for non-Electric Generating Units.”</w:t>
      </w:r>
    </w:p>
    <w:bookmarkStart w:id="0" w:name="QuickMark_1"/>
    <w:bookmarkEnd w:id="0"/>
    <w:p w:rsidR="00440C98" w:rsidRPr="00087AC9" w:rsidP="00440C98" w14:paraId="3654E3C2" w14:textId="2F0F098D">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noProof/>
        </w:rPr>
        <mc:AlternateContent>
          <mc:Choice Requires="wps">
            <w:drawing>
              <wp:anchor distT="0" distB="0" distL="114300" distR="114300" simplePos="0" relativeHeight="251748352" behindDoc="0" locked="0" layoutInCell="1" allowOverlap="1">
                <wp:simplePos x="0" y="0"/>
                <wp:positionH relativeFrom="margin">
                  <wp:posOffset>-2208855</wp:posOffset>
                </wp:positionH>
                <wp:positionV relativeFrom="page">
                  <wp:posOffset>4443671</wp:posOffset>
                </wp:positionV>
                <wp:extent cx="1484630" cy="750570"/>
                <wp:effectExtent l="0" t="0" r="1270" b="4445"/>
                <wp:wrapNone/>
                <wp:docPr id="49" name="Text Box 1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84630" cy="75057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3AC" w:rsidRPr="00415613" w:rsidP="00440C98" w14:paraId="1B26BD58" w14:textId="77777777">
                            <w:pPr>
                              <w:rPr>
                                <w:rFonts w:ascii="Arial" w:hAnsi="Arial" w:cs="Arial"/>
                                <w:b/>
                              </w:rPr>
                            </w:pPr>
                            <w:r>
                              <w:rPr>
                                <w:rFonts w:ascii="Arial" w:hAnsi="Arial" w:cs="Arial"/>
                                <w:b/>
                              </w:rPr>
                              <w:t>1.2</w:t>
                            </w:r>
                            <w:r>
                              <w:rPr>
                                <w:rFonts w:ascii="Arial" w:hAnsi="Arial" w:cs="Arial"/>
                                <w:b/>
                              </w:rPr>
                              <w:tab/>
                            </w:r>
                            <w:r>
                              <w:rPr>
                                <w:rFonts w:ascii="Arial" w:hAnsi="Arial" w:cs="Arial"/>
                                <w:b/>
                              </w:rPr>
                              <w:t>Description</w:t>
                            </w:r>
                          </w:p>
                        </w:txbxContent>
                      </wps:txbx>
                      <wps:bodyPr rot="0" vert="horz" wrap="square" lIns="0" tIns="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73" o:spid="_x0000_s1038" type="#_x0000_t202" style="width:116.9pt;height:59.1pt;margin-top:349.9pt;margin-left:-173.95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749376" stroked="f">
                <v:textbox inset="0,0">
                  <w:txbxContent>
                    <w:p w:rsidR="005343AC" w:rsidRPr="00415613" w:rsidP="00440C98" w14:paraId="2C44F6D5" w14:textId="77777777">
                      <w:pPr>
                        <w:rPr>
                          <w:rFonts w:ascii="Arial" w:hAnsi="Arial" w:cs="Arial"/>
                          <w:b/>
                        </w:rPr>
                      </w:pPr>
                      <w:r>
                        <w:rPr>
                          <w:rFonts w:ascii="Arial" w:hAnsi="Arial" w:cs="Arial"/>
                          <w:b/>
                        </w:rPr>
                        <w:t>1.2</w:t>
                      </w:r>
                      <w:r>
                        <w:rPr>
                          <w:rFonts w:ascii="Arial" w:hAnsi="Arial" w:cs="Arial"/>
                          <w:b/>
                        </w:rPr>
                        <w:tab/>
                      </w:r>
                      <w:r>
                        <w:rPr>
                          <w:rFonts w:ascii="Arial" w:hAnsi="Arial" w:cs="Arial"/>
                          <w:b/>
                        </w:rPr>
                        <w:t>Description</w:t>
                      </w:r>
                    </w:p>
                  </w:txbxContent>
                </v:textbox>
                <w10:wrap anchorx="margin"/>
              </v:shape>
            </w:pict>
          </mc:Fallback>
        </mc:AlternateContent>
      </w:r>
      <w:r w:rsidRPr="00087AC9" w:rsidR="006A7DE2">
        <w:rPr>
          <w:noProof/>
        </w:rPr>
        <mc:AlternateContent>
          <mc:Choice Requires="wps">
            <w:drawing>
              <wp:anchor distT="152400" distB="152400" distL="152400" distR="152400" simplePos="0" relativeHeight="251707392" behindDoc="0" locked="0" layoutInCell="1" allowOverlap="1">
                <wp:simplePos x="0" y="0"/>
                <wp:positionH relativeFrom="margin">
                  <wp:posOffset>-2286000</wp:posOffset>
                </wp:positionH>
                <wp:positionV relativeFrom="paragraph">
                  <wp:posOffset>137160</wp:posOffset>
                </wp:positionV>
                <wp:extent cx="1684020" cy="356870"/>
                <wp:effectExtent l="0" t="635" r="1905" b="4445"/>
                <wp:wrapSquare wrapText="largest"/>
                <wp:docPr id="32" name="Text Box 15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4020" cy="3568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3AC" w:rsidP="00440C98" w14:paraId="6AC324DB" w14:textId="77777777"/>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155" o:spid="_x0000_s1039" type="#_x0000_t202" style="width:132.6pt;height:28.1pt;margin-top:10.8pt;margin-left:-180pt;mso-height-percent:0;mso-height-relative:page;mso-position-horizontal-relative:margin;mso-width-percent:0;mso-width-relative:page;mso-wrap-distance-bottom:12pt;mso-wrap-distance-left:12pt;mso-wrap-distance-right:12pt;mso-wrap-distance-top:12pt;mso-wrap-style:square;position:absolute;visibility:visible;v-text-anchor:top;z-index:251708416" filled="f" stroked="f">
                <v:textbox inset="0,0,6pt,6pt">
                  <w:txbxContent>
                    <w:p w:rsidR="005343AC" w:rsidP="00440C98" w14:paraId="6A05A809" w14:textId="77777777"/>
                  </w:txbxContent>
                </v:textbox>
                <w10:wrap type="square" side="largest"/>
              </v:shape>
            </w:pict>
          </mc:Fallback>
        </mc:AlternateContent>
      </w:r>
    </w:p>
    <w:p w:rsidR="00D20B10" w:rsidRPr="00087AC9" w:rsidP="00440C98" w14:paraId="60360ECF" w14:textId="5A04BAF8">
      <w:pPr>
        <w:spacing w:line="238" w:lineRule="auto"/>
      </w:pPr>
      <w:r w:rsidRPr="00087AC9">
        <w:t xml:space="preserve">On October 1, 2015, the U.S. Environmental Protection Agency (EPA) revised the primary and secondary 8-hour standards for ozone to 70 parts per billion (ppb).  States were required to provide ozone infrastructure State Implementation Plan (SIP) submissions to fulfill interstate transport obligations for the 2015 ozone NAAQS by October 1, 2018. The interstate transport obligations under Clean Air Act (CAA) section 110(a)(2)(D)(i)(I), are referred to as the “good neighbor provision” or the “interstate transport provision” of the Act. </w:t>
      </w:r>
      <w:r w:rsidR="001C26AF">
        <w:t>For non-EGUs, t</w:t>
      </w:r>
      <w:r w:rsidRPr="00087AC9">
        <w:t xml:space="preserve">his </w:t>
      </w:r>
      <w:r w:rsidR="00D9140D">
        <w:t>final</w:t>
      </w:r>
      <w:r w:rsidRPr="00087AC9">
        <w:t xml:space="preserve"> rule would resolve the interstate transport obligations of </w:t>
      </w:r>
      <w:r w:rsidR="00231F44">
        <w:t>20</w:t>
      </w:r>
      <w:r w:rsidRPr="00087AC9">
        <w:t xml:space="preserve"> states under the “good neighbor provision” for the 2015 ozone NAAQS and is the subject of this clearance request.</w:t>
      </w:r>
    </w:p>
    <w:p w:rsidR="00010350" w:rsidRPr="00087AC9" w:rsidP="00440C98" w14:paraId="416543F4" w14:textId="64ECD004">
      <w:pPr>
        <w:spacing w:line="238" w:lineRule="auto"/>
      </w:pPr>
    </w:p>
    <w:p w:rsidR="00506123" w:rsidRPr="00087AC9" w:rsidP="000A34B1" w14:paraId="5CD9CBCC" w14:textId="663B3AD2">
      <w:pPr>
        <w:tabs>
          <w:tab w:val="left" w:pos="1350"/>
        </w:tabs>
        <w:spacing w:line="238" w:lineRule="auto"/>
        <w:rPr>
          <w:rFonts w:eastAsiaTheme="minorEastAsia"/>
          <w:szCs w:val="24"/>
        </w:rPr>
      </w:pPr>
      <w:r>
        <w:rPr>
          <w:szCs w:val="24"/>
        </w:rPr>
        <w:t xml:space="preserve">The </w:t>
      </w:r>
      <w:r w:rsidRPr="00087AC9" w:rsidR="000A2BEC">
        <w:rPr>
          <w:szCs w:val="24"/>
        </w:rPr>
        <w:t xml:space="preserve">EPA is </w:t>
      </w:r>
      <w:r w:rsidRPr="00087AC9" w:rsidR="000A2BEC">
        <w:rPr>
          <w:rFonts w:eastAsiaTheme="minorEastAsia"/>
          <w:szCs w:val="24"/>
        </w:rPr>
        <w:t>establish</w:t>
      </w:r>
      <w:r w:rsidR="00140762">
        <w:rPr>
          <w:rFonts w:eastAsiaTheme="minorEastAsia"/>
          <w:szCs w:val="24"/>
        </w:rPr>
        <w:t>ing</w:t>
      </w:r>
      <w:r w:rsidRPr="00087AC9" w:rsidR="000A2BEC">
        <w:rPr>
          <w:rFonts w:eastAsiaTheme="minorEastAsia"/>
          <w:szCs w:val="24"/>
        </w:rPr>
        <w:t xml:space="preserve"> nitrogen oxides (NOx) emissions limitations during </w:t>
      </w:r>
      <w:r w:rsidR="00507FEB">
        <w:rPr>
          <w:rFonts w:eastAsiaTheme="minorEastAsia"/>
          <w:szCs w:val="24"/>
        </w:rPr>
        <w:t xml:space="preserve">the </w:t>
      </w:r>
      <w:r w:rsidRPr="00087AC9" w:rsidR="000A2BEC">
        <w:rPr>
          <w:rFonts w:eastAsiaTheme="minorEastAsia"/>
          <w:szCs w:val="24"/>
        </w:rPr>
        <w:t>ozone season</w:t>
      </w:r>
      <w:r w:rsidR="00B87CF0">
        <w:rPr>
          <w:rFonts w:eastAsiaTheme="minorEastAsia"/>
          <w:szCs w:val="24"/>
        </w:rPr>
        <w:t xml:space="preserve"> (May 1 through September 30)</w:t>
      </w:r>
      <w:r w:rsidRPr="00087AC9" w:rsidR="000A2BEC">
        <w:rPr>
          <w:rFonts w:eastAsiaTheme="minorEastAsia"/>
          <w:szCs w:val="24"/>
        </w:rPr>
        <w:t xml:space="preserve"> beginning in 2026 for certain non-EGU industry stationary sources to eliminate significant contribution to downwind ozone air quality problems in other states.  </w:t>
      </w:r>
      <w:r w:rsidRPr="00087AC9" w:rsidR="00010350">
        <w:t xml:space="preserve">The implementation of the </w:t>
      </w:r>
      <w:r w:rsidR="00D9140D">
        <w:t>final</w:t>
      </w:r>
      <w:r w:rsidRPr="00087AC9" w:rsidR="00010350">
        <w:t xml:space="preserve"> rule would require </w:t>
      </w:r>
      <w:r w:rsidR="00507FEB">
        <w:t>owners and operators of</w:t>
      </w:r>
      <w:r w:rsidRPr="00087AC9" w:rsidR="00010350">
        <w:t xml:space="preserve"> affected </w:t>
      </w:r>
      <w:r w:rsidR="00507FEB">
        <w:t>units</w:t>
      </w:r>
      <w:r w:rsidRPr="00087AC9" w:rsidR="00010350">
        <w:t xml:space="preserve"> </w:t>
      </w:r>
      <w:r w:rsidR="00507FEB">
        <w:t>within</w:t>
      </w:r>
      <w:r w:rsidRPr="00087AC9" w:rsidR="00010350">
        <w:t xml:space="preserve"> certain non-EGU industry </w:t>
      </w:r>
      <w:r w:rsidR="00507FEB">
        <w:t>sectors</w:t>
      </w:r>
      <w:r w:rsidRPr="00087AC9" w:rsidR="00010350">
        <w:t xml:space="preserve"> to conduct </w:t>
      </w:r>
      <w:r w:rsidRPr="00087AC9" w:rsidR="00AB0BE1">
        <w:t xml:space="preserve">new compliance </w:t>
      </w:r>
      <w:r w:rsidRPr="00087AC9" w:rsidR="00010350">
        <w:t>activities.  The Paperwork Reduction Act requires the information found in this ICR number 2705.0</w:t>
      </w:r>
      <w:r w:rsidR="003D395C">
        <w:t>2</w:t>
      </w:r>
      <w:r w:rsidRPr="00087AC9" w:rsidR="00010350">
        <w:t xml:space="preserve"> to assess the burden (in hours and dollars) </w:t>
      </w:r>
      <w:r w:rsidRPr="00087AC9" w:rsidR="00AB0BE1">
        <w:t>of these new compliance activities</w:t>
      </w:r>
      <w:r w:rsidRPr="00087AC9" w:rsidR="000A2BEC">
        <w:t>.</w:t>
      </w:r>
      <w:r w:rsidRPr="00087AC9" w:rsidR="000A2BEC">
        <w:rPr>
          <w:rFonts w:eastAsiaTheme="minorEastAsia"/>
          <w:szCs w:val="24"/>
        </w:rPr>
        <w:t xml:space="preserve">  </w:t>
      </w:r>
    </w:p>
    <w:p w:rsidR="00506123" w:rsidRPr="00087AC9" w:rsidP="000A34B1" w14:paraId="11FDA65C" w14:textId="77777777">
      <w:pPr>
        <w:tabs>
          <w:tab w:val="left" w:pos="1350"/>
        </w:tabs>
        <w:spacing w:line="238" w:lineRule="auto"/>
        <w:rPr>
          <w:rFonts w:eastAsiaTheme="minorEastAsia"/>
          <w:szCs w:val="24"/>
        </w:rPr>
      </w:pPr>
    </w:p>
    <w:p w:rsidR="000A2BEC" w:rsidRPr="00087AC9" w:rsidP="000A34B1" w14:paraId="1C2828C6" w14:textId="68895611">
      <w:pPr>
        <w:tabs>
          <w:tab w:val="left" w:pos="1350"/>
        </w:tabs>
        <w:spacing w:line="238" w:lineRule="auto"/>
      </w:pPr>
      <w:r>
        <w:t xml:space="preserve">The </w:t>
      </w:r>
      <w:r w:rsidR="005E7C97">
        <w:t>EPA is not expecting any required respondent activities</w:t>
      </w:r>
      <w:r w:rsidR="00B215F7">
        <w:t xml:space="preserve"> or costs</w:t>
      </w:r>
      <w:r w:rsidR="005E7C97">
        <w:t xml:space="preserve"> to begin until </w:t>
      </w:r>
      <w:r w:rsidR="00D9140D">
        <w:t xml:space="preserve">later in </w:t>
      </w:r>
      <w:r w:rsidR="005E7C97">
        <w:t>202</w:t>
      </w:r>
      <w:r w:rsidR="00D9140D">
        <w:t>3 after the final rule becomes effective</w:t>
      </w:r>
      <w:r w:rsidR="005E7C97">
        <w:t xml:space="preserve">.  </w:t>
      </w:r>
      <w:r w:rsidR="00542B4B">
        <w:t xml:space="preserve">The </w:t>
      </w:r>
      <w:r w:rsidR="00BB4E9E">
        <w:t>final</w:t>
      </w:r>
      <w:r w:rsidR="00542B4B">
        <w:t xml:space="preserve"> </w:t>
      </w:r>
      <w:r w:rsidR="00BB4E9E">
        <w:t>r</w:t>
      </w:r>
      <w:r w:rsidR="00542B4B">
        <w:t xml:space="preserve">ule compliance period with emissions limits for non-EGU emissions sources begins in 2026 and would occur during the 2026-2029 </w:t>
      </w:r>
      <w:r w:rsidR="00542B4B">
        <w:t>time period</w:t>
      </w:r>
      <w:r w:rsidR="00542B4B">
        <w:t xml:space="preserve"> </w:t>
      </w:r>
      <w:r w:rsidR="00542B4B">
        <w:t xml:space="preserve">of any subsequent ICR renewal. The majority of ICR respondent burden and cost will be realized during the 2026-2029 renewal timeframe and beyond. </w:t>
      </w:r>
      <w:r w:rsidR="005E7C97">
        <w:t xml:space="preserve">Consequently, this </w:t>
      </w:r>
      <w:r w:rsidR="00B215F7">
        <w:t xml:space="preserve">non-EGU </w:t>
      </w:r>
      <w:r w:rsidR="005E7C97">
        <w:t xml:space="preserve">ICR is </w:t>
      </w:r>
      <w:r w:rsidR="00542B4B">
        <w:t xml:space="preserve">likely an overestimate </w:t>
      </w:r>
      <w:r w:rsidR="005E7C97">
        <w:t xml:space="preserve">of the </w:t>
      </w:r>
      <w:r w:rsidR="003812E9">
        <w:t xml:space="preserve">burden occurring in the </w:t>
      </w:r>
      <w:r>
        <w:t>2023-2025</w:t>
      </w:r>
      <w:r w:rsidR="005E7C97">
        <w:t xml:space="preserve"> timeframe.  </w:t>
      </w:r>
      <w:r w:rsidRPr="00087AC9">
        <w:t xml:space="preserve">In the </w:t>
      </w:r>
      <w:r>
        <w:t>2023-2025</w:t>
      </w:r>
      <w:r w:rsidR="005E7C97">
        <w:t xml:space="preserve"> timeframe</w:t>
      </w:r>
      <w:r w:rsidRPr="00087AC9">
        <w:t>, owners</w:t>
      </w:r>
      <w:r w:rsidRPr="00087AC9" w:rsidR="00506123">
        <w:t>/</w:t>
      </w:r>
      <w:r w:rsidRPr="00087AC9">
        <w:t xml:space="preserve">operators of certain non-EGU </w:t>
      </w:r>
      <w:r w:rsidRPr="00087AC9" w:rsidR="00506123">
        <w:t>affected facilities</w:t>
      </w:r>
      <w:r w:rsidRPr="00087AC9">
        <w:t xml:space="preserve">, and the EPA </w:t>
      </w:r>
      <w:r w:rsidR="00FB5590">
        <w:t>may</w:t>
      </w:r>
      <w:r w:rsidRPr="00087AC9" w:rsidR="00FB5590">
        <w:t xml:space="preserve"> </w:t>
      </w:r>
      <w:r w:rsidRPr="00087AC9">
        <w:t>conduct new monitoring, calibrating, recordkeeping,</w:t>
      </w:r>
      <w:r w:rsidRPr="00087AC9" w:rsidR="00506123">
        <w:t xml:space="preserve"> </w:t>
      </w:r>
      <w:r w:rsidRPr="00087AC9">
        <w:t>reporting</w:t>
      </w:r>
      <w:r w:rsidR="00F0401C">
        <w:t>,</w:t>
      </w:r>
      <w:r w:rsidRPr="00087AC9">
        <w:t xml:space="preserve"> and</w:t>
      </w:r>
      <w:r w:rsidR="00FB5590">
        <w:t>/or</w:t>
      </w:r>
      <w:r w:rsidRPr="00087AC9">
        <w:t xml:space="preserve"> </w:t>
      </w:r>
      <w:r w:rsidRPr="00087AC9" w:rsidR="00506123">
        <w:t xml:space="preserve">performance </w:t>
      </w:r>
      <w:r w:rsidRPr="00087AC9">
        <w:t>testing activities.</w:t>
      </w:r>
      <w:r w:rsidRPr="00087AC9" w:rsidR="00506123">
        <w:t xml:space="preserve">  This information is being collected to assure compliance with the </w:t>
      </w:r>
      <w:r w:rsidR="00D9140D">
        <w:t>final</w:t>
      </w:r>
      <w:r w:rsidRPr="00087AC9" w:rsidR="00506123">
        <w:t xml:space="preserve"> rule.  The required activities are specific to each non-EGU industry sector and can vary across the range of industry sectors.  In general, the </w:t>
      </w:r>
      <w:r w:rsidR="00D9140D">
        <w:t>final</w:t>
      </w:r>
      <w:r w:rsidRPr="00087AC9" w:rsidR="00506123">
        <w:t xml:space="preserve"> rule will require initial notifications, performance tests</w:t>
      </w:r>
      <w:r w:rsidR="00F0401C">
        <w:t>,</w:t>
      </w:r>
      <w:r w:rsidRPr="00087AC9" w:rsidR="00506123">
        <w:t xml:space="preserve"> and periodic reports by owners/operators.  Recordkeeping </w:t>
      </w:r>
      <w:r w:rsidRPr="00087AC9" w:rsidR="001E627B">
        <w:t xml:space="preserve">shall be maintained and retained for at least five years following the date of such measurements, maintenance reports, and records.  All reports are sent to </w:t>
      </w:r>
      <w:r w:rsidR="00FB5590">
        <w:t xml:space="preserve">the EPA and potentially </w:t>
      </w:r>
      <w:r w:rsidRPr="00087AC9" w:rsidR="001E627B">
        <w:t xml:space="preserve">delegated state or local authority.  </w:t>
      </w:r>
      <w:r w:rsidRPr="00087AC9" w:rsidR="008B29D5">
        <w:t>Certain</w:t>
      </w:r>
      <w:r w:rsidRPr="00087AC9" w:rsidR="001E627B">
        <w:t xml:space="preserve"> reports may be submitted electronically to the EPA through</w:t>
      </w:r>
      <w:r w:rsidRPr="00087AC9" w:rsidR="008B29D5">
        <w:t xml:space="preserve"> the</w:t>
      </w:r>
      <w:r w:rsidRPr="00087AC9" w:rsidR="001E627B">
        <w:t xml:space="preserve"> </w:t>
      </w:r>
      <w:r w:rsidRPr="00087AC9" w:rsidR="008B29D5">
        <w:t xml:space="preserve">Compliance and Emissions Data Reporting Interface </w:t>
      </w:r>
      <w:r w:rsidRPr="00087AC9" w:rsidR="001E627B">
        <w:t xml:space="preserve">(CEDRI).  </w:t>
      </w:r>
      <w:r w:rsidRPr="00087AC9" w:rsidR="001E627B">
        <w:t>In the event that</w:t>
      </w:r>
      <w:r w:rsidRPr="00087AC9" w:rsidR="001E627B">
        <w:t xml:space="preserve"> there is no delegated authority, the reports are sent directly to </w:t>
      </w:r>
      <w:r w:rsidR="00AC2B07">
        <w:t xml:space="preserve">the </w:t>
      </w:r>
      <w:r w:rsidRPr="00087AC9" w:rsidR="001E627B">
        <w:t>EPA regional office.</w:t>
      </w:r>
    </w:p>
    <w:p w:rsidR="002976E2" w:rsidRPr="00087AC9" w:rsidP="00440C98" w14:paraId="7F334109" w14:textId="6C52FE7D">
      <w:pPr>
        <w:spacing w:line="238" w:lineRule="auto"/>
      </w:pPr>
    </w:p>
    <w:p w:rsidR="00AD098E" w:rsidRPr="00087AC9" w:rsidP="00943823" w14:paraId="5C81823B" w14:textId="1A4D6580">
      <w:pPr>
        <w:spacing w:line="238" w:lineRule="auto"/>
      </w:pPr>
      <w:r>
        <w:t xml:space="preserve">In the </w:t>
      </w:r>
      <w:r w:rsidR="00231F44">
        <w:t>2023-2025</w:t>
      </w:r>
      <w:r>
        <w:t xml:space="preserve"> timeframe</w:t>
      </w:r>
      <w:r w:rsidRPr="00087AC9" w:rsidR="002976E2">
        <w:t xml:space="preserve">, approximately </w:t>
      </w:r>
      <w:r w:rsidR="004D4CB8">
        <w:t>902</w:t>
      </w:r>
      <w:r w:rsidRPr="0895AA45" w:rsidR="004D4CB8">
        <w:t xml:space="preserve"> facilities and </w:t>
      </w:r>
      <w:r w:rsidR="004D4CB8">
        <w:t xml:space="preserve">3,328 </w:t>
      </w:r>
      <w:r w:rsidRPr="0895AA45" w:rsidR="004D4CB8">
        <w:t>affected non-EGU emission</w:t>
      </w:r>
      <w:r w:rsidR="004D4CB8">
        <w:t>s</w:t>
      </w:r>
      <w:r w:rsidRPr="00087AC9" w:rsidR="004D4CB8">
        <w:rPr>
          <w:szCs w:val="24"/>
        </w:rPr>
        <w:t xml:space="preserve"> </w:t>
      </w:r>
      <w:r w:rsidR="004D4CB8">
        <w:t>units</w:t>
      </w:r>
      <w:r w:rsidRPr="0895AA45" w:rsidR="004D4CB8">
        <w:t xml:space="preserve"> </w:t>
      </w:r>
      <w:r w:rsidR="004D4CB8">
        <w:t>(industry respondents)</w:t>
      </w:r>
      <w:r w:rsidRPr="00087AC9" w:rsidR="002976E2">
        <w:t xml:space="preserve"> per year will be subject to the </w:t>
      </w:r>
      <w:r w:rsidR="00D9140D">
        <w:t>final</w:t>
      </w:r>
      <w:r w:rsidRPr="00087AC9" w:rsidR="002976E2">
        <w:t xml:space="preserve"> rule and this estimate is based on the Agency’s </w:t>
      </w:r>
      <w:r w:rsidR="00A650A4">
        <w:t>memorandum titled “</w:t>
      </w:r>
      <w:r w:rsidRPr="00A650A4" w:rsidR="00A650A4">
        <w:t>Summary of Final Rule Applicability Criteria and Emissions Limits for Non-EGU Emissions Units, Assumed Control Technologies for Meeting the Final Emissions Limits, and Estimated Emissions Units, Emissions Reductions, and Costs</w:t>
      </w:r>
      <w:r w:rsidR="00A650A4">
        <w:t>”</w:t>
      </w:r>
      <w:r w:rsidR="005F2A8A">
        <w:t xml:space="preserve"> </w:t>
      </w:r>
      <w:r w:rsidR="00943823">
        <w:t xml:space="preserve">for the </w:t>
      </w:r>
      <w:r w:rsidR="00A650A4">
        <w:t>f</w:t>
      </w:r>
      <w:r w:rsidR="00943823">
        <w:t xml:space="preserve">inal </w:t>
      </w:r>
      <w:r w:rsidR="00A650A4">
        <w:t>r</w:t>
      </w:r>
      <w:r w:rsidR="00943823">
        <w:t>ule</w:t>
      </w:r>
      <w:r w:rsidRPr="00087AC9" w:rsidR="002976E2">
        <w:t xml:space="preserve">.  The </w:t>
      </w:r>
      <w:r w:rsidR="002515AD">
        <w:t>“</w:t>
      </w:r>
      <w:r w:rsidRPr="002515AD" w:rsidR="00937C74">
        <w:t>Screening Assessment of Potential Emissions Reductions, Air Quality Impacts, and Costs from Non-EGU Emissions Units for 2026</w:t>
      </w:r>
      <w:r w:rsidR="002515AD">
        <w:t>”</w:t>
      </w:r>
      <w:r>
        <w:rPr>
          <w:rStyle w:val="FootnoteReference"/>
        </w:rPr>
        <w:footnoteReference w:id="3"/>
      </w:r>
      <w:r w:rsidRPr="00937C74" w:rsidR="00937C74">
        <w:t xml:space="preserve"> </w:t>
      </w:r>
      <w:r w:rsidR="00937C74">
        <w:t>(</w:t>
      </w:r>
      <w:r>
        <w:t>Non-EGU S</w:t>
      </w:r>
      <w:r w:rsidRPr="00087AC9" w:rsidR="002976E2">
        <w:t xml:space="preserve">creening </w:t>
      </w:r>
      <w:r>
        <w:t>A</w:t>
      </w:r>
      <w:r w:rsidRPr="00087AC9" w:rsidR="002976E2">
        <w:t>ssessment</w:t>
      </w:r>
      <w:r w:rsidR="00937C74">
        <w:t>)</w:t>
      </w:r>
      <w:r w:rsidRPr="00087AC9" w:rsidR="002976E2">
        <w:t xml:space="preserve"> </w:t>
      </w:r>
      <w:r w:rsidR="00306D13">
        <w:t xml:space="preserve">memorandum </w:t>
      </w:r>
      <w:r w:rsidR="002515AD">
        <w:t xml:space="preserve">prepared for proposal </w:t>
      </w:r>
      <w:r w:rsidRPr="00087AC9" w:rsidR="002976E2">
        <w:t>identified the following</w:t>
      </w:r>
      <w:r w:rsidRPr="19578919" w:rsidR="002976E2">
        <w:rPr>
          <w:rFonts w:eastAsiaTheme="minorEastAsia"/>
        </w:rPr>
        <w:t xml:space="preserve"> non-EGU industry source types: furnaces in Glass and Glass Product Manufacturing; </w:t>
      </w:r>
      <w:r w:rsidR="00FB5590">
        <w:rPr>
          <w:rFonts w:eastAsiaTheme="minorEastAsia"/>
        </w:rPr>
        <w:t xml:space="preserve">large </w:t>
      </w:r>
      <w:r w:rsidRPr="19578919" w:rsidR="002976E2">
        <w:rPr>
          <w:rFonts w:eastAsiaTheme="minorEastAsia"/>
        </w:rPr>
        <w:t xml:space="preserve">boilers and </w:t>
      </w:r>
      <w:r w:rsidR="003E1B07">
        <w:rPr>
          <w:rFonts w:eastAsiaTheme="minorEastAsia"/>
        </w:rPr>
        <w:t xml:space="preserve">reheat </w:t>
      </w:r>
      <w:r w:rsidRPr="19578919" w:rsidR="002976E2">
        <w:rPr>
          <w:rFonts w:eastAsiaTheme="minorEastAsia"/>
        </w:rPr>
        <w:t xml:space="preserve">furnaces in Iron and Steel Mills and Ferroalloy Manufacturing; kilns in Cement and Cement Product Manufacturing; reciprocating internal combustion engines in Pipeline Transportation of Natural Gas; and large boilers in Basic Chemical Manufacturing, </w:t>
      </w:r>
      <w:r w:rsidR="0079693A">
        <w:rPr>
          <w:rFonts w:eastAsiaTheme="minorEastAsia"/>
        </w:rPr>
        <w:t xml:space="preserve">Metal Ore Mining; </w:t>
      </w:r>
      <w:r w:rsidRPr="19578919" w:rsidR="002976E2">
        <w:rPr>
          <w:rFonts w:eastAsiaTheme="minorEastAsia"/>
        </w:rPr>
        <w:t>Petroleum and Coal Products Manufacturing</w:t>
      </w:r>
      <w:r w:rsidRPr="19578919" w:rsidR="000D1AED">
        <w:rPr>
          <w:rFonts w:eastAsiaTheme="minorEastAsia"/>
        </w:rPr>
        <w:t xml:space="preserve">; </w:t>
      </w:r>
      <w:r w:rsidRPr="19578919" w:rsidR="002976E2">
        <w:rPr>
          <w:rFonts w:eastAsiaTheme="minorEastAsia"/>
        </w:rPr>
        <w:t>Pulp, Paper, and Paperboard Mill</w:t>
      </w:r>
      <w:r w:rsidRPr="19578919" w:rsidR="00306D13">
        <w:rPr>
          <w:rFonts w:eastAsiaTheme="minorEastAsia"/>
        </w:rPr>
        <w:t>s</w:t>
      </w:r>
      <w:r w:rsidRPr="19578919" w:rsidR="00F42980">
        <w:rPr>
          <w:rFonts w:eastAsiaTheme="minorEastAsia"/>
        </w:rPr>
        <w:t xml:space="preserve">; and combustors and incinerators in Solid Waste Combustors and Incinerators.  </w:t>
      </w:r>
      <w:r w:rsidRPr="19578919" w:rsidR="00440C98">
        <w:rPr>
          <w:color w:val="000000" w:themeColor="text1"/>
        </w:rPr>
        <w:br w:type="page"/>
      </w:r>
    </w:p>
    <w:p w:rsidR="00B05188" w:rsidRPr="00087AC9" w:rsidP="00497077" w14:paraId="7014014C" w14:textId="63C4461F">
      <w:pPr>
        <w:autoSpaceDE w:val="0"/>
        <w:autoSpaceDN w:val="0"/>
        <w:adjustRightInd w:val="0"/>
        <w:rPr>
          <w:szCs w:val="24"/>
        </w:rPr>
      </w:pPr>
      <w:r w:rsidRPr="00087AC9">
        <w:rPr>
          <w:noProof/>
        </w:rPr>
        <mc:AlternateContent>
          <mc:Choice Requires="wps">
            <w:drawing>
              <wp:anchor distT="152400" distB="152400" distL="152400" distR="152400" simplePos="0" relativeHeight="251711488" behindDoc="0" locked="0" layoutInCell="1" allowOverlap="1">
                <wp:simplePos x="0" y="0"/>
                <wp:positionH relativeFrom="margin">
                  <wp:posOffset>-2258060</wp:posOffset>
                </wp:positionH>
                <wp:positionV relativeFrom="paragraph">
                  <wp:posOffset>439420</wp:posOffset>
                </wp:positionV>
                <wp:extent cx="1896110" cy="555625"/>
                <wp:effectExtent l="0" t="1270" r="0" b="0"/>
                <wp:wrapSquare wrapText="largest"/>
                <wp:docPr id="30" name="Text Box 1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96110" cy="5556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3AC" w:rsidP="00440C98" w14:paraId="7B86AA53" w14:textId="77777777">
                            <w:pPr>
                              <w:ind w:left="720" w:hanging="720"/>
                            </w:pPr>
                            <w:r>
                              <w:rPr>
                                <w:rFonts w:ascii="Arial" w:hAnsi="Arial"/>
                                <w:b/>
                              </w:rPr>
                              <w:t>2.1</w:t>
                            </w:r>
                            <w:r>
                              <w:rPr>
                                <w:rFonts w:ascii="Arial" w:hAnsi="Arial"/>
                                <w:b/>
                              </w:rPr>
                              <w:tab/>
                            </w:r>
                            <w:r>
                              <w:rPr>
                                <w:rFonts w:ascii="Arial" w:hAnsi="Arial"/>
                                <w:b/>
                              </w:rPr>
                              <w:t>Need / Authority for the Collection</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157" o:spid="_x0000_s1040" type="#_x0000_t202" style="width:149.3pt;height:43.75pt;margin-top:34.6pt;margin-left:-177.8pt;mso-height-percent:0;mso-height-relative:page;mso-position-horizontal-relative:margin;mso-width-percent:0;mso-width-relative:page;mso-wrap-distance-bottom:12pt;mso-wrap-distance-left:12pt;mso-wrap-distance-right:12pt;mso-wrap-distance-top:12pt;mso-wrap-style:square;position:absolute;visibility:visible;v-text-anchor:top;z-index:251712512" filled="f" stroked="f">
                <v:textbox inset="0,0,6pt,6pt">
                  <w:txbxContent>
                    <w:p w:rsidR="005343AC" w:rsidP="00440C98" w14:paraId="04218101" w14:textId="77777777">
                      <w:pPr>
                        <w:ind w:left="720" w:hanging="720"/>
                      </w:pPr>
                      <w:r>
                        <w:rPr>
                          <w:rFonts w:ascii="Arial" w:hAnsi="Arial"/>
                          <w:b/>
                        </w:rPr>
                        <w:t>2.1</w:t>
                      </w:r>
                      <w:r>
                        <w:rPr>
                          <w:rFonts w:ascii="Arial" w:hAnsi="Arial"/>
                          <w:b/>
                        </w:rPr>
                        <w:tab/>
                      </w:r>
                      <w:r>
                        <w:rPr>
                          <w:rFonts w:ascii="Arial" w:hAnsi="Arial"/>
                          <w:b/>
                        </w:rPr>
                        <w:t>Need / Authority for the Collection</w:t>
                      </w:r>
                    </w:p>
                  </w:txbxContent>
                </v:textbox>
                <w10:wrap type="square" side="largest"/>
              </v:shape>
            </w:pict>
          </mc:Fallback>
        </mc:AlternateContent>
      </w:r>
      <w:r w:rsidRPr="00087AC9">
        <w:rPr>
          <w:noProof/>
        </w:rPr>
        <mc:AlternateContent>
          <mc:Choice Requires="wps">
            <w:drawing>
              <wp:anchor distT="152400" distB="152400" distL="152400" distR="152400" simplePos="0" relativeHeight="251658240" behindDoc="0" locked="0" layoutInCell="1" allowOverlap="1">
                <wp:simplePos x="0" y="0"/>
                <wp:positionH relativeFrom="margin">
                  <wp:posOffset>-2247900</wp:posOffset>
                </wp:positionH>
                <wp:positionV relativeFrom="paragraph">
                  <wp:posOffset>1270</wp:posOffset>
                </wp:positionV>
                <wp:extent cx="6762115" cy="273050"/>
                <wp:effectExtent l="0" t="1270" r="635" b="1905"/>
                <wp:wrapSquare wrapText="largest"/>
                <wp:docPr id="31" name="Text Box 1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62115" cy="2730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3AC" w:rsidP="00AD098E" w14:paraId="67382A7A" w14:textId="362C55CA">
                            <w:r>
                              <w:rPr>
                                <w:rFonts w:ascii="Arial" w:hAnsi="Arial"/>
                                <w:b/>
                              </w:rPr>
                              <w:t>2</w:t>
                            </w:r>
                            <w:r>
                              <w:rPr>
                                <w:rFonts w:ascii="Arial" w:hAnsi="Arial"/>
                                <w:b/>
                              </w:rPr>
                              <w:tab/>
                            </w:r>
                            <w:r>
                              <w:rPr>
                                <w:rFonts w:ascii="Arial" w:hAnsi="Arial"/>
                                <w:b/>
                              </w:rPr>
                              <w:t>Need and Use of the</w:t>
                            </w:r>
                            <w:r w:rsidRPr="009A6412">
                              <w:rPr>
                                <w:rStyle w:val="Heading1Char"/>
                                <w:sz w:val="24"/>
                                <w:szCs w:val="24"/>
                              </w:rPr>
                              <w:t xml:space="preserve"> Collection</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_x0000_s1041" type="#_x0000_t202" style="width:532.45pt;height:21.5pt;margin-top:0.1pt;margin-left:-177pt;mso-height-percent:0;mso-height-relative:page;mso-position-horizontal-relative:margin;mso-width-percent:0;mso-width-relative:page;mso-wrap-distance-bottom:12pt;mso-wrap-distance-left:12pt;mso-wrap-distance-right:12pt;mso-wrap-distance-top:12pt;mso-wrap-style:square;position:absolute;visibility:visible;v-text-anchor:top;z-index:251659264" filled="f" stroked="f">
                <v:textbox inset="0,0,6pt,6pt">
                  <w:txbxContent>
                    <w:p w:rsidR="005343AC" w:rsidP="00AD098E" w14:paraId="2DB433CD" w14:textId="362C55CA">
                      <w:r>
                        <w:rPr>
                          <w:rFonts w:ascii="Arial" w:hAnsi="Arial"/>
                          <w:b/>
                        </w:rPr>
                        <w:t>2</w:t>
                      </w:r>
                      <w:r>
                        <w:rPr>
                          <w:rFonts w:ascii="Arial" w:hAnsi="Arial"/>
                          <w:b/>
                        </w:rPr>
                        <w:tab/>
                      </w:r>
                      <w:r>
                        <w:rPr>
                          <w:rFonts w:ascii="Arial" w:hAnsi="Arial"/>
                          <w:b/>
                        </w:rPr>
                        <w:t>Need and Use of the</w:t>
                      </w:r>
                      <w:r w:rsidRPr="009A6412">
                        <w:rPr>
                          <w:rStyle w:val="Heading1Char"/>
                          <w:sz w:val="24"/>
                          <w:szCs w:val="24"/>
                        </w:rPr>
                        <w:t xml:space="preserve"> Collection</w:t>
                      </w:r>
                    </w:p>
                  </w:txbxContent>
                </v:textbox>
                <w10:wrap type="square" side="largest"/>
              </v:shape>
            </w:pict>
          </mc:Fallback>
        </mc:AlternateContent>
      </w:r>
      <w:r w:rsidRPr="00087AC9" w:rsidR="00F24E8F">
        <w:rPr>
          <w:szCs w:val="24"/>
        </w:rPr>
        <w:t xml:space="preserve">Documented emissions data </w:t>
      </w:r>
      <w:r w:rsidRPr="00087AC9" w:rsidR="000A3A1A">
        <w:rPr>
          <w:szCs w:val="24"/>
        </w:rPr>
        <w:t xml:space="preserve">is </w:t>
      </w:r>
      <w:r w:rsidRPr="00087AC9" w:rsidR="00F24E8F">
        <w:rPr>
          <w:szCs w:val="24"/>
        </w:rPr>
        <w:t xml:space="preserve">necessary to determine compliance with the NOx emission limitations required by this </w:t>
      </w:r>
      <w:r w:rsidR="00D9140D">
        <w:rPr>
          <w:szCs w:val="24"/>
        </w:rPr>
        <w:t>final</w:t>
      </w:r>
      <w:r w:rsidRPr="00087AC9" w:rsidR="00F24E8F">
        <w:rPr>
          <w:szCs w:val="24"/>
        </w:rPr>
        <w:t xml:space="preserve"> rule for certain non-EGU industry stationary sources.</w:t>
      </w:r>
      <w:r w:rsidRPr="00087AC9" w:rsidR="00B05188">
        <w:rPr>
          <w:szCs w:val="24"/>
        </w:rPr>
        <w:t xml:space="preserve">  The recordkeeping and reporting requirements in the </w:t>
      </w:r>
      <w:r w:rsidR="00B87CF0">
        <w:rPr>
          <w:szCs w:val="24"/>
        </w:rPr>
        <w:t>provisions applicable to these sources</w:t>
      </w:r>
      <w:r w:rsidRPr="00087AC9" w:rsidR="00B87CF0">
        <w:rPr>
          <w:szCs w:val="24"/>
        </w:rPr>
        <w:t xml:space="preserve"> </w:t>
      </w:r>
      <w:r w:rsidRPr="00087AC9" w:rsidR="00B05188">
        <w:rPr>
          <w:szCs w:val="24"/>
        </w:rPr>
        <w:t xml:space="preserve">ensure compliance with the applicable regulations.  Performance tests are required </w:t>
      </w:r>
      <w:r w:rsidR="000C222A">
        <w:rPr>
          <w:szCs w:val="24"/>
        </w:rPr>
        <w:t>to</w:t>
      </w:r>
      <w:r w:rsidRPr="00087AC9" w:rsidR="00B05188">
        <w:rPr>
          <w:szCs w:val="24"/>
        </w:rPr>
        <w:t xml:space="preserve"> determine an affected facility’s initial capability to comply with the emission standards. </w:t>
      </w:r>
      <w:r w:rsidR="00B87CF0">
        <w:rPr>
          <w:szCs w:val="24"/>
        </w:rPr>
        <w:t>In some cases, c</w:t>
      </w:r>
      <w:r w:rsidRPr="00087AC9" w:rsidR="00B05188">
        <w:rPr>
          <w:szCs w:val="24"/>
        </w:rPr>
        <w:t xml:space="preserve">ontinuous emission monitors </w:t>
      </w:r>
      <w:r w:rsidR="00B87CF0">
        <w:rPr>
          <w:szCs w:val="24"/>
        </w:rPr>
        <w:t>(CEMS)</w:t>
      </w:r>
      <w:r w:rsidR="0079693A">
        <w:rPr>
          <w:szCs w:val="24"/>
        </w:rPr>
        <w:t xml:space="preserve"> </w:t>
      </w:r>
      <w:r w:rsidR="00B87CF0">
        <w:rPr>
          <w:szCs w:val="24"/>
        </w:rPr>
        <w:t xml:space="preserve">may be </w:t>
      </w:r>
      <w:r w:rsidRPr="00087AC9" w:rsidR="00B05188">
        <w:rPr>
          <w:szCs w:val="24"/>
        </w:rPr>
        <w:t xml:space="preserve">used to </w:t>
      </w:r>
      <w:r w:rsidRPr="00087AC9" w:rsidR="00B05188">
        <w:rPr>
          <w:szCs w:val="24"/>
        </w:rPr>
        <w:t>ensure compliance with the standards at all times</w:t>
      </w:r>
      <w:r w:rsidRPr="00087AC9" w:rsidR="00B05188">
        <w:rPr>
          <w:szCs w:val="24"/>
        </w:rPr>
        <w:t xml:space="preserve">. </w:t>
      </w:r>
      <w:r w:rsidR="00B87CF0">
        <w:rPr>
          <w:szCs w:val="24"/>
        </w:rPr>
        <w:t>For other sources not using CEMS, other monitoring</w:t>
      </w:r>
      <w:r w:rsidR="002515AD">
        <w:rPr>
          <w:szCs w:val="24"/>
        </w:rPr>
        <w:t>,</w:t>
      </w:r>
      <w:r w:rsidR="00B87CF0">
        <w:rPr>
          <w:szCs w:val="24"/>
        </w:rPr>
        <w:t xml:space="preserve"> reporting</w:t>
      </w:r>
      <w:r w:rsidR="002515AD">
        <w:rPr>
          <w:szCs w:val="24"/>
        </w:rPr>
        <w:t>,</w:t>
      </w:r>
      <w:r w:rsidR="00B87CF0">
        <w:rPr>
          <w:szCs w:val="24"/>
        </w:rPr>
        <w:t xml:space="preserve"> and recordkeeping requirements will apply.</w:t>
      </w:r>
      <w:r w:rsidRPr="00087AC9" w:rsidR="00B05188">
        <w:rPr>
          <w:szCs w:val="24"/>
        </w:rPr>
        <w:t xml:space="preserve"> The required reports are used to determine periods of excess emissions, identify problems at the facility, verify operation/maintenance procedures and for compliance determinations.</w:t>
      </w:r>
    </w:p>
    <w:p w:rsidR="00F24E8F" w:rsidRPr="00087AC9" w:rsidP="00F24E8F" w14:paraId="1BC28F86" w14:textId="77777777">
      <w:pPr>
        <w:autoSpaceDE w:val="0"/>
        <w:autoSpaceDN w:val="0"/>
        <w:adjustRightInd w:val="0"/>
        <w:rPr>
          <w:szCs w:val="24"/>
        </w:rPr>
      </w:pPr>
    </w:p>
    <w:p w:rsidR="00B05188" w:rsidRPr="00087AC9" w:rsidP="00F24E8F" w14:paraId="05ECFF5A" w14:textId="22AC9649">
      <w:pPr>
        <w:autoSpaceDE w:val="0"/>
        <w:autoSpaceDN w:val="0"/>
        <w:adjustRightInd w:val="0"/>
        <w:rPr>
          <w:szCs w:val="24"/>
        </w:rPr>
      </w:pPr>
      <w:r w:rsidRPr="00087AC9">
        <w:rPr>
          <w:szCs w:val="24"/>
        </w:rPr>
        <w:t xml:space="preserve">Clean Air Act (CAA) section 110(a)(2)(D)(i)(I), 42 U.S.C. § 7410(a)(2)(D)(i)(I) – often referred to as the “good neighbor” provision – requires all states, within three years of </w:t>
      </w:r>
      <w:r w:rsidR="00AC2B07">
        <w:rPr>
          <w:szCs w:val="24"/>
        </w:rPr>
        <w:t>the EPA</w:t>
      </w:r>
      <w:r w:rsidRPr="00087AC9">
        <w:rPr>
          <w:szCs w:val="24"/>
        </w:rPr>
        <w:t>’s promulgation of a new or revised NAAQS, to revise their SIPs to prohibit certain emissions of air pollutants because of the adverse impact those emissions would have</w:t>
      </w:r>
      <w:r w:rsidRPr="00087AC9" w:rsidR="003A1F78">
        <w:rPr>
          <w:szCs w:val="24"/>
        </w:rPr>
        <w:t xml:space="preserve"> </w:t>
      </w:r>
      <w:r w:rsidRPr="00087AC9">
        <w:rPr>
          <w:szCs w:val="24"/>
        </w:rPr>
        <w:t>on air quality in other states</w:t>
      </w:r>
      <w:r w:rsidRPr="00087AC9" w:rsidR="003A1F78">
        <w:rPr>
          <w:szCs w:val="24"/>
        </w:rPr>
        <w:t xml:space="preserve"> through transport</w:t>
      </w:r>
      <w:r w:rsidRPr="00087AC9">
        <w:rPr>
          <w:szCs w:val="24"/>
        </w:rPr>
        <w:t>.</w:t>
      </w:r>
    </w:p>
    <w:p w:rsidR="00F24E8F" w:rsidRPr="00087AC9" w:rsidP="00F24E8F" w14:paraId="0B3AD8FD" w14:textId="77777777">
      <w:pPr>
        <w:autoSpaceDE w:val="0"/>
        <w:autoSpaceDN w:val="0"/>
        <w:adjustRightInd w:val="0"/>
        <w:rPr>
          <w:szCs w:val="24"/>
        </w:rPr>
      </w:pPr>
    </w:p>
    <w:p w:rsidR="008D3237" w:rsidRPr="00087AC9" w:rsidP="00176B48" w14:paraId="7D8D1DBF" w14:textId="58B7FE7D">
      <w:pPr>
        <w:autoSpaceDE w:val="0"/>
        <w:autoSpaceDN w:val="0"/>
        <w:adjustRightInd w:val="0"/>
        <w:rPr>
          <w:szCs w:val="24"/>
        </w:rPr>
      </w:pPr>
      <w:bookmarkStart w:id="1" w:name="_Hlk93399126"/>
      <w:r>
        <w:rPr>
          <w:szCs w:val="24"/>
        </w:rPr>
        <w:t xml:space="preserve">The </w:t>
      </w:r>
      <w:r w:rsidRPr="00087AC9" w:rsidR="00F24E8F">
        <w:rPr>
          <w:szCs w:val="24"/>
        </w:rPr>
        <w:t xml:space="preserve">EPA’s promulgation of </w:t>
      </w:r>
      <w:r w:rsidRPr="00087AC9" w:rsidR="00B05188">
        <w:rPr>
          <w:szCs w:val="24"/>
        </w:rPr>
        <w:t xml:space="preserve">the </w:t>
      </w:r>
      <w:r w:rsidR="00D9140D">
        <w:rPr>
          <w:szCs w:val="24"/>
        </w:rPr>
        <w:t>final</w:t>
      </w:r>
      <w:r w:rsidRPr="00087AC9" w:rsidR="00B05188">
        <w:rPr>
          <w:szCs w:val="24"/>
        </w:rPr>
        <w:t xml:space="preserve"> rule</w:t>
      </w:r>
      <w:r w:rsidRPr="00087AC9" w:rsidR="00F24E8F">
        <w:rPr>
          <w:szCs w:val="24"/>
        </w:rPr>
        <w:t xml:space="preserve"> is supported by t</w:t>
      </w:r>
      <w:r>
        <w:rPr>
          <w:szCs w:val="24"/>
        </w:rPr>
        <w:t>hree</w:t>
      </w:r>
      <w:r w:rsidRPr="00087AC9" w:rsidR="00F24E8F">
        <w:rPr>
          <w:szCs w:val="24"/>
        </w:rPr>
        <w:t xml:space="preserve"> additional statutory provisions. First, CAA section 110(c)(1), 42 U.S.C. § 7410(c)(1), requires the EPA Administrator to promulgate a FIP at any time within two years after he or she finds that a state has failed to make a required SIP submission, finds that a SIP submission is incomplete, or disapproves a SIP submission.  Second, CAA section 301(a)(1), 42 U.S.C. § 7601(a)(1), gives the Administrator general authority to prescribe such regulations as a</w:t>
      </w:r>
      <w:r w:rsidRPr="00087AC9" w:rsidR="0079693A">
        <w:rPr>
          <w:szCs w:val="24"/>
        </w:rPr>
        <w:t>r</w:t>
      </w:r>
      <w:r w:rsidRPr="00087AC9" w:rsidR="00F24E8F">
        <w:rPr>
          <w:szCs w:val="24"/>
        </w:rPr>
        <w:t>e necessary to carry out his or her statutory functions.</w:t>
      </w:r>
      <w:r>
        <w:rPr>
          <w:szCs w:val="24"/>
        </w:rPr>
        <w:t xml:space="preserve">  </w:t>
      </w:r>
      <w:r w:rsidRPr="008D3237">
        <w:rPr>
          <w:szCs w:val="24"/>
        </w:rPr>
        <w:t xml:space="preserve">Finally, CAA section 301(d)(4), 42 U.S.C. § 7601(d)(4), authorizes the Administrator to prescribe such regulations as are necessary or appropriate to administer CAA provisions in Indian country, including Indian reservation lands and other areas of Indian country over which </w:t>
      </w:r>
      <w:r>
        <w:rPr>
          <w:szCs w:val="24"/>
        </w:rPr>
        <w:t xml:space="preserve">the </w:t>
      </w:r>
      <w:r w:rsidRPr="008D3237">
        <w:rPr>
          <w:szCs w:val="24"/>
        </w:rPr>
        <w:t>EPA or a tribe has demonstrated that a tribe has jurisdiction.</w:t>
      </w:r>
    </w:p>
    <w:bookmarkEnd w:id="1"/>
    <w:p w:rsidR="00440C98" w:rsidRPr="00087AC9" w:rsidP="00440C98" w14:paraId="045A842B" w14:textId="77777777">
      <w:pPr>
        <w:rPr>
          <w:szCs w:val="24"/>
        </w:rPr>
      </w:pPr>
      <w:r w:rsidRPr="00087AC9">
        <w:rPr>
          <w:szCs w:val="24"/>
        </w:rPr>
        <w:t xml:space="preserve">  </w:t>
      </w:r>
    </w:p>
    <w:p w:rsidR="00351807" w:rsidRPr="00087AC9" w:rsidP="00440C98" w14:paraId="5EBE4C0C" w14:textId="007936CD">
      <w:pPr>
        <w:rPr>
          <w:szCs w:val="24"/>
        </w:rPr>
      </w:pPr>
      <w:r w:rsidRPr="00087AC9">
        <w:rPr>
          <w:noProof/>
        </w:rPr>
        <mc:AlternateContent>
          <mc:Choice Requires="wps">
            <w:drawing>
              <wp:anchor distT="152400" distB="152400" distL="152400" distR="152400" simplePos="0" relativeHeight="251713536" behindDoc="0" locked="0" layoutInCell="1" allowOverlap="1">
                <wp:simplePos x="0" y="0"/>
                <wp:positionH relativeFrom="margin">
                  <wp:posOffset>-2286000</wp:posOffset>
                </wp:positionH>
                <wp:positionV relativeFrom="paragraph">
                  <wp:posOffset>-6350</wp:posOffset>
                </wp:positionV>
                <wp:extent cx="1885950" cy="504825"/>
                <wp:effectExtent l="0" t="1270" r="0" b="0"/>
                <wp:wrapSquare wrapText="largest"/>
                <wp:docPr id="29" name="Text Box 15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85950" cy="5048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3AC" w:rsidP="00440C98" w14:paraId="74AF0769" w14:textId="77777777">
                            <w:pPr>
                              <w:ind w:left="720" w:hanging="720"/>
                            </w:pPr>
                            <w:r>
                              <w:rPr>
                                <w:rFonts w:ascii="Arial" w:hAnsi="Arial"/>
                                <w:b/>
                              </w:rPr>
                              <w:t>2.2</w:t>
                            </w:r>
                            <w:r>
                              <w:rPr>
                                <w:rFonts w:ascii="Arial" w:hAnsi="Arial"/>
                                <w:b/>
                              </w:rPr>
                              <w:tab/>
                            </w:r>
                            <w:r>
                              <w:rPr>
                                <w:rFonts w:ascii="Arial" w:hAnsi="Arial"/>
                                <w:b/>
                              </w:rPr>
                              <w:t>Practical Utility / Users of the Data</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158" o:spid="_x0000_s1042" type="#_x0000_t202" style="width:148.5pt;height:39.75pt;margin-top:-0.5pt;margin-left:-180pt;mso-height-percent:0;mso-height-relative:page;mso-position-horizontal-relative:margin;mso-width-percent:0;mso-width-relative:page;mso-wrap-distance-bottom:12pt;mso-wrap-distance-left:12pt;mso-wrap-distance-right:12pt;mso-wrap-distance-top:12pt;mso-wrap-style:square;position:absolute;visibility:visible;v-text-anchor:top;z-index:251714560" filled="f" stroked="f">
                <v:textbox inset="0,0,6pt,6pt">
                  <w:txbxContent>
                    <w:p w:rsidR="005343AC" w:rsidP="00440C98" w14:paraId="21606A1C" w14:textId="77777777">
                      <w:pPr>
                        <w:ind w:left="720" w:hanging="720"/>
                      </w:pPr>
                      <w:r>
                        <w:rPr>
                          <w:rFonts w:ascii="Arial" w:hAnsi="Arial"/>
                          <w:b/>
                        </w:rPr>
                        <w:t>2.2</w:t>
                      </w:r>
                      <w:r>
                        <w:rPr>
                          <w:rFonts w:ascii="Arial" w:hAnsi="Arial"/>
                          <w:b/>
                        </w:rPr>
                        <w:tab/>
                      </w:r>
                      <w:r>
                        <w:rPr>
                          <w:rFonts w:ascii="Arial" w:hAnsi="Arial"/>
                          <w:b/>
                        </w:rPr>
                        <w:t>Practical Utility / Users of the Data</w:t>
                      </w:r>
                    </w:p>
                  </w:txbxContent>
                </v:textbox>
                <w10:wrap type="square" side="largest"/>
              </v:shape>
            </w:pict>
          </mc:Fallback>
        </mc:AlternateContent>
      </w:r>
      <w:r w:rsidRPr="00087AC9" w:rsidR="00440C98">
        <w:rPr>
          <w:szCs w:val="24"/>
        </w:rPr>
        <w:t xml:space="preserve">The data collected from </w:t>
      </w:r>
      <w:r w:rsidRPr="00087AC9" w:rsidR="00861BE5">
        <w:rPr>
          <w:szCs w:val="24"/>
        </w:rPr>
        <w:t xml:space="preserve">non-EGU industry </w:t>
      </w:r>
      <w:r w:rsidRPr="00087AC9" w:rsidR="00440C98">
        <w:rPr>
          <w:szCs w:val="24"/>
        </w:rPr>
        <w:t xml:space="preserve">respondents </w:t>
      </w:r>
      <w:r w:rsidRPr="00087AC9" w:rsidR="00AE1D9A">
        <w:rPr>
          <w:szCs w:val="24"/>
        </w:rPr>
        <w:t>is a result of</w:t>
      </w:r>
      <w:r w:rsidRPr="00087AC9" w:rsidR="00440C98">
        <w:rPr>
          <w:szCs w:val="24"/>
        </w:rPr>
        <w:t xml:space="preserve"> </w:t>
      </w:r>
      <w:r w:rsidRPr="00087AC9" w:rsidR="00861BE5">
        <w:rPr>
          <w:szCs w:val="24"/>
        </w:rPr>
        <w:t>new monitoring, calibrating, recordkeeping, reporting</w:t>
      </w:r>
      <w:r w:rsidR="002515AD">
        <w:rPr>
          <w:szCs w:val="24"/>
        </w:rPr>
        <w:t>,</w:t>
      </w:r>
      <w:r w:rsidRPr="00087AC9" w:rsidR="00861BE5">
        <w:rPr>
          <w:szCs w:val="24"/>
        </w:rPr>
        <w:t xml:space="preserve"> and testing requirements under the </w:t>
      </w:r>
      <w:r w:rsidR="004819E3">
        <w:rPr>
          <w:szCs w:val="24"/>
        </w:rPr>
        <w:t>final</w:t>
      </w:r>
      <w:r w:rsidRPr="00087AC9" w:rsidR="00861BE5">
        <w:rPr>
          <w:szCs w:val="24"/>
        </w:rPr>
        <w:t xml:space="preserve"> rule</w:t>
      </w:r>
      <w:r w:rsidRPr="00087AC9" w:rsidR="00351807">
        <w:rPr>
          <w:szCs w:val="24"/>
        </w:rPr>
        <w:t xml:space="preserve">.  These data provide the documentation necessary to determine compliance with the NOx emission limitations </w:t>
      </w:r>
      <w:r w:rsidR="0079693A">
        <w:rPr>
          <w:szCs w:val="24"/>
        </w:rPr>
        <w:t>established</w:t>
      </w:r>
      <w:r w:rsidRPr="00087AC9" w:rsidR="00351807">
        <w:rPr>
          <w:szCs w:val="24"/>
        </w:rPr>
        <w:t xml:space="preserve"> by this </w:t>
      </w:r>
      <w:r w:rsidR="004819E3">
        <w:rPr>
          <w:szCs w:val="24"/>
        </w:rPr>
        <w:t>final</w:t>
      </w:r>
      <w:r w:rsidRPr="00087AC9" w:rsidR="00351807">
        <w:rPr>
          <w:szCs w:val="24"/>
        </w:rPr>
        <w:t xml:space="preserve"> rule for certain non-EGU industry stationary sources.</w:t>
      </w:r>
    </w:p>
    <w:p w:rsidR="00555B04" w:rsidRPr="00087AC9" w:rsidP="00440C98" w14:paraId="555CC94D" w14:textId="63A36597">
      <w:pPr>
        <w:rPr>
          <w:szCs w:val="24"/>
        </w:rPr>
      </w:pPr>
    </w:p>
    <w:p w:rsidR="00555B04" w:rsidRPr="00087AC9" w:rsidP="00555B04" w14:paraId="45367D2E" w14:textId="4FD38197">
      <w:pPr>
        <w:rPr>
          <w:szCs w:val="24"/>
        </w:rPr>
      </w:pPr>
      <w:r w:rsidRPr="00087AC9">
        <w:rPr>
          <w:szCs w:val="24"/>
        </w:rPr>
        <w:t>The recordkeeping and reporting requirements in the standards ensure compliance with the applicable regulations</w:t>
      </w:r>
      <w:r w:rsidRPr="00087AC9" w:rsidR="003D6430">
        <w:rPr>
          <w:szCs w:val="24"/>
        </w:rPr>
        <w:t>,</w:t>
      </w:r>
      <w:r w:rsidRPr="00087AC9">
        <w:rPr>
          <w:szCs w:val="24"/>
        </w:rPr>
        <w:t xml:space="preserve"> which </w:t>
      </w:r>
      <w:r w:rsidR="00FB5590">
        <w:rPr>
          <w:szCs w:val="24"/>
        </w:rPr>
        <w:t>are</w:t>
      </w:r>
      <w:r w:rsidRPr="00087AC9">
        <w:rPr>
          <w:szCs w:val="24"/>
        </w:rPr>
        <w:t xml:space="preserve"> promulgated in </w:t>
      </w:r>
      <w:r w:rsidRPr="00087AC9">
        <w:rPr>
          <w:szCs w:val="24"/>
        </w:rPr>
        <w:t xml:space="preserve">accordance with the Clean Air Act. The collected information </w:t>
      </w:r>
      <w:r w:rsidR="00FB5590">
        <w:rPr>
          <w:szCs w:val="24"/>
        </w:rPr>
        <w:t xml:space="preserve">may </w:t>
      </w:r>
      <w:r w:rsidRPr="00087AC9">
        <w:rPr>
          <w:szCs w:val="24"/>
        </w:rPr>
        <w:t xml:space="preserve">also </w:t>
      </w:r>
      <w:r w:rsidR="00FB5590">
        <w:rPr>
          <w:szCs w:val="24"/>
        </w:rPr>
        <w:t xml:space="preserve">be </w:t>
      </w:r>
      <w:r w:rsidRPr="00087AC9">
        <w:rPr>
          <w:szCs w:val="24"/>
        </w:rPr>
        <w:t>used for targeting inspections and as evidence in legal proceedings.</w:t>
      </w:r>
    </w:p>
    <w:p w:rsidR="00555B04" w:rsidRPr="00087AC9" w:rsidP="00555B04" w14:paraId="566D2A3F" w14:textId="77777777">
      <w:pPr>
        <w:rPr>
          <w:szCs w:val="24"/>
        </w:rPr>
      </w:pPr>
    </w:p>
    <w:p w:rsidR="00555B04" w:rsidRPr="00087AC9" w:rsidP="00A61A15" w14:paraId="34FA993D" w14:textId="1C618F2B">
      <w:pPr>
        <w:autoSpaceDE w:val="0"/>
        <w:autoSpaceDN w:val="0"/>
        <w:adjustRightInd w:val="0"/>
        <w:rPr>
          <w:szCs w:val="24"/>
        </w:rPr>
      </w:pPr>
      <w:r w:rsidRPr="00087AC9">
        <w:rPr>
          <w:szCs w:val="24"/>
        </w:rPr>
        <w:t xml:space="preserve">Performance tests are required </w:t>
      </w:r>
      <w:r w:rsidR="00B7474C">
        <w:rPr>
          <w:szCs w:val="24"/>
        </w:rPr>
        <w:t>to</w:t>
      </w:r>
      <w:r w:rsidRPr="00087AC9">
        <w:rPr>
          <w:szCs w:val="24"/>
        </w:rPr>
        <w:t xml:space="preserve"> determine an affected facility’s initial capability to comply with the emission standards. During the performance test a record of the operating parameters under which compliance was achieved may be recorded and used to determine compliance in place of a continuous emission monitor. </w:t>
      </w:r>
    </w:p>
    <w:p w:rsidR="00555B04" w:rsidRPr="00087AC9" w:rsidP="00555B04" w14:paraId="0CD597A6" w14:textId="77777777">
      <w:pPr>
        <w:rPr>
          <w:szCs w:val="24"/>
        </w:rPr>
      </w:pPr>
    </w:p>
    <w:p w:rsidR="00555B04" w:rsidRPr="00087AC9" w:rsidP="00555B04" w14:paraId="792770A7" w14:textId="6DA91D98">
      <w:pPr>
        <w:rPr>
          <w:szCs w:val="24"/>
        </w:rPr>
      </w:pPr>
      <w:r w:rsidRPr="00087AC9">
        <w:rPr>
          <w:szCs w:val="24"/>
        </w:rPr>
        <w:t>The notifications required in these standards are used to inform the Agency or delegated authority when a source becomes subject to the requirements of the regulations. The reviewing authority may then inspect the source to check if the pollution control devices are properly installed and operated,</w:t>
      </w:r>
      <w:r w:rsidRPr="00087AC9" w:rsidR="002752E3">
        <w:rPr>
          <w:szCs w:val="24"/>
        </w:rPr>
        <w:t xml:space="preserve"> </w:t>
      </w:r>
      <w:r w:rsidR="00FB5590">
        <w:rPr>
          <w:szCs w:val="24"/>
        </w:rPr>
        <w:t xml:space="preserve">malfunctions </w:t>
      </w:r>
      <w:r w:rsidRPr="00087AC9">
        <w:rPr>
          <w:szCs w:val="24"/>
        </w:rPr>
        <w:t>are being detected and repaired, and the standards are being met. The performance test may also be observed.</w:t>
      </w:r>
    </w:p>
    <w:p w:rsidR="00555B04" w:rsidRPr="00087AC9" w:rsidP="00555B04" w14:paraId="79199D17" w14:textId="77777777">
      <w:pPr>
        <w:rPr>
          <w:szCs w:val="24"/>
        </w:rPr>
      </w:pPr>
    </w:p>
    <w:p w:rsidR="00555B04" w:rsidRPr="00087AC9" w:rsidP="00440C98" w14:paraId="77A232B9" w14:textId="45D062B0">
      <w:pPr>
        <w:rPr>
          <w:szCs w:val="24"/>
        </w:rPr>
      </w:pPr>
      <w:r w:rsidRPr="00087AC9">
        <w:rPr>
          <w:szCs w:val="24"/>
        </w:rPr>
        <w:t>The required</w:t>
      </w:r>
      <w:r w:rsidRPr="00087AC9" w:rsidR="00904C25">
        <w:rPr>
          <w:szCs w:val="24"/>
        </w:rPr>
        <w:t xml:space="preserve"> </w:t>
      </w:r>
      <w:r w:rsidRPr="00087AC9" w:rsidR="00CC3041">
        <w:rPr>
          <w:szCs w:val="24"/>
        </w:rPr>
        <w:t>annual</w:t>
      </w:r>
      <w:r w:rsidRPr="00087AC9" w:rsidR="00904C25">
        <w:rPr>
          <w:szCs w:val="24"/>
        </w:rPr>
        <w:t xml:space="preserve"> </w:t>
      </w:r>
      <w:r w:rsidRPr="00087AC9">
        <w:rPr>
          <w:szCs w:val="24"/>
        </w:rPr>
        <w:t>reports are used to determine periods of excess emissions, identify problems at the facility, verify operation/maintenance procedures and for compliance determinations.</w:t>
      </w:r>
    </w:p>
    <w:p w:rsidR="00440C98" w:rsidRPr="00087AC9" w:rsidP="00440C98" w14:paraId="02E6274F"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szCs w:val="24"/>
        </w:rPr>
        <w:tab/>
      </w:r>
    </w:p>
    <w:p w:rsidR="00440C98" w:rsidRPr="00087AC9" w:rsidP="00440C98" w14:paraId="527EBFD0" w14:textId="41371FE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noProof/>
        </w:rPr>
        <mc:AlternateContent>
          <mc:Choice Requires="wps">
            <w:drawing>
              <wp:anchor distT="152400" distB="152400" distL="152400" distR="152400" simplePos="0" relativeHeight="251715584" behindDoc="0" locked="0" layoutInCell="1" allowOverlap="1">
                <wp:simplePos x="0" y="0"/>
                <wp:positionH relativeFrom="margin">
                  <wp:posOffset>-2286000</wp:posOffset>
                </wp:positionH>
                <wp:positionV relativeFrom="paragraph">
                  <wp:posOffset>14605</wp:posOffset>
                </wp:positionV>
                <wp:extent cx="1684020" cy="654050"/>
                <wp:effectExtent l="0" t="3175" r="1905" b="0"/>
                <wp:wrapSquare wrapText="largest"/>
                <wp:docPr id="28" name="Text Box 15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4020" cy="6540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3AC" w:rsidP="00440C98" w14:paraId="467A398C" w14:textId="77777777">
                            <w:pPr>
                              <w:ind w:left="720" w:hanging="720"/>
                            </w:pPr>
                            <w:r>
                              <w:rPr>
                                <w:rFonts w:ascii="Arial" w:hAnsi="Arial"/>
                                <w:b/>
                              </w:rPr>
                              <w:t>2.3</w:t>
                            </w:r>
                            <w:r>
                              <w:rPr>
                                <w:rFonts w:ascii="Arial" w:hAnsi="Arial"/>
                                <w:b/>
                              </w:rPr>
                              <w:tab/>
                            </w:r>
                            <w:r>
                              <w:rPr>
                                <w:rFonts w:ascii="Arial" w:hAnsi="Arial"/>
                                <w:b/>
                              </w:rPr>
                              <w:t>Caveats and Considerations</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159" o:spid="_x0000_s1043" type="#_x0000_t202" style="width:132.6pt;height:51.5pt;margin-top:1.15pt;margin-left:-180pt;mso-height-percent:0;mso-height-relative:page;mso-position-horizontal-relative:margin;mso-width-percent:0;mso-width-relative:page;mso-wrap-distance-bottom:12pt;mso-wrap-distance-left:12pt;mso-wrap-distance-right:12pt;mso-wrap-distance-top:12pt;mso-wrap-style:square;position:absolute;visibility:visible;v-text-anchor:top;z-index:251716608" filled="f" stroked="f">
                <v:textbox inset="0,0,6pt,6pt">
                  <w:txbxContent>
                    <w:p w:rsidR="005343AC" w:rsidP="00440C98" w14:paraId="24342313" w14:textId="77777777">
                      <w:pPr>
                        <w:ind w:left="720" w:hanging="720"/>
                      </w:pPr>
                      <w:r>
                        <w:rPr>
                          <w:rFonts w:ascii="Arial" w:hAnsi="Arial"/>
                          <w:b/>
                        </w:rPr>
                        <w:t>2.3</w:t>
                      </w:r>
                      <w:r>
                        <w:rPr>
                          <w:rFonts w:ascii="Arial" w:hAnsi="Arial"/>
                          <w:b/>
                        </w:rPr>
                        <w:tab/>
                      </w:r>
                      <w:r>
                        <w:rPr>
                          <w:rFonts w:ascii="Arial" w:hAnsi="Arial"/>
                          <w:b/>
                        </w:rPr>
                        <w:t>Caveats and Considerations</w:t>
                      </w:r>
                    </w:p>
                  </w:txbxContent>
                </v:textbox>
                <w10:wrap type="square" side="largest"/>
              </v:shape>
            </w:pict>
          </mc:Fallback>
        </mc:AlternateContent>
      </w:r>
      <w:r w:rsidRPr="00087AC9" w:rsidR="00440C98">
        <w:rPr>
          <w:color w:val="000000"/>
        </w:rPr>
        <w:t xml:space="preserve">The information in this ICR is based upon the best data available to the Agency at this time. </w:t>
      </w:r>
      <w:r w:rsidR="00FB5590">
        <w:rPr>
          <w:color w:val="000000"/>
        </w:rPr>
        <w:t>I</w:t>
      </w:r>
      <w:r w:rsidRPr="00087AC9" w:rsidR="00440C98">
        <w:rPr>
          <w:color w:val="000000"/>
        </w:rPr>
        <w:t>ncomplete data and sampling limitations necessitated a certain amount of extrapolation and estimat</w:t>
      </w:r>
      <w:r w:rsidR="00FB5590">
        <w:rPr>
          <w:color w:val="000000"/>
        </w:rPr>
        <w:t>ion</w:t>
      </w:r>
      <w:r w:rsidRPr="00087AC9" w:rsidR="00440C98">
        <w:rPr>
          <w:color w:val="000000"/>
        </w:rPr>
        <w:t>.</w:t>
      </w:r>
      <w:r w:rsidRPr="00087AC9" w:rsidR="00440C98">
        <w:rPr>
          <w:b/>
          <w:color w:val="000000"/>
        </w:rPr>
        <w:t xml:space="preserve"> </w:t>
      </w:r>
      <w:r w:rsidRPr="00087AC9" w:rsidR="00440C98">
        <w:rPr>
          <w:color w:val="000000"/>
        </w:rPr>
        <w:t xml:space="preserve">Consequently, the reader should not consider the conclusions to be an exact representation of the level of burden or cost that </w:t>
      </w:r>
      <w:r w:rsidRPr="00087AC9" w:rsidR="00440C98">
        <w:rPr>
          <w:i/>
          <w:color w:val="000000"/>
        </w:rPr>
        <w:t>will</w:t>
      </w:r>
      <w:r w:rsidRPr="00087AC9" w:rsidR="00440C98">
        <w:rPr>
          <w:color w:val="000000"/>
        </w:rPr>
        <w:t xml:space="preserve"> occur. Instead, this ICR should be considered a directionally correct assessment of the impact </w:t>
      </w:r>
      <w:r w:rsidRPr="00087AC9" w:rsidR="00CC3C51">
        <w:rPr>
          <w:color w:val="000000"/>
        </w:rPr>
        <w:t xml:space="preserve">the </w:t>
      </w:r>
      <w:r w:rsidR="00BB4E9E">
        <w:rPr>
          <w:color w:val="000000"/>
        </w:rPr>
        <w:t>final rule</w:t>
      </w:r>
      <w:r w:rsidRPr="00087AC9" w:rsidR="00440C98">
        <w:rPr>
          <w:color w:val="000000"/>
        </w:rPr>
        <w:t xml:space="preserve"> </w:t>
      </w:r>
      <w:r w:rsidRPr="00087AC9" w:rsidR="00440C98">
        <w:rPr>
          <w:i/>
          <w:color w:val="000000"/>
        </w:rPr>
        <w:t>may</w:t>
      </w:r>
      <w:r w:rsidRPr="00087AC9" w:rsidR="00440C98">
        <w:rPr>
          <w:color w:val="000000"/>
        </w:rPr>
        <w:t xml:space="preserve"> have </w:t>
      </w:r>
      <w:r w:rsidR="00FF554F">
        <w:rPr>
          <w:color w:val="000000"/>
        </w:rPr>
        <w:t>begin</w:t>
      </w:r>
      <w:r w:rsidR="00B7474C">
        <w:rPr>
          <w:color w:val="000000"/>
        </w:rPr>
        <w:t>n</w:t>
      </w:r>
      <w:r w:rsidR="00FF554F">
        <w:rPr>
          <w:color w:val="000000"/>
        </w:rPr>
        <w:t>ing in 202</w:t>
      </w:r>
      <w:r w:rsidR="00B7474C">
        <w:rPr>
          <w:color w:val="000000"/>
        </w:rPr>
        <w:t>3</w:t>
      </w:r>
      <w:r w:rsidRPr="00087AC9" w:rsidR="00440C98">
        <w:rPr>
          <w:color w:val="000000"/>
        </w:rPr>
        <w:t>.</w:t>
      </w:r>
      <w:r w:rsidRPr="00715E61" w:rsidR="00715E61">
        <w:t xml:space="preserve"> </w:t>
      </w:r>
      <w:r w:rsidR="00776B32">
        <w:t>However, t</w:t>
      </w:r>
      <w:r w:rsidR="00073648">
        <w:t xml:space="preserve">he </w:t>
      </w:r>
      <w:r w:rsidR="00715E61">
        <w:t>EPA is expecting</w:t>
      </w:r>
      <w:r w:rsidR="00FF554F">
        <w:t xml:space="preserve"> </w:t>
      </w:r>
      <w:r w:rsidR="00F074DF">
        <w:t xml:space="preserve">only </w:t>
      </w:r>
      <w:r w:rsidR="00FF554F">
        <w:t>minimal</w:t>
      </w:r>
      <w:r w:rsidR="00715E61">
        <w:t xml:space="preserve"> requ</w:t>
      </w:r>
      <w:r w:rsidR="004819E3">
        <w:t>ire</w:t>
      </w:r>
      <w:r w:rsidR="00715E61">
        <w:t xml:space="preserve">d respondent activities and associated costs </w:t>
      </w:r>
      <w:r w:rsidR="00FB5590">
        <w:t>in the 2023-2025 period</w:t>
      </w:r>
      <w:r w:rsidR="00715E61">
        <w:t>.</w:t>
      </w:r>
      <w:r w:rsidR="00FF554F">
        <w:t xml:space="preserve"> </w:t>
      </w:r>
      <w:r w:rsidR="00776B32">
        <w:t xml:space="preserve">The primary compliance obligations of the rule for non-EGU sources do not begin until 2026. </w:t>
      </w:r>
      <w:r w:rsidR="00715E61">
        <w:t>Consequently, this</w:t>
      </w:r>
      <w:r w:rsidR="00B215F7">
        <w:t xml:space="preserve"> non-EGU</w:t>
      </w:r>
      <w:r w:rsidR="00715E61">
        <w:t xml:space="preserve"> ICR</w:t>
      </w:r>
      <w:r w:rsidR="00542B4B">
        <w:t xml:space="preserve"> </w:t>
      </w:r>
      <w:r w:rsidR="00715E61">
        <w:t xml:space="preserve">is </w:t>
      </w:r>
      <w:r w:rsidR="00542B4B">
        <w:t>likely</w:t>
      </w:r>
      <w:r w:rsidR="00776B32">
        <w:t xml:space="preserve"> an overestimate </w:t>
      </w:r>
      <w:r w:rsidR="00715E61">
        <w:t xml:space="preserve">of the burden occurring in the </w:t>
      </w:r>
      <w:r w:rsidR="00231F44">
        <w:t>2023-2025</w:t>
      </w:r>
      <w:r w:rsidR="00715E61">
        <w:t xml:space="preserve"> timeframe.  </w:t>
      </w:r>
      <w:r w:rsidRPr="00087AC9" w:rsidR="00440C98">
        <w:rPr>
          <w:color w:val="000000"/>
        </w:rPr>
        <w:t xml:space="preserve"> </w:t>
      </w:r>
    </w:p>
    <w:p w:rsidR="00440C98" w:rsidRPr="00087AC9" w:rsidP="00440C98" w14:paraId="63917EA8"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40C98" w:rsidRPr="00087AC9" w:rsidP="00440C98" w14:paraId="5FB4D9AE" w14:textId="27A618FD">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color w:val="000000"/>
        </w:rPr>
        <w:t>Throughout this ICR, the reader will observe estimated values that show accuracy to the single hour or dollar. However, reporting values at the single unit level can be misleading. In most situations, the proper way to present estimated data would be to determine an appropriate level of precision and truncate values accordingly, usually in terms of thousands or millions of units. For instance, a spreadsheet</w:t>
      </w:r>
      <w:r w:rsidR="002515AD">
        <w:rPr>
          <w:color w:val="000000"/>
        </w:rPr>
        <w:t>-</w:t>
      </w:r>
      <w:r w:rsidRPr="00087AC9">
        <w:rPr>
          <w:color w:val="000000"/>
        </w:rPr>
        <w:t>generated estimat</w:t>
      </w:r>
      <w:r w:rsidR="002515AD">
        <w:rPr>
          <w:color w:val="000000"/>
        </w:rPr>
        <w:t>e</w:t>
      </w:r>
      <w:r w:rsidRPr="00087AC9">
        <w:rPr>
          <w:color w:val="000000"/>
        </w:rPr>
        <w:t xml:space="preserve"> of $5,456,295 could be presented in the text as $5.5 (millions) or $5,456 (thousands). One problem with such an approach is the loss of data richness when the report contains a mixture of very large and very small numbers. Consequently, to avoid the loss of information through rounding, this ICR reports all values at the single unit level and reminds the reader that there is no implied precision inherent in this style of reporting.</w:t>
      </w:r>
    </w:p>
    <w:p w:rsidR="00555B04" w:rsidRPr="00087AC9" w:rsidP="00440C98" w14:paraId="4AA5DE60" w14:textId="4E018BA1">
      <w:pPr>
        <w:rPr>
          <w:color w:val="000000"/>
        </w:rPr>
      </w:pPr>
      <w:r w:rsidRPr="00087AC9">
        <w:rPr>
          <w:b/>
          <w:color w:val="000000"/>
        </w:rPr>
        <w:br w:type="page"/>
      </w:r>
      <w:r w:rsidRPr="00087AC9" w:rsidR="00AD098E">
        <w:rPr>
          <w:noProof/>
        </w:rPr>
        <mc:AlternateContent>
          <mc:Choice Requires="wps">
            <w:drawing>
              <wp:anchor distT="152400" distB="152400" distL="152400" distR="152400" simplePos="0" relativeHeight="251746304" behindDoc="0" locked="0" layoutInCell="1" allowOverlap="1">
                <wp:simplePos x="0" y="0"/>
                <wp:positionH relativeFrom="margin">
                  <wp:posOffset>-2333625</wp:posOffset>
                </wp:positionH>
                <wp:positionV relativeFrom="paragraph">
                  <wp:posOffset>434975</wp:posOffset>
                </wp:positionV>
                <wp:extent cx="1684020" cy="504190"/>
                <wp:effectExtent l="0" t="635" r="1905" b="0"/>
                <wp:wrapSquare wrapText="largest"/>
                <wp:docPr id="50" name="Text Box 1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4020" cy="5041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3AC" w:rsidP="00AD098E" w14:paraId="6499FC4E" w14:textId="6EFD3A49">
                            <w:pPr>
                              <w:ind w:left="720" w:hanging="720"/>
                            </w:pPr>
                            <w:r>
                              <w:rPr>
                                <w:rFonts w:ascii="Arial" w:hAnsi="Arial"/>
                                <w:b/>
                              </w:rPr>
                              <w:t>3.1</w:t>
                            </w:r>
                            <w:r>
                              <w:rPr>
                                <w:rFonts w:ascii="Arial" w:hAnsi="Arial"/>
                                <w:b/>
                              </w:rPr>
                              <w:tab/>
                            </w:r>
                            <w:r>
                              <w:rPr>
                                <w:rFonts w:ascii="Arial" w:hAnsi="Arial"/>
                                <w:b/>
                              </w:rPr>
                              <w:t>Non-Duplication</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162" o:spid="_x0000_s1044" type="#_x0000_t202" style="width:132.6pt;height:39.7pt;margin-top:34.25pt;margin-left:-183.75pt;mso-height-percent:0;mso-height-relative:page;mso-position-horizontal-relative:margin;mso-width-percent:0;mso-width-relative:page;mso-wrap-distance-bottom:12pt;mso-wrap-distance-left:12pt;mso-wrap-distance-right:12pt;mso-wrap-distance-top:12pt;mso-wrap-style:square;position:absolute;visibility:visible;v-text-anchor:top;z-index:251747328" filled="f" stroked="f">
                <v:textbox inset="0,0,6pt,6pt">
                  <w:txbxContent>
                    <w:p w:rsidR="005343AC" w:rsidP="00AD098E" w14:paraId="440D6EAE" w14:textId="6EFD3A49">
                      <w:pPr>
                        <w:ind w:left="720" w:hanging="720"/>
                      </w:pPr>
                      <w:r>
                        <w:rPr>
                          <w:rFonts w:ascii="Arial" w:hAnsi="Arial"/>
                          <w:b/>
                        </w:rPr>
                        <w:t>3.1</w:t>
                      </w:r>
                      <w:r>
                        <w:rPr>
                          <w:rFonts w:ascii="Arial" w:hAnsi="Arial"/>
                          <w:b/>
                        </w:rPr>
                        <w:tab/>
                      </w:r>
                      <w:r>
                        <w:rPr>
                          <w:rFonts w:ascii="Arial" w:hAnsi="Arial"/>
                          <w:b/>
                        </w:rPr>
                        <w:t>Non-Duplication</w:t>
                      </w:r>
                    </w:p>
                  </w:txbxContent>
                </v:textbox>
                <w10:wrap type="square" side="largest"/>
              </v:shape>
            </w:pict>
          </mc:Fallback>
        </mc:AlternateContent>
      </w:r>
      <w:r w:rsidR="00FB5590">
        <w:rPr>
          <w:noProof/>
        </w:rPr>
        <w:t>Under this rule,</w:t>
      </w:r>
      <w:r w:rsidRPr="00087AC9" w:rsidR="00555B04">
        <w:t xml:space="preserve"> the information is sent directly to the appropriate EPA office. </w:t>
      </w:r>
      <w:r w:rsidR="00542B4B">
        <w:t>If there has been a delegation</w:t>
      </w:r>
      <w:r w:rsidR="00F768D4">
        <w:t xml:space="preserve"> to a state or local agency</w:t>
      </w:r>
      <w:r w:rsidRPr="00087AC9" w:rsidR="00555B04">
        <w:t xml:space="preserve">, a copy of the report submitted to the state or local agency can be sent to the Administrator in lieu of the report required by the </w:t>
      </w:r>
      <w:r w:rsidR="00F768D4">
        <w:t>rule</w:t>
      </w:r>
      <w:r w:rsidRPr="00087AC9" w:rsidR="00555B04">
        <w:t>. Therefore, no duplication exists.</w:t>
      </w:r>
    </w:p>
    <w:p w:rsidR="00440C98" w:rsidRPr="00087AC9" w:rsidP="00440C98" w14:paraId="5473C644"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noProof/>
        </w:rPr>
        <mc:AlternateContent>
          <mc:Choice Requires="wps">
            <w:drawing>
              <wp:anchor distT="152400" distB="152400" distL="152400" distR="152400" simplePos="0" relativeHeight="251719680" behindDoc="0" locked="0" layoutInCell="1" allowOverlap="1">
                <wp:simplePos x="0" y="0"/>
                <wp:positionH relativeFrom="margin">
                  <wp:posOffset>-2286000</wp:posOffset>
                </wp:positionH>
                <wp:positionV relativeFrom="paragraph">
                  <wp:posOffset>-2286635</wp:posOffset>
                </wp:positionV>
                <wp:extent cx="1758315" cy="275590"/>
                <wp:effectExtent l="0" t="0" r="3810" b="635"/>
                <wp:wrapSquare wrapText="largest"/>
                <wp:docPr id="27" name="Text Box 1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58315" cy="2755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3AC" w:rsidP="00440C98" w14:paraId="1254C7F7" w14:textId="0C5F22E2"/>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161" o:spid="_x0000_s1045" type="#_x0000_t202" style="width:138.45pt;height:21.7pt;margin-top:-180.05pt;margin-left:-180pt;mso-height-percent:0;mso-height-relative:page;mso-position-horizontal-relative:margin;mso-width-percent:0;mso-width-relative:page;mso-wrap-distance-bottom:12pt;mso-wrap-distance-left:12pt;mso-wrap-distance-right:12pt;mso-wrap-distance-top:12pt;mso-wrap-style:square;position:absolute;visibility:visible;v-text-anchor:top;z-index:251720704" filled="f" stroked="f">
                <v:textbox inset="0,0,6pt,6pt">
                  <w:txbxContent>
                    <w:p w:rsidR="005343AC" w:rsidP="00440C98" w14:paraId="5A39BBE3" w14:textId="0C5F22E2"/>
                  </w:txbxContent>
                </v:textbox>
                <w10:wrap type="square" side="largest"/>
              </v:shape>
            </w:pict>
          </mc:Fallback>
        </mc:AlternateContent>
      </w:r>
      <w:r w:rsidRPr="00087AC9">
        <w:rPr>
          <w:noProof/>
        </w:rPr>
        <mc:AlternateContent>
          <mc:Choice Requires="wps">
            <w:drawing>
              <wp:anchor distT="152400" distB="152400" distL="152400" distR="152400" simplePos="0" relativeHeight="251717632" behindDoc="0" locked="0" layoutInCell="1" allowOverlap="1">
                <wp:simplePos x="0" y="0"/>
                <wp:positionH relativeFrom="margin">
                  <wp:posOffset>-2327910</wp:posOffset>
                </wp:positionH>
                <wp:positionV relativeFrom="paragraph">
                  <wp:posOffset>-2796540</wp:posOffset>
                </wp:positionV>
                <wp:extent cx="6803390" cy="273685"/>
                <wp:effectExtent l="0" t="4445" r="1270" b="0"/>
                <wp:wrapSquare wrapText="largest"/>
                <wp:docPr id="26" name="Text Box 1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03390" cy="2736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3AC" w:rsidP="00440C98" w14:paraId="528174A6" w14:textId="77777777">
                            <w:r>
                              <w:rPr>
                                <w:rFonts w:ascii="Arial" w:hAnsi="Arial"/>
                                <w:b/>
                              </w:rPr>
                              <w:t>3</w:t>
                            </w:r>
                            <w:r>
                              <w:rPr>
                                <w:rFonts w:ascii="Arial" w:hAnsi="Arial"/>
                                <w:b/>
                              </w:rPr>
                              <w:tab/>
                            </w:r>
                            <w:r>
                              <w:rPr>
                                <w:rFonts w:ascii="Arial" w:hAnsi="Arial"/>
                                <w:b/>
                              </w:rPr>
                              <w:t>Non-Duplication, Consultation, and Other Collection Criteria</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160" o:spid="_x0000_s1046" type="#_x0000_t202" style="width:535.7pt;height:21.55pt;margin-top:-220.2pt;margin-left:-183.3pt;mso-height-percent:0;mso-height-relative:page;mso-position-horizontal-relative:margin;mso-width-percent:0;mso-width-relative:page;mso-wrap-distance-bottom:12pt;mso-wrap-distance-left:12pt;mso-wrap-distance-right:12pt;mso-wrap-distance-top:12pt;mso-wrap-style:square;position:absolute;visibility:visible;v-text-anchor:top;z-index:251718656" filled="f" stroked="f">
                <v:textbox inset="0,0,6pt,6pt">
                  <w:txbxContent>
                    <w:p w:rsidR="005343AC" w:rsidP="00440C98" w14:paraId="33886484" w14:textId="77777777">
                      <w:r>
                        <w:rPr>
                          <w:rFonts w:ascii="Arial" w:hAnsi="Arial"/>
                          <w:b/>
                        </w:rPr>
                        <w:t>3</w:t>
                      </w:r>
                      <w:r>
                        <w:rPr>
                          <w:rFonts w:ascii="Arial" w:hAnsi="Arial"/>
                          <w:b/>
                        </w:rPr>
                        <w:tab/>
                      </w:r>
                      <w:r>
                        <w:rPr>
                          <w:rFonts w:ascii="Arial" w:hAnsi="Arial"/>
                          <w:b/>
                        </w:rPr>
                        <w:t>Non-Duplication, Consultation, and Other Collection Criteria</w:t>
                      </w:r>
                    </w:p>
                  </w:txbxContent>
                </v:textbox>
                <w10:wrap type="square" side="largest"/>
              </v:shape>
            </w:pict>
          </mc:Fallback>
        </mc:AlternateContent>
      </w:r>
      <w:r w:rsidRPr="00087AC9">
        <w:rPr>
          <w:noProof/>
        </w:rPr>
        <mc:AlternateContent>
          <mc:Choice Requires="wps">
            <w:drawing>
              <wp:anchor distT="152400" distB="152400" distL="152400" distR="152400" simplePos="0" relativeHeight="251721728" behindDoc="0" locked="0" layoutInCell="1" allowOverlap="1">
                <wp:simplePos x="0" y="0"/>
                <wp:positionH relativeFrom="margin">
                  <wp:posOffset>-2286000</wp:posOffset>
                </wp:positionH>
                <wp:positionV relativeFrom="paragraph">
                  <wp:posOffset>152400</wp:posOffset>
                </wp:positionV>
                <wp:extent cx="1684020" cy="504190"/>
                <wp:effectExtent l="0" t="635" r="1905" b="0"/>
                <wp:wrapSquare wrapText="largest"/>
                <wp:docPr id="25" name="Text Box 1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4020" cy="5041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3AC" w:rsidP="00440C98" w14:paraId="7851BB9C" w14:textId="77777777">
                            <w:pPr>
                              <w:ind w:left="720" w:hanging="720"/>
                            </w:pPr>
                            <w:r>
                              <w:rPr>
                                <w:rFonts w:ascii="Arial" w:hAnsi="Arial"/>
                                <w:b/>
                              </w:rPr>
                              <w:t>3.2</w:t>
                            </w:r>
                            <w:r>
                              <w:rPr>
                                <w:rFonts w:ascii="Arial" w:hAnsi="Arial"/>
                                <w:b/>
                              </w:rPr>
                              <w:tab/>
                            </w:r>
                            <w:r>
                              <w:rPr>
                                <w:rFonts w:ascii="Arial" w:hAnsi="Arial"/>
                                <w:b/>
                              </w:rPr>
                              <w:t>Public Notice Requirements</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_x0000_s1047" type="#_x0000_t202" style="width:132.6pt;height:39.7pt;margin-top:12pt;margin-left:-180pt;mso-height-percent:0;mso-height-relative:page;mso-position-horizontal-relative:margin;mso-width-percent:0;mso-width-relative:page;mso-wrap-distance-bottom:12pt;mso-wrap-distance-left:12pt;mso-wrap-distance-right:12pt;mso-wrap-distance-top:12pt;mso-wrap-style:square;position:absolute;visibility:visible;v-text-anchor:top;z-index:251722752" filled="f" stroked="f">
                <v:textbox inset="0,0,6pt,6pt">
                  <w:txbxContent>
                    <w:p w:rsidR="005343AC" w:rsidP="00440C98" w14:paraId="1013C054" w14:textId="77777777">
                      <w:pPr>
                        <w:ind w:left="720" w:hanging="720"/>
                      </w:pPr>
                      <w:r>
                        <w:rPr>
                          <w:rFonts w:ascii="Arial" w:hAnsi="Arial"/>
                          <w:b/>
                        </w:rPr>
                        <w:t>3.2</w:t>
                      </w:r>
                      <w:r>
                        <w:rPr>
                          <w:rFonts w:ascii="Arial" w:hAnsi="Arial"/>
                          <w:b/>
                        </w:rPr>
                        <w:tab/>
                      </w:r>
                      <w:r>
                        <w:rPr>
                          <w:rFonts w:ascii="Arial" w:hAnsi="Arial"/>
                          <w:b/>
                        </w:rPr>
                        <w:t>Public Notice Requirements</w:t>
                      </w:r>
                    </w:p>
                  </w:txbxContent>
                </v:textbox>
                <w10:wrap type="square" side="largest"/>
              </v:shape>
            </w:pict>
          </mc:Fallback>
        </mc:AlternateContent>
      </w:r>
    </w:p>
    <w:p w:rsidR="00A75A9C" w:rsidRPr="00087AC9" w:rsidP="00A75A9C" w14:paraId="7196B76A" w14:textId="7ACF0C8C">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87AC9">
        <w:t xml:space="preserve">The </w:t>
      </w:r>
      <w:r w:rsidRPr="00087AC9" w:rsidR="006D5844">
        <w:t>EPA</w:t>
      </w:r>
      <w:r w:rsidRPr="00087AC9">
        <w:t xml:space="preserve"> </w:t>
      </w:r>
      <w:r w:rsidRPr="00087AC9">
        <w:t>issue</w:t>
      </w:r>
      <w:r w:rsidR="004819E3">
        <w:t>d</w:t>
      </w:r>
      <w:r w:rsidRPr="00087AC9">
        <w:t xml:space="preserve"> a Federal Register notice requesting comments on the </w:t>
      </w:r>
      <w:r w:rsidRPr="00087AC9" w:rsidR="00FC55AA">
        <w:t xml:space="preserve">proposed rule </w:t>
      </w:r>
      <w:r w:rsidRPr="00087AC9">
        <w:t xml:space="preserve">ICR </w:t>
      </w:r>
      <w:r w:rsidRPr="00087AC9" w:rsidR="00E743DB">
        <w:t xml:space="preserve">and </w:t>
      </w:r>
      <w:r w:rsidRPr="00087AC9">
        <w:t>provide</w:t>
      </w:r>
      <w:r w:rsidR="004819E3">
        <w:t>d</w:t>
      </w:r>
      <w:r w:rsidRPr="00087AC9">
        <w:t xml:space="preserve"> a </w:t>
      </w:r>
      <w:r w:rsidR="00ED1916">
        <w:t>76</w:t>
      </w:r>
      <w:r w:rsidRPr="00087AC9">
        <w:t>-day public notice and comment period.</w:t>
      </w:r>
      <w:r w:rsidR="00BC1F34">
        <w:t xml:space="preserve">  The EPA received comments from two </w:t>
      </w:r>
      <w:r w:rsidR="00CE4BE6">
        <w:t>c</w:t>
      </w:r>
      <w:r w:rsidR="00BC1F34">
        <w:t>ommenter</w:t>
      </w:r>
      <w:r w:rsidR="00ED57E0">
        <w:t>s and the EPA responded to their concerns in the</w:t>
      </w:r>
      <w:r w:rsidR="00AF0112">
        <w:t xml:space="preserve"> document, “Federal Good Neighbor Plan for the 2015 Ozone National Ambient Air Quality Standards, Response to Public Comments on Proposed Rule</w:t>
      </w:r>
      <w:r w:rsidR="00F768D4">
        <w:t>,</w:t>
      </w:r>
      <w:r w:rsidR="00AF0112">
        <w:t>”</w:t>
      </w:r>
      <w:r w:rsidR="0017642D">
        <w:t xml:space="preserve"> which is included in the docket for this rulemaking.</w:t>
      </w:r>
      <w:r w:rsidRPr="00087AC9">
        <w:t xml:space="preserve"> </w:t>
      </w:r>
    </w:p>
    <w:p w:rsidR="00B63CBC" w:rsidRPr="00087AC9" w:rsidP="00440C98" w14:paraId="45AD542D"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A1837" w:rsidRPr="00087AC9" w:rsidP="00AD310E" w14:paraId="679C8936" w14:textId="7DDF2999">
      <w:pPr>
        <w:autoSpaceDE w:val="0"/>
        <w:autoSpaceDN w:val="0"/>
        <w:rPr>
          <w:color w:val="FF0000"/>
        </w:rPr>
      </w:pPr>
      <w:r w:rsidRPr="0895AA45">
        <w:t xml:space="preserve">Each year over the </w:t>
      </w:r>
      <w:r w:rsidRPr="0895AA45" w:rsidR="00231F44">
        <w:t>2023-2025</w:t>
      </w:r>
      <w:r w:rsidRPr="0895AA45" w:rsidR="00FF554F">
        <w:t xml:space="preserve"> timeframe</w:t>
      </w:r>
      <w:r w:rsidRPr="0895AA45">
        <w:t xml:space="preserve">, approximately </w:t>
      </w:r>
      <w:r w:rsidR="000D229D">
        <w:t>902</w:t>
      </w:r>
      <w:r w:rsidRPr="0895AA45" w:rsidR="00864638">
        <w:t xml:space="preserve"> facilities and </w:t>
      </w:r>
      <w:r w:rsidR="000D229D">
        <w:t>3,3</w:t>
      </w:r>
      <w:r w:rsidR="00C429B1">
        <w:t>28</w:t>
      </w:r>
      <w:r w:rsidR="00ED665D">
        <w:t xml:space="preserve"> </w:t>
      </w:r>
      <w:r w:rsidRPr="0895AA45">
        <w:t xml:space="preserve">affected non-EGU </w:t>
      </w:r>
      <w:r w:rsidRPr="0895AA45" w:rsidR="3DFAD0DD">
        <w:t>emission</w:t>
      </w:r>
      <w:r w:rsidR="6BEDF519">
        <w:t>s</w:t>
      </w:r>
      <w:r w:rsidRPr="00087AC9" w:rsidR="00175C85">
        <w:rPr>
          <w:szCs w:val="24"/>
        </w:rPr>
        <w:t xml:space="preserve"> </w:t>
      </w:r>
      <w:r w:rsidR="009F1D8C">
        <w:t>units</w:t>
      </w:r>
      <w:r w:rsidRPr="0895AA45" w:rsidR="009F1D8C">
        <w:t xml:space="preserve"> </w:t>
      </w:r>
      <w:r w:rsidR="00335406">
        <w:t xml:space="preserve">(respondents) </w:t>
      </w:r>
      <w:r w:rsidRPr="0895AA45">
        <w:t xml:space="preserve">will be subject to the </w:t>
      </w:r>
      <w:r w:rsidRPr="0895AA45" w:rsidR="004819E3">
        <w:t>final</w:t>
      </w:r>
      <w:r w:rsidRPr="00087AC9" w:rsidR="0028045F">
        <w:rPr>
          <w:szCs w:val="24"/>
        </w:rPr>
        <w:t xml:space="preserve"> </w:t>
      </w:r>
      <w:r w:rsidR="00BB4E9E">
        <w:t>r</w:t>
      </w:r>
      <w:r w:rsidRPr="0895AA45">
        <w:t>ule</w:t>
      </w:r>
      <w:r w:rsidRPr="00087AC9">
        <w:rPr>
          <w:szCs w:val="24"/>
        </w:rPr>
        <w:t xml:space="preserve">. </w:t>
      </w:r>
      <w:r w:rsidRPr="00087AC9" w:rsidR="00A75A9C">
        <w:rPr>
          <w:noProof/>
          <w:szCs w:val="24"/>
        </w:rPr>
        <mc:AlternateContent>
          <mc:Choice Requires="wps">
            <w:drawing>
              <wp:anchor distT="152400" distB="152400" distL="152400" distR="152400" simplePos="0" relativeHeight="251709440" behindDoc="0" locked="0" layoutInCell="1" allowOverlap="1">
                <wp:simplePos x="0" y="0"/>
                <wp:positionH relativeFrom="margin">
                  <wp:posOffset>-2286000</wp:posOffset>
                </wp:positionH>
                <wp:positionV relativeFrom="paragraph">
                  <wp:posOffset>43815</wp:posOffset>
                </wp:positionV>
                <wp:extent cx="1684020" cy="443865"/>
                <wp:effectExtent l="0" t="0" r="1905" b="0"/>
                <wp:wrapSquare wrapText="largest"/>
                <wp:docPr id="24" name="Text Box 1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4020" cy="4438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3AC" w:rsidP="00A75A9C" w14:paraId="566E432F" w14:textId="77777777">
                            <w:r>
                              <w:rPr>
                                <w:rFonts w:ascii="Arial" w:hAnsi="Arial"/>
                                <w:b/>
                              </w:rPr>
                              <w:t>3.3</w:t>
                            </w:r>
                            <w:r>
                              <w:rPr>
                                <w:rFonts w:ascii="Arial" w:hAnsi="Arial"/>
                                <w:b/>
                              </w:rPr>
                              <w:tab/>
                            </w:r>
                            <w:r>
                              <w:rPr>
                                <w:rFonts w:ascii="Arial" w:hAnsi="Arial"/>
                                <w:b/>
                              </w:rPr>
                              <w:t>Consultations</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163" o:spid="_x0000_s1048" type="#_x0000_t202" style="width:132.6pt;height:34.95pt;margin-top:3.45pt;margin-left:-180pt;mso-height-percent:0;mso-height-relative:page;mso-position-horizontal-relative:margin;mso-width-percent:0;mso-width-relative:page;mso-wrap-distance-bottom:12pt;mso-wrap-distance-left:12pt;mso-wrap-distance-right:12pt;mso-wrap-distance-top:12pt;mso-wrap-style:square;position:absolute;visibility:visible;v-text-anchor:top;z-index:251710464" filled="f" stroked="f">
                <v:textbox inset="0,0,6pt,6pt">
                  <w:txbxContent>
                    <w:p w:rsidR="005343AC" w:rsidP="00A75A9C" w14:paraId="732A4E46" w14:textId="77777777">
                      <w:r>
                        <w:rPr>
                          <w:rFonts w:ascii="Arial" w:hAnsi="Arial"/>
                          <w:b/>
                        </w:rPr>
                        <w:t>3.3</w:t>
                      </w:r>
                      <w:r>
                        <w:rPr>
                          <w:rFonts w:ascii="Arial" w:hAnsi="Arial"/>
                          <w:b/>
                        </w:rPr>
                        <w:tab/>
                      </w:r>
                      <w:r>
                        <w:rPr>
                          <w:rFonts w:ascii="Arial" w:hAnsi="Arial"/>
                          <w:b/>
                        </w:rPr>
                        <w:t>Consultations</w:t>
                      </w:r>
                    </w:p>
                  </w:txbxContent>
                </v:textbox>
                <w10:wrap type="square" side="largest"/>
              </v:shape>
            </w:pict>
          </mc:Fallback>
        </mc:AlternateContent>
      </w:r>
      <w:r w:rsidR="6BEDF519">
        <w:t xml:space="preserve">The </w:t>
      </w:r>
      <w:r w:rsidR="001B685E">
        <w:t>final r</w:t>
      </w:r>
      <w:r w:rsidR="6BEDF519">
        <w:t>ule compliance period</w:t>
      </w:r>
      <w:r w:rsidR="6D596A05">
        <w:t xml:space="preserve"> with emissions limits</w:t>
      </w:r>
      <w:r w:rsidR="6BEDF519">
        <w:t xml:space="preserve"> for non-EGU emissions sources begins in 2026 and would occur during the 2026-2029 </w:t>
      </w:r>
      <w:r w:rsidR="6BEDF519">
        <w:t>time period</w:t>
      </w:r>
      <w:r w:rsidR="6BEDF519">
        <w:t xml:space="preserve"> of any subsequent ICR renewal.  A similar number of facilities and sources and any additional new affected sources will be required to comply with the requirements of the </w:t>
      </w:r>
      <w:r w:rsidR="00BB4E9E">
        <w:t>final</w:t>
      </w:r>
      <w:r w:rsidR="6BEDF519">
        <w:t xml:space="preserve"> </w:t>
      </w:r>
      <w:r w:rsidR="00BB4E9E">
        <w:t>r</w:t>
      </w:r>
      <w:r w:rsidR="6BEDF519">
        <w:t xml:space="preserve">ule beginning in 2026 during the anticipated 2026-2029 </w:t>
      </w:r>
      <w:r w:rsidR="06541792">
        <w:t xml:space="preserve">ICR </w:t>
      </w:r>
      <w:r w:rsidR="6BEDF519">
        <w:t>renewal period.</w:t>
      </w:r>
      <w:r w:rsidR="414EC5B1">
        <w:t xml:space="preserve">  </w:t>
      </w:r>
      <w:r w:rsidR="00542B4B">
        <w:t>T</w:t>
      </w:r>
      <w:r w:rsidR="00AC6997">
        <w:t>he majority of ICR respondent burden and cost will be realized during the 2026-2029</w:t>
      </w:r>
      <w:r w:rsidR="579CA1D5">
        <w:t xml:space="preserve"> renewal</w:t>
      </w:r>
      <w:r w:rsidR="00AC6997">
        <w:t xml:space="preserve"> timeframe and beyond</w:t>
      </w:r>
      <w:r w:rsidR="08C57544">
        <w:t xml:space="preserve">.  </w:t>
      </w:r>
      <w:r>
        <w:t>U</w:t>
      </w:r>
      <w:r w:rsidR="00AA1837">
        <w:t xml:space="preserve">nder 5 CFR 1320.8(d)(1), OMB requires agencies to consult with potential ICR respondents and data users about aspects of ICRs before submitting an ICR to OMB for review and approval. In accordance with this regulation, the EPA </w:t>
      </w:r>
      <w:r w:rsidR="0024003E">
        <w:t xml:space="preserve">will </w:t>
      </w:r>
      <w:r>
        <w:t>consult with</w:t>
      </w:r>
      <w:r w:rsidR="00AA1837">
        <w:t xml:space="preserve"> </w:t>
      </w:r>
      <w:r w:rsidR="0024003E">
        <w:t>a select list of state agencies and non-EGU industry</w:t>
      </w:r>
      <w:r w:rsidR="00AA1837">
        <w:t xml:space="preserve"> </w:t>
      </w:r>
      <w:r w:rsidR="0024003E">
        <w:t xml:space="preserve">sector </w:t>
      </w:r>
      <w:r w:rsidR="00AA1837">
        <w:t xml:space="preserve">parties </w:t>
      </w:r>
      <w:r>
        <w:t xml:space="preserve">by submitting questions </w:t>
      </w:r>
      <w:r w:rsidR="00AA1837">
        <w:t>via e-mail.</w:t>
      </w:r>
    </w:p>
    <w:p w:rsidR="00440C98" w:rsidRPr="00087AC9" w:rsidP="00440C98" w14:paraId="2446D5E9"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noProof/>
        </w:rPr>
        <mc:AlternateContent>
          <mc:Choice Requires="wps">
            <w:drawing>
              <wp:anchor distT="152400" distB="152400" distL="152400" distR="152400" simplePos="0" relativeHeight="251723776" behindDoc="0" locked="0" layoutInCell="1" allowOverlap="1">
                <wp:simplePos x="0" y="0"/>
                <wp:positionH relativeFrom="margin">
                  <wp:posOffset>-2286000</wp:posOffset>
                </wp:positionH>
                <wp:positionV relativeFrom="paragraph">
                  <wp:posOffset>121920</wp:posOffset>
                </wp:positionV>
                <wp:extent cx="1684020" cy="450850"/>
                <wp:effectExtent l="0" t="2540" r="1905" b="3810"/>
                <wp:wrapSquare wrapText="largest"/>
                <wp:docPr id="23" name="Text Box 16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4020" cy="4508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3AC" w:rsidP="00440C98" w14:paraId="747B3B9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3.4</w:t>
                            </w:r>
                            <w:r>
                              <w:rPr>
                                <w:rFonts w:ascii="Arial" w:hAnsi="Arial"/>
                                <w:b/>
                              </w:rPr>
                              <w:tab/>
                            </w:r>
                            <w:r>
                              <w:rPr>
                                <w:rFonts w:ascii="Arial" w:hAnsi="Arial"/>
                                <w:b/>
                              </w:rPr>
                              <w:t>Less Frequent</w:t>
                            </w:r>
                          </w:p>
                          <w:p w:rsidR="005343AC" w:rsidP="00440C98" w14:paraId="36AA0CE9" w14:textId="77777777">
                            <w:r>
                              <w:rPr>
                                <w:rFonts w:ascii="Arial" w:hAnsi="Arial"/>
                                <w:b/>
                              </w:rPr>
                              <w:tab/>
                            </w:r>
                            <w:r>
                              <w:rPr>
                                <w:rFonts w:ascii="Arial" w:hAnsi="Arial"/>
                                <w:b/>
                              </w:rPr>
                              <w:t>Collection</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164" o:spid="_x0000_s1049" type="#_x0000_t202" style="width:132.6pt;height:35.5pt;margin-top:9.6pt;margin-left:-180pt;mso-height-percent:0;mso-height-relative:page;mso-position-horizontal-relative:margin;mso-width-percent:0;mso-width-relative:page;mso-wrap-distance-bottom:12pt;mso-wrap-distance-left:12pt;mso-wrap-distance-right:12pt;mso-wrap-distance-top:12pt;mso-wrap-style:square;position:absolute;visibility:visible;v-text-anchor:top;z-index:251724800" filled="f" stroked="f">
                <v:textbox inset="0,0,6pt,6pt">
                  <w:txbxContent>
                    <w:p w:rsidR="005343AC" w:rsidP="00440C98" w14:paraId="18A60F1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3.4</w:t>
                      </w:r>
                      <w:r>
                        <w:rPr>
                          <w:rFonts w:ascii="Arial" w:hAnsi="Arial"/>
                          <w:b/>
                        </w:rPr>
                        <w:tab/>
                      </w:r>
                      <w:r>
                        <w:rPr>
                          <w:rFonts w:ascii="Arial" w:hAnsi="Arial"/>
                          <w:b/>
                        </w:rPr>
                        <w:t>Less Frequent</w:t>
                      </w:r>
                    </w:p>
                    <w:p w:rsidR="005343AC" w:rsidP="00440C98" w14:paraId="14DDDF96" w14:textId="77777777">
                      <w:r>
                        <w:rPr>
                          <w:rFonts w:ascii="Arial" w:hAnsi="Arial"/>
                          <w:b/>
                        </w:rPr>
                        <w:tab/>
                      </w:r>
                      <w:r>
                        <w:rPr>
                          <w:rFonts w:ascii="Arial" w:hAnsi="Arial"/>
                          <w:b/>
                        </w:rPr>
                        <w:t>Collection</w:t>
                      </w:r>
                    </w:p>
                  </w:txbxContent>
                </v:textbox>
                <w10:wrap type="square" side="largest"/>
              </v:shape>
            </w:pict>
          </mc:Fallback>
        </mc:AlternateContent>
      </w:r>
    </w:p>
    <w:p w:rsidR="007844BC" w:rsidRPr="00087AC9" w:rsidP="00440C98" w14:paraId="322C1822" w14:textId="382C768C">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87AC9">
        <w:t>The information collection requested under this ICR is necessary to ensure implementation of the</w:t>
      </w:r>
      <w:r w:rsidRPr="00087AC9" w:rsidR="004F50BF">
        <w:t xml:space="preserve"> </w:t>
      </w:r>
      <w:r w:rsidR="004819E3">
        <w:t>final</w:t>
      </w:r>
      <w:r w:rsidRPr="00087AC9" w:rsidR="00A725F9">
        <w:t xml:space="preserve"> </w:t>
      </w:r>
      <w:r w:rsidR="00CE4BE6">
        <w:t>r</w:t>
      </w:r>
      <w:r w:rsidRPr="00087AC9" w:rsidR="00A725F9">
        <w:t>ule under the authority provided in CAA section 110(a)(2)(D)(i)(I).</w:t>
      </w:r>
      <w:r w:rsidRPr="00087AC9" w:rsidR="005D242D">
        <w:t xml:space="preserve">  Regulated entities will be required to submit annual periodic compliance reports to the Administrator. </w:t>
      </w:r>
    </w:p>
    <w:p w:rsidR="007844BC" w:rsidRPr="00087AC9" w:rsidP="00440C98" w14:paraId="70D11A07"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844BC" w:rsidRPr="00087AC9" w:rsidP="007844BC" w14:paraId="33668FF3" w14:textId="337B0095">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87AC9">
        <w:t>If this information collection were not carried out at the</w:t>
      </w:r>
      <w:r w:rsidRPr="00087AC9">
        <w:t xml:space="preserve"> stated</w:t>
      </w:r>
      <w:r w:rsidRPr="00087AC9">
        <w:t xml:space="preserve"> intervals for non-EGU industry sources</w:t>
      </w:r>
      <w:r w:rsidRPr="00087AC9" w:rsidR="00893928">
        <w:t xml:space="preserve">, the margin of assurance that sources are continuing to meet the standards would decrease and the process of compliance determination by </w:t>
      </w:r>
      <w:r w:rsidR="00073648">
        <w:t xml:space="preserve">the </w:t>
      </w:r>
      <w:r w:rsidRPr="00087AC9" w:rsidR="00893928">
        <w:t>EPA would slow down.</w:t>
      </w:r>
      <w:r w:rsidRPr="00087AC9">
        <w:t xml:space="preserve">  Requirements </w:t>
      </w:r>
      <w:r w:rsidRPr="00087AC9">
        <w:rPr>
          <w:color w:val="000000"/>
        </w:rPr>
        <w:t xml:space="preserve">for information gathering and recordkeeping are useful techniques to ensure that good operation and maintenance practices are applied and emission limitations are met. If the information required by these standards was </w:t>
      </w:r>
      <w:r w:rsidRPr="00087AC9">
        <w:rPr>
          <w:color w:val="000000"/>
        </w:rPr>
        <w:t>collected less frequently, the proper operation and maintenance of control equipment and the possibility of detecting violations would be less likely.</w:t>
      </w:r>
    </w:p>
    <w:p w:rsidR="007844BC" w:rsidRPr="00087AC9" w:rsidP="00440C98" w14:paraId="7D9E0D06"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40C98" w:rsidRPr="00087AC9" w:rsidP="00440C98" w14:paraId="40764580"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noProof/>
        </w:rPr>
        <mc:AlternateContent>
          <mc:Choice Requires="wps">
            <w:drawing>
              <wp:anchor distT="152400" distB="152400" distL="152400" distR="152400" simplePos="0" relativeHeight="251725824" behindDoc="0" locked="0" layoutInCell="1" allowOverlap="1">
                <wp:simplePos x="0" y="0"/>
                <wp:positionH relativeFrom="margin">
                  <wp:posOffset>-2286000</wp:posOffset>
                </wp:positionH>
                <wp:positionV relativeFrom="paragraph">
                  <wp:posOffset>157480</wp:posOffset>
                </wp:positionV>
                <wp:extent cx="1684020" cy="688975"/>
                <wp:effectExtent l="0" t="1905" r="1905" b="4445"/>
                <wp:wrapSquare wrapText="largest"/>
                <wp:docPr id="22" name="Text Box 16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4020" cy="688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3AC" w:rsidP="00440C98" w14:paraId="7DDCBC1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3.5</w:t>
                            </w:r>
                            <w:r>
                              <w:rPr>
                                <w:rFonts w:ascii="Arial" w:hAnsi="Arial"/>
                                <w:b/>
                              </w:rPr>
                              <w:tab/>
                            </w:r>
                            <w:r>
                              <w:rPr>
                                <w:rFonts w:ascii="Arial" w:hAnsi="Arial"/>
                                <w:b/>
                              </w:rPr>
                              <w:t>General</w:t>
                            </w:r>
                          </w:p>
                          <w:p w:rsidR="005343AC" w:rsidP="00440C98" w14:paraId="18298545" w14:textId="77777777">
                            <w:r>
                              <w:rPr>
                                <w:rFonts w:ascii="Arial" w:hAnsi="Arial"/>
                                <w:b/>
                              </w:rPr>
                              <w:tab/>
                            </w:r>
                            <w:r>
                              <w:rPr>
                                <w:rFonts w:ascii="Arial" w:hAnsi="Arial"/>
                                <w:b/>
                              </w:rPr>
                              <w:t>Guidelines</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165" o:spid="_x0000_s1050" type="#_x0000_t202" style="width:132.6pt;height:54.25pt;margin-top:12.4pt;margin-left:-180pt;mso-height-percent:0;mso-height-relative:page;mso-position-horizontal-relative:margin;mso-width-percent:0;mso-width-relative:page;mso-wrap-distance-bottom:12pt;mso-wrap-distance-left:12pt;mso-wrap-distance-right:12pt;mso-wrap-distance-top:12pt;mso-wrap-style:square;position:absolute;visibility:visible;v-text-anchor:top;z-index:251726848" filled="f" stroked="f">
                <v:textbox inset="0,0,6pt,6pt">
                  <w:txbxContent>
                    <w:p w:rsidR="005343AC" w:rsidP="00440C98" w14:paraId="6C1FF35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3.5</w:t>
                      </w:r>
                      <w:r>
                        <w:rPr>
                          <w:rFonts w:ascii="Arial" w:hAnsi="Arial"/>
                          <w:b/>
                        </w:rPr>
                        <w:tab/>
                      </w:r>
                      <w:r>
                        <w:rPr>
                          <w:rFonts w:ascii="Arial" w:hAnsi="Arial"/>
                          <w:b/>
                        </w:rPr>
                        <w:t>General</w:t>
                      </w:r>
                    </w:p>
                    <w:p w:rsidR="005343AC" w:rsidP="00440C98" w14:paraId="5B5D8B07" w14:textId="77777777">
                      <w:r>
                        <w:rPr>
                          <w:rFonts w:ascii="Arial" w:hAnsi="Arial"/>
                          <w:b/>
                        </w:rPr>
                        <w:tab/>
                      </w:r>
                      <w:r>
                        <w:rPr>
                          <w:rFonts w:ascii="Arial" w:hAnsi="Arial"/>
                          <w:b/>
                        </w:rPr>
                        <w:t>Guidelines</w:t>
                      </w:r>
                    </w:p>
                  </w:txbxContent>
                </v:textbox>
                <w10:wrap type="square" side="largest"/>
              </v:shape>
            </w:pict>
          </mc:Fallback>
        </mc:AlternateContent>
      </w:r>
    </w:p>
    <w:p w:rsidR="00440C98" w:rsidRPr="00087AC9" w:rsidP="00440C98" w14:paraId="145519F1"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color w:val="000000"/>
        </w:rPr>
        <w:t>OMB's general guidelines for information collect</w:t>
      </w:r>
      <w:r w:rsidRPr="00087AC9" w:rsidR="0050637A">
        <w:rPr>
          <w:color w:val="000000"/>
        </w:rPr>
        <w:t>ions must be adhered to by all federal a</w:t>
      </w:r>
      <w:r w:rsidRPr="00087AC9">
        <w:rPr>
          <w:color w:val="000000"/>
        </w:rPr>
        <w:t>gencies for approval of any rulemaking's collection methodology. In accordance with the requirements of 5 CFR 1320.5, the Agency believes:</w:t>
      </w:r>
    </w:p>
    <w:p w:rsidR="00440C98" w:rsidRPr="00087AC9" w:rsidP="00440C98" w14:paraId="1FD0EF3F"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40C98" w:rsidRPr="00087AC9" w:rsidP="00440C98" w14:paraId="2D76FC4F" w14:textId="742142D4">
      <w:pPr>
        <w:numPr>
          <w:ilvl w:val="0"/>
          <w:numId w:val="8"/>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color w:val="000000"/>
        </w:rPr>
        <w:t>T</w:t>
      </w:r>
      <w:r w:rsidRPr="00087AC9">
        <w:rPr>
          <w:color w:val="000000"/>
        </w:rPr>
        <w:t xml:space="preserve">he </w:t>
      </w:r>
      <w:r w:rsidR="004819E3">
        <w:rPr>
          <w:color w:val="000000"/>
        </w:rPr>
        <w:t>final</w:t>
      </w:r>
      <w:r w:rsidRPr="00087AC9">
        <w:rPr>
          <w:color w:val="000000"/>
        </w:rPr>
        <w:t xml:space="preserve"> </w:t>
      </w:r>
      <w:r w:rsidR="00BB4E9E">
        <w:rPr>
          <w:color w:val="000000"/>
        </w:rPr>
        <w:t>r</w:t>
      </w:r>
      <w:r w:rsidRPr="00087AC9">
        <w:rPr>
          <w:color w:val="000000"/>
        </w:rPr>
        <w:t>ule</w:t>
      </w:r>
      <w:r w:rsidRPr="00087AC9">
        <w:rPr>
          <w:color w:val="000000"/>
        </w:rPr>
        <w:t xml:space="preserve"> do</w:t>
      </w:r>
      <w:r w:rsidRPr="00087AC9">
        <w:rPr>
          <w:color w:val="000000"/>
        </w:rPr>
        <w:t>es</w:t>
      </w:r>
      <w:r w:rsidRPr="00087AC9">
        <w:rPr>
          <w:color w:val="000000"/>
        </w:rPr>
        <w:t xml:space="preserve"> not require periodic reporting more frequently t</w:t>
      </w:r>
      <w:r w:rsidRPr="00087AC9">
        <w:rPr>
          <w:color w:val="000000"/>
        </w:rPr>
        <w:t>han on a</w:t>
      </w:r>
      <w:r w:rsidR="00A431AC">
        <w:rPr>
          <w:color w:val="000000"/>
        </w:rPr>
        <w:t>n</w:t>
      </w:r>
      <w:r w:rsidRPr="00087AC9">
        <w:rPr>
          <w:color w:val="000000"/>
        </w:rPr>
        <w:t xml:space="preserve"> </w:t>
      </w:r>
      <w:r w:rsidR="00DE2737">
        <w:rPr>
          <w:color w:val="000000"/>
        </w:rPr>
        <w:t>annual</w:t>
      </w:r>
      <w:r w:rsidRPr="00087AC9">
        <w:rPr>
          <w:color w:val="000000"/>
        </w:rPr>
        <w:t xml:space="preserve"> basis</w:t>
      </w:r>
      <w:r w:rsidRPr="00087AC9">
        <w:rPr>
          <w:color w:val="000000"/>
        </w:rPr>
        <w:t>.</w:t>
      </w:r>
    </w:p>
    <w:p w:rsidR="00440C98" w:rsidRPr="00087AC9" w:rsidP="00440C98" w14:paraId="48BA33EC" w14:textId="6C89665F">
      <w:pPr>
        <w:numPr>
          <w:ilvl w:val="0"/>
          <w:numId w:val="8"/>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color w:val="000000"/>
        </w:rPr>
        <w:t xml:space="preserve">The </w:t>
      </w:r>
      <w:r w:rsidR="004819E3">
        <w:rPr>
          <w:color w:val="000000"/>
        </w:rPr>
        <w:t>final</w:t>
      </w:r>
      <w:r w:rsidRPr="00087AC9" w:rsidR="001023E3">
        <w:rPr>
          <w:color w:val="000000"/>
        </w:rPr>
        <w:t xml:space="preserve"> </w:t>
      </w:r>
      <w:r w:rsidR="00BB4E9E">
        <w:rPr>
          <w:color w:val="000000"/>
        </w:rPr>
        <w:t>rule</w:t>
      </w:r>
      <w:r w:rsidRPr="00087AC9">
        <w:rPr>
          <w:color w:val="000000"/>
        </w:rPr>
        <w:t xml:space="preserve"> do</w:t>
      </w:r>
      <w:r w:rsidRPr="00087AC9" w:rsidR="001023E3">
        <w:rPr>
          <w:color w:val="000000"/>
        </w:rPr>
        <w:t>es</w:t>
      </w:r>
      <w:r w:rsidRPr="00087AC9">
        <w:rPr>
          <w:color w:val="000000"/>
        </w:rPr>
        <w:t xml:space="preserve"> not require respondents to participate in any statistical survey.</w:t>
      </w:r>
    </w:p>
    <w:p w:rsidR="00440C98" w:rsidRPr="00087AC9" w:rsidP="00440C98" w14:paraId="2A66BAAE" w14:textId="6F024431">
      <w:pPr>
        <w:numPr>
          <w:ilvl w:val="0"/>
          <w:numId w:val="8"/>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color w:val="000000"/>
        </w:rPr>
        <w:t>Written responses to Agency inquiries are not required to be submitted in less than 30 days.</w:t>
      </w:r>
    </w:p>
    <w:p w:rsidR="00440C98" w:rsidRPr="00087AC9" w:rsidP="00440C98" w14:paraId="421465CD" w14:textId="43C9763A">
      <w:pPr>
        <w:numPr>
          <w:ilvl w:val="0"/>
          <w:numId w:val="8"/>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color w:val="000000"/>
        </w:rPr>
        <w:t>Respondents do not receive remuneration for the preparation of reports required by the Act or part 5</w:t>
      </w:r>
      <w:r w:rsidR="006479A0">
        <w:rPr>
          <w:color w:val="000000"/>
        </w:rPr>
        <w:t>2</w:t>
      </w:r>
      <w:r w:rsidRPr="00087AC9">
        <w:rPr>
          <w:color w:val="000000"/>
        </w:rPr>
        <w:t>.</w:t>
      </w:r>
    </w:p>
    <w:p w:rsidR="00440C98" w:rsidRPr="00087AC9" w:rsidP="00440C98" w14:paraId="239232FB" w14:textId="77777777">
      <w:pPr>
        <w:numPr>
          <w:ilvl w:val="0"/>
          <w:numId w:val="8"/>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color w:val="000000"/>
        </w:rPr>
        <w:t>To the greatest extent possible, the Agency has taken advantage of automated methods of reporting.</w:t>
      </w:r>
    </w:p>
    <w:p w:rsidR="00440C98" w:rsidRPr="00087AC9" w:rsidP="00440C98" w14:paraId="3ABA81EE"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40C98" w:rsidRPr="00087AC9" w:rsidP="00440C98" w14:paraId="20174A86" w14:textId="3ED3FADE">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color w:val="000000"/>
        </w:rPr>
        <w:t xml:space="preserve">The recordkeeping and reporting requirements contained in the </w:t>
      </w:r>
      <w:r w:rsidR="004819E3">
        <w:rPr>
          <w:color w:val="000000"/>
        </w:rPr>
        <w:t>final</w:t>
      </w:r>
      <w:r w:rsidRPr="00087AC9" w:rsidR="0016678E">
        <w:rPr>
          <w:color w:val="000000"/>
        </w:rPr>
        <w:t xml:space="preserve"> </w:t>
      </w:r>
      <w:r w:rsidR="00BB4E9E">
        <w:rPr>
          <w:color w:val="000000"/>
        </w:rPr>
        <w:t>rule</w:t>
      </w:r>
      <w:r w:rsidRPr="00087AC9">
        <w:rPr>
          <w:color w:val="000000"/>
        </w:rPr>
        <w:t xml:space="preserve"> do not exceed any of the </w:t>
      </w:r>
      <w:r w:rsidRPr="00087AC9" w:rsidR="00F50358">
        <w:rPr>
          <w:color w:val="000000"/>
        </w:rPr>
        <w:t>PRA</w:t>
      </w:r>
      <w:r w:rsidRPr="00087AC9">
        <w:rPr>
          <w:color w:val="000000"/>
        </w:rPr>
        <w:t xml:space="preserve"> guidelines contained in 5 CFR 1320.5, except for the guideline </w:t>
      </w:r>
      <w:r w:rsidR="00CE4BE6">
        <w:rPr>
          <w:color w:val="000000"/>
        </w:rPr>
        <w:t>that</w:t>
      </w:r>
      <w:r w:rsidRPr="00087AC9">
        <w:rPr>
          <w:color w:val="000000"/>
        </w:rPr>
        <w:t xml:space="preserve"> limits retention of records by respondents to 3 years. The </w:t>
      </w:r>
      <w:r w:rsidR="004819E3">
        <w:rPr>
          <w:color w:val="000000"/>
        </w:rPr>
        <w:t>final</w:t>
      </w:r>
      <w:r w:rsidR="00A14845">
        <w:rPr>
          <w:color w:val="000000"/>
        </w:rPr>
        <w:t xml:space="preserve"> rule</w:t>
      </w:r>
      <w:r w:rsidRPr="00087AC9">
        <w:rPr>
          <w:color w:val="000000"/>
        </w:rPr>
        <w:t xml:space="preserve"> requires both respondents and state or local agencies to retain records for a period of 5 years</w:t>
      </w:r>
      <w:r w:rsidRPr="00A14845" w:rsidR="00A14845">
        <w:rPr>
          <w:color w:val="000000"/>
        </w:rPr>
        <w:t xml:space="preserve"> following the date of each occurrence, measurement, maintenance, corrective action, report, or record</w:t>
      </w:r>
      <w:r w:rsidRPr="00087AC9">
        <w:rPr>
          <w:color w:val="000000"/>
        </w:rPr>
        <w:t xml:space="preserve">. The justification for this exception is found in 28 U.S.C. 2462, which specifies 5 years as the general statute of limitations for </w:t>
      </w:r>
      <w:r w:rsidRPr="00087AC9" w:rsidR="0050637A">
        <w:rPr>
          <w:color w:val="000000"/>
        </w:rPr>
        <w:t>f</w:t>
      </w:r>
      <w:r w:rsidRPr="00087AC9">
        <w:rPr>
          <w:color w:val="000000"/>
        </w:rPr>
        <w:t xml:space="preserve">ederal claims in response to violations by regulated entities. The decision in </w:t>
      </w:r>
      <w:r w:rsidRPr="00087AC9">
        <w:rPr>
          <w:color w:val="000000"/>
          <w:u w:val="single"/>
        </w:rPr>
        <w:t>U.S. v. Conoco, Inc.</w:t>
      </w:r>
      <w:r w:rsidRPr="00087AC9">
        <w:rPr>
          <w:color w:val="000000"/>
        </w:rPr>
        <w:t>, No. 83-1916-E (W.D. Okla., January 23, 1984) found that the 5-year general statute of limitations applied to the CAA.</w:t>
      </w:r>
    </w:p>
    <w:p w:rsidR="00440C98" w:rsidRPr="00087AC9" w:rsidP="00440C98" w14:paraId="3892BFF6"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noProof/>
        </w:rPr>
        <mc:AlternateContent>
          <mc:Choice Requires="wps">
            <w:drawing>
              <wp:anchor distT="152400" distB="152400" distL="152400" distR="152400" simplePos="0" relativeHeight="251727872" behindDoc="0" locked="0" layoutInCell="1" allowOverlap="1">
                <wp:simplePos x="0" y="0"/>
                <wp:positionH relativeFrom="margin">
                  <wp:posOffset>-2286000</wp:posOffset>
                </wp:positionH>
                <wp:positionV relativeFrom="paragraph">
                  <wp:posOffset>156210</wp:posOffset>
                </wp:positionV>
                <wp:extent cx="1684020" cy="381635"/>
                <wp:effectExtent l="0" t="1905" r="1905" b="0"/>
                <wp:wrapSquare wrapText="largest"/>
                <wp:docPr id="21" name="Text Box 16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4020" cy="3816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3AC" w:rsidP="00440C98" w14:paraId="3BA69410" w14:textId="77777777">
                            <w:r>
                              <w:rPr>
                                <w:rFonts w:ascii="Arial" w:hAnsi="Arial"/>
                                <w:b/>
                              </w:rPr>
                              <w:t>3.6</w:t>
                            </w:r>
                            <w:r>
                              <w:rPr>
                                <w:rFonts w:ascii="Arial" w:hAnsi="Arial"/>
                                <w:b/>
                              </w:rPr>
                              <w:tab/>
                            </w:r>
                            <w:r>
                              <w:rPr>
                                <w:rFonts w:ascii="Arial" w:hAnsi="Arial"/>
                                <w:b/>
                              </w:rPr>
                              <w:t>Confidentiality</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166" o:spid="_x0000_s1051" type="#_x0000_t202" style="width:132.6pt;height:30.05pt;margin-top:12.3pt;margin-left:-180pt;mso-height-percent:0;mso-height-relative:page;mso-position-horizontal-relative:margin;mso-width-percent:0;mso-width-relative:page;mso-wrap-distance-bottom:12pt;mso-wrap-distance-left:12pt;mso-wrap-distance-right:12pt;mso-wrap-distance-top:12pt;mso-wrap-style:square;position:absolute;visibility:visible;v-text-anchor:top;z-index:251728896" filled="f" stroked="f">
                <v:textbox inset="0,0,6pt,6pt">
                  <w:txbxContent>
                    <w:p w:rsidR="005343AC" w:rsidP="00440C98" w14:paraId="17EC5558" w14:textId="77777777">
                      <w:r>
                        <w:rPr>
                          <w:rFonts w:ascii="Arial" w:hAnsi="Arial"/>
                          <w:b/>
                        </w:rPr>
                        <w:t>3.6</w:t>
                      </w:r>
                      <w:r>
                        <w:rPr>
                          <w:rFonts w:ascii="Arial" w:hAnsi="Arial"/>
                          <w:b/>
                        </w:rPr>
                        <w:tab/>
                      </w:r>
                      <w:r>
                        <w:rPr>
                          <w:rFonts w:ascii="Arial" w:hAnsi="Arial"/>
                          <w:b/>
                        </w:rPr>
                        <w:t>Confidentiality</w:t>
                      </w:r>
                    </w:p>
                  </w:txbxContent>
                </v:textbox>
                <w10:wrap type="square" side="largest"/>
              </v:shape>
            </w:pict>
          </mc:Fallback>
        </mc:AlternateContent>
      </w:r>
    </w:p>
    <w:p w:rsidR="00440C98" w:rsidRPr="00087AC9" w:rsidP="00440C98" w14:paraId="70DB0C91" w14:textId="555F49DE">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color w:val="000000"/>
        </w:rPr>
        <w:t xml:space="preserve">Confidentiality is not an issue for this rulemaking. In accordance with the Clean Air Act Amendments of 1990, any monitoring information to be submitted by sources is a matter of public record. To the extent that the information required is proprietary, confidential, or of a nature that could impair the ability of the source to maintain its market position, that information is collected and handled subject to the requirements of §503(e) and §114(c) of the Act. Information received and identified by owners or operators as confidential business information (CBI) and approved as CBI by </w:t>
      </w:r>
      <w:r w:rsidR="00073648">
        <w:rPr>
          <w:color w:val="000000"/>
        </w:rPr>
        <w:t xml:space="preserve">the </w:t>
      </w:r>
      <w:r w:rsidRPr="00087AC9">
        <w:rPr>
          <w:color w:val="000000"/>
        </w:rPr>
        <w:t>EPA, in accordance with Title 40, Chapter 1, Part 2, Subpart B, shall be maintained appropriately (see 40 CFR 2; 41 FR 36902, September 1, 1976; amended by 43 FR 39999, September 8, 1978; 43 FR 42251, September 28, 1978; 44 FR 17674, March 23, 1979).</w:t>
      </w:r>
    </w:p>
    <w:p w:rsidR="00440C98" w:rsidRPr="00087AC9" w:rsidP="00440C98" w14:paraId="1E7E0C77"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440C98" w:rsidRPr="00087AC9" w:rsidP="00440C98" w14:paraId="64B0F962"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noProof/>
        </w:rPr>
        <mc:AlternateContent>
          <mc:Choice Requires="wps">
            <w:drawing>
              <wp:anchor distT="152400" distB="152400" distL="152400" distR="152400" simplePos="0" relativeHeight="251729920" behindDoc="0" locked="0" layoutInCell="1" allowOverlap="1">
                <wp:simplePos x="0" y="0"/>
                <wp:positionH relativeFrom="margin">
                  <wp:posOffset>-2286000</wp:posOffset>
                </wp:positionH>
                <wp:positionV relativeFrom="paragraph">
                  <wp:posOffset>3175</wp:posOffset>
                </wp:positionV>
                <wp:extent cx="1684020" cy="514985"/>
                <wp:effectExtent l="0" t="0" r="1905" b="1270"/>
                <wp:wrapSquare wrapText="largest"/>
                <wp:docPr id="20" name="Text Box 1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4020" cy="5149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3AC" w:rsidP="00440C98" w14:paraId="6D26D1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3.7</w:t>
                            </w:r>
                            <w:r>
                              <w:rPr>
                                <w:rFonts w:ascii="Arial" w:hAnsi="Arial"/>
                                <w:b/>
                              </w:rPr>
                              <w:tab/>
                            </w:r>
                            <w:r>
                              <w:rPr>
                                <w:rFonts w:ascii="Arial" w:hAnsi="Arial"/>
                                <w:b/>
                              </w:rPr>
                              <w:t xml:space="preserve">Sensitive </w:t>
                            </w:r>
                          </w:p>
                          <w:p w:rsidR="005343AC" w:rsidP="00440C98" w14:paraId="053556A5" w14:textId="77777777">
                            <w:r>
                              <w:rPr>
                                <w:rFonts w:ascii="Arial" w:hAnsi="Arial"/>
                                <w:b/>
                              </w:rPr>
                              <w:tab/>
                            </w:r>
                            <w:r>
                              <w:rPr>
                                <w:rFonts w:ascii="Arial" w:hAnsi="Arial"/>
                                <w:b/>
                              </w:rPr>
                              <w:t>Questions</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167" o:spid="_x0000_s1052" type="#_x0000_t202" style="width:132.6pt;height:40.55pt;margin-top:0.25pt;margin-left:-180pt;mso-height-percent:0;mso-height-relative:page;mso-position-horizontal-relative:margin;mso-width-percent:0;mso-width-relative:page;mso-wrap-distance-bottom:12pt;mso-wrap-distance-left:12pt;mso-wrap-distance-right:12pt;mso-wrap-distance-top:12pt;mso-wrap-style:square;position:absolute;visibility:visible;v-text-anchor:top;z-index:251730944" filled="f" stroked="f">
                <v:textbox inset="0,0,6pt,6pt">
                  <w:txbxContent>
                    <w:p w:rsidR="005343AC" w:rsidP="00440C98" w14:paraId="34B4D78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3.7</w:t>
                      </w:r>
                      <w:r>
                        <w:rPr>
                          <w:rFonts w:ascii="Arial" w:hAnsi="Arial"/>
                          <w:b/>
                        </w:rPr>
                        <w:tab/>
                      </w:r>
                      <w:r>
                        <w:rPr>
                          <w:rFonts w:ascii="Arial" w:hAnsi="Arial"/>
                          <w:b/>
                        </w:rPr>
                        <w:t xml:space="preserve">Sensitive </w:t>
                      </w:r>
                    </w:p>
                    <w:p w:rsidR="005343AC" w:rsidP="00440C98" w14:paraId="35F0B329" w14:textId="77777777">
                      <w:r>
                        <w:rPr>
                          <w:rFonts w:ascii="Arial" w:hAnsi="Arial"/>
                          <w:b/>
                        </w:rPr>
                        <w:tab/>
                      </w:r>
                      <w:r>
                        <w:rPr>
                          <w:rFonts w:ascii="Arial" w:hAnsi="Arial"/>
                          <w:b/>
                        </w:rPr>
                        <w:t>Questions</w:t>
                      </w:r>
                    </w:p>
                  </w:txbxContent>
                </v:textbox>
                <w10:wrap type="square" side="largest"/>
              </v:shape>
            </w:pict>
          </mc:Fallback>
        </mc:AlternateContent>
      </w:r>
      <w:r w:rsidRPr="00087AC9" w:rsidR="00440C98">
        <w:rPr>
          <w:color w:val="000000"/>
        </w:rPr>
        <w:t xml:space="preserve">The consideration of sensitive questions, (i.e., sexual, religious, </w:t>
      </w:r>
      <w:r w:rsidRPr="00087AC9" w:rsidR="00440C98">
        <w:rPr>
          <w:color w:val="000000"/>
        </w:rPr>
        <w:t>personal</w:t>
      </w:r>
      <w:r w:rsidRPr="00087AC9" w:rsidR="00440C98">
        <w:rPr>
          <w:color w:val="000000"/>
        </w:rPr>
        <w:t xml:space="preserve"> or other private matters), is not applicable to this rulemaking. The information gathered to develop an implementation plan does not include personal data on any owner or operator.</w:t>
      </w:r>
    </w:p>
    <w:p w:rsidR="00440C98" w:rsidRPr="00087AC9" w:rsidP="00440C98" w14:paraId="745C21BB"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014847" w:rsidRPr="005A51D7" w:rsidP="00014847" w14:paraId="37CDB51C" w14:textId="29AF7C3B">
      <w:pPr>
        <w:autoSpaceDE w:val="0"/>
        <w:autoSpaceDN w:val="0"/>
        <w:adjustRightInd w:val="0"/>
        <w:rPr>
          <w:b/>
          <w:bCs/>
          <w:color w:val="000000"/>
        </w:rPr>
      </w:pPr>
      <w:r w:rsidRPr="005A51D7">
        <w:rPr>
          <w:b/>
          <w:bCs/>
          <w:noProof/>
        </w:rPr>
        <mc:AlternateContent>
          <mc:Choice Requires="wps">
            <w:drawing>
              <wp:anchor distT="152400" distB="152400" distL="152400" distR="152400" simplePos="0" relativeHeight="251736064" behindDoc="0" locked="0" layoutInCell="1" allowOverlap="1">
                <wp:simplePos x="0" y="0"/>
                <wp:positionH relativeFrom="margin">
                  <wp:posOffset>-2286000</wp:posOffset>
                </wp:positionH>
                <wp:positionV relativeFrom="paragraph">
                  <wp:posOffset>62230</wp:posOffset>
                </wp:positionV>
                <wp:extent cx="1684020" cy="599440"/>
                <wp:effectExtent l="0" t="0" r="1905" b="635"/>
                <wp:wrapSquare wrapText="largest"/>
                <wp:docPr id="19" name="Text Box 1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4020" cy="5994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3AC" w:rsidP="00440C98" w14:paraId="29CB9C51" w14:textId="77777777">
                            <w:pPr>
                              <w:ind w:left="720" w:hanging="720"/>
                            </w:pPr>
                            <w:r w:rsidRPr="00A309B3">
                              <w:rPr>
                                <w:rFonts w:ascii="Arial" w:hAnsi="Arial" w:cs="Arial"/>
                                <w:b/>
                              </w:rPr>
                              <w:t>3.8</w:t>
                            </w:r>
                            <w:r w:rsidRPr="00A309B3">
                              <w:rPr>
                                <w:rFonts w:ascii="Arial" w:hAnsi="Arial" w:cs="Arial"/>
                                <w:b/>
                              </w:rPr>
                              <w:tab/>
                            </w:r>
                            <w:r w:rsidRPr="00A309B3">
                              <w:rPr>
                                <w:rFonts w:ascii="Arial" w:hAnsi="Arial" w:cs="Arial"/>
                                <w:b/>
                              </w:rPr>
                              <w:t>Environmental Justice Considerations</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171" o:spid="_x0000_s1053" type="#_x0000_t202" style="width:132.6pt;height:47.2pt;margin-top:4.9pt;margin-left:-180pt;mso-height-percent:0;mso-height-relative:page;mso-position-horizontal-relative:margin;mso-width-percent:0;mso-width-relative:page;mso-wrap-distance-bottom:12pt;mso-wrap-distance-left:12pt;mso-wrap-distance-right:12pt;mso-wrap-distance-top:12pt;mso-wrap-style:square;position:absolute;visibility:visible;v-text-anchor:top;z-index:251737088" filled="f" stroked="f">
                <v:textbox inset="0,0,6pt,6pt">
                  <w:txbxContent>
                    <w:p w:rsidR="005343AC" w:rsidP="00440C98" w14:paraId="7BDF2428" w14:textId="77777777">
                      <w:pPr>
                        <w:ind w:left="720" w:hanging="720"/>
                      </w:pPr>
                      <w:r w:rsidRPr="00A309B3">
                        <w:rPr>
                          <w:rFonts w:ascii="Arial" w:hAnsi="Arial" w:cs="Arial"/>
                          <w:b/>
                        </w:rPr>
                        <w:t>3.8</w:t>
                      </w:r>
                      <w:r w:rsidRPr="00A309B3">
                        <w:rPr>
                          <w:rFonts w:ascii="Arial" w:hAnsi="Arial" w:cs="Arial"/>
                          <w:b/>
                        </w:rPr>
                        <w:tab/>
                      </w:r>
                      <w:r w:rsidRPr="00A309B3">
                        <w:rPr>
                          <w:rFonts w:ascii="Arial" w:hAnsi="Arial" w:cs="Arial"/>
                          <w:b/>
                        </w:rPr>
                        <w:t>Environmental Justice Considerations</w:t>
                      </w:r>
                    </w:p>
                  </w:txbxContent>
                </v:textbox>
                <w10:wrap type="square" side="largest"/>
              </v:shape>
            </w:pict>
          </mc:Fallback>
        </mc:AlternateContent>
      </w:r>
      <w:r w:rsidRPr="005A51D7" w:rsidR="00014847">
        <w:rPr>
          <w:b/>
          <w:bCs/>
          <w:color w:val="000000"/>
        </w:rPr>
        <w:t>Executive Order 12898 and Executive Order</w:t>
      </w:r>
      <w:r w:rsidRPr="005A51D7" w:rsidR="00306D13">
        <w:rPr>
          <w:b/>
          <w:bCs/>
          <w:color w:val="000000"/>
        </w:rPr>
        <w:t xml:space="preserve"> </w:t>
      </w:r>
      <w:r w:rsidRPr="005A51D7" w:rsidR="00014847">
        <w:rPr>
          <w:b/>
          <w:bCs/>
          <w:color w:val="000000"/>
        </w:rPr>
        <w:t>13985</w:t>
      </w:r>
    </w:p>
    <w:p w:rsidR="00014847" w:rsidRPr="00087AC9" w:rsidP="00014847" w14:paraId="69A9BD0D" w14:textId="20FE1C33">
      <w:pPr>
        <w:autoSpaceDE w:val="0"/>
        <w:autoSpaceDN w:val="0"/>
        <w:adjustRightInd w:val="0"/>
        <w:rPr>
          <w:color w:val="000000"/>
        </w:rPr>
      </w:pPr>
      <w:r w:rsidRPr="00087AC9">
        <w:rPr>
          <w:color w:val="000000"/>
        </w:rPr>
        <w:t xml:space="preserve">Consistent with </w:t>
      </w:r>
      <w:r w:rsidR="00073648">
        <w:rPr>
          <w:color w:val="000000"/>
        </w:rPr>
        <w:t xml:space="preserve">the </w:t>
      </w:r>
      <w:r w:rsidRPr="00087AC9">
        <w:rPr>
          <w:color w:val="000000"/>
        </w:rPr>
        <w:t>EPA’s commitment to integrating environmental justice in</w:t>
      </w:r>
      <w:r w:rsidR="00FB0487">
        <w:rPr>
          <w:color w:val="000000"/>
        </w:rPr>
        <w:t>to</w:t>
      </w:r>
      <w:r w:rsidRPr="00087AC9">
        <w:rPr>
          <w:color w:val="000000"/>
        </w:rPr>
        <w:t xml:space="preserve"> the agency’s actions, and following the directives set forth in multiple Executive Orders, the Agency has carefully considered the impacts of this action on communities with environmental justice concerns and engaged with stakeholders representing these communities to seek input and feedback. </w:t>
      </w:r>
    </w:p>
    <w:p w:rsidR="00014847" w:rsidRPr="00087AC9" w:rsidP="00014847" w14:paraId="1B022A5B" w14:textId="77777777">
      <w:pPr>
        <w:autoSpaceDE w:val="0"/>
        <w:autoSpaceDN w:val="0"/>
        <w:adjustRightInd w:val="0"/>
        <w:rPr>
          <w:color w:val="000000"/>
        </w:rPr>
      </w:pPr>
    </w:p>
    <w:p w:rsidR="00014847" w:rsidP="00014847" w14:paraId="6C28A084" w14:textId="7844ED5D">
      <w:pPr>
        <w:autoSpaceDE w:val="0"/>
        <w:autoSpaceDN w:val="0"/>
        <w:adjustRightInd w:val="0"/>
        <w:rPr>
          <w:color w:val="000000"/>
        </w:rPr>
      </w:pPr>
      <w:r w:rsidRPr="00087AC9">
        <w:rPr>
          <w:color w:val="000000"/>
        </w:rPr>
        <w:t xml:space="preserve">Executive Order 12898 directs </w:t>
      </w:r>
      <w:r w:rsidR="00073648">
        <w:rPr>
          <w:color w:val="000000"/>
        </w:rPr>
        <w:t xml:space="preserve">the </w:t>
      </w:r>
      <w:r w:rsidRPr="00087AC9">
        <w:rPr>
          <w:color w:val="000000"/>
        </w:rPr>
        <w:t>EPA staff to identify the populations of concern who are most likely to experience unequal burdens from environmental harms; specifically, minority populations, low-income populations, and indigenous peoples (59 FR 7629, February 16, 1994). Additionally, Executive Order 13985 is intended to advance racial equity and support</w:t>
      </w:r>
      <w:r w:rsidRPr="00087AC9" w:rsidR="00D44773">
        <w:rPr>
          <w:color w:val="000000"/>
        </w:rPr>
        <w:t xml:space="preserve"> </w:t>
      </w:r>
      <w:r w:rsidRPr="00087AC9">
        <w:rPr>
          <w:color w:val="000000"/>
        </w:rPr>
        <w:t xml:space="preserve">underserved communities through federal government actions (86 FR 7009, January 20, 2021). </w:t>
      </w:r>
      <w:r w:rsidR="00073648">
        <w:rPr>
          <w:color w:val="000000"/>
        </w:rPr>
        <w:t xml:space="preserve">The </w:t>
      </w:r>
      <w:r w:rsidRPr="00087AC9">
        <w:rPr>
          <w:color w:val="000000"/>
        </w:rPr>
        <w:t xml:space="preserve">EPA defines environmental justice as the fair treatment and meaningful involvement of all people regardless of race, color, national origin, or income, with respect to the development, implementation, and enforcement of environmental laws, regulations, and policies. </w:t>
      </w:r>
      <w:r w:rsidR="007A54E4">
        <w:rPr>
          <w:color w:val="000000"/>
        </w:rPr>
        <w:t xml:space="preserve">The </w:t>
      </w:r>
      <w:r w:rsidRPr="00087AC9">
        <w:rPr>
          <w:color w:val="000000"/>
        </w:rPr>
        <w:t xml:space="preserve">EPA further defines the term fair treatment to mean that “no group of people should bear a disproportionate burden of environmental harms and risks, including those resulting from the negative environmental consequences of industrial, governmental, and commercial operations or programs and policies” (https://www.epa.gov/environmentaljustice). In recognizing that minority and low-income populations often bear an unequal burden of environmental harms and risks, </w:t>
      </w:r>
      <w:r w:rsidR="007A54E4">
        <w:rPr>
          <w:color w:val="000000"/>
        </w:rPr>
        <w:t xml:space="preserve">the </w:t>
      </w:r>
      <w:r w:rsidRPr="00087AC9">
        <w:rPr>
          <w:color w:val="000000"/>
        </w:rPr>
        <w:t xml:space="preserve">EPA continues to consider ways </w:t>
      </w:r>
      <w:r w:rsidR="00DF4F37">
        <w:rPr>
          <w:color w:val="000000"/>
        </w:rPr>
        <w:t>to</w:t>
      </w:r>
      <w:r w:rsidRPr="00087AC9">
        <w:rPr>
          <w:color w:val="000000"/>
        </w:rPr>
        <w:t xml:space="preserve"> protect them from adverse public health and environmental effects of air pollution.</w:t>
      </w:r>
      <w:r w:rsidR="005A51D7">
        <w:rPr>
          <w:color w:val="000000"/>
        </w:rPr>
        <w:t xml:space="preserve">  </w:t>
      </w:r>
    </w:p>
    <w:p w:rsidR="005A51D7" w:rsidP="00014847" w14:paraId="4F15B169" w14:textId="0E43EC6E">
      <w:pPr>
        <w:autoSpaceDE w:val="0"/>
        <w:autoSpaceDN w:val="0"/>
        <w:adjustRightInd w:val="0"/>
        <w:rPr>
          <w:color w:val="000000"/>
        </w:rPr>
      </w:pPr>
    </w:p>
    <w:p w:rsidR="00DF4F37" w:rsidP="00014847" w14:paraId="40A7F832" w14:textId="7AA25D12">
      <w:pPr>
        <w:autoSpaceDE w:val="0"/>
        <w:autoSpaceDN w:val="0"/>
        <w:adjustRightInd w:val="0"/>
      </w:pPr>
      <w:r>
        <w:rPr>
          <w:color w:val="000000"/>
        </w:rPr>
        <w:t xml:space="preserve">The environmental justice analysis and implications of this </w:t>
      </w:r>
      <w:r w:rsidR="004819E3">
        <w:rPr>
          <w:color w:val="000000"/>
        </w:rPr>
        <w:t>final</w:t>
      </w:r>
      <w:r w:rsidR="00FB0487">
        <w:rPr>
          <w:color w:val="000000"/>
        </w:rPr>
        <w:t xml:space="preserve"> </w:t>
      </w:r>
      <w:r>
        <w:rPr>
          <w:color w:val="000000"/>
        </w:rPr>
        <w:t xml:space="preserve">rule </w:t>
      </w:r>
      <w:r w:rsidR="00FB0487">
        <w:rPr>
          <w:color w:val="000000"/>
        </w:rPr>
        <w:t>are</w:t>
      </w:r>
      <w:r>
        <w:rPr>
          <w:color w:val="000000"/>
        </w:rPr>
        <w:t xml:space="preserve"> discussed in the Regulatory Impact Analysis </w:t>
      </w:r>
      <w:r w:rsidR="00FB0487">
        <w:rPr>
          <w:color w:val="000000"/>
        </w:rPr>
        <w:t>(RIA)</w:t>
      </w:r>
      <w:r w:rsidR="002E1D28">
        <w:rPr>
          <w:color w:val="000000"/>
        </w:rPr>
        <w:t>,</w:t>
      </w:r>
      <w:r w:rsidRPr="002E1D28" w:rsidR="002E1D28">
        <w:t xml:space="preserve"> </w:t>
      </w:r>
      <w:r w:rsidRPr="002E1D28" w:rsidR="002E1D28">
        <w:rPr>
          <w:color w:val="000000"/>
        </w:rPr>
        <w:t xml:space="preserve">which is available in the docket for this </w:t>
      </w:r>
      <w:r w:rsidR="004819E3">
        <w:rPr>
          <w:color w:val="000000"/>
        </w:rPr>
        <w:t>final</w:t>
      </w:r>
      <w:r w:rsidRPr="002E1D28" w:rsidR="002E1D28">
        <w:rPr>
          <w:color w:val="000000"/>
        </w:rPr>
        <w:t xml:space="preserve"> rulemaking.</w:t>
      </w:r>
      <w:r w:rsidRPr="00087AC9" w:rsidR="00014847">
        <w:rPr>
          <w:color w:val="000000"/>
        </w:rPr>
        <w:br w:type="page"/>
      </w:r>
      <w:r w:rsidRPr="00087AC9" w:rsidR="0020700A">
        <w:rPr>
          <w:noProof/>
        </w:rPr>
        <mc:AlternateContent>
          <mc:Choice Requires="wps">
            <w:drawing>
              <wp:anchor distT="152400" distB="152400" distL="152400" distR="152400" simplePos="0" relativeHeight="251731968" behindDoc="0" locked="0" layoutInCell="1" allowOverlap="1">
                <wp:simplePos x="0" y="0"/>
                <wp:positionH relativeFrom="margin">
                  <wp:posOffset>-2305050</wp:posOffset>
                </wp:positionH>
                <wp:positionV relativeFrom="paragraph">
                  <wp:posOffset>475615</wp:posOffset>
                </wp:positionV>
                <wp:extent cx="1843405" cy="487045"/>
                <wp:effectExtent l="0" t="1905" r="4445" b="0"/>
                <wp:wrapSquare wrapText="largest"/>
                <wp:docPr id="17" name="Text Box 1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43405" cy="4870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3AC" w:rsidP="00440C98" w14:paraId="757362EB" w14:textId="2582AF65">
                            <w:pPr>
                              <w:ind w:left="720" w:hanging="720"/>
                            </w:pPr>
                            <w:r w:rsidRPr="00887A63">
                              <w:rPr>
                                <w:rFonts w:ascii="Arial" w:hAnsi="Arial" w:cs="Arial"/>
                                <w:b/>
                              </w:rPr>
                              <w:t>4.1</w:t>
                            </w:r>
                            <w:r>
                              <w:rPr>
                                <w:rFonts w:ascii="Arial" w:hAnsi="Arial" w:cs="Arial"/>
                                <w:b/>
                              </w:rPr>
                              <w:tab/>
                            </w:r>
                            <w:r w:rsidRPr="00887A63">
                              <w:rPr>
                                <w:rFonts w:ascii="Arial" w:hAnsi="Arial" w:cs="Arial"/>
                                <w:b/>
                              </w:rPr>
                              <w:t>Re</w:t>
                            </w:r>
                            <w:r>
                              <w:rPr>
                                <w:rFonts w:ascii="Arial" w:hAnsi="Arial" w:cs="Arial"/>
                                <w:b/>
                              </w:rPr>
                              <w:t>s</w:t>
                            </w:r>
                            <w:r w:rsidRPr="00887A63">
                              <w:rPr>
                                <w:rFonts w:ascii="Arial" w:hAnsi="Arial" w:cs="Arial"/>
                                <w:b/>
                              </w:rPr>
                              <w:t>pond</w:t>
                            </w:r>
                            <w:r>
                              <w:rPr>
                                <w:rFonts w:ascii="Arial" w:hAnsi="Arial" w:cs="Arial"/>
                                <w:b/>
                              </w:rPr>
                              <w:t xml:space="preserve">ents </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169" o:spid="_x0000_s1054" type="#_x0000_t202" style="width:145.15pt;height:38.35pt;margin-top:37.45pt;margin-left:-181.5pt;mso-height-percent:0;mso-height-relative:page;mso-position-horizontal-relative:margin;mso-width-percent:0;mso-width-relative:page;mso-wrap-distance-bottom:12pt;mso-wrap-distance-left:12pt;mso-wrap-distance-right:12pt;mso-wrap-distance-top:12pt;mso-wrap-style:square;position:absolute;visibility:visible;v-text-anchor:top;z-index:251732992" filled="f" stroked="f">
                <v:textbox inset="0,0,6pt,6pt">
                  <w:txbxContent>
                    <w:p w:rsidR="005343AC" w:rsidP="00440C98" w14:paraId="17B245A5" w14:textId="2582AF65">
                      <w:pPr>
                        <w:ind w:left="720" w:hanging="720"/>
                      </w:pPr>
                      <w:r w:rsidRPr="00887A63">
                        <w:rPr>
                          <w:rFonts w:ascii="Arial" w:hAnsi="Arial" w:cs="Arial"/>
                          <w:b/>
                        </w:rPr>
                        <w:t>4.1</w:t>
                      </w:r>
                      <w:r>
                        <w:rPr>
                          <w:rFonts w:ascii="Arial" w:hAnsi="Arial" w:cs="Arial"/>
                          <w:b/>
                        </w:rPr>
                        <w:tab/>
                      </w:r>
                      <w:r w:rsidRPr="00887A63">
                        <w:rPr>
                          <w:rFonts w:ascii="Arial" w:hAnsi="Arial" w:cs="Arial"/>
                          <w:b/>
                        </w:rPr>
                        <w:t>Re</w:t>
                      </w:r>
                      <w:r>
                        <w:rPr>
                          <w:rFonts w:ascii="Arial" w:hAnsi="Arial" w:cs="Arial"/>
                          <w:b/>
                        </w:rPr>
                        <w:t>s</w:t>
                      </w:r>
                      <w:r w:rsidRPr="00887A63">
                        <w:rPr>
                          <w:rFonts w:ascii="Arial" w:hAnsi="Arial" w:cs="Arial"/>
                          <w:b/>
                        </w:rPr>
                        <w:t>pond</w:t>
                      </w:r>
                      <w:r>
                        <w:rPr>
                          <w:rFonts w:ascii="Arial" w:hAnsi="Arial" w:cs="Arial"/>
                          <w:b/>
                        </w:rPr>
                        <w:t xml:space="preserve">ents </w:t>
                      </w:r>
                    </w:p>
                  </w:txbxContent>
                </v:textbox>
                <w10:wrap type="square" side="largest"/>
              </v:shape>
            </w:pict>
          </mc:Fallback>
        </mc:AlternateContent>
      </w:r>
      <w:r w:rsidRPr="00087AC9" w:rsidR="006A7DE2">
        <w:rPr>
          <w:noProof/>
        </w:rPr>
        <mc:AlternateContent>
          <mc:Choice Requires="wps">
            <w:drawing>
              <wp:anchor distT="152400" distB="152400" distL="152400" distR="152400" simplePos="0" relativeHeight="251660288" behindDoc="0" locked="0" layoutInCell="1" allowOverlap="1">
                <wp:simplePos x="0" y="0"/>
                <wp:positionH relativeFrom="margin">
                  <wp:posOffset>-2265680</wp:posOffset>
                </wp:positionH>
                <wp:positionV relativeFrom="paragraph">
                  <wp:posOffset>-324485</wp:posOffset>
                </wp:positionV>
                <wp:extent cx="6766560" cy="259080"/>
                <wp:effectExtent l="1270" t="1905" r="4445" b="0"/>
                <wp:wrapSquare wrapText="largest"/>
                <wp:docPr id="18" name="Text Box 16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66560" cy="2590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3AC" w:rsidP="00440C98" w14:paraId="2E18FA84" w14:textId="77777777">
                            <w:r>
                              <w:rPr>
                                <w:rFonts w:ascii="Arial" w:hAnsi="Arial"/>
                                <w:b/>
                              </w:rPr>
                              <w:t>4</w:t>
                            </w:r>
                            <w:r>
                              <w:rPr>
                                <w:rFonts w:ascii="Arial" w:hAnsi="Arial"/>
                                <w:b/>
                              </w:rPr>
                              <w:tab/>
                            </w:r>
                            <w:r>
                              <w:rPr>
                                <w:rFonts w:ascii="Arial" w:hAnsi="Arial"/>
                                <w:b/>
                              </w:rPr>
                              <w:t>The Respondents and the Information Requested</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168" o:spid="_x0000_s1055" type="#_x0000_t202" style="width:532.8pt;height:20.4pt;margin-top:-25.55pt;margin-left:-178.4pt;mso-height-percent:0;mso-height-relative:page;mso-position-horizontal-relative:margin;mso-width-percent:0;mso-width-relative:page;mso-wrap-distance-bottom:12pt;mso-wrap-distance-left:12pt;mso-wrap-distance-right:12pt;mso-wrap-distance-top:12pt;mso-wrap-style:square;position:absolute;visibility:visible;v-text-anchor:top;z-index:251661312" filled="f" stroked="f">
                <v:textbox inset="0,0,6pt,6pt">
                  <w:txbxContent>
                    <w:p w:rsidR="005343AC" w:rsidP="00440C98" w14:paraId="44636389" w14:textId="77777777">
                      <w:r>
                        <w:rPr>
                          <w:rFonts w:ascii="Arial" w:hAnsi="Arial"/>
                          <w:b/>
                        </w:rPr>
                        <w:t>4</w:t>
                      </w:r>
                      <w:r>
                        <w:rPr>
                          <w:rFonts w:ascii="Arial" w:hAnsi="Arial"/>
                          <w:b/>
                        </w:rPr>
                        <w:tab/>
                      </w:r>
                      <w:r>
                        <w:rPr>
                          <w:rFonts w:ascii="Arial" w:hAnsi="Arial"/>
                          <w:b/>
                        </w:rPr>
                        <w:t>The Respondents and the Information Requested</w:t>
                      </w:r>
                    </w:p>
                  </w:txbxContent>
                </v:textbox>
                <w10:wrap type="square" side="largest"/>
              </v:shape>
            </w:pict>
          </mc:Fallback>
        </mc:AlternateContent>
      </w:r>
      <w:r w:rsidRPr="00087AC9" w:rsidR="00440C98">
        <w:rPr>
          <w:szCs w:val="24"/>
        </w:rPr>
        <w:t xml:space="preserve">The major categories of respondents directly affected </w:t>
      </w:r>
      <w:r w:rsidRPr="00087AC9" w:rsidR="00FF12EC">
        <w:rPr>
          <w:szCs w:val="24"/>
        </w:rPr>
        <w:t xml:space="preserve">during this ICR period of </w:t>
      </w:r>
      <w:r w:rsidR="00231F44">
        <w:rPr>
          <w:szCs w:val="24"/>
        </w:rPr>
        <w:t>2023-2025</w:t>
      </w:r>
      <w:r w:rsidRPr="00087AC9" w:rsidR="00174B38">
        <w:rPr>
          <w:szCs w:val="24"/>
        </w:rPr>
        <w:t xml:space="preserve"> </w:t>
      </w:r>
      <w:r w:rsidRPr="00087AC9" w:rsidR="004225AF">
        <w:rPr>
          <w:szCs w:val="24"/>
        </w:rPr>
        <w:t>include the</w:t>
      </w:r>
      <w:r w:rsidRPr="00087AC9" w:rsidR="003047F9">
        <w:rPr>
          <w:szCs w:val="24"/>
        </w:rPr>
        <w:t xml:space="preserve"> </w:t>
      </w:r>
      <w:r w:rsidRPr="00087AC9" w:rsidR="00743A3D">
        <w:rPr>
          <w:szCs w:val="24"/>
        </w:rPr>
        <w:t xml:space="preserve">owners/operators of </w:t>
      </w:r>
      <w:r w:rsidR="00307666">
        <w:rPr>
          <w:szCs w:val="24"/>
        </w:rPr>
        <w:t>certain</w:t>
      </w:r>
      <w:r w:rsidRPr="00087AC9" w:rsidR="00743A3D">
        <w:rPr>
          <w:szCs w:val="24"/>
        </w:rPr>
        <w:t xml:space="preserve"> </w:t>
      </w:r>
      <w:r w:rsidRPr="00087AC9" w:rsidR="003047F9">
        <w:rPr>
          <w:szCs w:val="24"/>
        </w:rPr>
        <w:t>non-EGU industry sources</w:t>
      </w:r>
      <w:r w:rsidRPr="00087AC9" w:rsidR="004225AF">
        <w:rPr>
          <w:szCs w:val="24"/>
        </w:rPr>
        <w:t xml:space="preserve">. </w:t>
      </w:r>
      <w:r w:rsidR="004819E3">
        <w:t xml:space="preserve">The </w:t>
      </w:r>
      <w:r w:rsidR="00DF4F37">
        <w:t xml:space="preserve">EPA is not expecting any required respondent activities or costs to begin until </w:t>
      </w:r>
      <w:r w:rsidR="00231F44">
        <w:t xml:space="preserve">later in </w:t>
      </w:r>
      <w:r w:rsidR="00DF4F37">
        <w:t>202</w:t>
      </w:r>
      <w:r w:rsidR="004819E3">
        <w:t xml:space="preserve">3 </w:t>
      </w:r>
      <w:r w:rsidR="00EA0CDA">
        <w:t>after</w:t>
      </w:r>
      <w:r w:rsidR="004819E3">
        <w:t xml:space="preserve"> the final rule</w:t>
      </w:r>
      <w:r w:rsidR="00231F44">
        <w:t xml:space="preserve"> becomes effective</w:t>
      </w:r>
      <w:r w:rsidR="00BD2885">
        <w:t>, and the rule’s requirements for these sources in the 2023-2025 period are minimal</w:t>
      </w:r>
      <w:r w:rsidR="00DF4F37">
        <w:t xml:space="preserve">. </w:t>
      </w:r>
      <w:r w:rsidR="00542B4B">
        <w:t xml:space="preserve">The </w:t>
      </w:r>
      <w:r w:rsidR="00A62A4B">
        <w:t>final</w:t>
      </w:r>
      <w:r w:rsidR="00542B4B">
        <w:t xml:space="preserve"> </w:t>
      </w:r>
      <w:r w:rsidR="00A62A4B">
        <w:t>r</w:t>
      </w:r>
      <w:r w:rsidR="00542B4B">
        <w:t xml:space="preserve">ule compliance period with emissions limits for non-EGU emissions sources begins in 2026 and would occur during the 2026-2029 </w:t>
      </w:r>
      <w:r w:rsidR="00542B4B">
        <w:t>time period</w:t>
      </w:r>
      <w:r w:rsidR="00542B4B">
        <w:t xml:space="preserve"> of any subsequent ICR renewal. The majority of ICR respondent burden and cost will be realized during the 2026-2029 renewal timeframe and beyond</w:t>
      </w:r>
      <w:r w:rsidR="00F074DF">
        <w:t>.</w:t>
      </w:r>
      <w:r w:rsidR="00DF4F37">
        <w:t xml:space="preserve"> Consequently, this non-EGU ICR is </w:t>
      </w:r>
      <w:r w:rsidR="00542B4B">
        <w:t xml:space="preserve">likely an overestimate </w:t>
      </w:r>
      <w:r w:rsidR="00DF4F37">
        <w:t xml:space="preserve">of the respondent burden occurring in the </w:t>
      </w:r>
      <w:r w:rsidR="00231F44">
        <w:t>2023-2025</w:t>
      </w:r>
      <w:r w:rsidR="00DF4F37">
        <w:t xml:space="preserve"> timeframe.</w:t>
      </w:r>
      <w:r w:rsidR="004C7737">
        <w:t xml:space="preserve">  </w:t>
      </w:r>
    </w:p>
    <w:p w:rsidR="00950BE7" w:rsidP="00014847" w14:paraId="436E8A98" w14:textId="02C7C4DC">
      <w:pPr>
        <w:autoSpaceDE w:val="0"/>
        <w:autoSpaceDN w:val="0"/>
        <w:adjustRightInd w:val="0"/>
      </w:pPr>
    </w:p>
    <w:p w:rsidR="00950BE7" w:rsidRPr="00950BE7" w:rsidP="00014847" w14:paraId="314A3512" w14:textId="2133799E">
      <w:pPr>
        <w:autoSpaceDE w:val="0"/>
        <w:autoSpaceDN w:val="0"/>
        <w:adjustRightInd w:val="0"/>
      </w:pPr>
      <w:r>
        <w:t xml:space="preserve">The EPA has conservatively estimated the burden of the non-EGUs in this ICR, which would result in an estimation of burden. </w:t>
      </w:r>
      <w:r>
        <w:t xml:space="preserve">As mentioned before, approximately 3,328 </w:t>
      </w:r>
      <w:r w:rsidRPr="0895AA45">
        <w:t>affected non-EGU emission</w:t>
      </w:r>
      <w:r>
        <w:t>s</w:t>
      </w:r>
      <w:r w:rsidRPr="00087AC9">
        <w:rPr>
          <w:szCs w:val="24"/>
        </w:rPr>
        <w:t xml:space="preserve"> </w:t>
      </w:r>
      <w:r>
        <w:t>units</w:t>
      </w:r>
      <w:r w:rsidRPr="0895AA45">
        <w:t xml:space="preserve"> </w:t>
      </w:r>
      <w:r>
        <w:t xml:space="preserve">(respondents) per year within the 20 states will be subject to the final rule. Some of these units </w:t>
      </w:r>
      <w:r w:rsidR="00CB2563">
        <w:t xml:space="preserve">(respondents) </w:t>
      </w:r>
      <w:r>
        <w:t xml:space="preserve">are aggregated at one facility and </w:t>
      </w:r>
      <w:r w:rsidR="00CB2563">
        <w:t>thus the estimated hours for activities required of affected facilities are an average value</w:t>
      </w:r>
      <w:r w:rsidR="00D63F22">
        <w:t>. F</w:t>
      </w:r>
      <w:r w:rsidR="00CB2563">
        <w:t>or certain activities</w:t>
      </w:r>
      <w:r w:rsidR="00BD2885">
        <w:t xml:space="preserve"> at facilities with multiple units</w:t>
      </w:r>
      <w:r w:rsidR="00CB2563">
        <w:t>,</w:t>
      </w:r>
      <w:r w:rsidR="00D63F22">
        <w:t xml:space="preserve"> such as reporting requirements,</w:t>
      </w:r>
      <w:r w:rsidR="00CB2563">
        <w:t xml:space="preserve"> the </w:t>
      </w:r>
      <w:r>
        <w:t>actual hours that the facility might spend reporting might be less than the burden estimated in this ICR.</w:t>
      </w:r>
      <w:r w:rsidR="00CB2563">
        <w:t xml:space="preserve"> Additionally, facilities may already in some cases be conducting </w:t>
      </w:r>
      <w:r>
        <w:t xml:space="preserve">the same </w:t>
      </w:r>
      <w:r w:rsidR="00CB2563">
        <w:t>monitoring</w:t>
      </w:r>
      <w:r>
        <w:t xml:space="preserve"> or</w:t>
      </w:r>
      <w:r w:rsidR="00CB2563">
        <w:t xml:space="preserve"> recordkeeping activities due to </w:t>
      </w:r>
      <w:r>
        <w:t>other requirements (NSPS, NESHAP, permit terms, etc.)</w:t>
      </w:r>
      <w:r w:rsidR="00CB2563">
        <w:t xml:space="preserve"> and thus </w:t>
      </w:r>
      <w:r>
        <w:t>there may not be any additional burden on these respondents created by this rule.</w:t>
      </w:r>
    </w:p>
    <w:p w:rsidR="00583EFF" w:rsidRPr="00087AC9" w:rsidP="00440C98" w14:paraId="7958E8E2" w14:textId="70C7BFEA">
      <w:pPr>
        <w:autoSpaceDE w:val="0"/>
        <w:autoSpaceDN w:val="0"/>
        <w:adjustRightInd w:val="0"/>
        <w:rPr>
          <w:szCs w:val="24"/>
        </w:rPr>
      </w:pPr>
    </w:p>
    <w:p w:rsidR="0069511B" w:rsidRPr="00087AC9" w:rsidP="009E560E" w14:paraId="2FE4785B" w14:textId="63F77E92">
      <w:r w:rsidRPr="00087AC9">
        <w:t xml:space="preserve">The respondents to the monitoring, </w:t>
      </w:r>
      <w:r w:rsidRPr="00087AC9" w:rsidR="003047F9">
        <w:t xml:space="preserve">calibrating, </w:t>
      </w:r>
      <w:r w:rsidRPr="00087AC9">
        <w:t>recordkeeping</w:t>
      </w:r>
      <w:r w:rsidRPr="00087AC9" w:rsidR="003047F9">
        <w:t>,</w:t>
      </w:r>
      <w:r w:rsidRPr="00087AC9">
        <w:t xml:space="preserve"> reporting</w:t>
      </w:r>
      <w:r w:rsidRPr="00087AC9" w:rsidR="003047F9">
        <w:t>, and testing</w:t>
      </w:r>
      <w:r w:rsidRPr="00087AC9">
        <w:t xml:space="preserve"> requirements are the specified </w:t>
      </w:r>
      <w:r w:rsidRPr="00087AC9" w:rsidR="00E75D96">
        <w:t xml:space="preserve">non-EGU </w:t>
      </w:r>
      <w:r w:rsidRPr="00087AC9">
        <w:t xml:space="preserve">industry sector groups, which correspond to the North American Industry Classification System (NAICS) codes found in </w:t>
      </w:r>
      <w:r w:rsidRPr="00087AC9" w:rsidR="003047F9">
        <w:t>Table 4.1, NAICS Codes of the Non-EGU Industry Sector Groups.</w:t>
      </w:r>
    </w:p>
    <w:p w:rsidR="009E560E" w:rsidRPr="00087AC9" w:rsidP="009E560E" w14:paraId="45C0A56C" w14:textId="0A96F3B5"/>
    <w:p w:rsidR="009E560E" w:rsidP="009E560E" w14:paraId="6F32EC13" w14:textId="39F732D0">
      <w:pPr>
        <w:rPr>
          <w:b/>
        </w:rPr>
      </w:pPr>
      <w:r w:rsidRPr="00087AC9">
        <w:rPr>
          <w:b/>
          <w:color w:val="000000"/>
        </w:rPr>
        <w:t xml:space="preserve">Table 4.1 </w:t>
      </w:r>
      <w:r w:rsidRPr="00087AC9" w:rsidR="00E75D96">
        <w:rPr>
          <w:b/>
        </w:rPr>
        <w:t>NAICS Codes of the Non-EGU Industry Sector Groups</w:t>
      </w:r>
    </w:p>
    <w:p w:rsidR="00A62A4B" w:rsidP="009E560E" w14:paraId="5B65261C" w14:textId="6AD65113">
      <w:pPr>
        <w:rPr>
          <w:b/>
          <w:color w:val="000000"/>
        </w:rPr>
      </w:pPr>
    </w:p>
    <w:tbl>
      <w:tblPr>
        <w:tblStyle w:val="TableGrid"/>
        <w:tblW w:w="0" w:type="auto"/>
        <w:tblLook w:val="04A0"/>
      </w:tblPr>
      <w:tblGrid>
        <w:gridCol w:w="5040"/>
        <w:gridCol w:w="1800"/>
      </w:tblGrid>
      <w:tr w14:paraId="6E0ADCD4" w14:textId="77777777" w:rsidTr="00A62A4B">
        <w:tblPrEx>
          <w:tblW w:w="0" w:type="auto"/>
          <w:tblLook w:val="04A0"/>
        </w:tblPrEx>
        <w:tc>
          <w:tcPr>
            <w:tcW w:w="5040" w:type="dxa"/>
            <w:tcBorders>
              <w:left w:val="nil"/>
            </w:tcBorders>
          </w:tcPr>
          <w:p w:rsidR="00A62A4B" w:rsidP="00600004" w14:paraId="2C525EAC" w14:textId="77777777">
            <w:pPr>
              <w:rPr>
                <w:b/>
                <w:bCs/>
              </w:rPr>
            </w:pPr>
            <w:r>
              <w:rPr>
                <w:b/>
                <w:bCs/>
              </w:rPr>
              <w:t>Industry</w:t>
            </w:r>
          </w:p>
        </w:tc>
        <w:tc>
          <w:tcPr>
            <w:tcW w:w="1800" w:type="dxa"/>
            <w:tcBorders>
              <w:right w:val="nil"/>
            </w:tcBorders>
          </w:tcPr>
          <w:p w:rsidR="00A62A4B" w:rsidP="00600004" w14:paraId="6F06AC3F" w14:textId="77777777">
            <w:pPr>
              <w:jc w:val="center"/>
              <w:rPr>
                <w:b/>
                <w:bCs/>
              </w:rPr>
            </w:pPr>
            <w:r>
              <w:rPr>
                <w:b/>
                <w:bCs/>
              </w:rPr>
              <w:t>NAICS</w:t>
            </w:r>
          </w:p>
        </w:tc>
      </w:tr>
      <w:tr w14:paraId="14728CB4" w14:textId="77777777" w:rsidTr="00A62A4B">
        <w:tblPrEx>
          <w:tblW w:w="0" w:type="auto"/>
          <w:tblLook w:val="04A0"/>
        </w:tblPrEx>
        <w:tc>
          <w:tcPr>
            <w:tcW w:w="5040" w:type="dxa"/>
            <w:tcBorders>
              <w:left w:val="nil"/>
            </w:tcBorders>
          </w:tcPr>
          <w:p w:rsidR="00A62A4B" w:rsidRPr="00173332" w:rsidP="00600004" w14:paraId="31C6993E" w14:textId="77777777">
            <w:r w:rsidRPr="00173332">
              <w:t>Pipeline Transportation of Natural Gas</w:t>
            </w:r>
          </w:p>
        </w:tc>
        <w:tc>
          <w:tcPr>
            <w:tcW w:w="1800" w:type="dxa"/>
            <w:tcBorders>
              <w:right w:val="nil"/>
            </w:tcBorders>
          </w:tcPr>
          <w:p w:rsidR="00A62A4B" w:rsidRPr="00173332" w:rsidP="00600004" w14:paraId="2AF1AC7A" w14:textId="77777777">
            <w:pPr>
              <w:jc w:val="center"/>
            </w:pPr>
            <w:r w:rsidRPr="00173332">
              <w:t>4862</w:t>
            </w:r>
          </w:p>
        </w:tc>
      </w:tr>
      <w:tr w14:paraId="0F505B29" w14:textId="77777777" w:rsidTr="00A62A4B">
        <w:tblPrEx>
          <w:tblW w:w="0" w:type="auto"/>
          <w:tblLook w:val="04A0"/>
        </w:tblPrEx>
        <w:tc>
          <w:tcPr>
            <w:tcW w:w="5040" w:type="dxa"/>
            <w:tcBorders>
              <w:left w:val="nil"/>
            </w:tcBorders>
          </w:tcPr>
          <w:p w:rsidR="00A62A4B" w:rsidRPr="00173332" w:rsidP="00600004" w14:paraId="098C9AB4" w14:textId="77777777">
            <w:r w:rsidRPr="00173332">
              <w:t>Cement and Concrete Product Manufacturing</w:t>
            </w:r>
          </w:p>
        </w:tc>
        <w:tc>
          <w:tcPr>
            <w:tcW w:w="1800" w:type="dxa"/>
            <w:tcBorders>
              <w:right w:val="nil"/>
            </w:tcBorders>
          </w:tcPr>
          <w:p w:rsidR="00A62A4B" w:rsidRPr="00173332" w:rsidP="00600004" w14:paraId="72179F8A" w14:textId="77777777">
            <w:pPr>
              <w:jc w:val="center"/>
            </w:pPr>
            <w:r w:rsidRPr="00173332">
              <w:t>3273</w:t>
            </w:r>
          </w:p>
        </w:tc>
      </w:tr>
      <w:tr w14:paraId="0B365028" w14:textId="77777777" w:rsidTr="00A62A4B">
        <w:tblPrEx>
          <w:tblW w:w="0" w:type="auto"/>
          <w:tblLook w:val="04A0"/>
        </w:tblPrEx>
        <w:tc>
          <w:tcPr>
            <w:tcW w:w="5040" w:type="dxa"/>
            <w:tcBorders>
              <w:left w:val="nil"/>
            </w:tcBorders>
          </w:tcPr>
          <w:p w:rsidR="00A62A4B" w:rsidRPr="00173332" w:rsidP="00600004" w14:paraId="18C5E846" w14:textId="77777777">
            <w:r w:rsidRPr="00173332">
              <w:t>Iron and Steel Mills and Ferroalloy Manufacturing</w:t>
            </w:r>
          </w:p>
        </w:tc>
        <w:tc>
          <w:tcPr>
            <w:tcW w:w="1800" w:type="dxa"/>
            <w:tcBorders>
              <w:right w:val="nil"/>
            </w:tcBorders>
          </w:tcPr>
          <w:p w:rsidR="00A62A4B" w:rsidRPr="00173332" w:rsidP="00600004" w14:paraId="7B6C77A1" w14:textId="77777777">
            <w:pPr>
              <w:jc w:val="center"/>
            </w:pPr>
            <w:r w:rsidRPr="00173332">
              <w:t>3311</w:t>
            </w:r>
          </w:p>
        </w:tc>
      </w:tr>
      <w:tr w14:paraId="572078B9" w14:textId="77777777" w:rsidTr="00A62A4B">
        <w:tblPrEx>
          <w:tblW w:w="0" w:type="auto"/>
          <w:tblLook w:val="04A0"/>
        </w:tblPrEx>
        <w:tc>
          <w:tcPr>
            <w:tcW w:w="5040" w:type="dxa"/>
            <w:tcBorders>
              <w:left w:val="nil"/>
            </w:tcBorders>
          </w:tcPr>
          <w:p w:rsidR="00A62A4B" w:rsidRPr="00173332" w:rsidP="00600004" w14:paraId="3DADBAF7" w14:textId="77777777">
            <w:r w:rsidRPr="00173332">
              <w:t>Glass and Glass Product Manufacturing</w:t>
            </w:r>
          </w:p>
        </w:tc>
        <w:tc>
          <w:tcPr>
            <w:tcW w:w="1800" w:type="dxa"/>
            <w:tcBorders>
              <w:right w:val="nil"/>
            </w:tcBorders>
          </w:tcPr>
          <w:p w:rsidR="00A62A4B" w:rsidRPr="00173332" w:rsidP="00600004" w14:paraId="4CEA648E" w14:textId="77777777">
            <w:pPr>
              <w:jc w:val="center"/>
            </w:pPr>
            <w:r w:rsidRPr="00173332">
              <w:t>3272</w:t>
            </w:r>
          </w:p>
        </w:tc>
      </w:tr>
      <w:tr w14:paraId="5B8177A6" w14:textId="77777777" w:rsidTr="00A62A4B">
        <w:tblPrEx>
          <w:tblW w:w="0" w:type="auto"/>
          <w:tblLook w:val="04A0"/>
        </w:tblPrEx>
        <w:tc>
          <w:tcPr>
            <w:tcW w:w="5040" w:type="dxa"/>
            <w:tcBorders>
              <w:left w:val="nil"/>
            </w:tcBorders>
          </w:tcPr>
          <w:p w:rsidR="00A62A4B" w:rsidRPr="00173332" w:rsidP="00600004" w14:paraId="13C42295" w14:textId="70C662E4">
            <w:r w:rsidRPr="00173332">
              <w:t>Metal Ore Mining</w:t>
            </w:r>
          </w:p>
        </w:tc>
        <w:tc>
          <w:tcPr>
            <w:tcW w:w="1800" w:type="dxa"/>
            <w:tcBorders>
              <w:right w:val="nil"/>
            </w:tcBorders>
          </w:tcPr>
          <w:p w:rsidR="00A62A4B" w:rsidRPr="00173332" w:rsidP="00600004" w14:paraId="666F6BA5" w14:textId="77777777">
            <w:pPr>
              <w:jc w:val="center"/>
            </w:pPr>
            <w:r w:rsidRPr="00173332">
              <w:t>2122</w:t>
            </w:r>
          </w:p>
        </w:tc>
      </w:tr>
      <w:tr w14:paraId="129916B0" w14:textId="77777777" w:rsidTr="00A62A4B">
        <w:tblPrEx>
          <w:tblW w:w="0" w:type="auto"/>
          <w:tblLook w:val="04A0"/>
        </w:tblPrEx>
        <w:tc>
          <w:tcPr>
            <w:tcW w:w="5040" w:type="dxa"/>
            <w:tcBorders>
              <w:left w:val="nil"/>
            </w:tcBorders>
          </w:tcPr>
          <w:p w:rsidR="00A62A4B" w:rsidRPr="00173332" w:rsidP="00600004" w14:paraId="10D80BED" w14:textId="77777777">
            <w:r w:rsidRPr="00173332">
              <w:t>Basic Chemical Manufacturing</w:t>
            </w:r>
          </w:p>
        </w:tc>
        <w:tc>
          <w:tcPr>
            <w:tcW w:w="1800" w:type="dxa"/>
            <w:tcBorders>
              <w:right w:val="nil"/>
            </w:tcBorders>
          </w:tcPr>
          <w:p w:rsidR="00A62A4B" w:rsidRPr="00173332" w:rsidP="00600004" w14:paraId="4B4E36CC" w14:textId="77777777">
            <w:pPr>
              <w:jc w:val="center"/>
            </w:pPr>
            <w:r w:rsidRPr="00173332">
              <w:t>3251</w:t>
            </w:r>
          </w:p>
        </w:tc>
      </w:tr>
      <w:tr w14:paraId="0AE687D2" w14:textId="77777777" w:rsidTr="00A62A4B">
        <w:tblPrEx>
          <w:tblW w:w="0" w:type="auto"/>
          <w:tblLook w:val="04A0"/>
        </w:tblPrEx>
        <w:tc>
          <w:tcPr>
            <w:tcW w:w="5040" w:type="dxa"/>
            <w:tcBorders>
              <w:left w:val="nil"/>
            </w:tcBorders>
          </w:tcPr>
          <w:p w:rsidR="00A62A4B" w:rsidRPr="00173332" w:rsidP="00600004" w14:paraId="16082AF7" w14:textId="77777777">
            <w:r w:rsidRPr="00173332">
              <w:t>Petroleum and Coal Products Manufacturing</w:t>
            </w:r>
          </w:p>
        </w:tc>
        <w:tc>
          <w:tcPr>
            <w:tcW w:w="1800" w:type="dxa"/>
            <w:tcBorders>
              <w:right w:val="nil"/>
            </w:tcBorders>
          </w:tcPr>
          <w:p w:rsidR="00A62A4B" w:rsidRPr="00173332" w:rsidP="00600004" w14:paraId="52651514" w14:textId="77777777">
            <w:pPr>
              <w:jc w:val="center"/>
            </w:pPr>
            <w:r>
              <w:t>3241</w:t>
            </w:r>
          </w:p>
        </w:tc>
      </w:tr>
      <w:tr w14:paraId="5FE10B3B" w14:textId="77777777" w:rsidTr="00A62A4B">
        <w:tblPrEx>
          <w:tblW w:w="0" w:type="auto"/>
          <w:tblLook w:val="04A0"/>
        </w:tblPrEx>
        <w:tc>
          <w:tcPr>
            <w:tcW w:w="5040" w:type="dxa"/>
            <w:tcBorders>
              <w:left w:val="nil"/>
            </w:tcBorders>
          </w:tcPr>
          <w:p w:rsidR="00A62A4B" w:rsidRPr="00173332" w:rsidP="00600004" w14:paraId="48F537D0" w14:textId="77777777">
            <w:r w:rsidRPr="00173332">
              <w:t>Pulp, Paper, and Paperboard Mills</w:t>
            </w:r>
          </w:p>
        </w:tc>
        <w:tc>
          <w:tcPr>
            <w:tcW w:w="1800" w:type="dxa"/>
            <w:tcBorders>
              <w:right w:val="nil"/>
            </w:tcBorders>
          </w:tcPr>
          <w:p w:rsidR="00A62A4B" w:rsidRPr="00173332" w:rsidP="00600004" w14:paraId="026B0D12" w14:textId="77777777">
            <w:pPr>
              <w:jc w:val="center"/>
            </w:pPr>
            <w:r>
              <w:t>3221</w:t>
            </w:r>
          </w:p>
        </w:tc>
      </w:tr>
      <w:tr w14:paraId="72D9B971" w14:textId="77777777" w:rsidTr="00A62A4B">
        <w:tblPrEx>
          <w:tblW w:w="0" w:type="auto"/>
          <w:tblLook w:val="04A0"/>
        </w:tblPrEx>
        <w:tc>
          <w:tcPr>
            <w:tcW w:w="5040" w:type="dxa"/>
            <w:tcBorders>
              <w:left w:val="nil"/>
            </w:tcBorders>
          </w:tcPr>
          <w:p w:rsidR="00A62A4B" w:rsidRPr="00173332" w:rsidP="00600004" w14:paraId="5778D045" w14:textId="77777777">
            <w:r w:rsidRPr="00173332">
              <w:t>Solid Waste Combustors and Incinerators</w:t>
            </w:r>
          </w:p>
        </w:tc>
        <w:tc>
          <w:tcPr>
            <w:tcW w:w="1800" w:type="dxa"/>
            <w:tcBorders>
              <w:right w:val="nil"/>
            </w:tcBorders>
          </w:tcPr>
          <w:p w:rsidR="00A62A4B" w:rsidRPr="00173332" w:rsidP="00600004" w14:paraId="50DABEE2" w14:textId="77777777">
            <w:pPr>
              <w:jc w:val="center"/>
            </w:pPr>
            <w:r w:rsidRPr="00173332">
              <w:t>562213</w:t>
            </w:r>
          </w:p>
        </w:tc>
      </w:tr>
    </w:tbl>
    <w:p w:rsidR="009E560E" w:rsidRPr="00087AC9" w:rsidP="00440C98" w14:paraId="5E2DB2E3" w14:textId="77777777">
      <w:pPr>
        <w:autoSpaceDE w:val="0"/>
        <w:autoSpaceDN w:val="0"/>
        <w:adjustRightInd w:val="0"/>
        <w:rPr>
          <w:szCs w:val="24"/>
        </w:rPr>
      </w:pPr>
    </w:p>
    <w:p w:rsidR="00440C98" w:rsidRPr="00087AC9" w:rsidP="00440C98" w14:paraId="0BC4932D" w14:textId="77777777">
      <w:pPr>
        <w:rPr>
          <w:szCs w:val="24"/>
        </w:rPr>
      </w:pPr>
    </w:p>
    <w:p w:rsidR="00440C98" w:rsidRPr="00087AC9" w:rsidP="009C2D91" w14:paraId="7EA0E8C0" w14:textId="3AD962D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87AC9">
        <w:rPr>
          <w:noProof/>
        </w:rPr>
        <mc:AlternateContent>
          <mc:Choice Requires="wps">
            <w:drawing>
              <wp:anchor distT="152400" distB="152400" distL="152400" distR="152400" simplePos="0" relativeHeight="251734016" behindDoc="0" locked="0" layoutInCell="1" allowOverlap="1">
                <wp:simplePos x="0" y="0"/>
                <wp:positionH relativeFrom="margin">
                  <wp:posOffset>-2286000</wp:posOffset>
                </wp:positionH>
                <wp:positionV relativeFrom="paragraph">
                  <wp:posOffset>635</wp:posOffset>
                </wp:positionV>
                <wp:extent cx="1684020" cy="628650"/>
                <wp:effectExtent l="0" t="2540" r="1905" b="0"/>
                <wp:wrapSquare wrapText="largest"/>
                <wp:docPr id="16" name="Text Box 1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4020" cy="6286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3AC" w:rsidP="00440C98" w14:paraId="28A8E76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4.2</w:t>
                            </w:r>
                            <w:r>
                              <w:rPr>
                                <w:rFonts w:ascii="Arial" w:hAnsi="Arial"/>
                                <w:b/>
                              </w:rPr>
                              <w:tab/>
                            </w:r>
                            <w:r>
                              <w:rPr>
                                <w:rFonts w:ascii="Arial" w:hAnsi="Arial"/>
                                <w:b/>
                              </w:rPr>
                              <w:t>Information</w:t>
                            </w:r>
                          </w:p>
                          <w:p w:rsidR="005343AC" w:rsidP="00440C98" w14:paraId="72C1A704" w14:textId="77777777">
                            <w:r>
                              <w:rPr>
                                <w:rFonts w:ascii="Arial" w:hAnsi="Arial"/>
                                <w:b/>
                              </w:rPr>
                              <w:tab/>
                            </w:r>
                            <w:r>
                              <w:rPr>
                                <w:rFonts w:ascii="Arial" w:hAnsi="Arial"/>
                                <w:b/>
                              </w:rPr>
                              <w:t>Requested</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170" o:spid="_x0000_s1056" type="#_x0000_t202" style="width:132.6pt;height:49.5pt;margin-top:0.05pt;margin-left:-180pt;mso-height-percent:0;mso-height-relative:page;mso-position-horizontal-relative:margin;mso-width-percent:0;mso-width-relative:page;mso-wrap-distance-bottom:12pt;mso-wrap-distance-left:12pt;mso-wrap-distance-right:12pt;mso-wrap-distance-top:12pt;mso-wrap-style:square;position:absolute;visibility:visible;v-text-anchor:top;z-index:251735040" filled="f" stroked="f">
                <v:textbox inset="0,0,6pt,6pt">
                  <w:txbxContent>
                    <w:p w:rsidR="005343AC" w:rsidP="00440C98" w14:paraId="3ABD5BD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4.2</w:t>
                      </w:r>
                      <w:r>
                        <w:rPr>
                          <w:rFonts w:ascii="Arial" w:hAnsi="Arial"/>
                          <w:b/>
                        </w:rPr>
                        <w:tab/>
                      </w:r>
                      <w:r>
                        <w:rPr>
                          <w:rFonts w:ascii="Arial" w:hAnsi="Arial"/>
                          <w:b/>
                        </w:rPr>
                        <w:t>Information</w:t>
                      </w:r>
                    </w:p>
                    <w:p w:rsidR="005343AC" w:rsidP="00440C98" w14:paraId="59A4F45A" w14:textId="77777777">
                      <w:r>
                        <w:rPr>
                          <w:rFonts w:ascii="Arial" w:hAnsi="Arial"/>
                          <w:b/>
                        </w:rPr>
                        <w:tab/>
                      </w:r>
                      <w:r>
                        <w:rPr>
                          <w:rFonts w:ascii="Arial" w:hAnsi="Arial"/>
                          <w:b/>
                        </w:rPr>
                        <w:t>Requested</w:t>
                      </w:r>
                    </w:p>
                  </w:txbxContent>
                </v:textbox>
                <w10:wrap type="square" side="largest"/>
              </v:shape>
            </w:pict>
          </mc:Fallback>
        </mc:AlternateContent>
      </w:r>
      <w:r w:rsidRPr="00087AC9" w:rsidR="009C2D91">
        <w:rPr>
          <w:color w:val="000000"/>
        </w:rPr>
        <w:t xml:space="preserve">In this ICR, all data that </w:t>
      </w:r>
      <w:r w:rsidR="00502BCA">
        <w:rPr>
          <w:color w:val="000000"/>
        </w:rPr>
        <w:t>is</w:t>
      </w:r>
      <w:r w:rsidRPr="00087AC9" w:rsidR="009C2D91">
        <w:rPr>
          <w:color w:val="000000"/>
        </w:rPr>
        <w:t xml:space="preserve"> recorded or reported is required by the </w:t>
      </w:r>
      <w:r w:rsidR="004819E3">
        <w:rPr>
          <w:color w:val="000000"/>
        </w:rPr>
        <w:t>final</w:t>
      </w:r>
      <w:r w:rsidRPr="00087AC9" w:rsidR="009C2D91">
        <w:rPr>
          <w:color w:val="000000"/>
        </w:rPr>
        <w:t xml:space="preserve"> rule.  </w:t>
      </w:r>
    </w:p>
    <w:p w:rsidR="000F4356" w:rsidRPr="00087AC9" w:rsidP="000F4356" w14:paraId="0EC98F7A"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0F4356" w:rsidRPr="00087AC9" w:rsidP="000F4356" w14:paraId="79881F2A" w14:textId="0F5D712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87AC9">
        <w:rPr>
          <w:szCs w:val="24"/>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0F4356" w:rsidRPr="00087AC9" w:rsidP="000F4356" w14:paraId="76208936"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440C98" w:rsidRPr="00087AC9" w:rsidP="000F4356" w14:paraId="7E0E1165" w14:textId="23DFF640">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87AC9">
        <w:rPr>
          <w:szCs w:val="24"/>
        </w:rPr>
        <w:t xml:space="preserve">Also, regulatory agencies in cooperation with the respondents continue to create reporting systems to transmit data electronically. Most emissions and monitoring information in the reports are reported in an electronic format using the Electronic Reporting Tool (ERT). The data will be extracted from the ERT files and can be viewed through </w:t>
      </w:r>
      <w:r w:rsidR="007A54E4">
        <w:rPr>
          <w:szCs w:val="24"/>
        </w:rPr>
        <w:t xml:space="preserve">the </w:t>
      </w:r>
      <w:r w:rsidRPr="00087AC9">
        <w:rPr>
          <w:szCs w:val="24"/>
        </w:rPr>
        <w:t>EPA’s Central Data Exchange</w:t>
      </w:r>
      <w:r w:rsidR="00CE4BE6">
        <w:rPr>
          <w:szCs w:val="24"/>
        </w:rPr>
        <w:t xml:space="preserve"> (CDX)</w:t>
      </w:r>
      <w:r w:rsidRPr="00087AC9">
        <w:rPr>
          <w:szCs w:val="24"/>
        </w:rPr>
        <w:t>.</w:t>
      </w:r>
    </w:p>
    <w:p w:rsidR="000F4356" w:rsidRPr="00087AC9" w:rsidP="000F4356" w14:paraId="2A495C5F" w14:textId="5B69613B">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0F4356" w:rsidRPr="00087AC9" w:rsidP="000F4356" w14:paraId="74C40187" w14:textId="77CB5ADD">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87AC9">
        <w:rPr>
          <w:szCs w:val="24"/>
        </w:rPr>
        <w:t>Most performance test reports and periodic compliance reports will be submitted to the EPA via the CEDRI or an analogous electronic reporting approach provided by the EPA, which can be accessed through the EPA’s CDX.</w:t>
      </w:r>
    </w:p>
    <w:p w:rsidR="00DA0451" w:rsidRPr="00087AC9" w:rsidP="000F4356" w14:paraId="309C21C8" w14:textId="627110F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DA0451" w:rsidRPr="00087AC9" w:rsidP="000F4356" w14:paraId="174E2330" w14:textId="0F531AA4">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87AC9">
        <w:rPr>
          <w:szCs w:val="24"/>
        </w:rPr>
        <w:t>The specific activities required of individual owners/operators of affected facilities will vary by each non-EGU industry sector.  The tables shown below provide the</w:t>
      </w:r>
      <w:r w:rsidRPr="00087AC9" w:rsidR="008E19C1">
        <w:rPr>
          <w:szCs w:val="24"/>
        </w:rPr>
        <w:t xml:space="preserve"> overall </w:t>
      </w:r>
      <w:r w:rsidRPr="00087AC9">
        <w:rPr>
          <w:szCs w:val="24"/>
        </w:rPr>
        <w:t>list</w:t>
      </w:r>
      <w:r w:rsidRPr="00087AC9" w:rsidR="008E19C1">
        <w:rPr>
          <w:szCs w:val="24"/>
        </w:rPr>
        <w:t>ing</w:t>
      </w:r>
      <w:r w:rsidRPr="00087AC9">
        <w:rPr>
          <w:szCs w:val="24"/>
        </w:rPr>
        <w:t xml:space="preserve"> of notifications, reports, recordkeeping</w:t>
      </w:r>
      <w:r w:rsidR="003E2B6C">
        <w:rPr>
          <w:szCs w:val="24"/>
        </w:rPr>
        <w:t>,</w:t>
      </w:r>
      <w:r w:rsidRPr="00087AC9">
        <w:rPr>
          <w:szCs w:val="24"/>
        </w:rPr>
        <w:t xml:space="preserve"> and respondent activities that are collectively required by the </w:t>
      </w:r>
      <w:r w:rsidR="004819E3">
        <w:rPr>
          <w:szCs w:val="24"/>
        </w:rPr>
        <w:t>final</w:t>
      </w:r>
      <w:r w:rsidRPr="00087AC9">
        <w:rPr>
          <w:szCs w:val="24"/>
        </w:rPr>
        <w:t xml:space="preserve"> rule.</w:t>
      </w:r>
    </w:p>
    <w:p w:rsidR="00DA0451" w:rsidRPr="00087AC9" w:rsidP="000F4356" w14:paraId="7E5E1295"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DA0451" w:rsidRPr="00087AC9" w:rsidP="000F4356" w14:paraId="26A3FE3D" w14:textId="16235D8E">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87AC9">
        <w:rPr>
          <w:szCs w:val="24"/>
        </w:rPr>
        <w:t>Some</w:t>
      </w:r>
      <w:r w:rsidRPr="00087AC9">
        <w:rPr>
          <w:szCs w:val="24"/>
        </w:rPr>
        <w:t xml:space="preserve"> source</w:t>
      </w:r>
      <w:r w:rsidRPr="00087AC9">
        <w:rPr>
          <w:szCs w:val="24"/>
        </w:rPr>
        <w:t>s</w:t>
      </w:r>
      <w:r w:rsidRPr="00087AC9">
        <w:rPr>
          <w:szCs w:val="24"/>
        </w:rPr>
        <w:t xml:space="preserve"> must make the following reports:</w:t>
      </w:r>
    </w:p>
    <w:p w:rsidR="00A95C4F" w:rsidRPr="00087AC9" w:rsidP="000F4356" w14:paraId="65C8BFB7" w14:textId="616FC9FD">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A95C4F" w:rsidRPr="00087AC9" w:rsidP="000F4356" w14:paraId="18A4C814" w14:textId="6F62B4D6">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087AC9">
        <w:rPr>
          <w:b/>
          <w:bCs/>
          <w:szCs w:val="24"/>
        </w:rPr>
        <w:t>Notifications</w:t>
      </w:r>
    </w:p>
    <w:p w:rsidR="00A95C4F" w:rsidRPr="00087AC9" w:rsidP="00A95C4F" w14:paraId="6FE12AC0" w14:textId="77777777">
      <w:pPr>
        <w:pStyle w:val="ListParagraph"/>
        <w:numPr>
          <w:ilvl w:val="0"/>
          <w:numId w:val="22"/>
        </w:numPr>
        <w:spacing w:after="58"/>
      </w:pPr>
      <w:r w:rsidRPr="00087AC9">
        <w:t>Initial notification for existing sources</w:t>
      </w:r>
    </w:p>
    <w:p w:rsidR="00A95C4F" w:rsidRPr="00087AC9" w:rsidP="00A95C4F" w14:paraId="43A2367A" w14:textId="77777777">
      <w:pPr>
        <w:pStyle w:val="ListParagraph"/>
        <w:numPr>
          <w:ilvl w:val="0"/>
          <w:numId w:val="22"/>
        </w:numPr>
        <w:spacing w:after="58"/>
      </w:pPr>
      <w:r w:rsidRPr="00087AC9">
        <w:t>Notification of anticipated startup date</w:t>
      </w:r>
    </w:p>
    <w:p w:rsidR="00A95C4F" w:rsidRPr="00087AC9" w:rsidP="00A95C4F" w14:paraId="38C05773" w14:textId="255E288E">
      <w:pPr>
        <w:pStyle w:val="ListParagraph"/>
        <w:numPr>
          <w:ilvl w:val="0"/>
          <w:numId w:val="22"/>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087AC9">
        <w:rPr>
          <w:szCs w:val="24"/>
        </w:rPr>
        <w:t>Notification of actual startup date</w:t>
      </w:r>
    </w:p>
    <w:p w:rsidR="00A95C4F" w:rsidRPr="00087AC9" w:rsidP="00A95C4F" w14:paraId="2846877C" w14:textId="2E3F0E3B">
      <w:pPr>
        <w:pStyle w:val="ListParagraph"/>
        <w:numPr>
          <w:ilvl w:val="0"/>
          <w:numId w:val="22"/>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087AC9">
        <w:rPr>
          <w:szCs w:val="24"/>
        </w:rPr>
        <w:t>Notification of compliance status</w:t>
      </w:r>
    </w:p>
    <w:p w:rsidR="00A95C4F" w:rsidRPr="00087AC9" w:rsidP="00A95C4F" w14:paraId="4411AE8C" w14:textId="772A4528">
      <w:pPr>
        <w:pStyle w:val="ListParagraph"/>
        <w:numPr>
          <w:ilvl w:val="0"/>
          <w:numId w:val="22"/>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087AC9">
        <w:rPr>
          <w:szCs w:val="24"/>
        </w:rPr>
        <w:t>Notification of performance test or performance evaluation</w:t>
      </w:r>
    </w:p>
    <w:p w:rsidR="00A95C4F" w:rsidRPr="00087AC9" w:rsidP="00A95C4F" w14:paraId="2BAC162E" w14:textId="46E25541">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rsidR="00C32210" w:rsidRPr="00087AC9" w:rsidP="00A95C4F" w14:paraId="73ED68CA"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rsidR="00A95C4F" w:rsidRPr="00087AC9" w:rsidP="00A95C4F" w14:paraId="10CE274E" w14:textId="7BD3DC15">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087AC9">
        <w:rPr>
          <w:b/>
          <w:bCs/>
          <w:szCs w:val="24"/>
        </w:rPr>
        <w:t>Reports</w:t>
      </w:r>
    </w:p>
    <w:p w:rsidR="004669DD" w:rsidRPr="00087AC9" w:rsidP="00A95C4F" w14:paraId="55D1E219" w14:textId="59E03181">
      <w:pPr>
        <w:pStyle w:val="ListParagraph"/>
        <w:numPr>
          <w:ilvl w:val="0"/>
          <w:numId w:val="23"/>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Pr>
          <w:szCs w:val="24"/>
        </w:rPr>
        <w:t>Annua</w:t>
      </w:r>
      <w:r w:rsidR="00DD4414">
        <w:rPr>
          <w:szCs w:val="24"/>
        </w:rPr>
        <w:t>l</w:t>
      </w:r>
      <w:r>
        <w:rPr>
          <w:szCs w:val="24"/>
        </w:rPr>
        <w:t xml:space="preserve"> compliance report</w:t>
      </w:r>
    </w:p>
    <w:p w:rsidR="00A95C4F" w:rsidRPr="00087AC9" w:rsidP="00A95C4F" w14:paraId="767554FA" w14:textId="6E225A0D">
      <w:pPr>
        <w:pStyle w:val="ListParagraph"/>
        <w:numPr>
          <w:ilvl w:val="0"/>
          <w:numId w:val="23"/>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087AC9">
        <w:rPr>
          <w:szCs w:val="24"/>
        </w:rPr>
        <w:t>Performance test report</w:t>
      </w:r>
    </w:p>
    <w:p w:rsidR="00A95C4F" w:rsidRPr="00087AC9" w:rsidP="00A95C4F" w14:paraId="36E58C80" w14:textId="355B43F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rsidR="00A95C4F" w:rsidRPr="00087AC9" w:rsidP="00A95C4F" w14:paraId="094A6313" w14:textId="4025C4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087AC9">
        <w:rPr>
          <w:b/>
          <w:bCs/>
          <w:szCs w:val="24"/>
        </w:rPr>
        <w:t>Recordkeeping</w:t>
      </w:r>
    </w:p>
    <w:p w:rsidR="00A95C4F" w:rsidRPr="00087AC9" w:rsidP="00A95C4F" w14:paraId="040011AA"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rsidR="00C32210" w:rsidRPr="00087AC9" w:rsidP="00A95C4F" w14:paraId="43A8DA79" w14:textId="3A373199">
      <w:pPr>
        <w:pStyle w:val="ListParagraph"/>
        <w:numPr>
          <w:ilvl w:val="0"/>
          <w:numId w:val="24"/>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87AC9">
        <w:t>Documentation supporting any initial notification or notification of compliance status or annual compliance report</w:t>
      </w:r>
    </w:p>
    <w:p w:rsidR="00C32210" w:rsidRPr="00087AC9" w:rsidP="00A95C4F" w14:paraId="71F85B80" w14:textId="77777777">
      <w:pPr>
        <w:pStyle w:val="ListParagraph"/>
        <w:numPr>
          <w:ilvl w:val="0"/>
          <w:numId w:val="24"/>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87AC9">
        <w:t xml:space="preserve">Records of performance tests or other compliance demonstrations, and performance evaluations </w:t>
      </w:r>
    </w:p>
    <w:p w:rsidR="00440C98" w:rsidRPr="00087AC9" w:rsidP="00A95C4F" w14:paraId="2CE08C5F" w14:textId="46E91FEE">
      <w:pPr>
        <w:pStyle w:val="ListParagraph"/>
        <w:numPr>
          <w:ilvl w:val="0"/>
          <w:numId w:val="24"/>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87AC9">
        <w:t>Records for continuous emissions monitoring systems, and continuous parameter monitoring systems</w:t>
      </w:r>
    </w:p>
    <w:p w:rsidR="00A95C4F" w:rsidRPr="00087AC9" w:rsidP="00A95C4F" w14:paraId="77AE3C64" w14:textId="776BD741">
      <w:pPr>
        <w:pStyle w:val="ListParagraph"/>
        <w:numPr>
          <w:ilvl w:val="0"/>
          <w:numId w:val="24"/>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87AC9">
        <w:t>Records of operating limits</w:t>
      </w:r>
    </w:p>
    <w:p w:rsidR="00C32210" w:rsidRPr="00087AC9" w:rsidP="00A95C4F" w14:paraId="7F2DC362" w14:textId="424E67E9">
      <w:pPr>
        <w:pStyle w:val="ListParagraph"/>
        <w:numPr>
          <w:ilvl w:val="0"/>
          <w:numId w:val="24"/>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87AC9">
        <w:t>Records of hours of operation</w:t>
      </w:r>
    </w:p>
    <w:p w:rsidR="00C32210" w:rsidRPr="00087AC9" w:rsidP="00A95C4F" w14:paraId="54F53C72" w14:textId="559BD10F">
      <w:pPr>
        <w:pStyle w:val="ListParagraph"/>
        <w:numPr>
          <w:ilvl w:val="0"/>
          <w:numId w:val="24"/>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87AC9">
        <w:t>Maintain records for 5 years</w:t>
      </w:r>
    </w:p>
    <w:p w:rsidR="007A582C" w:rsidRPr="00087AC9" w:rsidP="007A582C" w14:paraId="55B00E74" w14:textId="3367964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7A582C" w:rsidRPr="00087AC9" w:rsidP="007A582C" w14:paraId="27FE2819" w14:textId="1F44607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087AC9">
        <w:rPr>
          <w:b/>
          <w:bCs/>
          <w:szCs w:val="24"/>
        </w:rPr>
        <w:t>Respondent Activities</w:t>
      </w:r>
    </w:p>
    <w:p w:rsidR="007A582C" w:rsidRPr="00087AC9" w:rsidP="007A582C" w14:paraId="1D34CAFC" w14:textId="0D5BE9A9">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rsidR="007A582C" w:rsidRPr="00087AC9" w:rsidP="007A582C" w14:paraId="1A1FB025" w14:textId="54195F73">
      <w:pPr>
        <w:pStyle w:val="ListParagraph"/>
        <w:numPr>
          <w:ilvl w:val="0"/>
          <w:numId w:val="25"/>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087AC9">
        <w:rPr>
          <w:szCs w:val="24"/>
        </w:rPr>
        <w:t>Read instructions</w:t>
      </w:r>
    </w:p>
    <w:p w:rsidR="007A582C" w:rsidRPr="00087AC9" w:rsidP="007A582C" w14:paraId="6C6B7062" w14:textId="191B59ED">
      <w:pPr>
        <w:pStyle w:val="ListParagraph"/>
        <w:numPr>
          <w:ilvl w:val="0"/>
          <w:numId w:val="25"/>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087AC9">
        <w:t>Install, calibrate, maintain, and operate CPMS for temperature, or for pressure drop for control device</w:t>
      </w:r>
    </w:p>
    <w:p w:rsidR="007A582C" w:rsidRPr="00087AC9" w:rsidP="007A582C" w14:paraId="49559DF5" w14:textId="223C3E9C">
      <w:pPr>
        <w:pStyle w:val="ListParagraph"/>
        <w:numPr>
          <w:ilvl w:val="0"/>
          <w:numId w:val="25"/>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087AC9">
        <w:t>Install, calibrate, maintain, and operate NOx CEMS for control device</w:t>
      </w:r>
    </w:p>
    <w:p w:rsidR="007A582C" w:rsidRPr="00087AC9" w:rsidP="007A582C" w14:paraId="0CB7836A" w14:textId="004BBDE6">
      <w:pPr>
        <w:pStyle w:val="ListParagraph"/>
        <w:numPr>
          <w:ilvl w:val="0"/>
          <w:numId w:val="25"/>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087AC9">
        <w:t>Perform initial performance tests and repeat performance tests if necessary</w:t>
      </w:r>
    </w:p>
    <w:p w:rsidR="007A582C" w:rsidRPr="00087AC9" w:rsidP="007A582C" w14:paraId="74C0DCDE" w14:textId="6C6F94DE">
      <w:pPr>
        <w:pStyle w:val="ListParagraph"/>
        <w:numPr>
          <w:ilvl w:val="0"/>
          <w:numId w:val="25"/>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087AC9">
        <w:t>Write the notifications and reports listed above</w:t>
      </w:r>
    </w:p>
    <w:p w:rsidR="007A582C" w:rsidRPr="00087AC9" w:rsidP="007A582C" w14:paraId="0FAEFD8A" w14:textId="7C3A9B31">
      <w:pPr>
        <w:pStyle w:val="ListParagraph"/>
        <w:numPr>
          <w:ilvl w:val="0"/>
          <w:numId w:val="25"/>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087AC9">
        <w:t>Enter information required to be recorded above</w:t>
      </w:r>
    </w:p>
    <w:p w:rsidR="007A582C" w:rsidRPr="00087AC9" w:rsidP="007A582C" w14:paraId="6F60B3AA" w14:textId="753E3236">
      <w:pPr>
        <w:pStyle w:val="ListParagraph"/>
        <w:numPr>
          <w:ilvl w:val="0"/>
          <w:numId w:val="25"/>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087AC9">
        <w:t>Submit the required reports developing, acquiring, installing, and utilizing technology and systems for the purpose of collecting, validating, and verifying information</w:t>
      </w:r>
    </w:p>
    <w:p w:rsidR="007A582C" w:rsidRPr="00087AC9" w:rsidP="007A582C" w14:paraId="6E192904" w14:textId="5EAB79FF">
      <w:pPr>
        <w:pStyle w:val="ListParagraph"/>
        <w:numPr>
          <w:ilvl w:val="0"/>
          <w:numId w:val="25"/>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087AC9">
        <w:t>Develop, acquire, install, and utilize technology and systems for the purpose of processing and maintaining information</w:t>
      </w:r>
    </w:p>
    <w:p w:rsidR="007A582C" w:rsidRPr="00087AC9" w:rsidP="007A582C" w14:paraId="73740EFD" w14:textId="6D9A657A">
      <w:pPr>
        <w:pStyle w:val="ListParagraph"/>
        <w:numPr>
          <w:ilvl w:val="0"/>
          <w:numId w:val="25"/>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087AC9">
        <w:t>Develop, acquire, install</w:t>
      </w:r>
      <w:r w:rsidR="003E2B6C">
        <w:t>,</w:t>
      </w:r>
      <w:r w:rsidRPr="00087AC9">
        <w:t xml:space="preserve"> and utilize technology and systems for the purpose of disclosing and providing information</w:t>
      </w:r>
    </w:p>
    <w:p w:rsidR="007A582C" w:rsidRPr="00087AC9" w:rsidP="007A582C" w14:paraId="6C52528D" w14:textId="6F511245">
      <w:pPr>
        <w:pStyle w:val="ListParagraph"/>
        <w:numPr>
          <w:ilvl w:val="0"/>
          <w:numId w:val="25"/>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087AC9">
        <w:t>Train personnel to be able to respond to a collection of information</w:t>
      </w:r>
    </w:p>
    <w:p w:rsidR="00C32210" w:rsidRPr="00087AC9" w:rsidP="007A582C" w14:paraId="137CE50A" w14:textId="1CBA60CA">
      <w:pPr>
        <w:pStyle w:val="ListParagraph"/>
        <w:numPr>
          <w:ilvl w:val="0"/>
          <w:numId w:val="25"/>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r w:rsidRPr="00087AC9">
        <w:t>Transmit, or otherwise disclose the information</w:t>
      </w:r>
    </w:p>
    <w:p w:rsidR="007A582C" w:rsidRPr="00087AC9" w:rsidP="004D45E6" w14:paraId="351FECA4"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Cs w:val="24"/>
        </w:rPr>
      </w:pPr>
    </w:p>
    <w:p w:rsidR="00C32210" w:rsidRPr="00087AC9" w:rsidP="00F56E42" w14:paraId="6A9E38CE" w14:textId="77777777">
      <w:pPr>
        <w:autoSpaceDE w:val="0"/>
        <w:autoSpaceDN w:val="0"/>
        <w:adjustRightInd w:val="0"/>
        <w:rPr>
          <w:b/>
          <w:color w:val="000000"/>
        </w:rPr>
      </w:pPr>
    </w:p>
    <w:p w:rsidR="00B91A89" w:rsidRPr="00087AC9" w:rsidP="00F56E42" w14:paraId="74B19F3C" w14:textId="4252715F">
      <w:pPr>
        <w:autoSpaceDE w:val="0"/>
        <w:autoSpaceDN w:val="0"/>
        <w:adjustRightInd w:val="0"/>
        <w:rPr>
          <w:b/>
          <w:color w:val="000000"/>
        </w:rPr>
      </w:pPr>
    </w:p>
    <w:p w:rsidR="008869EA" w:rsidRPr="00087AC9" w:rsidP="00F56E42" w14:paraId="61194147" w14:textId="04DEDC2F">
      <w:pPr>
        <w:autoSpaceDE w:val="0"/>
        <w:autoSpaceDN w:val="0"/>
        <w:adjustRightInd w:val="0"/>
        <w:rPr>
          <w:b/>
          <w:color w:val="000000"/>
        </w:rPr>
      </w:pPr>
    </w:p>
    <w:p w:rsidR="00B91A89" w:rsidRPr="00087AC9" w:rsidP="00F56E42" w14:paraId="071FB3C6" w14:textId="77777777">
      <w:pPr>
        <w:autoSpaceDE w:val="0"/>
        <w:autoSpaceDN w:val="0"/>
        <w:adjustRightInd w:val="0"/>
        <w:rPr>
          <w:b/>
          <w:bCs/>
          <w:szCs w:val="24"/>
        </w:rPr>
      </w:pPr>
    </w:p>
    <w:p w:rsidR="008869EA" w:rsidRPr="00087AC9" w14:paraId="20EA34C9"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96" w:lineRule="exact"/>
        <w:rPr>
          <w:b/>
          <w:color w:val="000000"/>
        </w:rPr>
      </w:pPr>
      <w:r w:rsidRPr="00087AC9">
        <w:rPr>
          <w:noProof/>
        </w:rPr>
        <mc:AlternateContent>
          <mc:Choice Requires="wps">
            <w:drawing>
              <wp:anchor distT="152400" distB="152400" distL="152400" distR="152400" simplePos="0" relativeHeight="251666432" behindDoc="0" locked="0" layoutInCell="1" allowOverlap="1">
                <wp:simplePos x="0" y="0"/>
                <wp:positionH relativeFrom="margin">
                  <wp:posOffset>-2276475</wp:posOffset>
                </wp:positionH>
                <wp:positionV relativeFrom="paragraph">
                  <wp:posOffset>-523875</wp:posOffset>
                </wp:positionV>
                <wp:extent cx="6339840" cy="522605"/>
                <wp:effectExtent l="0" t="2540" r="3810" b="0"/>
                <wp:wrapNone/>
                <wp:docPr id="15"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39840" cy="5226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3AC" w:rsidP="004E2C4B" w14:paraId="1BA89ADF" w14:textId="77777777">
                            <w:pPr>
                              <w:ind w:left="720" w:hanging="720"/>
                            </w:pPr>
                            <w:r>
                              <w:rPr>
                                <w:rFonts w:ascii="Arial" w:hAnsi="Arial"/>
                                <w:b/>
                              </w:rPr>
                              <w:t>5</w:t>
                            </w:r>
                            <w:r>
                              <w:rPr>
                                <w:rFonts w:ascii="Arial" w:hAnsi="Arial"/>
                                <w:b/>
                              </w:rPr>
                              <w:tab/>
                            </w:r>
                            <w:r>
                              <w:rPr>
                                <w:rFonts w:ascii="Arial" w:hAnsi="Arial"/>
                                <w:b/>
                              </w:rPr>
                              <w:t xml:space="preserve">The Information Collected - </w:t>
                            </w:r>
                            <w:r>
                              <w:rPr>
                                <w:rFonts w:ascii="Arial" w:hAnsi="Arial" w:cs="Arial"/>
                                <w:b/>
                                <w:bCs/>
                                <w:szCs w:val="24"/>
                              </w:rPr>
                              <w:t>Agency Activities, Collection Methodologies, and Information Managemen</w:t>
                            </w:r>
                            <w:r>
                              <w:rPr>
                                <w:rFonts w:ascii="Arial" w:hAnsi="Arial"/>
                                <w:b/>
                              </w:rPr>
                              <w:t>t</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31" o:spid="_x0000_s1057" type="#_x0000_t202" style="width:499.2pt;height:41.15pt;margin-top:-41.25pt;margin-left:-179.25pt;mso-height-percent:0;mso-height-relative:page;mso-position-horizontal-relative:margin;mso-width-percent:0;mso-width-relative:page;mso-wrap-distance-bottom:12pt;mso-wrap-distance-left:12pt;mso-wrap-distance-right:12pt;mso-wrap-distance-top:12pt;mso-wrap-style:square;position:absolute;visibility:visible;v-text-anchor:top;z-index:251667456" filled="f" stroked="f">
                <v:textbox inset="0,0,6pt,6pt">
                  <w:txbxContent>
                    <w:p w:rsidR="005343AC" w:rsidP="004E2C4B" w14:paraId="0BC91D47" w14:textId="77777777">
                      <w:pPr>
                        <w:ind w:left="720" w:hanging="720"/>
                      </w:pPr>
                      <w:r>
                        <w:rPr>
                          <w:rFonts w:ascii="Arial" w:hAnsi="Arial"/>
                          <w:b/>
                        </w:rPr>
                        <w:t>5</w:t>
                      </w:r>
                      <w:r>
                        <w:rPr>
                          <w:rFonts w:ascii="Arial" w:hAnsi="Arial"/>
                          <w:b/>
                        </w:rPr>
                        <w:tab/>
                      </w:r>
                      <w:r>
                        <w:rPr>
                          <w:rFonts w:ascii="Arial" w:hAnsi="Arial"/>
                          <w:b/>
                        </w:rPr>
                        <w:t xml:space="preserve">The Information Collected - </w:t>
                      </w:r>
                      <w:r>
                        <w:rPr>
                          <w:rFonts w:ascii="Arial" w:hAnsi="Arial" w:cs="Arial"/>
                          <w:b/>
                          <w:bCs/>
                          <w:szCs w:val="24"/>
                        </w:rPr>
                        <w:t>Agency Activities, Collection Methodologies, and Information Managemen</w:t>
                      </w:r>
                      <w:r>
                        <w:rPr>
                          <w:rFonts w:ascii="Arial" w:hAnsi="Arial"/>
                          <w:b/>
                        </w:rPr>
                        <w:t>t</w:t>
                      </w:r>
                    </w:p>
                  </w:txbxContent>
                </v:textbox>
                <w10:wrap anchorx="margin"/>
              </v:shape>
            </w:pict>
          </mc:Fallback>
        </mc:AlternateContent>
      </w:r>
    </w:p>
    <w:p w:rsidR="003C1708" w:rsidRPr="00087AC9" w:rsidP="003C1708" w14:paraId="69999A35" w14:textId="6A27CF84">
      <w:pPr>
        <w:rPr>
          <w:szCs w:val="24"/>
        </w:rPr>
      </w:pPr>
      <w:r w:rsidRPr="00087AC9">
        <w:rPr>
          <w:noProof/>
        </w:rPr>
        <mc:AlternateContent>
          <mc:Choice Requires="wps">
            <w:drawing>
              <wp:anchor distT="0" distB="0" distL="114300" distR="114300" simplePos="0" relativeHeight="251691008" behindDoc="0" locked="0" layoutInCell="1" allowOverlap="1">
                <wp:simplePos x="0" y="0"/>
                <wp:positionH relativeFrom="margin">
                  <wp:posOffset>-2286000</wp:posOffset>
                </wp:positionH>
                <wp:positionV relativeFrom="paragraph">
                  <wp:posOffset>20320</wp:posOffset>
                </wp:positionV>
                <wp:extent cx="1426210" cy="419735"/>
                <wp:effectExtent l="0" t="0" r="2540" b="1270"/>
                <wp:wrapNone/>
                <wp:docPr id="14" name="Text Box 9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26210" cy="419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3AC" w:rsidRPr="00AC4859" w:rsidP="00AC4859" w14:paraId="6D1C1DE9" w14:textId="77777777">
                            <w:pPr>
                              <w:ind w:left="720" w:hanging="720"/>
                              <w:rPr>
                                <w:rFonts w:ascii="Arial" w:hAnsi="Arial" w:cs="Arial"/>
                                <w:b/>
                              </w:rPr>
                            </w:pPr>
                            <w:r>
                              <w:rPr>
                                <w:rFonts w:ascii="Arial" w:hAnsi="Arial" w:cs="Arial"/>
                                <w:b/>
                              </w:rPr>
                              <w:t>5.1</w:t>
                            </w:r>
                            <w:r>
                              <w:rPr>
                                <w:rFonts w:ascii="Arial" w:hAnsi="Arial" w:cs="Arial"/>
                                <w:b/>
                              </w:rPr>
                              <w:tab/>
                            </w:r>
                            <w:r>
                              <w:rPr>
                                <w:rFonts w:ascii="Arial" w:hAnsi="Arial" w:cs="Arial"/>
                                <w:b/>
                              </w:rPr>
                              <w:t>Agency Activities</w:t>
                            </w:r>
                          </w:p>
                        </w:txbxContent>
                      </wps:txbx>
                      <wps:bodyPr rot="0" vert="horz" wrap="square" lIns="0" tIns="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9" o:spid="_x0000_s1058" type="#_x0000_t202" style="width:112.3pt;height:33.05pt;margin-top:1.6pt;margin-left:-180pt;mso-height-percent:0;mso-height-relative:page;mso-position-horizontal-relative:margin;mso-width-percent:0;mso-width-relative:page;mso-wrap-distance-bottom:0;mso-wrap-distance-left:9pt;mso-wrap-distance-right:9pt;mso-wrap-distance-top:0;mso-wrap-style:square;position:absolute;visibility:visible;v-text-anchor:top;z-index:251692032" filled="f" stroked="f">
                <v:textbox inset="0,0">
                  <w:txbxContent>
                    <w:p w:rsidR="005343AC" w:rsidRPr="00AC4859" w:rsidP="00AC4859" w14:paraId="29BB7E3C" w14:textId="77777777">
                      <w:pPr>
                        <w:ind w:left="720" w:hanging="720"/>
                        <w:rPr>
                          <w:rFonts w:ascii="Arial" w:hAnsi="Arial" w:cs="Arial"/>
                          <w:b/>
                        </w:rPr>
                      </w:pPr>
                      <w:r>
                        <w:rPr>
                          <w:rFonts w:ascii="Arial" w:hAnsi="Arial" w:cs="Arial"/>
                          <w:b/>
                        </w:rPr>
                        <w:t>5.1</w:t>
                      </w:r>
                      <w:r>
                        <w:rPr>
                          <w:rFonts w:ascii="Arial" w:hAnsi="Arial" w:cs="Arial"/>
                          <w:b/>
                        </w:rPr>
                        <w:tab/>
                      </w:r>
                      <w:r>
                        <w:rPr>
                          <w:rFonts w:ascii="Arial" w:hAnsi="Arial" w:cs="Arial"/>
                          <w:b/>
                        </w:rPr>
                        <w:t>Agency Activities</w:t>
                      </w:r>
                    </w:p>
                  </w:txbxContent>
                </v:textbox>
                <w10:wrap anchorx="margin"/>
              </v:shape>
            </w:pict>
          </mc:Fallback>
        </mc:AlternateContent>
      </w:r>
      <w:r w:rsidR="007A54E4">
        <w:rPr>
          <w:szCs w:val="24"/>
        </w:rPr>
        <w:t xml:space="preserve">The </w:t>
      </w:r>
      <w:r w:rsidRPr="00087AC9" w:rsidR="003C1708">
        <w:rPr>
          <w:szCs w:val="24"/>
        </w:rPr>
        <w:t>EPA conducts the following agency activities in connection with the acquisition, analysis, storage, and distribution of the required information.</w:t>
      </w:r>
    </w:p>
    <w:p w:rsidR="003C1708" w:rsidRPr="00087AC9" w:rsidP="003C1708" w14:paraId="302086B0" w14:textId="5E1FF2E8">
      <w:pPr>
        <w:rPr>
          <w:szCs w:val="24"/>
        </w:rPr>
      </w:pPr>
    </w:p>
    <w:p w:rsidR="003C1708" w:rsidRPr="00087AC9" w:rsidP="003C1708" w14:paraId="0AB6A0DA" w14:textId="77777777">
      <w:pPr>
        <w:rPr>
          <w:szCs w:val="24"/>
        </w:rPr>
      </w:pPr>
    </w:p>
    <w:tbl>
      <w:tblPr>
        <w:tblStyle w:val="TableGrid"/>
        <w:tblW w:w="0" w:type="auto"/>
        <w:tblLook w:val="04A0"/>
      </w:tblPr>
      <w:tblGrid>
        <w:gridCol w:w="7276"/>
      </w:tblGrid>
      <w:tr w14:paraId="6ECF86C2" w14:textId="77777777" w:rsidTr="003C1708">
        <w:tblPrEx>
          <w:tblW w:w="0" w:type="auto"/>
          <w:tblLook w:val="04A0"/>
        </w:tblPrEx>
        <w:tc>
          <w:tcPr>
            <w:tcW w:w="7276" w:type="dxa"/>
          </w:tcPr>
          <w:p w:rsidR="003C1708" w:rsidRPr="00087AC9" w:rsidP="003C1708" w14:paraId="2E28D065" w14:textId="05C7D416">
            <w:pPr>
              <w:jc w:val="center"/>
              <w:rPr>
                <w:b/>
                <w:bCs/>
                <w:szCs w:val="24"/>
              </w:rPr>
            </w:pPr>
            <w:r w:rsidRPr="00087AC9">
              <w:rPr>
                <w:b/>
                <w:bCs/>
                <w:szCs w:val="24"/>
              </w:rPr>
              <w:t>Agency Activities</w:t>
            </w:r>
          </w:p>
        </w:tc>
      </w:tr>
      <w:tr w14:paraId="67D47226" w14:textId="77777777" w:rsidTr="003C1708">
        <w:tblPrEx>
          <w:tblW w:w="0" w:type="auto"/>
          <w:tblLook w:val="04A0"/>
        </w:tblPrEx>
        <w:tc>
          <w:tcPr>
            <w:tcW w:w="7276" w:type="dxa"/>
          </w:tcPr>
          <w:p w:rsidR="003C1708" w:rsidRPr="00087AC9" w:rsidP="003C1708" w14:paraId="2A71B90A" w14:textId="579FD192">
            <w:pPr>
              <w:rPr>
                <w:szCs w:val="24"/>
              </w:rPr>
            </w:pPr>
            <w:r w:rsidRPr="00087AC9">
              <w:rPr>
                <w:szCs w:val="24"/>
              </w:rPr>
              <w:t>Observe initial performance tests and repeat performance tests if necessary.</w:t>
            </w:r>
          </w:p>
        </w:tc>
      </w:tr>
      <w:tr w14:paraId="1E366436" w14:textId="77777777" w:rsidTr="003C1708">
        <w:tblPrEx>
          <w:tblW w:w="0" w:type="auto"/>
          <w:tblLook w:val="04A0"/>
        </w:tblPrEx>
        <w:tc>
          <w:tcPr>
            <w:tcW w:w="7276" w:type="dxa"/>
          </w:tcPr>
          <w:p w:rsidR="003C1708" w:rsidRPr="00087AC9" w:rsidP="003C1708" w14:paraId="5C2BFA83" w14:textId="2047AA48">
            <w:pPr>
              <w:rPr>
                <w:szCs w:val="24"/>
              </w:rPr>
            </w:pPr>
            <w:r w:rsidRPr="00087AC9">
              <w:t>Review</w:t>
            </w:r>
            <w:r w:rsidRPr="00087AC9" w:rsidR="00287629">
              <w:t xml:space="preserve"> and analysis of</w:t>
            </w:r>
            <w:r w:rsidRPr="00087AC9">
              <w:t xml:space="preserve"> notifications and reports, including performance test reports, excess emissions reports, required to be submitted by industry.</w:t>
            </w:r>
          </w:p>
        </w:tc>
      </w:tr>
      <w:tr w14:paraId="04514D02" w14:textId="77777777" w:rsidTr="003C1708">
        <w:tblPrEx>
          <w:tblW w:w="0" w:type="auto"/>
          <w:tblLook w:val="04A0"/>
        </w:tblPrEx>
        <w:tc>
          <w:tcPr>
            <w:tcW w:w="7276" w:type="dxa"/>
          </w:tcPr>
          <w:p w:rsidR="003C1708" w:rsidRPr="00087AC9" w:rsidP="003C1708" w14:paraId="27AF1F52" w14:textId="6A9D9E0B">
            <w:pPr>
              <w:rPr>
                <w:szCs w:val="24"/>
              </w:rPr>
            </w:pPr>
            <w:r w:rsidRPr="00087AC9">
              <w:rPr>
                <w:szCs w:val="24"/>
              </w:rPr>
              <w:t>Audit facility records.</w:t>
            </w:r>
          </w:p>
        </w:tc>
      </w:tr>
      <w:tr w14:paraId="1C34CDD4" w14:textId="77777777" w:rsidTr="003C1708">
        <w:tblPrEx>
          <w:tblW w:w="0" w:type="auto"/>
          <w:tblLook w:val="04A0"/>
        </w:tblPrEx>
        <w:tc>
          <w:tcPr>
            <w:tcW w:w="7276" w:type="dxa"/>
          </w:tcPr>
          <w:p w:rsidR="003C1708" w:rsidRPr="00087AC9" w:rsidP="003C1708" w14:paraId="0D58A168" w14:textId="27B1AF19">
            <w:pPr>
              <w:rPr>
                <w:szCs w:val="24"/>
              </w:rPr>
            </w:pPr>
            <w:r w:rsidRPr="00087AC9">
              <w:rPr>
                <w:szCs w:val="24"/>
              </w:rPr>
              <w:t xml:space="preserve">Input, analyze, and maintain data in the Enforcement and Compliance History Online (ECHO) and </w:t>
            </w:r>
            <w:r w:rsidRPr="00087AC9" w:rsidR="0064257F">
              <w:rPr>
                <w:szCs w:val="24"/>
              </w:rPr>
              <w:t>the Integrated Compliance Information System (</w:t>
            </w:r>
            <w:r w:rsidRPr="00087AC9">
              <w:rPr>
                <w:szCs w:val="24"/>
              </w:rPr>
              <w:t>ICIS</w:t>
            </w:r>
            <w:r w:rsidRPr="00087AC9" w:rsidR="0064257F">
              <w:rPr>
                <w:szCs w:val="24"/>
              </w:rPr>
              <w:t>)</w:t>
            </w:r>
            <w:r w:rsidRPr="00087AC9">
              <w:rPr>
                <w:szCs w:val="24"/>
              </w:rPr>
              <w:t>.</w:t>
            </w:r>
          </w:p>
        </w:tc>
      </w:tr>
    </w:tbl>
    <w:p w:rsidR="003C1708" w:rsidRPr="00087AC9" w:rsidP="003C1708" w14:paraId="62B7F09E" w14:textId="77777777">
      <w:pPr>
        <w:rPr>
          <w:szCs w:val="24"/>
        </w:rPr>
      </w:pPr>
    </w:p>
    <w:p w:rsidR="003A5D7B" w:rsidRPr="00087AC9" w14:paraId="0EB0D6BD"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8869EA" w:rsidRPr="00087AC9" w14:paraId="312ACB55" w14:textId="6AD9E7E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noProof/>
        </w:rPr>
        <mc:AlternateContent>
          <mc:Choice Requires="wps">
            <w:drawing>
              <wp:anchor distT="152400" distB="152400" distL="152400" distR="152400" simplePos="0" relativeHeight="251668480" behindDoc="0" locked="0" layoutInCell="1" allowOverlap="1">
                <wp:simplePos x="0" y="0"/>
                <wp:positionH relativeFrom="margin">
                  <wp:posOffset>-2286000</wp:posOffset>
                </wp:positionH>
                <wp:positionV relativeFrom="paragraph">
                  <wp:posOffset>20320</wp:posOffset>
                </wp:positionV>
                <wp:extent cx="1684020" cy="960755"/>
                <wp:effectExtent l="0" t="0" r="1905" b="3175"/>
                <wp:wrapSquare wrapText="largest"/>
                <wp:docPr id="13"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4020" cy="9607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3AC" w14:paraId="285FB7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5.2</w:t>
                            </w:r>
                            <w:r>
                              <w:rPr>
                                <w:rFonts w:ascii="Arial" w:hAnsi="Arial"/>
                                <w:b/>
                              </w:rPr>
                              <w:tab/>
                            </w:r>
                            <w:r>
                              <w:rPr>
                                <w:rFonts w:ascii="Arial" w:hAnsi="Arial"/>
                                <w:b/>
                              </w:rPr>
                              <w:t xml:space="preserve">Collection </w:t>
                            </w:r>
                          </w:p>
                          <w:p w:rsidR="005343AC" w14:paraId="7AFE8F6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ab/>
                            </w:r>
                            <w:r>
                              <w:rPr>
                                <w:rFonts w:ascii="Arial" w:hAnsi="Arial"/>
                                <w:b/>
                              </w:rPr>
                              <w:t>Methodology</w:t>
                            </w:r>
                          </w:p>
                          <w:p w:rsidR="005343AC" w14:paraId="12D0D4F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ab/>
                            </w:r>
                            <w:r>
                              <w:rPr>
                                <w:rFonts w:ascii="Arial" w:hAnsi="Arial"/>
                                <w:b/>
                              </w:rPr>
                              <w:t>and</w:t>
                            </w:r>
                          </w:p>
                          <w:p w:rsidR="005343AC" w14:paraId="7086BA28" w14:textId="77777777">
                            <w:r>
                              <w:rPr>
                                <w:rFonts w:ascii="Arial" w:hAnsi="Arial"/>
                                <w:b/>
                              </w:rPr>
                              <w:tab/>
                            </w:r>
                            <w:r>
                              <w:rPr>
                                <w:rFonts w:ascii="Arial" w:hAnsi="Arial"/>
                                <w:b/>
                              </w:rPr>
                              <w:t>Management</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33" o:spid="_x0000_s1059" type="#_x0000_t202" style="width:132.6pt;height:75.65pt;margin-top:1.6pt;margin-left:-180pt;mso-height-percent:0;mso-height-relative:page;mso-position-horizontal-relative:margin;mso-width-percent:0;mso-width-relative:page;mso-wrap-distance-bottom:12pt;mso-wrap-distance-left:12pt;mso-wrap-distance-right:12pt;mso-wrap-distance-top:12pt;mso-wrap-style:square;position:absolute;visibility:visible;v-text-anchor:top;z-index:251669504" filled="f" stroked="f">
                <v:textbox inset="0,0,6pt,6pt">
                  <w:txbxContent>
                    <w:p w:rsidR="005343AC" w14:paraId="01C1FD2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5.2</w:t>
                      </w:r>
                      <w:r>
                        <w:rPr>
                          <w:rFonts w:ascii="Arial" w:hAnsi="Arial"/>
                          <w:b/>
                        </w:rPr>
                        <w:tab/>
                      </w:r>
                      <w:r>
                        <w:rPr>
                          <w:rFonts w:ascii="Arial" w:hAnsi="Arial"/>
                          <w:b/>
                        </w:rPr>
                        <w:t xml:space="preserve">Collection </w:t>
                      </w:r>
                    </w:p>
                    <w:p w:rsidR="005343AC" w14:paraId="52CDFA9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ab/>
                      </w:r>
                      <w:r>
                        <w:rPr>
                          <w:rFonts w:ascii="Arial" w:hAnsi="Arial"/>
                          <w:b/>
                        </w:rPr>
                        <w:t>Methodology</w:t>
                      </w:r>
                    </w:p>
                    <w:p w:rsidR="005343AC" w14:paraId="201911F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ab/>
                      </w:r>
                      <w:r>
                        <w:rPr>
                          <w:rFonts w:ascii="Arial" w:hAnsi="Arial"/>
                          <w:b/>
                        </w:rPr>
                        <w:t>and</w:t>
                      </w:r>
                    </w:p>
                    <w:p w:rsidR="005343AC" w14:paraId="32264BB9" w14:textId="77777777">
                      <w:r>
                        <w:rPr>
                          <w:rFonts w:ascii="Arial" w:hAnsi="Arial"/>
                          <w:b/>
                        </w:rPr>
                        <w:tab/>
                      </w:r>
                      <w:r>
                        <w:rPr>
                          <w:rFonts w:ascii="Arial" w:hAnsi="Arial"/>
                          <w:b/>
                        </w:rPr>
                        <w:t>Management</w:t>
                      </w:r>
                    </w:p>
                  </w:txbxContent>
                </v:textbox>
                <w10:wrap type="square" side="largest"/>
              </v:shape>
            </w:pict>
          </mc:Fallback>
        </mc:AlternateContent>
      </w:r>
      <w:r w:rsidRPr="00087AC9" w:rsidR="008869EA">
        <w:rPr>
          <w:color w:val="000000"/>
        </w:rPr>
        <w:t xml:space="preserve">This section discusses the development of burden estimates and their conversion into costs, which are separated into burden costs and capital and </w:t>
      </w:r>
      <w:r w:rsidR="00306D13">
        <w:rPr>
          <w:color w:val="000000"/>
        </w:rPr>
        <w:t>operating and maintenance</w:t>
      </w:r>
      <w:r w:rsidR="000C337E">
        <w:rPr>
          <w:color w:val="000000"/>
        </w:rPr>
        <w:t xml:space="preserve"> (O&amp;M</w:t>
      </w:r>
      <w:r w:rsidR="00306D13">
        <w:rPr>
          <w:color w:val="000000"/>
        </w:rPr>
        <w:t xml:space="preserve">) </w:t>
      </w:r>
      <w:r w:rsidRPr="00087AC9" w:rsidR="008869EA">
        <w:rPr>
          <w:color w:val="000000"/>
        </w:rPr>
        <w:t xml:space="preserve">costs. </w:t>
      </w:r>
      <w:r w:rsidRPr="00087AC9" w:rsidR="009F3B2A">
        <w:rPr>
          <w:color w:val="000000"/>
        </w:rPr>
        <w:t>C</w:t>
      </w:r>
      <w:r w:rsidRPr="00087AC9" w:rsidR="008869EA">
        <w:rPr>
          <w:color w:val="000000"/>
        </w:rPr>
        <w:t xml:space="preserve">apital and O&amp;M costs display the </w:t>
      </w:r>
      <w:r w:rsidR="00306D13">
        <w:rPr>
          <w:color w:val="000000"/>
        </w:rPr>
        <w:t xml:space="preserve">initial </w:t>
      </w:r>
      <w:r w:rsidR="0067569C">
        <w:rPr>
          <w:color w:val="000000"/>
        </w:rPr>
        <w:t xml:space="preserve">(one-time) </w:t>
      </w:r>
      <w:r w:rsidR="00306D13">
        <w:rPr>
          <w:color w:val="000000"/>
        </w:rPr>
        <w:t xml:space="preserve">and ongoing </w:t>
      </w:r>
      <w:r w:rsidR="0067569C">
        <w:rPr>
          <w:color w:val="000000"/>
        </w:rPr>
        <w:t xml:space="preserve">(presented as annual) </w:t>
      </w:r>
      <w:r w:rsidRPr="00087AC9" w:rsidR="008869EA">
        <w:rPr>
          <w:color w:val="000000"/>
        </w:rPr>
        <w:t xml:space="preserve">cost of any new capital equipment the </w:t>
      </w:r>
      <w:r w:rsidRPr="00087AC9" w:rsidR="001636E9">
        <w:rPr>
          <w:color w:val="000000"/>
        </w:rPr>
        <w:t>respondent</w:t>
      </w:r>
      <w:r w:rsidRPr="00087AC9" w:rsidR="008869EA">
        <w:rPr>
          <w:color w:val="000000"/>
        </w:rPr>
        <w:t xml:space="preserve"> may have to purchase solely for</w:t>
      </w:r>
      <w:r w:rsidRPr="00087AC9" w:rsidR="009804F0">
        <w:rPr>
          <w:color w:val="000000"/>
        </w:rPr>
        <w:t xml:space="preserve"> emissions monitoring, </w:t>
      </w:r>
      <w:r w:rsidRPr="00087AC9" w:rsidR="008869EA">
        <w:rPr>
          <w:color w:val="000000"/>
        </w:rPr>
        <w:t xml:space="preserve">information collection, assimilation, and storage purposes. For example, if a source had to purchase a new computer to store and manipulate data, that computer would be a cost of administration subject to reporting in the ICR. In addition, the latest guidance instructs the Agency to differentiate the burden associated with a source’s labor and that which it hires through outside contractors. To the extent a source contracts out for administrative purposes (e.g., employing </w:t>
      </w:r>
      <w:r w:rsidR="0067569C">
        <w:rPr>
          <w:color w:val="000000"/>
        </w:rPr>
        <w:t xml:space="preserve">a third party such as </w:t>
      </w:r>
      <w:r w:rsidRPr="00087AC9" w:rsidR="008869EA">
        <w:rPr>
          <w:color w:val="000000"/>
        </w:rPr>
        <w:t xml:space="preserve">consultants to perform </w:t>
      </w:r>
      <w:r w:rsidRPr="00087AC9" w:rsidR="0045792D">
        <w:rPr>
          <w:color w:val="000000"/>
        </w:rPr>
        <w:t>visibility modeling</w:t>
      </w:r>
      <w:r w:rsidRPr="00087AC9" w:rsidR="008869EA">
        <w:rPr>
          <w:color w:val="000000"/>
        </w:rPr>
        <w:t>), the burden associated with those contracted tasks are not a burden to the source - but they remain a cost. The reader should read this section with the following considerations in mind:</w:t>
      </w:r>
    </w:p>
    <w:p w:rsidR="008869EA" w:rsidRPr="00087AC9" w14:paraId="51C737F8"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8869EA" w:rsidRPr="00087AC9" w:rsidP="0043339F" w14:paraId="62BB18DB" w14:textId="5DC1E266">
      <w:pPr>
        <w:numPr>
          <w:ilvl w:val="0"/>
          <w:numId w:val="16"/>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87AC9">
        <w:rPr>
          <w:szCs w:val="24"/>
        </w:rPr>
        <w:t>The Agency believes the time necessary to perform a task is independen</w:t>
      </w:r>
      <w:r w:rsidRPr="00087AC9" w:rsidR="00545E04">
        <w:rPr>
          <w:szCs w:val="24"/>
        </w:rPr>
        <w:t xml:space="preserve">t of the origins of its labor. </w:t>
      </w:r>
      <w:r w:rsidRPr="00087AC9" w:rsidR="004C7698">
        <w:rPr>
          <w:szCs w:val="24"/>
        </w:rPr>
        <w:t>For example</w:t>
      </w:r>
      <w:r w:rsidRPr="00087AC9">
        <w:rPr>
          <w:szCs w:val="24"/>
        </w:rPr>
        <w:t xml:space="preserve">, if a source would employ </w:t>
      </w:r>
      <w:r w:rsidRPr="00087AC9" w:rsidR="001E59F2">
        <w:rPr>
          <w:szCs w:val="24"/>
        </w:rPr>
        <w:t>20</w:t>
      </w:r>
      <w:r w:rsidRPr="00087AC9">
        <w:rPr>
          <w:szCs w:val="24"/>
        </w:rPr>
        <w:t xml:space="preserve"> hours of burden to fully perform a function, then a contractor hired by the source would also take </w:t>
      </w:r>
      <w:r w:rsidRPr="00087AC9" w:rsidR="001E59F2">
        <w:rPr>
          <w:szCs w:val="24"/>
        </w:rPr>
        <w:t>20</w:t>
      </w:r>
      <w:r w:rsidRPr="00087AC9">
        <w:rPr>
          <w:szCs w:val="24"/>
        </w:rPr>
        <w:t xml:space="preserve"> hours to perform that same task. Furthermore, the Agency assumes no economies or diseconomies of scale</w:t>
      </w:r>
      <w:r w:rsidR="0067569C">
        <w:rPr>
          <w:szCs w:val="24"/>
        </w:rPr>
        <w:t>, which may lead to a potential overestimate of these burden costs over the timeframe covered in this ICR</w:t>
      </w:r>
      <w:r w:rsidRPr="00087AC9">
        <w:rPr>
          <w:szCs w:val="24"/>
        </w:rPr>
        <w:t xml:space="preserve">. The linear combination of any amount of contractor and source effort will also sum to </w:t>
      </w:r>
      <w:r w:rsidRPr="00087AC9" w:rsidR="001E59F2">
        <w:rPr>
          <w:szCs w:val="24"/>
        </w:rPr>
        <w:t>20</w:t>
      </w:r>
      <w:r w:rsidRPr="00087AC9" w:rsidR="004C7698">
        <w:rPr>
          <w:szCs w:val="24"/>
        </w:rPr>
        <w:t xml:space="preserve"> hours</w:t>
      </w:r>
      <w:r w:rsidRPr="00087AC9">
        <w:rPr>
          <w:szCs w:val="24"/>
        </w:rPr>
        <w:t xml:space="preserve">. Therefore, the burden estimates in this ICR </w:t>
      </w:r>
      <w:r w:rsidR="000C337E">
        <w:rPr>
          <w:szCs w:val="24"/>
        </w:rPr>
        <w:t>serve</w:t>
      </w:r>
      <w:r w:rsidRPr="00087AC9">
        <w:rPr>
          <w:szCs w:val="24"/>
        </w:rPr>
        <w:t xml:space="preserve"> as </w:t>
      </w:r>
      <w:r w:rsidRPr="00087AC9" w:rsidR="002D4C3C">
        <w:rPr>
          <w:szCs w:val="24"/>
        </w:rPr>
        <w:t>a</w:t>
      </w:r>
      <w:r w:rsidRPr="00087AC9">
        <w:rPr>
          <w:szCs w:val="24"/>
        </w:rPr>
        <w:t xml:space="preserve"> </w:t>
      </w:r>
      <w:r w:rsidR="0067569C">
        <w:rPr>
          <w:szCs w:val="24"/>
        </w:rPr>
        <w:t xml:space="preserve">reasonably </w:t>
      </w:r>
      <w:r w:rsidRPr="00087AC9">
        <w:rPr>
          <w:szCs w:val="24"/>
        </w:rPr>
        <w:t xml:space="preserve">accurate assessment of the total burden to </w:t>
      </w:r>
      <w:r w:rsidRPr="00087AC9" w:rsidR="001636E9">
        <w:rPr>
          <w:szCs w:val="24"/>
        </w:rPr>
        <w:t>respondents</w:t>
      </w:r>
      <w:r w:rsidRPr="00087AC9">
        <w:rPr>
          <w:szCs w:val="24"/>
        </w:rPr>
        <w:t>.</w:t>
      </w:r>
    </w:p>
    <w:p w:rsidR="008869EA" w:rsidRPr="00087AC9" w:rsidP="0043339F" w14:paraId="3EB57BC0" w14:textId="77777777">
      <w:pPr>
        <w:numPr>
          <w:ilvl w:val="0"/>
          <w:numId w:val="16"/>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87AC9">
        <w:rPr>
          <w:szCs w:val="24"/>
        </w:rPr>
        <w:t xml:space="preserve">For some burden categories, the Agency believes the hours assigned to them will be divided between the source and outside contractors.  For these categories, the Agency established a composite cost per hour by developing a weighted average of the source and contractor wages, with the weight defined by the percentage of total effort each burden source applied. Consequently, the cost developed in this ICR should be interpreted as an upper bound on the actual cost </w:t>
      </w:r>
      <w:r w:rsidRPr="00087AC9">
        <w:rPr>
          <w:szCs w:val="24"/>
        </w:rPr>
        <w:t>of administration by the source. The methodology for determining cost per hour can be found in greater detail in section 6.2, below.</w:t>
      </w:r>
    </w:p>
    <w:p w:rsidR="004C7698" w:rsidRPr="00087AC9" w:rsidP="0043339F" w14:paraId="535947B2" w14:textId="2EB7F7EC">
      <w:pPr>
        <w:numPr>
          <w:ilvl w:val="0"/>
          <w:numId w:val="16"/>
        </w:num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87AC9">
        <w:rPr>
          <w:szCs w:val="24"/>
        </w:rPr>
        <w:t>T</w:t>
      </w:r>
      <w:r w:rsidRPr="00087AC9">
        <w:rPr>
          <w:szCs w:val="24"/>
        </w:rPr>
        <w:t>his</w:t>
      </w:r>
      <w:r w:rsidRPr="00087AC9">
        <w:rPr>
          <w:szCs w:val="24"/>
        </w:rPr>
        <w:t xml:space="preserve"> new non-EGU</w:t>
      </w:r>
      <w:r w:rsidRPr="00087AC9">
        <w:rPr>
          <w:szCs w:val="24"/>
        </w:rPr>
        <w:t xml:space="preserve"> ICR estimates </w:t>
      </w:r>
      <w:r w:rsidRPr="00087AC9">
        <w:rPr>
          <w:szCs w:val="24"/>
        </w:rPr>
        <w:t xml:space="preserve">the </w:t>
      </w:r>
      <w:r w:rsidRPr="00087AC9">
        <w:rPr>
          <w:szCs w:val="24"/>
        </w:rPr>
        <w:t xml:space="preserve">burden to </w:t>
      </w:r>
      <w:r w:rsidRPr="00087AC9">
        <w:rPr>
          <w:szCs w:val="24"/>
        </w:rPr>
        <w:t xml:space="preserve">both </w:t>
      </w:r>
      <w:r w:rsidRPr="00087AC9">
        <w:rPr>
          <w:szCs w:val="24"/>
        </w:rPr>
        <w:t>federal agencies</w:t>
      </w:r>
      <w:r w:rsidRPr="00087AC9">
        <w:rPr>
          <w:szCs w:val="24"/>
        </w:rPr>
        <w:t xml:space="preserve"> and industrial sources</w:t>
      </w:r>
      <w:r w:rsidRPr="00087AC9">
        <w:rPr>
          <w:szCs w:val="24"/>
        </w:rPr>
        <w:t>.</w:t>
      </w:r>
    </w:p>
    <w:p w:rsidR="00790B8B" w:rsidRPr="00087AC9" w:rsidP="001636E9" w14:paraId="2320546D" w14:textId="77777777"/>
    <w:p w:rsidR="003C6554" w:rsidRPr="00087AC9" w:rsidP="003C6554" w14:paraId="29BD01DD" w14:textId="65FA800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87AC9">
        <w:rPr>
          <w:szCs w:val="24"/>
        </w:rPr>
        <w:t xml:space="preserve">Following notification of startup, the reviewing authority could inspect the </w:t>
      </w:r>
      <w:r w:rsidRPr="00087AC9" w:rsidR="00736515">
        <w:rPr>
          <w:szCs w:val="24"/>
        </w:rPr>
        <w:t xml:space="preserve">facility’s </w:t>
      </w:r>
      <w:r w:rsidRPr="00087AC9">
        <w:rPr>
          <w:szCs w:val="24"/>
        </w:rPr>
        <w:t>source to determine whether the pollution control devices are properly installed and operated. Performance test and performance evaluation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annual reports are used for problem identification, as a check on source operation and maintenance, and for compliance determinations.</w:t>
      </w:r>
    </w:p>
    <w:p w:rsidR="003C6554" w:rsidRPr="00087AC9" w:rsidP="003C6554" w14:paraId="52FD4F34"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3C6554" w:rsidRPr="00087AC9" w:rsidP="003C6554" w14:paraId="5AD46883" w14:textId="6771550E">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87AC9">
        <w:rPr>
          <w:szCs w:val="24"/>
        </w:rPr>
        <w:t xml:space="preserve">Information contained in the reports is reported by state and local governments in the </w:t>
      </w:r>
      <w:r w:rsidR="00846013">
        <w:rPr>
          <w:szCs w:val="24"/>
        </w:rPr>
        <w:t>Integrated Compliance Information System (</w:t>
      </w:r>
      <w:r w:rsidRPr="00087AC9">
        <w:rPr>
          <w:szCs w:val="24"/>
        </w:rPr>
        <w:t>ICIS</w:t>
      </w:r>
      <w:r w:rsidR="00846013">
        <w:rPr>
          <w:szCs w:val="24"/>
        </w:rPr>
        <w:t>)</w:t>
      </w:r>
      <w:r w:rsidRPr="00087AC9">
        <w:rPr>
          <w:szCs w:val="24"/>
        </w:rPr>
        <w:t xml:space="preserve"> Air database, which is operated and maintained by</w:t>
      </w:r>
      <w:r w:rsidR="007A54E4">
        <w:rPr>
          <w:szCs w:val="24"/>
        </w:rPr>
        <w:t xml:space="preserve"> the</w:t>
      </w:r>
      <w:r w:rsidRPr="00087AC9">
        <w:rPr>
          <w:szCs w:val="24"/>
        </w:rPr>
        <w:t xml:space="preserve"> EPA's Office of </w:t>
      </w:r>
      <w:r w:rsidR="002A12A7">
        <w:rPr>
          <w:szCs w:val="24"/>
        </w:rPr>
        <w:t>Enforcement and Compliance Assurance</w:t>
      </w:r>
      <w:r w:rsidRPr="00087AC9">
        <w:rPr>
          <w:szCs w:val="24"/>
        </w:rPr>
        <w:t xml:space="preserve">. ICIS </w:t>
      </w:r>
      <w:r w:rsidR="00846013">
        <w:rPr>
          <w:szCs w:val="24"/>
        </w:rPr>
        <w:t xml:space="preserve">Air </w:t>
      </w:r>
      <w:r w:rsidRPr="00087AC9">
        <w:rPr>
          <w:szCs w:val="24"/>
        </w:rPr>
        <w:t>is</w:t>
      </w:r>
      <w:r w:rsidR="00247B8B">
        <w:rPr>
          <w:szCs w:val="24"/>
        </w:rPr>
        <w:t xml:space="preserve"> the</w:t>
      </w:r>
      <w:r w:rsidRPr="00087AC9">
        <w:rPr>
          <w:szCs w:val="24"/>
        </w:rPr>
        <w:t xml:space="preserve"> EPA’s database for the collection, maintenance, and retrieval of compliance data for industrial and government-owned facilities. </w:t>
      </w:r>
      <w:r w:rsidR="00247B8B">
        <w:rPr>
          <w:szCs w:val="24"/>
        </w:rPr>
        <w:t xml:space="preserve">The </w:t>
      </w:r>
      <w:r w:rsidRPr="00087AC9">
        <w:rPr>
          <w:szCs w:val="24"/>
        </w:rPr>
        <w:t xml:space="preserve">EPA uses ICIS </w:t>
      </w:r>
      <w:r w:rsidR="00846013">
        <w:rPr>
          <w:szCs w:val="24"/>
        </w:rPr>
        <w:t xml:space="preserve">Air </w:t>
      </w:r>
      <w:r w:rsidRPr="00087AC9">
        <w:rPr>
          <w:szCs w:val="24"/>
        </w:rPr>
        <w:t xml:space="preserve">for tracking air pollution compliance and enforcement by local and state regulatory agencies, </w:t>
      </w:r>
      <w:r w:rsidR="00247B8B">
        <w:rPr>
          <w:szCs w:val="24"/>
        </w:rPr>
        <w:t xml:space="preserve">the </w:t>
      </w:r>
      <w:r w:rsidRPr="00087AC9">
        <w:rPr>
          <w:szCs w:val="24"/>
        </w:rPr>
        <w:t xml:space="preserve">EPA regional offices and </w:t>
      </w:r>
      <w:r w:rsidR="00247B8B">
        <w:rPr>
          <w:szCs w:val="24"/>
        </w:rPr>
        <w:t xml:space="preserve">the </w:t>
      </w:r>
      <w:r w:rsidRPr="00087AC9">
        <w:rPr>
          <w:szCs w:val="24"/>
        </w:rPr>
        <w:t>EPA headquarters. The EPA can edit, store, retrieve and analyze the data.</w:t>
      </w:r>
    </w:p>
    <w:p w:rsidR="00856647" w:rsidRPr="00087AC9" w:rsidP="003C6554" w14:paraId="061140BB" w14:textId="5EECEBEC">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856647" w:rsidRPr="00087AC9" w:rsidP="003C6554" w14:paraId="1D8AF2B2" w14:textId="3B0DB57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87AC9">
        <w:rPr>
          <w:szCs w:val="24"/>
        </w:rPr>
        <w:t xml:space="preserve">Several other computer systems </w:t>
      </w:r>
      <w:r w:rsidRPr="00087AC9" w:rsidR="0064257F">
        <w:rPr>
          <w:szCs w:val="24"/>
        </w:rPr>
        <w:t xml:space="preserve">and associated databases </w:t>
      </w:r>
      <w:r w:rsidRPr="00087AC9">
        <w:rPr>
          <w:szCs w:val="24"/>
        </w:rPr>
        <w:t>have been developed to manage and store data and reports collected.</w:t>
      </w:r>
      <w:r w:rsidRPr="00087AC9">
        <w:t xml:space="preserve"> </w:t>
      </w:r>
      <w:r w:rsidRPr="00087AC9">
        <w:rPr>
          <w:szCs w:val="24"/>
        </w:rPr>
        <w:t>Data collected by industry sources using emission test methods supported by the EPA’s ERT as listed on the EPA’s ERT website (https://www.epa.gov/electronic-reporting-air-emissions/electronic-reporting-tool-ert) at the time of the test can be submitted as performance test reports to</w:t>
      </w:r>
      <w:r w:rsidR="00247B8B">
        <w:rPr>
          <w:szCs w:val="24"/>
        </w:rPr>
        <w:t xml:space="preserve"> the</w:t>
      </w:r>
      <w:r w:rsidRPr="00087AC9">
        <w:rPr>
          <w:szCs w:val="24"/>
        </w:rPr>
        <w:t xml:space="preserve"> EPA via the CEDRI or </w:t>
      </w:r>
      <w:r w:rsidRPr="00087AC9" w:rsidR="0017769C">
        <w:rPr>
          <w:szCs w:val="24"/>
        </w:rPr>
        <w:t xml:space="preserve">an </w:t>
      </w:r>
      <w:r w:rsidRPr="00087AC9">
        <w:rPr>
          <w:szCs w:val="24"/>
        </w:rPr>
        <w:t>analogous electronic reporting</w:t>
      </w:r>
      <w:r w:rsidRPr="00087AC9" w:rsidR="0017769C">
        <w:rPr>
          <w:szCs w:val="24"/>
        </w:rPr>
        <w:t xml:space="preserve"> approach</w:t>
      </w:r>
      <w:r w:rsidRPr="00087AC9">
        <w:rPr>
          <w:szCs w:val="24"/>
        </w:rPr>
        <w:t xml:space="preserve">.  CEDRI can be accessed through the EPA’s CDX (https://cdx.epa.gov/). The data must be submitted in a file format generated using the EPA’s ERT. Alternatively, </w:t>
      </w:r>
      <w:r w:rsidRPr="00087AC9" w:rsidR="00736515">
        <w:rPr>
          <w:szCs w:val="24"/>
        </w:rPr>
        <w:t>a facility</w:t>
      </w:r>
      <w:r w:rsidRPr="00087AC9">
        <w:rPr>
          <w:szCs w:val="24"/>
        </w:rPr>
        <w:t xml:space="preserve"> may submit an electronic file consistent with the XML schema listed on the EPA’s ERT website.</w:t>
      </w:r>
    </w:p>
    <w:p w:rsidR="003C6554" w:rsidRPr="00087AC9" w:rsidP="003C6554" w14:paraId="21BA55A3"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3C6554" w:rsidRPr="00087AC9" w:rsidP="003C6554" w14:paraId="1D8D0F59" w14:textId="04742536">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87AC9">
        <w:rPr>
          <w:szCs w:val="24"/>
        </w:rPr>
        <w:t xml:space="preserve"> The records required by this regulation must be retained by the owner/operator for five years.</w:t>
      </w:r>
    </w:p>
    <w:p w:rsidR="003C6554" w:rsidRPr="00087AC9" w14:paraId="5A187F61"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4D1D3E" w:rsidRPr="00087AC9" w:rsidP="004D1D3E" w14:paraId="0FD45F57"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noProof/>
        </w:rPr>
        <mc:AlternateContent>
          <mc:Choice Requires="wps">
            <w:drawing>
              <wp:anchor distT="152400" distB="152400" distL="152400" distR="152400" simplePos="0" relativeHeight="251684864" behindDoc="0" locked="0" layoutInCell="1" allowOverlap="1">
                <wp:simplePos x="0" y="0"/>
                <wp:positionH relativeFrom="margin">
                  <wp:posOffset>-2286000</wp:posOffset>
                </wp:positionH>
                <wp:positionV relativeFrom="paragraph">
                  <wp:posOffset>146050</wp:posOffset>
                </wp:positionV>
                <wp:extent cx="1684020" cy="525145"/>
                <wp:effectExtent l="0" t="0" r="1905" b="0"/>
                <wp:wrapSquare wrapText="largest"/>
                <wp:docPr id="12" name="Text Box 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4020" cy="525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3AC" w:rsidP="004D1D3E" w14:paraId="5584E00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5.3</w:t>
                            </w:r>
                            <w:r>
                              <w:rPr>
                                <w:rFonts w:ascii="Arial" w:hAnsi="Arial"/>
                                <w:b/>
                              </w:rPr>
                              <w:tab/>
                            </w:r>
                            <w:r>
                              <w:rPr>
                                <w:rFonts w:ascii="Arial" w:hAnsi="Arial"/>
                                <w:b/>
                              </w:rPr>
                              <w:t>Small Entity</w:t>
                            </w:r>
                          </w:p>
                          <w:p w:rsidR="005343AC" w14:paraId="6592E8DF" w14:textId="77777777">
                            <w:r>
                              <w:rPr>
                                <w:rFonts w:ascii="Arial" w:hAnsi="Arial"/>
                                <w:b/>
                              </w:rPr>
                              <w:tab/>
                            </w:r>
                            <w:r>
                              <w:rPr>
                                <w:rFonts w:ascii="Arial" w:hAnsi="Arial"/>
                                <w:b/>
                              </w:rPr>
                              <w:t>Flexibility</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61" o:spid="_x0000_s1060" type="#_x0000_t202" style="width:132.6pt;height:41.35pt;margin-top:11.5pt;margin-left:-180pt;mso-height-percent:0;mso-height-relative:page;mso-position-horizontal-relative:margin;mso-width-percent:0;mso-width-relative:page;mso-wrap-distance-bottom:12pt;mso-wrap-distance-left:12pt;mso-wrap-distance-right:12pt;mso-wrap-distance-top:12pt;mso-wrap-style:square;position:absolute;visibility:visible;v-text-anchor:top;z-index:251685888" filled="f" stroked="f">
                <v:textbox inset="0,0,6pt,6pt">
                  <w:txbxContent>
                    <w:p w:rsidR="005343AC" w:rsidP="004D1D3E" w14:paraId="4975BA4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5.3</w:t>
                      </w:r>
                      <w:r>
                        <w:rPr>
                          <w:rFonts w:ascii="Arial" w:hAnsi="Arial"/>
                          <w:b/>
                        </w:rPr>
                        <w:tab/>
                      </w:r>
                      <w:r>
                        <w:rPr>
                          <w:rFonts w:ascii="Arial" w:hAnsi="Arial"/>
                          <w:b/>
                        </w:rPr>
                        <w:t>Small Entity</w:t>
                      </w:r>
                    </w:p>
                    <w:p w:rsidR="005343AC" w14:paraId="75937AE8" w14:textId="77777777">
                      <w:r>
                        <w:rPr>
                          <w:rFonts w:ascii="Arial" w:hAnsi="Arial"/>
                          <w:b/>
                        </w:rPr>
                        <w:tab/>
                      </w:r>
                      <w:r>
                        <w:rPr>
                          <w:rFonts w:ascii="Arial" w:hAnsi="Arial"/>
                          <w:b/>
                        </w:rPr>
                        <w:t>Flexibility</w:t>
                      </w:r>
                    </w:p>
                  </w:txbxContent>
                </v:textbox>
                <w10:wrap type="square" side="largest"/>
              </v:shape>
            </w:pict>
          </mc:Fallback>
        </mc:AlternateContent>
      </w:r>
    </w:p>
    <w:p w:rsidR="004D1D3E" w:rsidRPr="00087AC9" w:rsidP="004D1D3E" w14:paraId="615A3A29" w14:textId="55E1CCF1">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color w:val="000000"/>
        </w:rPr>
        <w:t>The Regulatory Flexibility Act (RFA) requires regulatory agencies, upon regulatory action, to assess that action</w:t>
      </w:r>
      <w:r w:rsidRPr="00087AC9" w:rsidR="00900496">
        <w:rPr>
          <w:color w:val="000000"/>
        </w:rPr>
        <w:t>’</w:t>
      </w:r>
      <w:r w:rsidRPr="00087AC9">
        <w:rPr>
          <w:color w:val="000000"/>
        </w:rPr>
        <w:t xml:space="preserve">s potential impact on small entities (businesses, governments, and small non-governmental organizations) and </w:t>
      </w:r>
      <w:r w:rsidRPr="00087AC9">
        <w:rPr>
          <w:color w:val="000000"/>
        </w:rPr>
        <w:t>report the results of the assessments in (1) an Initial Regulatory Flexibility Analysis (IRFA), (2) a Final Regulatory Flexibility Analysis (FRFA), and (3) a Certification. For ICR approval, the Agency must demonstrate that it "has taken all practicable steps to develop separate and simplified requirements for small businesses and other small entities" (5 CFR 1320.6(h)). In addition, the agenc</w:t>
      </w:r>
      <w:r w:rsidRPr="00087AC9" w:rsidR="003C1F61">
        <w:rPr>
          <w:color w:val="000000"/>
        </w:rPr>
        <w:t>y</w:t>
      </w:r>
      <w:r w:rsidRPr="00087AC9" w:rsidR="0028045F">
        <w:rPr>
          <w:color w:val="000000"/>
        </w:rPr>
        <w:t xml:space="preserve"> </w:t>
      </w:r>
      <w:r w:rsidRPr="00087AC9">
        <w:rPr>
          <w:color w:val="000000"/>
        </w:rPr>
        <w:t xml:space="preserve">must assure through various mechanisms that small entities are given an opportunity to participate in the rulemaking process. </w:t>
      </w:r>
    </w:p>
    <w:p w:rsidR="004D1D3E" w:rsidRPr="00087AC9" w:rsidP="004D1D3E" w14:paraId="5D762184"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3C42B3" w:rsidRPr="00087AC9" w:rsidP="00307666" w14:paraId="17F0B101" w14:textId="1EE149BB">
      <w:pPr>
        <w:pBdr>
          <w:top w:val="single" w:sz="6" w:space="0" w:color="FFFFFF"/>
          <w:left w:val="single" w:sz="6" w:space="0" w:color="FFFFFF"/>
          <w:bottom w:val="single" w:sz="6" w:space="0" w:color="FFFFFF"/>
          <w:right w:val="single" w:sz="6" w:space="0" w:color="FFFFFF"/>
        </w:pBdr>
      </w:pPr>
      <w:bookmarkStart w:id="2" w:name="_Hlk125486937"/>
      <w:r w:rsidRPr="00087AC9">
        <w:rPr>
          <w:color w:val="000000"/>
        </w:rPr>
        <w:t xml:space="preserve">The </w:t>
      </w:r>
      <w:r w:rsidRPr="00087AC9" w:rsidR="002773B6">
        <w:rPr>
          <w:color w:val="000000"/>
        </w:rPr>
        <w:t>E</w:t>
      </w:r>
      <w:r w:rsidRPr="00087AC9">
        <w:rPr>
          <w:color w:val="000000"/>
        </w:rPr>
        <w:t>PA determined</w:t>
      </w:r>
      <w:r w:rsidRPr="00087AC9" w:rsidR="002773B6">
        <w:rPr>
          <w:color w:val="000000"/>
        </w:rPr>
        <w:t xml:space="preserve"> </w:t>
      </w:r>
      <w:r w:rsidRPr="00087AC9">
        <w:rPr>
          <w:color w:val="000000"/>
        </w:rPr>
        <w:t>that the</w:t>
      </w:r>
      <w:r w:rsidRPr="00087AC9" w:rsidR="0028045F">
        <w:rPr>
          <w:color w:val="000000"/>
        </w:rPr>
        <w:t xml:space="preserve"> </w:t>
      </w:r>
      <w:r w:rsidR="004819E3">
        <w:rPr>
          <w:color w:val="000000"/>
        </w:rPr>
        <w:t>final</w:t>
      </w:r>
      <w:r w:rsidRPr="00087AC9" w:rsidR="0028045F">
        <w:rPr>
          <w:color w:val="000000"/>
        </w:rPr>
        <w:t xml:space="preserve"> </w:t>
      </w:r>
      <w:r w:rsidR="003E2B6C">
        <w:rPr>
          <w:color w:val="000000"/>
        </w:rPr>
        <w:t>r</w:t>
      </w:r>
      <w:r w:rsidRPr="00087AC9" w:rsidR="0028045F">
        <w:rPr>
          <w:color w:val="000000"/>
        </w:rPr>
        <w:t>ule</w:t>
      </w:r>
      <w:r w:rsidR="00306D13">
        <w:rPr>
          <w:color w:val="000000"/>
        </w:rPr>
        <w:t xml:space="preserve"> </w:t>
      </w:r>
      <w:r w:rsidRPr="00087AC9" w:rsidR="0028045F">
        <w:rPr>
          <w:color w:val="000000"/>
        </w:rPr>
        <w:t>did not have a significant economic impact on a substantial number of small entitie</w:t>
      </w:r>
      <w:r w:rsidRPr="00087AC9" w:rsidR="00477B03">
        <w:rPr>
          <w:color w:val="000000"/>
        </w:rPr>
        <w:t xml:space="preserve">s. The Agency estimates </w:t>
      </w:r>
      <w:r w:rsidRPr="00ED5196" w:rsidR="00477B03">
        <w:rPr>
          <w:color w:val="000000"/>
        </w:rPr>
        <w:t xml:space="preserve">that </w:t>
      </w:r>
      <w:r w:rsidR="00ED5196">
        <w:rPr>
          <w:color w:val="000000"/>
        </w:rPr>
        <w:t>seven</w:t>
      </w:r>
      <w:r w:rsidRPr="00ED5196" w:rsidR="00477B03">
        <w:rPr>
          <w:color w:val="000000"/>
        </w:rPr>
        <w:t xml:space="preserve"> percent of the non-EGU industry sector</w:t>
      </w:r>
      <w:r w:rsidRPr="00087AC9" w:rsidR="00477B03">
        <w:rPr>
          <w:color w:val="000000"/>
        </w:rPr>
        <w:t xml:space="preserve"> parent companies </w:t>
      </w:r>
      <w:r w:rsidR="0067569C">
        <w:rPr>
          <w:color w:val="000000"/>
        </w:rPr>
        <w:t xml:space="preserve">that own facilities </w:t>
      </w:r>
      <w:r w:rsidRPr="00087AC9" w:rsidR="00477B03">
        <w:rPr>
          <w:color w:val="000000"/>
        </w:rPr>
        <w:t xml:space="preserve">affected by this </w:t>
      </w:r>
      <w:r w:rsidR="004819E3">
        <w:rPr>
          <w:color w:val="000000"/>
        </w:rPr>
        <w:t>final</w:t>
      </w:r>
      <w:r w:rsidRPr="00087AC9" w:rsidR="00477B03">
        <w:rPr>
          <w:color w:val="000000"/>
        </w:rPr>
        <w:t xml:space="preserve"> action are small entities as defined by the Small Business Administration.</w:t>
      </w:r>
      <w:r w:rsidRPr="00087AC9" w:rsidR="00126318">
        <w:t xml:space="preserve"> More information on small entity impacts is available in the Regulatory Impact Analysis for this </w:t>
      </w:r>
      <w:r w:rsidR="003E2B6C">
        <w:t>final rule</w:t>
      </w:r>
      <w:r w:rsidRPr="00087AC9" w:rsidR="00126318">
        <w:t>.</w:t>
      </w:r>
    </w:p>
    <w:bookmarkEnd w:id="2"/>
    <w:p w:rsidR="00126318" w:rsidRPr="00087AC9" w:rsidP="00126318" w14:paraId="0CD5D72B" w14:textId="77777777">
      <w:pPr>
        <w:pBdr>
          <w:top w:val="single" w:sz="6" w:space="0" w:color="FFFFFF"/>
          <w:left w:val="single" w:sz="6" w:space="0" w:color="FFFFFF"/>
          <w:bottom w:val="single" w:sz="6" w:space="0" w:color="FFFFFF"/>
          <w:right w:val="single" w:sz="6" w:space="0" w:color="FFFFFF"/>
        </w:pBdr>
        <w:ind w:firstLine="720"/>
      </w:pPr>
    </w:p>
    <w:p w:rsidR="00126318" w:rsidRPr="00087AC9" w:rsidP="00307666" w14:paraId="245084A7" w14:textId="31937A82">
      <w:pPr>
        <w:pBdr>
          <w:top w:val="single" w:sz="6" w:space="0" w:color="FFFFFF"/>
          <w:left w:val="single" w:sz="6" w:space="0" w:color="FFFFFF"/>
          <w:bottom w:val="single" w:sz="6" w:space="0" w:color="FFFFFF"/>
          <w:right w:val="single" w:sz="6" w:space="0" w:color="FFFFFF"/>
        </w:pBdr>
        <w:rPr>
          <w:rFonts w:cs="Courier New"/>
        </w:rPr>
      </w:pPr>
      <w:r w:rsidRPr="00087AC9">
        <w:rPr>
          <w:rFonts w:cs="Courier New"/>
        </w:rPr>
        <w:t xml:space="preserve">The </w:t>
      </w:r>
      <w:r w:rsidR="004819E3">
        <w:rPr>
          <w:rFonts w:cs="Courier New"/>
        </w:rPr>
        <w:t>final</w:t>
      </w:r>
      <w:r w:rsidRPr="00087AC9">
        <w:rPr>
          <w:rFonts w:cs="Courier New"/>
        </w:rPr>
        <w:t xml:space="preserve"> </w:t>
      </w:r>
      <w:r w:rsidR="003E2B6C">
        <w:rPr>
          <w:rFonts w:cs="Courier New"/>
        </w:rPr>
        <w:t>r</w:t>
      </w:r>
      <w:r w:rsidRPr="00087AC9">
        <w:rPr>
          <w:rFonts w:cs="Courier New"/>
        </w:rPr>
        <w:t>ule does contain several provisions that reduce the impact on certain non-EGU industry regulated entities, which include</w:t>
      </w:r>
      <w:r w:rsidRPr="00087AC9" w:rsidR="00E35D18">
        <w:rPr>
          <w:rFonts w:cs="Courier New"/>
        </w:rPr>
        <w:t>s</w:t>
      </w:r>
      <w:r w:rsidRPr="00087AC9">
        <w:rPr>
          <w:rFonts w:cs="Courier New"/>
        </w:rPr>
        <w:t xml:space="preserve"> </w:t>
      </w:r>
      <w:r w:rsidRPr="00087AC9" w:rsidR="00E35D18">
        <w:rPr>
          <w:rFonts w:cs="Courier New"/>
        </w:rPr>
        <w:t>certain</w:t>
      </w:r>
      <w:r w:rsidRPr="00087AC9">
        <w:rPr>
          <w:rFonts w:cs="Courier New"/>
        </w:rPr>
        <w:t xml:space="preserve"> small entities. For instance,</w:t>
      </w:r>
      <w:r w:rsidRPr="00087AC9" w:rsidR="00E35D18">
        <w:rPr>
          <w:rFonts w:cs="Courier New"/>
        </w:rPr>
        <w:t xml:space="preserve"> an approved alternative monitoring procedure can be </w:t>
      </w:r>
      <w:r w:rsidR="00F8425D">
        <w:rPr>
          <w:rFonts w:cs="Courier New"/>
        </w:rPr>
        <w:t xml:space="preserve">used </w:t>
      </w:r>
      <w:r w:rsidRPr="00087AC9">
        <w:rPr>
          <w:rFonts w:cs="Courier New"/>
        </w:rPr>
        <w:t xml:space="preserve">instead of </w:t>
      </w:r>
      <w:r w:rsidRPr="00087AC9" w:rsidR="00E35D18">
        <w:rPr>
          <w:rFonts w:cs="Courier New"/>
        </w:rPr>
        <w:t xml:space="preserve">a </w:t>
      </w:r>
      <w:r w:rsidRPr="00087AC9">
        <w:rPr>
          <w:rFonts w:cs="Courier New"/>
        </w:rPr>
        <w:t>CEMS</w:t>
      </w:r>
      <w:r w:rsidRPr="00087AC9" w:rsidR="00E35D18">
        <w:rPr>
          <w:rFonts w:cs="Courier New"/>
        </w:rPr>
        <w:t xml:space="preserve"> for </w:t>
      </w:r>
      <w:r w:rsidR="00F8425D">
        <w:rPr>
          <w:rFonts w:cs="Courier New"/>
        </w:rPr>
        <w:t>most non-EGU</w:t>
      </w:r>
      <w:r w:rsidRPr="00087AC9" w:rsidR="00E35D18">
        <w:rPr>
          <w:rFonts w:cs="Courier New"/>
        </w:rPr>
        <w:t xml:space="preserve"> industry sectors.</w:t>
      </w:r>
    </w:p>
    <w:p w:rsidR="00126318" w:rsidRPr="00087AC9" w:rsidP="00126318" w14:paraId="29ECDAEC" w14:textId="7E975A82">
      <w:pPr>
        <w:pBdr>
          <w:top w:val="single" w:sz="6" w:space="0" w:color="FFFFFF"/>
          <w:left w:val="single" w:sz="6" w:space="0" w:color="FFFFFF"/>
          <w:bottom w:val="single" w:sz="6" w:space="0" w:color="FFFFFF"/>
          <w:right w:val="single" w:sz="6" w:space="0" w:color="FFFFFF"/>
        </w:pBdr>
        <w:ind w:firstLine="720"/>
      </w:pPr>
    </w:p>
    <w:p w:rsidR="00126318" w:rsidRPr="00A05A2A" w:rsidP="00307666" w14:paraId="0F783812" w14:textId="4588B450">
      <w:pPr>
        <w:pBdr>
          <w:top w:val="single" w:sz="6" w:space="0" w:color="FFFFFF"/>
          <w:left w:val="single" w:sz="6" w:space="0" w:color="FFFFFF"/>
          <w:bottom w:val="single" w:sz="6" w:space="0" w:color="FFFFFF"/>
          <w:right w:val="single" w:sz="6" w:space="0" w:color="FFFFFF"/>
        </w:pBdr>
      </w:pPr>
      <w:r>
        <w:t>Because of</w:t>
      </w:r>
      <w:r w:rsidRPr="00087AC9">
        <w:t xml:space="preserve">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w:t>
      </w:r>
      <w:r w:rsidRPr="00A05A2A">
        <w:t>the extent that larger businesses can use economies of scale to reduce their burden, the overall burden will be reduced.</w:t>
      </w:r>
    </w:p>
    <w:p w:rsidR="004D1D3E" w:rsidRPr="00A05A2A" w14:paraId="07C323FF"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13179B" w:rsidRPr="00087AC9" w:rsidP="0013179B" w14:paraId="06277FCE" w14:textId="5066C13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A05A2A">
        <w:rPr>
          <w:noProof/>
        </w:rPr>
        <mc:AlternateContent>
          <mc:Choice Requires="wps">
            <w:drawing>
              <wp:anchor distT="152400" distB="152400" distL="152400" distR="152400" simplePos="0" relativeHeight="251682816" behindDoc="0" locked="0" layoutInCell="1" allowOverlap="1">
                <wp:simplePos x="0" y="0"/>
                <wp:positionH relativeFrom="margin">
                  <wp:posOffset>-2286000</wp:posOffset>
                </wp:positionH>
                <wp:positionV relativeFrom="paragraph">
                  <wp:posOffset>24765</wp:posOffset>
                </wp:positionV>
                <wp:extent cx="1684020" cy="525145"/>
                <wp:effectExtent l="0" t="2540" r="1905" b="0"/>
                <wp:wrapSquare wrapText="largest"/>
                <wp:docPr id="11" name="Text Box 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4020" cy="525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3AC" w:rsidP="004D1D3E" w14:paraId="2746F24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5.4</w:t>
                            </w:r>
                            <w:r>
                              <w:rPr>
                                <w:rFonts w:ascii="Arial" w:hAnsi="Arial"/>
                                <w:b/>
                              </w:rPr>
                              <w:tab/>
                            </w:r>
                            <w:r>
                              <w:rPr>
                                <w:rFonts w:ascii="Arial" w:hAnsi="Arial"/>
                                <w:b/>
                              </w:rPr>
                              <w:t>Collection</w:t>
                            </w:r>
                          </w:p>
                          <w:p w:rsidR="005343AC" w14:paraId="67C92E76" w14:textId="77777777">
                            <w:r>
                              <w:rPr>
                                <w:rFonts w:ascii="Arial" w:hAnsi="Arial"/>
                                <w:b/>
                              </w:rPr>
                              <w:tab/>
                            </w:r>
                            <w:r>
                              <w:rPr>
                                <w:rFonts w:ascii="Arial" w:hAnsi="Arial"/>
                                <w:b/>
                              </w:rPr>
                              <w:t>Schedule</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60" o:spid="_x0000_s1061" type="#_x0000_t202" style="width:132.6pt;height:41.35pt;margin-top:1.95pt;margin-left:-180pt;mso-height-percent:0;mso-height-relative:page;mso-position-horizontal-relative:margin;mso-width-percent:0;mso-width-relative:page;mso-wrap-distance-bottom:12pt;mso-wrap-distance-left:12pt;mso-wrap-distance-right:12pt;mso-wrap-distance-top:12pt;mso-wrap-style:square;position:absolute;visibility:visible;v-text-anchor:top;z-index:251683840" filled="f" stroked="f">
                <v:textbox inset="0,0,6pt,6pt">
                  <w:txbxContent>
                    <w:p w:rsidR="005343AC" w:rsidP="004D1D3E" w14:paraId="2E5A257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36" w:lineRule="exact"/>
                        <w:rPr>
                          <w:rFonts w:ascii="Arial" w:hAnsi="Arial"/>
                          <w:b/>
                        </w:rPr>
                      </w:pPr>
                      <w:r>
                        <w:rPr>
                          <w:rFonts w:ascii="Arial" w:hAnsi="Arial"/>
                          <w:b/>
                        </w:rPr>
                        <w:t>5.4</w:t>
                      </w:r>
                      <w:r>
                        <w:rPr>
                          <w:rFonts w:ascii="Arial" w:hAnsi="Arial"/>
                          <w:b/>
                        </w:rPr>
                        <w:tab/>
                      </w:r>
                      <w:r>
                        <w:rPr>
                          <w:rFonts w:ascii="Arial" w:hAnsi="Arial"/>
                          <w:b/>
                        </w:rPr>
                        <w:t>Collection</w:t>
                      </w:r>
                    </w:p>
                    <w:p w:rsidR="005343AC" w14:paraId="57EA3EE1" w14:textId="77777777">
                      <w:r>
                        <w:rPr>
                          <w:rFonts w:ascii="Arial" w:hAnsi="Arial"/>
                          <w:b/>
                        </w:rPr>
                        <w:tab/>
                      </w:r>
                      <w:r>
                        <w:rPr>
                          <w:rFonts w:ascii="Arial" w:hAnsi="Arial"/>
                          <w:b/>
                        </w:rPr>
                        <w:t>Schedule</w:t>
                      </w:r>
                    </w:p>
                  </w:txbxContent>
                </v:textbox>
                <w10:wrap type="square" side="largest"/>
              </v:shape>
            </w:pict>
          </mc:Fallback>
        </mc:AlternateContent>
      </w:r>
      <w:r w:rsidRPr="00A05A2A" w:rsidR="0013179B">
        <w:rPr>
          <w:color w:val="000000"/>
        </w:rPr>
        <w:t>The specific frequency for each information collection activity within this request is shown at the end of this document in the Tables 1 – 3:  Annual Respondent Burden and Cost – Pipeline Transportation of Natural Gas, Year</w:t>
      </w:r>
      <w:r w:rsidR="000C0888">
        <w:rPr>
          <w:color w:val="000000"/>
        </w:rPr>
        <w:t>s</w:t>
      </w:r>
      <w:r w:rsidRPr="00A05A2A" w:rsidR="0013179B">
        <w:rPr>
          <w:color w:val="000000"/>
        </w:rPr>
        <w:t xml:space="preserve"> 1</w:t>
      </w:r>
      <w:r w:rsidRPr="00A05A2A" w:rsidR="00B33845">
        <w:rPr>
          <w:color w:val="000000"/>
        </w:rPr>
        <w:t xml:space="preserve"> through 3, </w:t>
      </w:r>
      <w:r w:rsidRPr="00A05A2A" w:rsidR="00865747">
        <w:rPr>
          <w:color w:val="000000"/>
        </w:rPr>
        <w:t>Table</w:t>
      </w:r>
      <w:r w:rsidR="000C0888">
        <w:rPr>
          <w:color w:val="000000"/>
        </w:rPr>
        <w:t>s</w:t>
      </w:r>
      <w:r w:rsidRPr="00A05A2A" w:rsidR="00865747">
        <w:rPr>
          <w:color w:val="000000"/>
        </w:rPr>
        <w:t xml:space="preserve"> 4</w:t>
      </w:r>
      <w:r w:rsidR="000C0888">
        <w:rPr>
          <w:color w:val="000000"/>
        </w:rPr>
        <w:t xml:space="preserve"> -</w:t>
      </w:r>
      <w:r w:rsidR="006F131E">
        <w:rPr>
          <w:color w:val="000000"/>
        </w:rPr>
        <w:t xml:space="preserve"> </w:t>
      </w:r>
      <w:r w:rsidR="000C0888">
        <w:rPr>
          <w:color w:val="000000"/>
        </w:rPr>
        <w:t>6</w:t>
      </w:r>
      <w:r w:rsidRPr="00A05A2A" w:rsidR="00865747">
        <w:rPr>
          <w:color w:val="000000"/>
        </w:rPr>
        <w:t xml:space="preserve">: Annual Respondent Burden and Cost - Cement and Concrete Product Manufacturing, </w:t>
      </w:r>
      <w:r w:rsidR="000C0888">
        <w:rPr>
          <w:color w:val="000000"/>
        </w:rPr>
        <w:t xml:space="preserve">Years 1 through 3, </w:t>
      </w:r>
      <w:r w:rsidRPr="00A05A2A" w:rsidR="00865747">
        <w:rPr>
          <w:color w:val="000000"/>
        </w:rPr>
        <w:t xml:space="preserve">Table </w:t>
      </w:r>
      <w:r w:rsidR="000C0888">
        <w:rPr>
          <w:color w:val="000000"/>
        </w:rPr>
        <w:t>7</w:t>
      </w:r>
      <w:r w:rsidRPr="00A05A2A" w:rsidR="00865747">
        <w:rPr>
          <w:color w:val="000000"/>
        </w:rPr>
        <w:t>-</w:t>
      </w:r>
      <w:r w:rsidR="000C0888">
        <w:rPr>
          <w:color w:val="000000"/>
        </w:rPr>
        <w:t>9</w:t>
      </w:r>
      <w:r w:rsidRPr="00A05A2A" w:rsidR="00865747">
        <w:rPr>
          <w:color w:val="000000"/>
        </w:rPr>
        <w:t>:  Annual Respondent Burden and Cost – Iron and Steel Mills and Ferroalloy Manufacturing, Year</w:t>
      </w:r>
      <w:r w:rsidR="000C0888">
        <w:rPr>
          <w:color w:val="000000"/>
        </w:rPr>
        <w:t>s</w:t>
      </w:r>
      <w:r w:rsidRPr="00A05A2A" w:rsidR="00865747">
        <w:rPr>
          <w:color w:val="000000"/>
        </w:rPr>
        <w:t xml:space="preserve"> 1 through 3, Table</w:t>
      </w:r>
      <w:r w:rsidR="000C0888">
        <w:rPr>
          <w:color w:val="000000"/>
        </w:rPr>
        <w:t>s</w:t>
      </w:r>
      <w:r w:rsidRPr="00A05A2A" w:rsidR="00865747">
        <w:rPr>
          <w:color w:val="000000"/>
        </w:rPr>
        <w:t xml:space="preserve"> </w:t>
      </w:r>
      <w:r w:rsidR="000C0888">
        <w:rPr>
          <w:color w:val="000000"/>
        </w:rPr>
        <w:t>10 - 12</w:t>
      </w:r>
      <w:r w:rsidRPr="00A05A2A" w:rsidR="00865747">
        <w:rPr>
          <w:color w:val="000000"/>
        </w:rPr>
        <w:t xml:space="preserve">:  Annual Respondent Burden and Cost – Glass and Glass Product Manufacturing, </w:t>
      </w:r>
      <w:r w:rsidR="000C0888">
        <w:rPr>
          <w:color w:val="000000"/>
        </w:rPr>
        <w:t>Years 1 through 3</w:t>
      </w:r>
      <w:r w:rsidR="00B97E44">
        <w:rPr>
          <w:color w:val="000000"/>
        </w:rPr>
        <w:t xml:space="preserve">, </w:t>
      </w:r>
      <w:r w:rsidRPr="00A05A2A" w:rsidR="00865747">
        <w:rPr>
          <w:color w:val="000000"/>
        </w:rPr>
        <w:t>Table</w:t>
      </w:r>
      <w:r w:rsidR="00B97E44">
        <w:rPr>
          <w:color w:val="000000"/>
        </w:rPr>
        <w:t>s</w:t>
      </w:r>
      <w:r w:rsidRPr="00A05A2A" w:rsidR="00865747">
        <w:rPr>
          <w:color w:val="000000"/>
        </w:rPr>
        <w:t xml:space="preserve"> </w:t>
      </w:r>
      <w:r w:rsidR="00B97E44">
        <w:rPr>
          <w:color w:val="000000"/>
        </w:rPr>
        <w:t xml:space="preserve">13 </w:t>
      </w:r>
      <w:r w:rsidRPr="00A05A2A" w:rsidR="00865747">
        <w:rPr>
          <w:color w:val="000000"/>
        </w:rPr>
        <w:t>-</w:t>
      </w:r>
      <w:r w:rsidR="00B97E44">
        <w:rPr>
          <w:color w:val="000000"/>
        </w:rPr>
        <w:t xml:space="preserve"> </w:t>
      </w:r>
      <w:r w:rsidRPr="00A05A2A" w:rsidR="00865747">
        <w:rPr>
          <w:color w:val="000000"/>
        </w:rPr>
        <w:t>1</w:t>
      </w:r>
      <w:r w:rsidR="00B97E44">
        <w:rPr>
          <w:color w:val="000000"/>
        </w:rPr>
        <w:t>5</w:t>
      </w:r>
      <w:r w:rsidRPr="00A05A2A" w:rsidR="00865747">
        <w:rPr>
          <w:color w:val="000000"/>
        </w:rPr>
        <w:t xml:space="preserve">:  Annual Respondent Burden and Cost – Basic Chemical Manufacturing, Petroleum and Coal Products Manufacturing, </w:t>
      </w:r>
      <w:r w:rsidR="00012359">
        <w:rPr>
          <w:color w:val="000000"/>
        </w:rPr>
        <w:t xml:space="preserve">Metal Ore Mining </w:t>
      </w:r>
      <w:r w:rsidRPr="00A05A2A" w:rsidR="00865747">
        <w:rPr>
          <w:color w:val="000000"/>
        </w:rPr>
        <w:t>and Pulp, Paper, and Paperboard Mills, Year</w:t>
      </w:r>
      <w:r w:rsidR="00B97E44">
        <w:rPr>
          <w:color w:val="000000"/>
        </w:rPr>
        <w:t>s</w:t>
      </w:r>
      <w:r w:rsidRPr="00A05A2A" w:rsidR="00865747">
        <w:rPr>
          <w:color w:val="000000"/>
        </w:rPr>
        <w:t xml:space="preserve"> 1 through </w:t>
      </w:r>
      <w:r w:rsidR="00B97E44">
        <w:rPr>
          <w:color w:val="000000"/>
        </w:rPr>
        <w:t>3, and Tables 16 – 18:  Annual Respondent Burden and Cost – Solid Waste Combustors and Incinerators, Years 1 through 3.</w:t>
      </w:r>
    </w:p>
    <w:p w:rsidR="008869EA" w:rsidRPr="00087AC9" w14:paraId="1FBB4134"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color w:val="000000"/>
        </w:rPr>
        <w:br w:type="page"/>
      </w:r>
    </w:p>
    <w:p w:rsidR="008869EA" w:rsidRPr="00087AC9" w14:paraId="6DC12794"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 w:lineRule="exact"/>
        <w:rPr>
          <w:color w:val="000000"/>
        </w:rPr>
      </w:pPr>
      <w:r w:rsidRPr="00087AC9">
        <w:rPr>
          <w:noProof/>
        </w:rPr>
        <mc:AlternateContent>
          <mc:Choice Requires="wps">
            <w:drawing>
              <wp:anchor distT="152400" distB="152400" distL="152400" distR="152400" simplePos="0" relativeHeight="251670528" behindDoc="0" locked="0" layoutInCell="1" allowOverlap="1">
                <wp:simplePos x="0" y="0"/>
                <wp:positionH relativeFrom="margin">
                  <wp:posOffset>-2286000</wp:posOffset>
                </wp:positionH>
                <wp:positionV relativeFrom="paragraph">
                  <wp:posOffset>-423545</wp:posOffset>
                </wp:positionV>
                <wp:extent cx="6062345" cy="277495"/>
                <wp:effectExtent l="0" t="0" r="0" b="635"/>
                <wp:wrapSquare wrapText="largest"/>
                <wp:docPr id="10"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62345" cy="2774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3AC" w14:paraId="5479EA7E" w14:textId="77777777">
                            <w:r>
                              <w:rPr>
                                <w:rFonts w:ascii="Arial" w:hAnsi="Arial"/>
                                <w:b/>
                              </w:rPr>
                              <w:t>6</w:t>
                            </w:r>
                            <w:r>
                              <w:rPr>
                                <w:rFonts w:ascii="Arial" w:hAnsi="Arial"/>
                                <w:b/>
                              </w:rPr>
                              <w:tab/>
                            </w:r>
                            <w:r>
                              <w:rPr>
                                <w:rFonts w:ascii="Arial" w:hAnsi="Arial"/>
                                <w:b/>
                              </w:rPr>
                              <w:t>Estimating the Burden and Cost of the Collection</w:t>
                            </w:r>
                          </w:p>
                        </w:txbxContent>
                      </wps:txbx>
                      <wps:bodyPr rot="0" vert="horz" wrap="square" lIns="0" tIns="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34" o:spid="_x0000_s1062" type="#_x0000_t202" style="width:477.35pt;height:21.85pt;margin-top:-33.35pt;margin-left:-180pt;mso-height-percent:0;mso-height-relative:page;mso-position-horizontal-relative:margin;mso-width-percent:0;mso-width-relative:page;mso-wrap-distance-bottom:12pt;mso-wrap-distance-left:12pt;mso-wrap-distance-right:12pt;mso-wrap-distance-top:12pt;mso-wrap-style:square;position:absolute;visibility:visible;v-text-anchor:top;z-index:251671552" filled="f" stroked="f">
                <v:textbox inset="0,0,6pt,6pt">
                  <w:txbxContent>
                    <w:p w:rsidR="005343AC" w14:paraId="3BA1BBB8" w14:textId="77777777">
                      <w:r>
                        <w:rPr>
                          <w:rFonts w:ascii="Arial" w:hAnsi="Arial"/>
                          <w:b/>
                        </w:rPr>
                        <w:t>6</w:t>
                      </w:r>
                      <w:r>
                        <w:rPr>
                          <w:rFonts w:ascii="Arial" w:hAnsi="Arial"/>
                          <w:b/>
                        </w:rPr>
                        <w:tab/>
                      </w:r>
                      <w:r>
                        <w:rPr>
                          <w:rFonts w:ascii="Arial" w:hAnsi="Arial"/>
                          <w:b/>
                        </w:rPr>
                        <w:t>Estimating the Burden and Cost of the Collection</w:t>
                      </w:r>
                    </w:p>
                  </w:txbxContent>
                </v:textbox>
                <w10:wrap type="square" side="largest"/>
              </v:shape>
            </w:pict>
          </mc:Fallback>
        </mc:AlternateContent>
      </w:r>
    </w:p>
    <w:p w:rsidR="00663F71" w:rsidRPr="00087AC9" w14:paraId="2A20D9C3"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663F71" w:rsidRPr="00087AC9" w14:paraId="494EC8E2" w14:textId="70FDDB38">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663F71" w:rsidRPr="00087AC9" w14:paraId="6E7D6508" w14:textId="55CFD486">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noProof/>
          <w:color w:val="000000"/>
        </w:rPr>
        <mc:AlternateContent>
          <mc:Choice Requires="wps">
            <w:drawing>
              <wp:anchor distT="0" distB="0" distL="114300" distR="114300" simplePos="0" relativeHeight="251752448" behindDoc="0" locked="0" layoutInCell="1" allowOverlap="1">
                <wp:simplePos x="0" y="0"/>
                <wp:positionH relativeFrom="margin">
                  <wp:posOffset>-2275515</wp:posOffset>
                </wp:positionH>
                <wp:positionV relativeFrom="paragraph">
                  <wp:posOffset>222103</wp:posOffset>
                </wp:positionV>
                <wp:extent cx="1899920" cy="659219"/>
                <wp:effectExtent l="0" t="0" r="0" b="7620"/>
                <wp:wrapNone/>
                <wp:docPr id="51" name="Text Box 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99920" cy="65921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3AC" w:rsidRPr="009B4422" w:rsidP="004109E3" w14:paraId="1391C48E" w14:textId="166A96B6">
                            <w:pPr>
                              <w:ind w:left="720" w:hanging="720"/>
                              <w:rPr>
                                <w:rFonts w:ascii="Arial" w:hAnsi="Arial" w:cs="Arial"/>
                                <w:b/>
                              </w:rPr>
                            </w:pPr>
                            <w:r>
                              <w:rPr>
                                <w:rFonts w:ascii="Arial" w:hAnsi="Arial" w:cs="Arial"/>
                                <w:b/>
                              </w:rPr>
                              <w:t>6.1</w:t>
                            </w:r>
                            <w:r w:rsidRPr="009B4422">
                              <w:rPr>
                                <w:rFonts w:ascii="Arial" w:hAnsi="Arial" w:cs="Arial"/>
                                <w:b/>
                              </w:rPr>
                              <w:tab/>
                            </w:r>
                            <w:r w:rsidRPr="009B4422">
                              <w:rPr>
                                <w:rFonts w:ascii="Arial" w:hAnsi="Arial" w:cs="Arial"/>
                                <w:b/>
                              </w:rPr>
                              <w:t>Estimating Respondent</w:t>
                            </w:r>
                            <w:r>
                              <w:rPr>
                                <w:rFonts w:ascii="Arial" w:hAnsi="Arial" w:cs="Arial"/>
                                <w:b/>
                              </w:rPr>
                              <w:t xml:space="preserve"> Burden</w:t>
                            </w:r>
                          </w:p>
                        </w:txbxContent>
                      </wps:txbx>
                      <wps:bodyPr rot="0" vert="horz" wrap="square" lIns="0" tIns="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1" o:spid="_x0000_s1063" type="#_x0000_t202" style="width:149.6pt;height:51.9pt;margin-top:17.5pt;margin-left:-179.15pt;mso-height-percent:0;mso-height-relative:page;mso-position-horizontal-relative:margin;mso-width-percent:0;mso-width-relative:page;mso-wrap-distance-bottom:0;mso-wrap-distance-left:9pt;mso-wrap-distance-right:9pt;mso-wrap-distance-top:0;mso-wrap-style:square;position:absolute;visibility:visible;v-text-anchor:top;z-index:251753472" filled="f" stroked="f">
                <v:textbox inset="0,0">
                  <w:txbxContent>
                    <w:p w:rsidR="005343AC" w:rsidRPr="009B4422" w:rsidP="004109E3" w14:paraId="36F9D2AE" w14:textId="166A96B6">
                      <w:pPr>
                        <w:ind w:left="720" w:hanging="720"/>
                        <w:rPr>
                          <w:rFonts w:ascii="Arial" w:hAnsi="Arial" w:cs="Arial"/>
                          <w:b/>
                        </w:rPr>
                      </w:pPr>
                      <w:r>
                        <w:rPr>
                          <w:rFonts w:ascii="Arial" w:hAnsi="Arial" w:cs="Arial"/>
                          <w:b/>
                        </w:rPr>
                        <w:t>6.1</w:t>
                      </w:r>
                      <w:r w:rsidRPr="009B4422">
                        <w:rPr>
                          <w:rFonts w:ascii="Arial" w:hAnsi="Arial" w:cs="Arial"/>
                          <w:b/>
                        </w:rPr>
                        <w:tab/>
                      </w:r>
                      <w:r w:rsidRPr="009B4422">
                        <w:rPr>
                          <w:rFonts w:ascii="Arial" w:hAnsi="Arial" w:cs="Arial"/>
                          <w:b/>
                        </w:rPr>
                        <w:t>Estimating Respondent</w:t>
                      </w:r>
                      <w:r>
                        <w:rPr>
                          <w:rFonts w:ascii="Arial" w:hAnsi="Arial" w:cs="Arial"/>
                          <w:b/>
                        </w:rPr>
                        <w:t xml:space="preserve"> Burden</w:t>
                      </w:r>
                    </w:p>
                  </w:txbxContent>
                </v:textbox>
                <w10:wrap anchorx="margin"/>
              </v:shape>
            </w:pict>
          </mc:Fallback>
        </mc:AlternateContent>
      </w:r>
    </w:p>
    <w:p w:rsidR="00E82522" w:rsidRPr="00087AC9" w14:paraId="261841BE" w14:textId="287A3116">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color w:val="000000"/>
        </w:rPr>
        <w:t>Burden means the total time, effort, o</w:t>
      </w:r>
      <w:r w:rsidRPr="00087AC9" w:rsidR="00A1358A">
        <w:rPr>
          <w:color w:val="000000"/>
        </w:rPr>
        <w:t>r</w:t>
      </w:r>
      <w:r w:rsidRPr="00087AC9">
        <w:rPr>
          <w:color w:val="000000"/>
        </w:rPr>
        <w:t xml:space="preserve"> financial resources expended by person</w:t>
      </w:r>
      <w:r w:rsidRPr="00087AC9" w:rsidR="00736382">
        <w:rPr>
          <w:color w:val="000000"/>
        </w:rPr>
        <w:t>s</w:t>
      </w:r>
      <w:r w:rsidRPr="00087AC9">
        <w:rPr>
          <w:color w:val="000000"/>
        </w:rPr>
        <w:t xml:space="preserve"> to generate, maintain, retain, disclose</w:t>
      </w:r>
      <w:r w:rsidR="006F131E">
        <w:rPr>
          <w:color w:val="000000"/>
        </w:rPr>
        <w:t>,</w:t>
      </w:r>
      <w:r w:rsidRPr="00087AC9">
        <w:rPr>
          <w:color w:val="000000"/>
        </w:rPr>
        <w:t xml:space="preserve"> or p</w:t>
      </w:r>
      <w:r w:rsidRPr="00087AC9" w:rsidR="0050637A">
        <w:rPr>
          <w:color w:val="000000"/>
        </w:rPr>
        <w:t>rovide information to or for a f</w:t>
      </w:r>
      <w:r w:rsidRPr="00087AC9">
        <w:rPr>
          <w:color w:val="000000"/>
        </w:rPr>
        <w:t>ederal agency. This include</w:t>
      </w:r>
      <w:r w:rsidRPr="00087AC9" w:rsidR="008E0BF3">
        <w:rPr>
          <w:color w:val="000000"/>
        </w:rPr>
        <w:t>s</w:t>
      </w:r>
      <w:r w:rsidRPr="00087AC9">
        <w:rPr>
          <w:color w:val="000000"/>
        </w:rPr>
        <w:t xml:space="preserve"> the time needed to review instructions; develop, acquire, install, and utilize technology and systems for the purposes of collecting, validating, and verifying information, </w:t>
      </w:r>
      <w:r w:rsidRPr="00087AC9">
        <w:rPr>
          <w:color w:val="000000"/>
        </w:rPr>
        <w:t>processing</w:t>
      </w:r>
      <w:r w:rsidRPr="00087AC9">
        <w:rPr>
          <w:color w:val="000000"/>
        </w:rPr>
        <w:t xml:space="preserve"> and maintaining information, and disclosing and providing information; adjust the ways to comply with any </w:t>
      </w:r>
      <w:r w:rsidRPr="00087AC9" w:rsidR="00AE0AC1">
        <w:rPr>
          <w:color w:val="000000"/>
        </w:rPr>
        <w:t>previously</w:t>
      </w:r>
      <w:r w:rsidRPr="00087AC9">
        <w:rPr>
          <w:color w:val="000000"/>
        </w:rPr>
        <w:t xml:space="preserve"> applicable instructions and requirements; train personnel to be able to respond to a collection of information; and transmit or otherwise disclose the information. The burden estimate should be composed of (1) </w:t>
      </w:r>
      <w:r w:rsidRPr="00087AC9" w:rsidR="00A1358A">
        <w:rPr>
          <w:color w:val="000000"/>
        </w:rPr>
        <w:t xml:space="preserve">the </w:t>
      </w:r>
      <w:r w:rsidRPr="00087AC9">
        <w:rPr>
          <w:color w:val="000000"/>
        </w:rPr>
        <w:t xml:space="preserve">total capital and start-up cost component annualized over its useful life; (2) </w:t>
      </w:r>
      <w:r w:rsidRPr="00087AC9" w:rsidR="00A1358A">
        <w:rPr>
          <w:color w:val="000000"/>
        </w:rPr>
        <w:t xml:space="preserve">the </w:t>
      </w:r>
      <w:r w:rsidRPr="00087AC9">
        <w:rPr>
          <w:color w:val="000000"/>
        </w:rPr>
        <w:t>total operation, maintenance</w:t>
      </w:r>
      <w:r w:rsidR="006F131E">
        <w:rPr>
          <w:color w:val="000000"/>
        </w:rPr>
        <w:t>,</w:t>
      </w:r>
      <w:r w:rsidRPr="00087AC9">
        <w:rPr>
          <w:color w:val="000000"/>
        </w:rPr>
        <w:t xml:space="preserve"> and purchases of services component. Each component should be divided into burden borne directly by the respondent and any services that are contracted out.</w:t>
      </w:r>
    </w:p>
    <w:p w:rsidR="003D30E3" w:rsidRPr="00087AC9" w14:paraId="5A95F5C0" w14:textId="48ABDBC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6947AF" w:rsidRPr="00087AC9" w:rsidP="00764777" w14:paraId="6DB87BDA" w14:textId="23B6685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t xml:space="preserve">The majority of ICR respondent burden and cost will be realized during the 2026-2029 renewal timeframe and beyond. </w:t>
      </w:r>
      <w:r w:rsidR="00307666">
        <w:t xml:space="preserve">Consequently, this non-EGU ICR is </w:t>
      </w:r>
      <w:r>
        <w:t xml:space="preserve">likely an overestimate </w:t>
      </w:r>
      <w:r w:rsidR="00307666">
        <w:t xml:space="preserve">of the burden occurring in the </w:t>
      </w:r>
      <w:r w:rsidR="00231F44">
        <w:t>2023-2025</w:t>
      </w:r>
      <w:r w:rsidR="00307666">
        <w:t xml:space="preserve"> timeframe. </w:t>
      </w:r>
      <w:r w:rsidR="43D5EBEE">
        <w:t>After the compliance period begins in 2026, the majority of ICR respondent burden including monitoring, testing, recordkeeping</w:t>
      </w:r>
      <w:r w:rsidR="00CD2C8B">
        <w:t>,</w:t>
      </w:r>
      <w:r w:rsidR="43D5EBEE">
        <w:t xml:space="preserve"> and reporting requi</w:t>
      </w:r>
      <w:r w:rsidR="4A4408C7">
        <w:t>rements</w:t>
      </w:r>
      <w:r w:rsidR="43D5EBEE">
        <w:t xml:space="preserve"> will be realized during the 2026-2029 renewal timeframe and beyond. </w:t>
      </w:r>
      <w:r w:rsidRPr="00764777" w:rsidR="003D30E3">
        <w:rPr>
          <w:color w:val="000000" w:themeColor="text1"/>
        </w:rPr>
        <w:t xml:space="preserve">The average annual burden to industry over the </w:t>
      </w:r>
      <w:r w:rsidRPr="00764777" w:rsidR="005D4729">
        <w:rPr>
          <w:color w:val="000000" w:themeColor="text1"/>
        </w:rPr>
        <w:t xml:space="preserve">representative timeframe of </w:t>
      </w:r>
      <w:r w:rsidRPr="00764777" w:rsidR="00231F44">
        <w:rPr>
          <w:color w:val="000000" w:themeColor="text1"/>
        </w:rPr>
        <w:t>2023-2025</w:t>
      </w:r>
      <w:r w:rsidRPr="00764777" w:rsidR="003D30E3">
        <w:rPr>
          <w:color w:val="000000" w:themeColor="text1"/>
        </w:rPr>
        <w:t xml:space="preserve"> from </w:t>
      </w:r>
      <w:r w:rsidRPr="00764777" w:rsidR="48BFEDC9">
        <w:rPr>
          <w:color w:val="000000" w:themeColor="text1"/>
        </w:rPr>
        <w:t>minimal rule familiarization activit</w:t>
      </w:r>
      <w:r w:rsidRPr="00764777" w:rsidR="74D74361">
        <w:rPr>
          <w:color w:val="000000" w:themeColor="text1"/>
        </w:rPr>
        <w:t>ies</w:t>
      </w:r>
      <w:r w:rsidR="00264836">
        <w:rPr>
          <w:color w:val="000000" w:themeColor="text1"/>
        </w:rPr>
        <w:t>, work plan submittal</w:t>
      </w:r>
      <w:r w:rsidRPr="00764777" w:rsidR="48BFEDC9">
        <w:rPr>
          <w:color w:val="000000" w:themeColor="text1"/>
        </w:rPr>
        <w:t xml:space="preserve"> and notification</w:t>
      </w:r>
      <w:r w:rsidRPr="00764777" w:rsidR="003D30E3">
        <w:rPr>
          <w:color w:val="000000" w:themeColor="text1"/>
        </w:rPr>
        <w:t xml:space="preserve"> requirements is estimated to be </w:t>
      </w:r>
      <w:r w:rsidRPr="00351965" w:rsidR="00351965">
        <w:rPr>
          <w:color w:val="000000" w:themeColor="text1"/>
        </w:rPr>
        <w:t>11,</w:t>
      </w:r>
      <w:r w:rsidR="00264836">
        <w:rPr>
          <w:color w:val="000000" w:themeColor="text1"/>
        </w:rPr>
        <w:t>481</w:t>
      </w:r>
      <w:r w:rsidRPr="00351965" w:rsidR="003D30E3">
        <w:rPr>
          <w:color w:val="000000" w:themeColor="text1"/>
        </w:rPr>
        <w:t xml:space="preserve"> labor</w:t>
      </w:r>
      <w:r w:rsidRPr="00764777" w:rsidR="003D30E3">
        <w:rPr>
          <w:color w:val="000000" w:themeColor="text1"/>
        </w:rPr>
        <w:t xml:space="preserve"> hours per year as shown in the </w:t>
      </w:r>
      <w:r w:rsidRPr="00764777" w:rsidR="00D41E39">
        <w:rPr>
          <w:color w:val="000000" w:themeColor="text1"/>
        </w:rPr>
        <w:t>Tables 1 – 3:  Annual Respondent Burden and Cost – Pipeline Transportation of Natural Gas, Years 1 through 3, Tables 4 -</w:t>
      </w:r>
      <w:r w:rsidR="006F131E">
        <w:rPr>
          <w:color w:val="000000" w:themeColor="text1"/>
        </w:rPr>
        <w:t xml:space="preserve"> </w:t>
      </w:r>
      <w:r w:rsidRPr="00764777" w:rsidR="00D41E39">
        <w:rPr>
          <w:color w:val="000000" w:themeColor="text1"/>
        </w:rPr>
        <w:t xml:space="preserve">6: Annual Respondent Burden and Cost - Cement and Concrete Product Manufacturing, Years 1 through 3, Table 7-9:  Annual Respondent Burden and Cost – Iron and Steel Mills and Ferroalloy Manufacturing, Years 1 through 3, Tables 10 - 12:  Annual Respondent Burden and Cost – Glass and Glass Product Manufacturing, Years 1 through 3, Tables 13 - 15:  Annual Respondent Burden and Cost – Basic Chemical Manufacturing, Petroleum and Coal Products Manufacturing, </w:t>
      </w:r>
      <w:r w:rsidR="00EB715D">
        <w:rPr>
          <w:color w:val="000000" w:themeColor="text1"/>
        </w:rPr>
        <w:t xml:space="preserve">Metal Ore Mining, </w:t>
      </w:r>
      <w:r w:rsidRPr="00764777" w:rsidR="00D41E39">
        <w:rPr>
          <w:color w:val="000000" w:themeColor="text1"/>
        </w:rPr>
        <w:t xml:space="preserve">and Pulp, Paper, and Paperboard Mills, Years 1 through 3, and Tables 16 – 18:  Annual Respondent Burden and Cost – Solid Waste Combustors and Incinerators, Years 1 through 3.  </w:t>
      </w:r>
      <w:r w:rsidRPr="00764777" w:rsidR="00CE477E">
        <w:rPr>
          <w:color w:val="000000" w:themeColor="text1"/>
        </w:rPr>
        <w:t xml:space="preserve">These hours are based on Agency studies and background documents from the development of the </w:t>
      </w:r>
      <w:r w:rsidRPr="00764777" w:rsidR="00231F44">
        <w:rPr>
          <w:color w:val="000000" w:themeColor="text1"/>
        </w:rPr>
        <w:t>final</w:t>
      </w:r>
      <w:r w:rsidRPr="00764777" w:rsidR="00CE477E">
        <w:rPr>
          <w:color w:val="000000" w:themeColor="text1"/>
        </w:rPr>
        <w:t xml:space="preserve"> rule, Agency knowledge and experience with the</w:t>
      </w:r>
      <w:r w:rsidRPr="00087AC9" w:rsidR="005D5542">
        <w:t xml:space="preserve"> Clean Air Act (CAA) section 110(a)(2)(D)(i)(I), and any comments received.</w:t>
      </w:r>
    </w:p>
    <w:p w:rsidR="006947AF" w:rsidRPr="00087AC9" w:rsidP="007665F0" w14:paraId="59743CBA" w14:textId="77777777">
      <w:pPr>
        <w:rPr>
          <w:szCs w:val="24"/>
          <w:lang w:val="en-CA"/>
        </w:rPr>
      </w:pPr>
    </w:p>
    <w:p w:rsidR="00AF17EF" w:rsidRPr="00087AC9" w:rsidP="007665F0" w14:paraId="786A6EC1" w14:textId="013F1105">
      <w:pPr>
        <w:rPr>
          <w:color w:val="000000"/>
        </w:rPr>
      </w:pPr>
      <w:r w:rsidRPr="00087AC9">
        <w:rPr>
          <w:noProof/>
          <w:color w:val="000000"/>
        </w:rPr>
        <mc:AlternateContent>
          <mc:Choice Requires="wps">
            <w:drawing>
              <wp:anchor distT="0" distB="0" distL="114300" distR="114300" simplePos="0" relativeHeight="251686912" behindDoc="0" locked="0" layoutInCell="1" allowOverlap="1">
                <wp:simplePos x="0" y="0"/>
                <wp:positionH relativeFrom="margin">
                  <wp:posOffset>-2286000</wp:posOffset>
                </wp:positionH>
                <wp:positionV relativeFrom="paragraph">
                  <wp:posOffset>19685</wp:posOffset>
                </wp:positionV>
                <wp:extent cx="1899920" cy="400685"/>
                <wp:effectExtent l="0" t="0" r="0" b="3810"/>
                <wp:wrapNone/>
                <wp:docPr id="8" name="Text Box 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99920" cy="4006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3AC" w:rsidRPr="009B4422" w:rsidP="007665F0" w14:paraId="0B031138" w14:textId="77777777">
                            <w:pPr>
                              <w:ind w:left="720" w:hanging="720"/>
                              <w:rPr>
                                <w:rFonts w:ascii="Arial" w:hAnsi="Arial" w:cs="Arial"/>
                                <w:b/>
                              </w:rPr>
                            </w:pPr>
                            <w:r>
                              <w:rPr>
                                <w:rFonts w:ascii="Arial" w:hAnsi="Arial" w:cs="Arial"/>
                                <w:b/>
                              </w:rPr>
                              <w:t>6.2</w:t>
                            </w:r>
                            <w:r w:rsidRPr="009B4422">
                              <w:rPr>
                                <w:rFonts w:ascii="Arial" w:hAnsi="Arial" w:cs="Arial"/>
                                <w:b/>
                              </w:rPr>
                              <w:tab/>
                            </w:r>
                            <w:r w:rsidRPr="009B4422">
                              <w:rPr>
                                <w:rFonts w:ascii="Arial" w:hAnsi="Arial" w:cs="Arial"/>
                                <w:b/>
                              </w:rPr>
                              <w:t>Estimating Respondent</w:t>
                            </w:r>
                            <w:r>
                              <w:rPr>
                                <w:rFonts w:ascii="Arial" w:hAnsi="Arial" w:cs="Arial"/>
                                <w:b/>
                              </w:rPr>
                              <w:t xml:space="preserve"> Costs</w:t>
                            </w:r>
                          </w:p>
                        </w:txbxContent>
                      </wps:txbx>
                      <wps:bodyPr rot="0" vert="horz" wrap="square" lIns="0" tIns="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64" type="#_x0000_t202" style="width:149.6pt;height:31.55pt;margin-top:1.55pt;margin-left:-180pt;mso-height-percent:0;mso-height-relative:page;mso-position-horizontal-relative:margin;mso-width-percent:0;mso-width-relative:page;mso-wrap-distance-bottom:0;mso-wrap-distance-left:9pt;mso-wrap-distance-right:9pt;mso-wrap-distance-top:0;mso-wrap-style:square;position:absolute;visibility:visible;v-text-anchor:top;z-index:251687936" filled="f" stroked="f">
                <v:textbox inset="0,0">
                  <w:txbxContent>
                    <w:p w:rsidR="005343AC" w:rsidRPr="009B4422" w:rsidP="007665F0" w14:paraId="320A2316" w14:textId="77777777">
                      <w:pPr>
                        <w:ind w:left="720" w:hanging="720"/>
                        <w:rPr>
                          <w:rFonts w:ascii="Arial" w:hAnsi="Arial" w:cs="Arial"/>
                          <w:b/>
                        </w:rPr>
                      </w:pPr>
                      <w:r>
                        <w:rPr>
                          <w:rFonts w:ascii="Arial" w:hAnsi="Arial" w:cs="Arial"/>
                          <w:b/>
                        </w:rPr>
                        <w:t>6.2</w:t>
                      </w:r>
                      <w:r w:rsidRPr="009B4422">
                        <w:rPr>
                          <w:rFonts w:ascii="Arial" w:hAnsi="Arial" w:cs="Arial"/>
                          <w:b/>
                        </w:rPr>
                        <w:tab/>
                      </w:r>
                      <w:r w:rsidRPr="009B4422">
                        <w:rPr>
                          <w:rFonts w:ascii="Arial" w:hAnsi="Arial" w:cs="Arial"/>
                          <w:b/>
                        </w:rPr>
                        <w:t>Estimating Respondent</w:t>
                      </w:r>
                      <w:r>
                        <w:rPr>
                          <w:rFonts w:ascii="Arial" w:hAnsi="Arial" w:cs="Arial"/>
                          <w:b/>
                        </w:rPr>
                        <w:t xml:space="preserve"> Costs</w:t>
                      </w:r>
                    </w:p>
                  </w:txbxContent>
                </v:textbox>
                <w10:wrap anchorx="margin"/>
              </v:shape>
            </w:pict>
          </mc:Fallback>
        </mc:AlternateContent>
      </w:r>
      <w:r w:rsidRPr="00087AC9" w:rsidR="00AF17EF">
        <w:rPr>
          <w:color w:val="000000"/>
        </w:rPr>
        <w:t>The ICR uses the most recently available wage values from the United States Department of Labor, Bureau of Labor Statistics, June 202</w:t>
      </w:r>
      <w:r w:rsidR="008E4167">
        <w:rPr>
          <w:color w:val="000000"/>
        </w:rPr>
        <w:t>2</w:t>
      </w:r>
      <w:r w:rsidRPr="00087AC9" w:rsidR="00AF17EF">
        <w:rPr>
          <w:color w:val="000000"/>
        </w:rPr>
        <w:t>, “Table 2. Civilian Workers, by occupational and industry group.” The rates are from column 1, “Total compensation.” The rates have been increased by 110 percent to account for the benefit packages available to those employed by private industry</w:t>
      </w:r>
      <w:r w:rsidR="0097236E">
        <w:rPr>
          <w:color w:val="000000"/>
        </w:rPr>
        <w:t>.  The burden costs are presented as representative of the years 2023-2025, while the industry labor rates used in estimated costs are for 2022.  This inconsistency should be noted.</w:t>
      </w:r>
    </w:p>
    <w:p w:rsidR="00AF17EF" w:rsidRPr="00087AC9" w:rsidP="007665F0" w14:paraId="28617ED1" w14:textId="33DA1B0C">
      <w:pPr>
        <w:rPr>
          <w:color w:val="000000"/>
        </w:rPr>
      </w:pPr>
    </w:p>
    <w:p w:rsidR="00AF17EF" w:rsidRPr="00087AC9" w:rsidP="007665F0" w14:paraId="514C6D7B" w14:textId="38E3B44C">
      <w:pPr>
        <w:rPr>
          <w:color w:val="000000"/>
        </w:rPr>
      </w:pPr>
      <w:r w:rsidRPr="00087AC9">
        <w:rPr>
          <w:color w:val="000000"/>
        </w:rPr>
        <w:t xml:space="preserve">This ICR uses the following </w:t>
      </w:r>
      <w:r w:rsidR="0097236E">
        <w:rPr>
          <w:color w:val="000000"/>
        </w:rPr>
        <w:t xml:space="preserve">2022 </w:t>
      </w:r>
      <w:r w:rsidRPr="00087AC9" w:rsidR="00CA6139">
        <w:rPr>
          <w:color w:val="000000"/>
        </w:rPr>
        <w:t xml:space="preserve">industry </w:t>
      </w:r>
      <w:r w:rsidRPr="00087AC9">
        <w:rPr>
          <w:color w:val="000000"/>
        </w:rPr>
        <w:t>labor rates:</w:t>
      </w:r>
    </w:p>
    <w:p w:rsidR="00AF17EF" w:rsidRPr="00087AC9" w:rsidP="007665F0" w14:paraId="4AD3827B" w14:textId="77777777">
      <w:pPr>
        <w:rPr>
          <w:color w:val="000000"/>
        </w:rPr>
      </w:pPr>
    </w:p>
    <w:p w:rsidR="00AF17EF" w:rsidRPr="00087AC9" w:rsidP="007665F0" w14:paraId="2057A939" w14:textId="5E03B2EB">
      <w:pPr>
        <w:rPr>
          <w:color w:val="000000"/>
        </w:rPr>
      </w:pPr>
    </w:p>
    <w:p w:rsidR="00AF17EF" w:rsidRPr="00087AC9" w:rsidP="00AF17EF" w14:paraId="282E8AD8" w14:textId="324A20D1">
      <w:pPr>
        <w:rPr>
          <w:color w:val="000000"/>
        </w:rPr>
      </w:pPr>
      <w:r w:rsidRPr="00087AC9">
        <w:rPr>
          <w:color w:val="000000"/>
        </w:rPr>
        <w:t>Managerial</w:t>
      </w:r>
      <w:r w:rsidRPr="00087AC9">
        <w:rPr>
          <w:color w:val="000000"/>
        </w:rPr>
        <w:tab/>
      </w:r>
      <w:r w:rsidRPr="00087AC9">
        <w:rPr>
          <w:color w:val="000000"/>
        </w:rPr>
        <w:t>$1</w:t>
      </w:r>
      <w:r w:rsidR="008E4167">
        <w:rPr>
          <w:color w:val="000000"/>
        </w:rPr>
        <w:t>61</w:t>
      </w:r>
      <w:r w:rsidRPr="00087AC9">
        <w:rPr>
          <w:color w:val="000000"/>
        </w:rPr>
        <w:t>.</w:t>
      </w:r>
      <w:r w:rsidR="008E4167">
        <w:rPr>
          <w:color w:val="000000"/>
        </w:rPr>
        <w:t>2</w:t>
      </w:r>
      <w:r w:rsidRPr="00087AC9">
        <w:rPr>
          <w:color w:val="000000"/>
        </w:rPr>
        <w:t>1 ($</w:t>
      </w:r>
      <w:r w:rsidRPr="00087AC9" w:rsidR="00840894">
        <w:rPr>
          <w:color w:val="000000"/>
        </w:rPr>
        <w:t>7</w:t>
      </w:r>
      <w:r w:rsidR="008E4167">
        <w:rPr>
          <w:color w:val="000000"/>
        </w:rPr>
        <w:t xml:space="preserve">6.96 </w:t>
      </w:r>
      <w:r w:rsidRPr="00087AC9">
        <w:rPr>
          <w:color w:val="000000"/>
        </w:rPr>
        <w:t>+ 110%)</w:t>
      </w:r>
    </w:p>
    <w:p w:rsidR="00AF17EF" w:rsidRPr="00087AC9" w:rsidP="00AF17EF" w14:paraId="1C915896" w14:textId="6C8491E7">
      <w:pPr>
        <w:rPr>
          <w:color w:val="000000"/>
        </w:rPr>
      </w:pPr>
      <w:r w:rsidRPr="00087AC9">
        <w:rPr>
          <w:color w:val="000000"/>
        </w:rPr>
        <w:t>Technical</w:t>
      </w:r>
      <w:r w:rsidRPr="00087AC9">
        <w:rPr>
          <w:color w:val="000000"/>
        </w:rPr>
        <w:tab/>
      </w:r>
      <w:r w:rsidRPr="00087AC9">
        <w:rPr>
          <w:color w:val="000000"/>
        </w:rPr>
        <w:t>$12</w:t>
      </w:r>
      <w:r w:rsidR="008E4167">
        <w:rPr>
          <w:color w:val="000000"/>
        </w:rPr>
        <w:t>7.68</w:t>
      </w:r>
      <w:r w:rsidRPr="00087AC9">
        <w:rPr>
          <w:color w:val="000000"/>
        </w:rPr>
        <w:t xml:space="preserve"> ($</w:t>
      </w:r>
      <w:r w:rsidR="008E4167">
        <w:rPr>
          <w:color w:val="000000"/>
        </w:rPr>
        <w:t>60.80</w:t>
      </w:r>
      <w:r w:rsidRPr="00087AC9">
        <w:rPr>
          <w:color w:val="000000"/>
        </w:rPr>
        <w:t xml:space="preserve"> + 110%)</w:t>
      </w:r>
    </w:p>
    <w:p w:rsidR="00AF17EF" w:rsidRPr="00087AC9" w:rsidP="00AF17EF" w14:paraId="4EF3B896" w14:textId="6295FEA7">
      <w:pPr>
        <w:rPr>
          <w:color w:val="000000"/>
        </w:rPr>
      </w:pPr>
      <w:r w:rsidRPr="00087AC9">
        <w:rPr>
          <w:color w:val="000000"/>
        </w:rPr>
        <w:t>Clerical</w:t>
      </w:r>
      <w:r w:rsidRPr="00087AC9">
        <w:rPr>
          <w:color w:val="000000"/>
        </w:rPr>
        <w:tab/>
      </w:r>
      <w:r w:rsidRPr="00087AC9">
        <w:rPr>
          <w:color w:val="000000"/>
        </w:rPr>
        <w:t>$</w:t>
      </w:r>
      <w:r w:rsidR="008E4167">
        <w:rPr>
          <w:color w:val="000000"/>
        </w:rPr>
        <w:t>64.22</w:t>
      </w:r>
      <w:r w:rsidRPr="00087AC9">
        <w:rPr>
          <w:color w:val="000000"/>
        </w:rPr>
        <w:t xml:space="preserve"> ($</w:t>
      </w:r>
      <w:r w:rsidR="008E4167">
        <w:rPr>
          <w:color w:val="000000"/>
        </w:rPr>
        <w:t>30.58</w:t>
      </w:r>
      <w:r w:rsidRPr="00087AC9">
        <w:rPr>
          <w:color w:val="000000"/>
        </w:rPr>
        <w:t xml:space="preserve"> + 110%)</w:t>
      </w:r>
    </w:p>
    <w:p w:rsidR="002061BE" w:rsidRPr="00087AC9" w:rsidP="00AF17EF" w14:paraId="60778B3D" w14:textId="6525895C">
      <w:pPr>
        <w:rPr>
          <w:color w:val="000000"/>
        </w:rPr>
      </w:pPr>
    </w:p>
    <w:p w:rsidR="002061BE" w:rsidRPr="00087AC9" w:rsidP="00AF17EF" w14:paraId="6C138555" w14:textId="35E7514D">
      <w:pPr>
        <w:rPr>
          <w:color w:val="000000"/>
        </w:rPr>
      </w:pPr>
      <w:r w:rsidRPr="5DF4E0C1">
        <w:rPr>
          <w:color w:val="000000" w:themeColor="text1"/>
        </w:rPr>
        <w:t xml:space="preserve">Under the </w:t>
      </w:r>
      <w:r w:rsidRPr="5DF4E0C1" w:rsidR="00231F44">
        <w:rPr>
          <w:color w:val="000000" w:themeColor="text1"/>
        </w:rPr>
        <w:t>final</w:t>
      </w:r>
      <w:r w:rsidRPr="5DF4E0C1">
        <w:rPr>
          <w:color w:val="000000" w:themeColor="text1"/>
        </w:rPr>
        <w:t xml:space="preserve"> rule, non-EGU </w:t>
      </w:r>
      <w:r w:rsidRPr="5DF4E0C1" w:rsidR="00F8425D">
        <w:rPr>
          <w:color w:val="000000" w:themeColor="text1"/>
        </w:rPr>
        <w:t xml:space="preserve">emissions-limit </w:t>
      </w:r>
      <w:r w:rsidRPr="5DF4E0C1">
        <w:rPr>
          <w:color w:val="000000" w:themeColor="text1"/>
        </w:rPr>
        <w:t xml:space="preserve">compliance requirements begin in 2026.  By that time, </w:t>
      </w:r>
      <w:r w:rsidRPr="5DF4E0C1" w:rsidR="00247B8B">
        <w:rPr>
          <w:color w:val="000000" w:themeColor="text1"/>
        </w:rPr>
        <w:t xml:space="preserve">the </w:t>
      </w:r>
      <w:r w:rsidRPr="5DF4E0C1">
        <w:rPr>
          <w:color w:val="000000" w:themeColor="text1"/>
        </w:rPr>
        <w:t xml:space="preserve">EPA estimates that </w:t>
      </w:r>
      <w:r w:rsidRPr="5DF4E0C1">
        <w:rPr>
          <w:color w:val="000000" w:themeColor="text1"/>
        </w:rPr>
        <w:t xml:space="preserve">approximately </w:t>
      </w:r>
      <w:r w:rsidR="00EB715D">
        <w:rPr>
          <w:color w:val="000000" w:themeColor="text1"/>
        </w:rPr>
        <w:t xml:space="preserve">3,328 </w:t>
      </w:r>
      <w:r w:rsidRPr="5DF4E0C1">
        <w:rPr>
          <w:color w:val="000000" w:themeColor="text1"/>
        </w:rPr>
        <w:t xml:space="preserve">existing respondents will be subject to these standards. It is estimated that additional respondent each year will become subject to these same standards and will </w:t>
      </w:r>
      <w:r w:rsidRPr="5DF4E0C1" w:rsidR="005B1DDF">
        <w:rPr>
          <w:color w:val="000000" w:themeColor="text1"/>
        </w:rPr>
        <w:t>increase</w:t>
      </w:r>
      <w:r w:rsidRPr="5DF4E0C1">
        <w:rPr>
          <w:color w:val="000000" w:themeColor="text1"/>
        </w:rPr>
        <w:t xml:space="preserve"> at a rate of ten percent of the existing respondent universe.</w:t>
      </w:r>
      <w:r w:rsidRPr="5DF4E0C1" w:rsidR="005343AC">
        <w:rPr>
          <w:color w:val="000000" w:themeColor="text1"/>
        </w:rPr>
        <w:t xml:space="preserve">  The ten percent rate of increase is based on the Portland Cement LLL MACT 2019 ICR.</w:t>
      </w:r>
    </w:p>
    <w:p w:rsidR="001E51F9" w:rsidRPr="00087AC9" w:rsidP="00AF17EF" w14:paraId="7142DD31" w14:textId="305D55B4">
      <w:pPr>
        <w:rPr>
          <w:color w:val="000000"/>
        </w:rPr>
      </w:pPr>
    </w:p>
    <w:p w:rsidR="001E51F9" w:rsidRPr="00087AC9" w:rsidP="00AF17EF" w14:paraId="218313A2" w14:textId="5CEA9290">
      <w:pPr>
        <w:rPr>
          <w:color w:val="000000"/>
        </w:rPr>
      </w:pPr>
      <w:r>
        <w:rPr>
          <w:color w:val="000000"/>
        </w:rPr>
        <w:t xml:space="preserve">Even though the compliance date is May 1, 2026, an assessment of industry responses represents data for the current 2023-2025 timeframe.  </w:t>
      </w:r>
      <w:r w:rsidRPr="00087AC9">
        <w:rPr>
          <w:color w:val="000000"/>
        </w:rPr>
        <w:t xml:space="preserve">The total number of responses </w:t>
      </w:r>
      <w:r w:rsidRPr="00087AC9" w:rsidR="004800AC">
        <w:rPr>
          <w:color w:val="000000"/>
        </w:rPr>
        <w:t xml:space="preserve">over the </w:t>
      </w:r>
      <w:r>
        <w:rPr>
          <w:color w:val="000000"/>
        </w:rPr>
        <w:t xml:space="preserve">current </w:t>
      </w:r>
      <w:r w:rsidRPr="00087AC9" w:rsidR="004800AC">
        <w:rPr>
          <w:color w:val="000000"/>
        </w:rPr>
        <w:t>three-year ICR per</w:t>
      </w:r>
      <w:r>
        <w:rPr>
          <w:color w:val="000000"/>
        </w:rPr>
        <w:t>iod</w:t>
      </w:r>
      <w:r w:rsidRPr="00087AC9">
        <w:rPr>
          <w:color w:val="000000"/>
        </w:rPr>
        <w:t xml:space="preserve"> is </w:t>
      </w:r>
      <w:r w:rsidRPr="00087AC9" w:rsidR="00920CCC">
        <w:rPr>
          <w:color w:val="000000"/>
        </w:rPr>
        <w:t>listed in</w:t>
      </w:r>
      <w:r w:rsidRPr="00087AC9">
        <w:rPr>
          <w:color w:val="000000"/>
        </w:rPr>
        <w:t xml:space="preserve"> the following table:</w:t>
      </w:r>
    </w:p>
    <w:tbl>
      <w:tblPr>
        <w:tblpPr w:leftFromText="180" w:rightFromText="180" w:vertAnchor="text" w:horzAnchor="margin" w:tblpXSpec="right" w:tblpY="307"/>
        <w:tblW w:w="729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960"/>
        <w:gridCol w:w="3330"/>
      </w:tblGrid>
      <w:tr w14:paraId="39CC92F8" w14:textId="77777777" w:rsidTr="00920CCC">
        <w:tblPrEx>
          <w:tblW w:w="729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7290" w:type="dxa"/>
            <w:gridSpan w:val="2"/>
          </w:tcPr>
          <w:p w:rsidR="001E51F9" w:rsidRPr="00087AC9" w:rsidP="00920CCC" w14:paraId="153A497A" w14:textId="77777777">
            <w:pPr>
              <w:spacing w:line="120" w:lineRule="exact"/>
            </w:pPr>
          </w:p>
          <w:p w:rsidR="001E51F9" w:rsidRPr="00087AC9" w:rsidP="00920CCC" w14:paraId="78218A89" w14:textId="58B1D7C8">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087AC9">
              <w:rPr>
                <w:b/>
                <w:bCs/>
              </w:rPr>
              <w:t>Total Responses</w:t>
            </w:r>
            <w:r w:rsidRPr="00087AC9" w:rsidR="00432560">
              <w:rPr>
                <w:b/>
                <w:bCs/>
              </w:rPr>
              <w:t xml:space="preserve"> by Industry Respondents</w:t>
            </w:r>
          </w:p>
        </w:tc>
      </w:tr>
      <w:tr w14:paraId="2368248E" w14:textId="77777777" w:rsidTr="00920CCC">
        <w:tblPrEx>
          <w:tblW w:w="7290" w:type="dxa"/>
          <w:tblLayout w:type="fixed"/>
          <w:tblCellMar>
            <w:left w:w="111" w:type="dxa"/>
            <w:right w:w="111" w:type="dxa"/>
          </w:tblCellMar>
          <w:tblLook w:val="0000"/>
        </w:tblPrEx>
        <w:tc>
          <w:tcPr>
            <w:tcW w:w="3960" w:type="dxa"/>
          </w:tcPr>
          <w:p w:rsidR="00920CCC" w:rsidRPr="00087AC9" w:rsidP="00920CCC" w14:paraId="4058D9F2" w14:textId="4062578E">
            <w:pPr>
              <w:pBdr>
                <w:top w:val="single" w:sz="6" w:space="0" w:color="FFFFFF"/>
                <w:left w:val="single" w:sz="6" w:space="0" w:color="FFFFFF"/>
                <w:bottom w:val="single" w:sz="6" w:space="0" w:color="FFFFFF"/>
                <w:right w:val="single" w:sz="6" w:space="0" w:color="FFFFFF"/>
              </w:pBdr>
              <w:rPr>
                <w:b/>
                <w:bCs/>
                <w:sz w:val="22"/>
                <w:szCs w:val="22"/>
              </w:rPr>
            </w:pPr>
          </w:p>
          <w:p w:rsidR="00920CCC" w:rsidRPr="00087AC9" w:rsidP="00920CCC" w14:paraId="4991BB71" w14:textId="77777777">
            <w:pPr>
              <w:pBdr>
                <w:top w:val="single" w:sz="6" w:space="0" w:color="FFFFFF"/>
                <w:left w:val="single" w:sz="6" w:space="0" w:color="FFFFFF"/>
                <w:bottom w:val="single" w:sz="6" w:space="0" w:color="FFFFFF"/>
                <w:right w:val="single" w:sz="6" w:space="0" w:color="FFFFFF"/>
              </w:pBdr>
              <w:spacing w:after="52"/>
              <w:jc w:val="center"/>
              <w:rPr>
                <w:b/>
                <w:bCs/>
                <w:sz w:val="22"/>
                <w:szCs w:val="22"/>
              </w:rPr>
            </w:pPr>
            <w:r w:rsidRPr="00087AC9">
              <w:rPr>
                <w:b/>
                <w:bCs/>
                <w:sz w:val="22"/>
                <w:szCs w:val="22"/>
              </w:rPr>
              <w:t>Information Collection Activity</w:t>
            </w:r>
          </w:p>
        </w:tc>
        <w:tc>
          <w:tcPr>
            <w:tcW w:w="3330" w:type="dxa"/>
          </w:tcPr>
          <w:p w:rsidR="00920CCC" w:rsidRPr="00087AC9" w:rsidP="00920CCC" w14:paraId="7F67A809" w14:textId="450A7D10">
            <w:pPr>
              <w:pBdr>
                <w:top w:val="single" w:sz="6" w:space="0" w:color="FFFFFF"/>
                <w:left w:val="single" w:sz="6" w:space="0" w:color="FFFFFF"/>
                <w:bottom w:val="single" w:sz="6" w:space="0" w:color="FFFFFF"/>
                <w:right w:val="single" w:sz="6" w:space="0" w:color="FFFFFF"/>
              </w:pBdr>
              <w:rPr>
                <w:b/>
                <w:bCs/>
                <w:sz w:val="22"/>
                <w:szCs w:val="22"/>
              </w:rPr>
            </w:pPr>
          </w:p>
          <w:p w:rsidR="00920CCC" w:rsidRPr="00087AC9" w:rsidP="00920CCC" w14:paraId="7607C6F2" w14:textId="71020979">
            <w:pPr>
              <w:pBdr>
                <w:top w:val="single" w:sz="6" w:space="0" w:color="FFFFFF"/>
                <w:left w:val="single" w:sz="6" w:space="0" w:color="FFFFFF"/>
                <w:bottom w:val="single" w:sz="6" w:space="0" w:color="FFFFFF"/>
                <w:right w:val="single" w:sz="6" w:space="0" w:color="FFFFFF"/>
              </w:pBdr>
              <w:jc w:val="center"/>
              <w:rPr>
                <w:b/>
                <w:bCs/>
                <w:sz w:val="22"/>
                <w:szCs w:val="22"/>
              </w:rPr>
            </w:pPr>
            <w:r w:rsidRPr="00087AC9">
              <w:rPr>
                <w:b/>
                <w:bCs/>
                <w:sz w:val="22"/>
                <w:szCs w:val="22"/>
              </w:rPr>
              <w:t>Total Responses</w:t>
            </w:r>
          </w:p>
        </w:tc>
      </w:tr>
      <w:tr w14:paraId="1A0F3241" w14:textId="77777777" w:rsidTr="00AA7CB3">
        <w:tblPrEx>
          <w:tblW w:w="7290" w:type="dxa"/>
          <w:tblLayout w:type="fixed"/>
          <w:tblCellMar>
            <w:left w:w="111" w:type="dxa"/>
            <w:right w:w="111" w:type="dxa"/>
          </w:tblCellMar>
          <w:tblLook w:val="0000"/>
        </w:tblPrEx>
        <w:trPr>
          <w:trHeight w:val="366"/>
        </w:trPr>
        <w:tc>
          <w:tcPr>
            <w:tcW w:w="3960" w:type="dxa"/>
            <w:vAlign w:val="center"/>
          </w:tcPr>
          <w:p w:rsidR="004800AC" w:rsidRPr="00087AC9" w:rsidP="00920CCC" w14:paraId="67FB4C00" w14:textId="77777777">
            <w:pPr>
              <w:pBdr>
                <w:top w:val="single" w:sz="6" w:space="0" w:color="FFFFFF"/>
                <w:left w:val="single" w:sz="6" w:space="0" w:color="FFFFFF"/>
                <w:bottom w:val="single" w:sz="6" w:space="0" w:color="FFFFFF"/>
                <w:right w:val="single" w:sz="6" w:space="0" w:color="FFFFFF"/>
              </w:pBdr>
              <w:rPr>
                <w:sz w:val="20"/>
              </w:rPr>
            </w:pPr>
            <w:r w:rsidRPr="00087AC9">
              <w:rPr>
                <w:sz w:val="20"/>
              </w:rPr>
              <w:t xml:space="preserve">  </w:t>
            </w:r>
            <w:r w:rsidRPr="00087AC9" w:rsidR="00B77F67">
              <w:rPr>
                <w:sz w:val="20"/>
              </w:rPr>
              <w:t xml:space="preserve">Acquisition, Installation, and Utilization of </w:t>
            </w:r>
          </w:p>
          <w:p w:rsidR="00B77F67" w:rsidRPr="00087AC9" w:rsidP="00920CCC" w14:paraId="374C57B4" w14:textId="38AED14D">
            <w:pPr>
              <w:pBdr>
                <w:top w:val="single" w:sz="6" w:space="0" w:color="FFFFFF"/>
                <w:left w:val="single" w:sz="6" w:space="0" w:color="FFFFFF"/>
                <w:bottom w:val="single" w:sz="6" w:space="0" w:color="FFFFFF"/>
                <w:right w:val="single" w:sz="6" w:space="0" w:color="FFFFFF"/>
              </w:pBdr>
              <w:rPr>
                <w:sz w:val="20"/>
              </w:rPr>
            </w:pPr>
            <w:r w:rsidRPr="00087AC9">
              <w:rPr>
                <w:sz w:val="20"/>
              </w:rPr>
              <w:t xml:space="preserve">  </w:t>
            </w:r>
            <w:r w:rsidRPr="00087AC9">
              <w:rPr>
                <w:sz w:val="20"/>
              </w:rPr>
              <w:t>Technology and Systems</w:t>
            </w:r>
          </w:p>
        </w:tc>
        <w:tc>
          <w:tcPr>
            <w:tcW w:w="3330" w:type="dxa"/>
            <w:shd w:val="clear" w:color="auto" w:fill="auto"/>
            <w:vAlign w:val="center"/>
          </w:tcPr>
          <w:p w:rsidR="006B4F9A" w:rsidRPr="00671E50" w:rsidP="006B4F9A" w14:paraId="41DB6DC7" w14:textId="0C9907A1">
            <w:pPr>
              <w:pBdr>
                <w:top w:val="single" w:sz="6" w:space="0" w:color="FFFFFF"/>
                <w:left w:val="single" w:sz="6" w:space="0" w:color="FFFFFF"/>
                <w:bottom w:val="single" w:sz="6" w:space="0" w:color="FFFFFF"/>
                <w:right w:val="single" w:sz="6" w:space="0" w:color="FFFFFF"/>
              </w:pBdr>
              <w:jc w:val="center"/>
              <w:rPr>
                <w:sz w:val="20"/>
              </w:rPr>
            </w:pPr>
            <w:r w:rsidRPr="00671E50">
              <w:rPr>
                <w:sz w:val="20"/>
              </w:rPr>
              <w:t>48</w:t>
            </w:r>
          </w:p>
        </w:tc>
      </w:tr>
      <w:tr w14:paraId="5EE12E02" w14:textId="77777777" w:rsidTr="00920CCC">
        <w:tblPrEx>
          <w:tblW w:w="7290" w:type="dxa"/>
          <w:tblLayout w:type="fixed"/>
          <w:tblCellMar>
            <w:left w:w="111" w:type="dxa"/>
            <w:right w:w="111" w:type="dxa"/>
          </w:tblCellMar>
          <w:tblLook w:val="0000"/>
        </w:tblPrEx>
        <w:trPr>
          <w:trHeight w:val="366"/>
        </w:trPr>
        <w:tc>
          <w:tcPr>
            <w:tcW w:w="3960" w:type="dxa"/>
            <w:vAlign w:val="center"/>
          </w:tcPr>
          <w:p w:rsidR="00B77F67" w:rsidRPr="00087AC9" w:rsidP="00B77F67" w14:paraId="20933400" w14:textId="55783586">
            <w:pPr>
              <w:pBdr>
                <w:top w:val="single" w:sz="6" w:space="0" w:color="FFFFFF"/>
                <w:left w:val="single" w:sz="6" w:space="0" w:color="FFFFFF"/>
                <w:bottom w:val="single" w:sz="6" w:space="0" w:color="FFFFFF"/>
                <w:right w:val="single" w:sz="6" w:space="0" w:color="FFFFFF"/>
              </w:pBdr>
              <w:rPr>
                <w:sz w:val="20"/>
              </w:rPr>
            </w:pPr>
            <w:r w:rsidRPr="00087AC9">
              <w:rPr>
                <w:sz w:val="20"/>
              </w:rPr>
              <w:t xml:space="preserve">  Familiarize with regulatory requirement</w:t>
            </w:r>
          </w:p>
        </w:tc>
        <w:tc>
          <w:tcPr>
            <w:tcW w:w="3330" w:type="dxa"/>
            <w:vAlign w:val="center"/>
          </w:tcPr>
          <w:p w:rsidR="00B77F67" w:rsidRPr="00671E50" w:rsidP="00B77F67" w14:paraId="4A3E9B86" w14:textId="550BA894">
            <w:pPr>
              <w:pBdr>
                <w:top w:val="single" w:sz="6" w:space="0" w:color="FFFFFF"/>
                <w:left w:val="single" w:sz="6" w:space="0" w:color="FFFFFF"/>
                <w:bottom w:val="single" w:sz="6" w:space="0" w:color="FFFFFF"/>
                <w:right w:val="single" w:sz="6" w:space="0" w:color="FFFFFF"/>
              </w:pBdr>
              <w:jc w:val="center"/>
              <w:rPr>
                <w:sz w:val="20"/>
              </w:rPr>
            </w:pPr>
            <w:r w:rsidRPr="00671E50">
              <w:rPr>
                <w:sz w:val="20"/>
              </w:rPr>
              <w:t>3</w:t>
            </w:r>
            <w:r w:rsidRPr="00671E50" w:rsidR="00541C10">
              <w:rPr>
                <w:sz w:val="20"/>
              </w:rPr>
              <w:t>,</w:t>
            </w:r>
            <w:r w:rsidRPr="00671E50">
              <w:rPr>
                <w:sz w:val="20"/>
              </w:rPr>
              <w:t>724</w:t>
            </w:r>
          </w:p>
        </w:tc>
      </w:tr>
      <w:tr w14:paraId="79B941A4" w14:textId="77777777" w:rsidTr="00920CCC">
        <w:tblPrEx>
          <w:tblW w:w="7290" w:type="dxa"/>
          <w:tblLayout w:type="fixed"/>
          <w:tblCellMar>
            <w:left w:w="111" w:type="dxa"/>
            <w:right w:w="111" w:type="dxa"/>
          </w:tblCellMar>
          <w:tblLook w:val="0000"/>
        </w:tblPrEx>
        <w:trPr>
          <w:trHeight w:val="366"/>
        </w:trPr>
        <w:tc>
          <w:tcPr>
            <w:tcW w:w="3960" w:type="dxa"/>
            <w:vAlign w:val="center"/>
          </w:tcPr>
          <w:p w:rsidR="00B77F67" w:rsidRPr="00087AC9" w:rsidP="00B77F67" w14:paraId="54079B9D" w14:textId="58C0E3E1">
            <w:pPr>
              <w:pBdr>
                <w:top w:val="single" w:sz="6" w:space="0" w:color="FFFFFF"/>
                <w:left w:val="single" w:sz="6" w:space="0" w:color="FFFFFF"/>
                <w:bottom w:val="single" w:sz="6" w:space="0" w:color="FFFFFF"/>
                <w:right w:val="single" w:sz="6" w:space="0" w:color="FFFFFF"/>
              </w:pBdr>
              <w:rPr>
                <w:sz w:val="18"/>
                <w:szCs w:val="18"/>
              </w:rPr>
            </w:pPr>
            <w:r w:rsidRPr="00087AC9">
              <w:rPr>
                <w:sz w:val="20"/>
              </w:rPr>
              <w:t xml:space="preserve">  Time to train personnel</w:t>
            </w:r>
          </w:p>
        </w:tc>
        <w:tc>
          <w:tcPr>
            <w:tcW w:w="3330" w:type="dxa"/>
            <w:vAlign w:val="center"/>
          </w:tcPr>
          <w:p w:rsidR="00B77F67" w:rsidRPr="00671E50" w:rsidP="00B77F67" w14:paraId="0EB61110" w14:textId="0025F14E">
            <w:pPr>
              <w:pBdr>
                <w:top w:val="single" w:sz="6" w:space="0" w:color="FFFFFF"/>
                <w:left w:val="single" w:sz="6" w:space="0" w:color="FFFFFF"/>
                <w:bottom w:val="single" w:sz="6" w:space="0" w:color="FFFFFF"/>
                <w:right w:val="single" w:sz="6" w:space="0" w:color="FFFFFF"/>
              </w:pBdr>
              <w:jc w:val="center"/>
              <w:rPr>
                <w:sz w:val="20"/>
              </w:rPr>
            </w:pPr>
            <w:r w:rsidRPr="00671E50">
              <w:rPr>
                <w:sz w:val="20"/>
              </w:rPr>
              <w:t>23</w:t>
            </w:r>
          </w:p>
        </w:tc>
      </w:tr>
      <w:tr w14:paraId="65D0C6E2" w14:textId="77777777" w:rsidTr="00920CCC">
        <w:tblPrEx>
          <w:tblW w:w="7290" w:type="dxa"/>
          <w:tblLayout w:type="fixed"/>
          <w:tblCellMar>
            <w:left w:w="111" w:type="dxa"/>
            <w:right w:w="111" w:type="dxa"/>
          </w:tblCellMar>
          <w:tblLook w:val="0000"/>
        </w:tblPrEx>
        <w:trPr>
          <w:trHeight w:val="366"/>
        </w:trPr>
        <w:tc>
          <w:tcPr>
            <w:tcW w:w="3960" w:type="dxa"/>
            <w:vAlign w:val="center"/>
          </w:tcPr>
          <w:p w:rsidR="007E63DF" w:rsidRPr="00087AC9" w:rsidP="00B77F67" w14:paraId="420DF0EE" w14:textId="130468C3">
            <w:pPr>
              <w:pBdr>
                <w:top w:val="single" w:sz="6" w:space="0" w:color="FFFFFF"/>
                <w:left w:val="single" w:sz="6" w:space="0" w:color="FFFFFF"/>
                <w:bottom w:val="single" w:sz="6" w:space="0" w:color="FFFFFF"/>
                <w:right w:val="single" w:sz="6" w:space="0" w:color="FFFFFF"/>
              </w:pBdr>
              <w:rPr>
                <w:sz w:val="20"/>
              </w:rPr>
            </w:pPr>
            <w:r>
              <w:rPr>
                <w:sz w:val="20"/>
              </w:rPr>
              <w:t xml:space="preserve">  Initial Notification Form of Applicability</w:t>
            </w:r>
          </w:p>
        </w:tc>
        <w:tc>
          <w:tcPr>
            <w:tcW w:w="3330" w:type="dxa"/>
            <w:vAlign w:val="center"/>
          </w:tcPr>
          <w:p w:rsidR="007E63DF" w:rsidRPr="00671E50" w:rsidP="00B77F67" w14:paraId="2BE0B01B" w14:textId="75CE39A6">
            <w:pPr>
              <w:pBdr>
                <w:top w:val="single" w:sz="6" w:space="0" w:color="FFFFFF"/>
                <w:left w:val="single" w:sz="6" w:space="0" w:color="FFFFFF"/>
                <w:bottom w:val="single" w:sz="6" w:space="0" w:color="FFFFFF"/>
                <w:right w:val="single" w:sz="6" w:space="0" w:color="FFFFFF"/>
              </w:pBdr>
              <w:jc w:val="center"/>
              <w:rPr>
                <w:sz w:val="20"/>
              </w:rPr>
            </w:pPr>
            <w:r w:rsidRPr="00671E50">
              <w:rPr>
                <w:sz w:val="20"/>
              </w:rPr>
              <w:t>193</w:t>
            </w:r>
          </w:p>
        </w:tc>
      </w:tr>
      <w:tr w14:paraId="45727BE5" w14:textId="77777777" w:rsidTr="00404810">
        <w:tblPrEx>
          <w:tblW w:w="7290" w:type="dxa"/>
          <w:tblLayout w:type="fixed"/>
          <w:tblCellMar>
            <w:left w:w="111" w:type="dxa"/>
            <w:right w:w="111" w:type="dxa"/>
          </w:tblCellMar>
          <w:tblLook w:val="0000"/>
        </w:tblPrEx>
        <w:trPr>
          <w:trHeight w:val="366"/>
        </w:trPr>
        <w:tc>
          <w:tcPr>
            <w:tcW w:w="3960" w:type="dxa"/>
            <w:vAlign w:val="center"/>
          </w:tcPr>
          <w:p w:rsidR="002442C5" w:rsidRPr="00087AC9" w:rsidP="002442C5" w14:paraId="53181E92" w14:textId="6C8F3586">
            <w:pPr>
              <w:pBdr>
                <w:top w:val="single" w:sz="6" w:space="0" w:color="FFFFFF"/>
                <w:left w:val="single" w:sz="6" w:space="0" w:color="FFFFFF"/>
                <w:bottom w:val="single" w:sz="6" w:space="0" w:color="FFFFFF"/>
                <w:right w:val="single" w:sz="6" w:space="0" w:color="FFFFFF"/>
              </w:pBdr>
              <w:rPr>
                <w:sz w:val="18"/>
                <w:szCs w:val="18"/>
              </w:rPr>
            </w:pPr>
            <w:r w:rsidRPr="00087AC9">
              <w:rPr>
                <w:sz w:val="20"/>
              </w:rPr>
              <w:t xml:space="preserve">  CPMS performance evaluation</w:t>
            </w:r>
          </w:p>
        </w:tc>
        <w:tc>
          <w:tcPr>
            <w:tcW w:w="3330" w:type="dxa"/>
            <w:shd w:val="clear" w:color="auto" w:fill="auto"/>
            <w:vAlign w:val="center"/>
          </w:tcPr>
          <w:p w:rsidR="007E63DF" w:rsidRPr="00671E50" w:rsidP="007E63DF" w14:paraId="25082B51" w14:textId="78B6818C">
            <w:pPr>
              <w:pBdr>
                <w:top w:val="single" w:sz="6" w:space="0" w:color="FFFFFF"/>
                <w:left w:val="single" w:sz="6" w:space="0" w:color="FFFFFF"/>
                <w:bottom w:val="single" w:sz="6" w:space="0" w:color="FFFFFF"/>
                <w:right w:val="single" w:sz="6" w:space="0" w:color="FFFFFF"/>
              </w:pBdr>
              <w:jc w:val="center"/>
              <w:rPr>
                <w:sz w:val="20"/>
              </w:rPr>
            </w:pPr>
            <w:r w:rsidRPr="00671E50">
              <w:rPr>
                <w:sz w:val="20"/>
              </w:rPr>
              <w:t>0</w:t>
            </w:r>
          </w:p>
        </w:tc>
      </w:tr>
      <w:tr w14:paraId="3F4B4829" w14:textId="77777777" w:rsidTr="00404810">
        <w:tblPrEx>
          <w:tblW w:w="7290" w:type="dxa"/>
          <w:tblLayout w:type="fixed"/>
          <w:tblCellMar>
            <w:left w:w="111" w:type="dxa"/>
            <w:right w:w="111" w:type="dxa"/>
          </w:tblCellMar>
          <w:tblLook w:val="0000"/>
        </w:tblPrEx>
        <w:trPr>
          <w:trHeight w:val="366"/>
        </w:trPr>
        <w:tc>
          <w:tcPr>
            <w:tcW w:w="3960" w:type="dxa"/>
            <w:vAlign w:val="center"/>
          </w:tcPr>
          <w:p w:rsidR="002442C5" w:rsidRPr="00087AC9" w:rsidP="002442C5" w14:paraId="5407E63E" w14:textId="3C23D4CE">
            <w:pPr>
              <w:pBdr>
                <w:top w:val="single" w:sz="6" w:space="0" w:color="FFFFFF"/>
                <w:left w:val="single" w:sz="6" w:space="0" w:color="FFFFFF"/>
                <w:bottom w:val="single" w:sz="6" w:space="0" w:color="FFFFFF"/>
                <w:right w:val="single" w:sz="6" w:space="0" w:color="FFFFFF"/>
              </w:pBdr>
              <w:rPr>
                <w:sz w:val="18"/>
                <w:szCs w:val="18"/>
              </w:rPr>
            </w:pPr>
            <w:r w:rsidRPr="00087AC9">
              <w:rPr>
                <w:sz w:val="20"/>
              </w:rPr>
              <w:t xml:space="preserve">  NOx Performance Testing</w:t>
            </w:r>
          </w:p>
        </w:tc>
        <w:tc>
          <w:tcPr>
            <w:tcW w:w="3330" w:type="dxa"/>
            <w:shd w:val="clear" w:color="auto" w:fill="auto"/>
            <w:vAlign w:val="center"/>
          </w:tcPr>
          <w:p w:rsidR="002442C5" w:rsidRPr="00671E50" w:rsidP="002442C5" w14:paraId="20DFA861" w14:textId="6B405A5C">
            <w:pPr>
              <w:pBdr>
                <w:top w:val="single" w:sz="6" w:space="0" w:color="FFFFFF"/>
                <w:left w:val="single" w:sz="6" w:space="0" w:color="FFFFFF"/>
                <w:bottom w:val="single" w:sz="6" w:space="0" w:color="FFFFFF"/>
                <w:right w:val="single" w:sz="6" w:space="0" w:color="FFFFFF"/>
              </w:pBdr>
              <w:jc w:val="center"/>
              <w:rPr>
                <w:sz w:val="20"/>
              </w:rPr>
            </w:pPr>
            <w:r w:rsidRPr="00671E50">
              <w:rPr>
                <w:sz w:val="20"/>
              </w:rPr>
              <w:t>0</w:t>
            </w:r>
          </w:p>
        </w:tc>
      </w:tr>
      <w:tr w14:paraId="26CEF539" w14:textId="77777777" w:rsidTr="00404810">
        <w:tblPrEx>
          <w:tblW w:w="7290" w:type="dxa"/>
          <w:tblLayout w:type="fixed"/>
          <w:tblCellMar>
            <w:left w:w="111" w:type="dxa"/>
            <w:right w:w="111" w:type="dxa"/>
          </w:tblCellMar>
          <w:tblLook w:val="0000"/>
        </w:tblPrEx>
        <w:trPr>
          <w:trHeight w:val="366"/>
        </w:trPr>
        <w:tc>
          <w:tcPr>
            <w:tcW w:w="3960" w:type="dxa"/>
            <w:vAlign w:val="center"/>
          </w:tcPr>
          <w:p w:rsidR="002442C5" w:rsidRPr="00087AC9" w:rsidP="002442C5" w14:paraId="461C2C34" w14:textId="1ACB7C19">
            <w:pPr>
              <w:pBdr>
                <w:top w:val="single" w:sz="6" w:space="0" w:color="FFFFFF"/>
                <w:left w:val="single" w:sz="6" w:space="0" w:color="FFFFFF"/>
                <w:bottom w:val="single" w:sz="6" w:space="0" w:color="FFFFFF"/>
                <w:right w:val="single" w:sz="6" w:space="0" w:color="FFFFFF"/>
              </w:pBdr>
              <w:rPr>
                <w:sz w:val="18"/>
                <w:szCs w:val="18"/>
              </w:rPr>
            </w:pPr>
            <w:r w:rsidRPr="00087AC9">
              <w:rPr>
                <w:sz w:val="20"/>
              </w:rPr>
              <w:t xml:space="preserve">  </w:t>
            </w:r>
            <w:r w:rsidRPr="00087AC9" w:rsidR="00143276">
              <w:rPr>
                <w:sz w:val="20"/>
              </w:rPr>
              <w:t>Performance Evaluation of NOx CEMS</w:t>
            </w:r>
          </w:p>
        </w:tc>
        <w:tc>
          <w:tcPr>
            <w:tcW w:w="3330" w:type="dxa"/>
            <w:shd w:val="clear" w:color="auto" w:fill="auto"/>
            <w:vAlign w:val="center"/>
          </w:tcPr>
          <w:p w:rsidR="002442C5" w:rsidRPr="00671E50" w:rsidP="002442C5" w14:paraId="6A42FC1E" w14:textId="4C103679">
            <w:pPr>
              <w:pBdr>
                <w:top w:val="single" w:sz="6" w:space="0" w:color="FFFFFF"/>
                <w:left w:val="single" w:sz="6" w:space="0" w:color="FFFFFF"/>
                <w:bottom w:val="single" w:sz="6" w:space="0" w:color="FFFFFF"/>
                <w:right w:val="single" w:sz="6" w:space="0" w:color="FFFFFF"/>
              </w:pBdr>
              <w:jc w:val="center"/>
              <w:rPr>
                <w:sz w:val="20"/>
              </w:rPr>
            </w:pPr>
            <w:r w:rsidRPr="00671E50">
              <w:rPr>
                <w:sz w:val="20"/>
              </w:rPr>
              <w:t>0</w:t>
            </w:r>
          </w:p>
        </w:tc>
      </w:tr>
      <w:tr w14:paraId="4B3360F6" w14:textId="77777777" w:rsidTr="00404810">
        <w:tblPrEx>
          <w:tblW w:w="7290" w:type="dxa"/>
          <w:tblLayout w:type="fixed"/>
          <w:tblCellMar>
            <w:left w:w="111" w:type="dxa"/>
            <w:right w:w="111" w:type="dxa"/>
          </w:tblCellMar>
          <w:tblLook w:val="0000"/>
        </w:tblPrEx>
        <w:trPr>
          <w:trHeight w:val="366"/>
        </w:trPr>
        <w:tc>
          <w:tcPr>
            <w:tcW w:w="3960" w:type="dxa"/>
            <w:vAlign w:val="center"/>
          </w:tcPr>
          <w:p w:rsidR="004800AC" w:rsidRPr="00087AC9" w:rsidP="002442C5" w14:paraId="3BD6316E" w14:textId="77777777">
            <w:pPr>
              <w:pBdr>
                <w:top w:val="single" w:sz="6" w:space="0" w:color="FFFFFF"/>
                <w:left w:val="single" w:sz="6" w:space="0" w:color="FFFFFF"/>
                <w:bottom w:val="single" w:sz="6" w:space="0" w:color="FFFFFF"/>
                <w:right w:val="single" w:sz="6" w:space="0" w:color="FFFFFF"/>
              </w:pBdr>
              <w:rPr>
                <w:sz w:val="20"/>
              </w:rPr>
            </w:pPr>
            <w:r w:rsidRPr="00087AC9">
              <w:rPr>
                <w:sz w:val="20"/>
              </w:rPr>
              <w:t xml:space="preserve">  </w:t>
            </w:r>
            <w:r w:rsidRPr="00087AC9" w:rsidR="00143276">
              <w:rPr>
                <w:sz w:val="20"/>
              </w:rPr>
              <w:t xml:space="preserve">Preparation of Work Plans and Monitoring </w:t>
            </w:r>
            <w:r w:rsidRPr="00087AC9">
              <w:rPr>
                <w:sz w:val="20"/>
              </w:rPr>
              <w:t xml:space="preserve"> </w:t>
            </w:r>
          </w:p>
          <w:p w:rsidR="002442C5" w:rsidRPr="00087AC9" w:rsidP="002442C5" w14:paraId="6CA25BE1" w14:textId="7B7A67C3">
            <w:pPr>
              <w:pBdr>
                <w:top w:val="single" w:sz="6" w:space="0" w:color="FFFFFF"/>
                <w:left w:val="single" w:sz="6" w:space="0" w:color="FFFFFF"/>
                <w:bottom w:val="single" w:sz="6" w:space="0" w:color="FFFFFF"/>
                <w:right w:val="single" w:sz="6" w:space="0" w:color="FFFFFF"/>
              </w:pBdr>
              <w:rPr>
                <w:sz w:val="18"/>
                <w:szCs w:val="18"/>
              </w:rPr>
            </w:pPr>
            <w:r w:rsidRPr="00087AC9">
              <w:rPr>
                <w:sz w:val="20"/>
              </w:rPr>
              <w:t xml:space="preserve">  </w:t>
            </w:r>
            <w:r w:rsidRPr="00087AC9" w:rsidR="00143276">
              <w:rPr>
                <w:sz w:val="20"/>
              </w:rPr>
              <w:t>Plans</w:t>
            </w:r>
          </w:p>
        </w:tc>
        <w:tc>
          <w:tcPr>
            <w:tcW w:w="3330" w:type="dxa"/>
            <w:shd w:val="clear" w:color="auto" w:fill="auto"/>
            <w:vAlign w:val="center"/>
          </w:tcPr>
          <w:p w:rsidR="002442C5" w:rsidRPr="00671E50" w:rsidP="002442C5" w14:paraId="567E6D49" w14:textId="621BD4EB">
            <w:pPr>
              <w:pBdr>
                <w:top w:val="single" w:sz="6" w:space="0" w:color="FFFFFF"/>
                <w:left w:val="single" w:sz="6" w:space="0" w:color="FFFFFF"/>
                <w:bottom w:val="single" w:sz="6" w:space="0" w:color="FFFFFF"/>
                <w:right w:val="single" w:sz="6" w:space="0" w:color="FFFFFF"/>
              </w:pBdr>
              <w:jc w:val="center"/>
              <w:rPr>
                <w:sz w:val="20"/>
              </w:rPr>
            </w:pPr>
            <w:r w:rsidRPr="00671E50">
              <w:rPr>
                <w:sz w:val="20"/>
              </w:rPr>
              <w:t>29</w:t>
            </w:r>
          </w:p>
        </w:tc>
      </w:tr>
      <w:tr w14:paraId="50C67749" w14:textId="77777777" w:rsidTr="00920CCC">
        <w:tblPrEx>
          <w:tblW w:w="7290" w:type="dxa"/>
          <w:tblLayout w:type="fixed"/>
          <w:tblCellMar>
            <w:left w:w="111" w:type="dxa"/>
            <w:right w:w="111" w:type="dxa"/>
          </w:tblCellMar>
          <w:tblLook w:val="0000"/>
        </w:tblPrEx>
        <w:trPr>
          <w:trHeight w:val="366"/>
        </w:trPr>
        <w:tc>
          <w:tcPr>
            <w:tcW w:w="3960" w:type="dxa"/>
            <w:vAlign w:val="center"/>
          </w:tcPr>
          <w:p w:rsidR="002442C5" w:rsidRPr="00087AC9" w:rsidP="002442C5" w14:paraId="0D1B963C" w14:textId="71B25A6E">
            <w:pPr>
              <w:pBdr>
                <w:top w:val="single" w:sz="6" w:space="0" w:color="FFFFFF"/>
                <w:left w:val="single" w:sz="6" w:space="0" w:color="FFFFFF"/>
                <w:bottom w:val="single" w:sz="6" w:space="0" w:color="FFFFFF"/>
                <w:right w:val="single" w:sz="6" w:space="0" w:color="FFFFFF"/>
              </w:pBdr>
              <w:rPr>
                <w:sz w:val="18"/>
                <w:szCs w:val="18"/>
              </w:rPr>
            </w:pPr>
            <w:r w:rsidRPr="00087AC9">
              <w:rPr>
                <w:sz w:val="20"/>
              </w:rPr>
              <w:t xml:space="preserve">  </w:t>
            </w:r>
            <w:r w:rsidRPr="00087AC9" w:rsidR="004800AC">
              <w:rPr>
                <w:sz w:val="20"/>
              </w:rPr>
              <w:t>Data Collection</w:t>
            </w:r>
          </w:p>
        </w:tc>
        <w:tc>
          <w:tcPr>
            <w:tcW w:w="3330" w:type="dxa"/>
            <w:vAlign w:val="center"/>
          </w:tcPr>
          <w:p w:rsidR="002442C5" w:rsidRPr="00671E50" w:rsidP="007E63DF" w14:paraId="10A6242C" w14:textId="1CC1E219">
            <w:pPr>
              <w:pBdr>
                <w:top w:val="single" w:sz="6" w:space="0" w:color="FFFFFF"/>
                <w:left w:val="single" w:sz="6" w:space="0" w:color="FFFFFF"/>
                <w:bottom w:val="single" w:sz="6" w:space="0" w:color="FFFFFF"/>
                <w:right w:val="single" w:sz="6" w:space="0" w:color="FFFFFF"/>
              </w:pBdr>
              <w:jc w:val="center"/>
              <w:rPr>
                <w:sz w:val="20"/>
              </w:rPr>
            </w:pPr>
            <w:r w:rsidRPr="00671E50">
              <w:rPr>
                <w:sz w:val="20"/>
              </w:rPr>
              <w:t>39,825</w:t>
            </w:r>
          </w:p>
        </w:tc>
      </w:tr>
      <w:tr w14:paraId="40D6EBE3" w14:textId="77777777" w:rsidTr="00C171D2">
        <w:tblPrEx>
          <w:tblW w:w="7290" w:type="dxa"/>
          <w:tblLayout w:type="fixed"/>
          <w:tblCellMar>
            <w:left w:w="111" w:type="dxa"/>
            <w:right w:w="111" w:type="dxa"/>
          </w:tblCellMar>
          <w:tblLook w:val="0000"/>
        </w:tblPrEx>
        <w:trPr>
          <w:trHeight w:val="366"/>
        </w:trPr>
        <w:tc>
          <w:tcPr>
            <w:tcW w:w="3960" w:type="dxa"/>
            <w:vAlign w:val="center"/>
          </w:tcPr>
          <w:p w:rsidR="002442C5" w:rsidRPr="00087AC9" w:rsidP="002442C5" w14:paraId="68DB1A69" w14:textId="1AEA8CB4">
            <w:pPr>
              <w:pBdr>
                <w:top w:val="single" w:sz="6" w:space="0" w:color="FFFFFF"/>
                <w:left w:val="single" w:sz="6" w:space="0" w:color="FFFFFF"/>
                <w:bottom w:val="single" w:sz="6" w:space="0" w:color="FFFFFF"/>
                <w:right w:val="single" w:sz="6" w:space="0" w:color="FFFFFF"/>
              </w:pBdr>
              <w:rPr>
                <w:sz w:val="18"/>
                <w:szCs w:val="18"/>
              </w:rPr>
            </w:pPr>
            <w:r w:rsidRPr="00087AC9">
              <w:rPr>
                <w:sz w:val="20"/>
              </w:rPr>
              <w:t xml:space="preserve">  Monitoring</w:t>
            </w:r>
          </w:p>
        </w:tc>
        <w:tc>
          <w:tcPr>
            <w:tcW w:w="3330" w:type="dxa"/>
            <w:shd w:val="clear" w:color="auto" w:fill="auto"/>
            <w:vAlign w:val="center"/>
          </w:tcPr>
          <w:p w:rsidR="002442C5" w:rsidRPr="00671E50" w:rsidP="002442C5" w14:paraId="1A58197F" w14:textId="0C40B683">
            <w:pPr>
              <w:pBdr>
                <w:top w:val="single" w:sz="6" w:space="0" w:color="FFFFFF"/>
                <w:left w:val="single" w:sz="6" w:space="0" w:color="FFFFFF"/>
                <w:bottom w:val="single" w:sz="6" w:space="0" w:color="FFFFFF"/>
                <w:right w:val="single" w:sz="6" w:space="0" w:color="FFFFFF"/>
              </w:pBdr>
              <w:jc w:val="center"/>
              <w:rPr>
                <w:sz w:val="20"/>
              </w:rPr>
            </w:pPr>
            <w:r w:rsidRPr="00671E50">
              <w:rPr>
                <w:sz w:val="20"/>
              </w:rPr>
              <w:t>0</w:t>
            </w:r>
          </w:p>
        </w:tc>
      </w:tr>
      <w:tr w14:paraId="09620FAD" w14:textId="77777777" w:rsidTr="00920CCC">
        <w:tblPrEx>
          <w:tblW w:w="7290" w:type="dxa"/>
          <w:tblLayout w:type="fixed"/>
          <w:tblCellMar>
            <w:left w:w="111" w:type="dxa"/>
            <w:right w:w="111" w:type="dxa"/>
          </w:tblCellMar>
          <w:tblLook w:val="0000"/>
        </w:tblPrEx>
        <w:trPr>
          <w:trHeight w:val="366"/>
        </w:trPr>
        <w:tc>
          <w:tcPr>
            <w:tcW w:w="3960" w:type="dxa"/>
            <w:vAlign w:val="center"/>
          </w:tcPr>
          <w:p w:rsidR="002442C5" w:rsidRPr="00087AC9" w:rsidP="002442C5" w14:paraId="102439A3" w14:textId="42254881">
            <w:pPr>
              <w:pBdr>
                <w:top w:val="single" w:sz="6" w:space="0" w:color="FFFFFF"/>
                <w:left w:val="single" w:sz="6" w:space="0" w:color="FFFFFF"/>
                <w:bottom w:val="single" w:sz="6" w:space="0" w:color="FFFFFF"/>
                <w:right w:val="single" w:sz="6" w:space="0" w:color="FFFFFF"/>
              </w:pBdr>
              <w:rPr>
                <w:sz w:val="18"/>
                <w:szCs w:val="18"/>
              </w:rPr>
            </w:pPr>
            <w:r w:rsidRPr="00087AC9">
              <w:rPr>
                <w:sz w:val="20"/>
              </w:rPr>
              <w:t xml:space="preserve">  </w:t>
            </w:r>
            <w:r w:rsidRPr="00087AC9" w:rsidR="004800AC">
              <w:rPr>
                <w:sz w:val="20"/>
              </w:rPr>
              <w:t>Recordkeeping</w:t>
            </w:r>
          </w:p>
        </w:tc>
        <w:tc>
          <w:tcPr>
            <w:tcW w:w="3330" w:type="dxa"/>
            <w:vAlign w:val="center"/>
          </w:tcPr>
          <w:p w:rsidR="002442C5" w:rsidRPr="00046C19" w:rsidP="002442C5" w14:paraId="3E8B845F" w14:textId="322ABFC4">
            <w:pPr>
              <w:pBdr>
                <w:top w:val="single" w:sz="6" w:space="0" w:color="FFFFFF"/>
                <w:left w:val="single" w:sz="6" w:space="0" w:color="FFFFFF"/>
                <w:bottom w:val="single" w:sz="6" w:space="0" w:color="FFFFFF"/>
                <w:right w:val="single" w:sz="6" w:space="0" w:color="FFFFFF"/>
              </w:pBdr>
              <w:jc w:val="center"/>
              <w:rPr>
                <w:sz w:val="20"/>
              </w:rPr>
            </w:pPr>
            <w:r w:rsidRPr="00046C19">
              <w:rPr>
                <w:sz w:val="20"/>
              </w:rPr>
              <w:t>0</w:t>
            </w:r>
          </w:p>
        </w:tc>
      </w:tr>
      <w:tr w14:paraId="7A527613" w14:textId="77777777" w:rsidTr="00920CCC">
        <w:tblPrEx>
          <w:tblW w:w="7290" w:type="dxa"/>
          <w:tblLayout w:type="fixed"/>
          <w:tblCellMar>
            <w:left w:w="111" w:type="dxa"/>
            <w:right w:w="111" w:type="dxa"/>
          </w:tblCellMar>
          <w:tblLook w:val="0000"/>
        </w:tblPrEx>
        <w:trPr>
          <w:trHeight w:val="366"/>
        </w:trPr>
        <w:tc>
          <w:tcPr>
            <w:tcW w:w="3960" w:type="dxa"/>
            <w:vAlign w:val="center"/>
          </w:tcPr>
          <w:p w:rsidR="002442C5" w:rsidRPr="00087AC9" w:rsidP="002442C5" w14:paraId="12000730" w14:textId="3BDAE486">
            <w:pPr>
              <w:pBdr>
                <w:top w:val="single" w:sz="6" w:space="0" w:color="FFFFFF"/>
                <w:left w:val="single" w:sz="6" w:space="0" w:color="FFFFFF"/>
                <w:bottom w:val="single" w:sz="6" w:space="0" w:color="FFFFFF"/>
                <w:right w:val="single" w:sz="6" w:space="0" w:color="FFFFFF"/>
              </w:pBdr>
              <w:ind w:left="149" w:hanging="149"/>
              <w:rPr>
                <w:sz w:val="18"/>
                <w:szCs w:val="18"/>
              </w:rPr>
            </w:pPr>
            <w:r w:rsidRPr="00087AC9">
              <w:rPr>
                <w:sz w:val="20"/>
              </w:rPr>
              <w:t xml:space="preserve">  </w:t>
            </w:r>
            <w:r w:rsidRPr="00087AC9" w:rsidR="004800AC">
              <w:rPr>
                <w:sz w:val="20"/>
              </w:rPr>
              <w:t>Notification of Demonstration of CEMS</w:t>
            </w:r>
          </w:p>
        </w:tc>
        <w:tc>
          <w:tcPr>
            <w:tcW w:w="3330" w:type="dxa"/>
            <w:vAlign w:val="center"/>
          </w:tcPr>
          <w:p w:rsidR="002442C5" w:rsidRPr="00046C19" w:rsidP="002442C5" w14:paraId="044230B0" w14:textId="2CF33745">
            <w:pPr>
              <w:pBdr>
                <w:top w:val="single" w:sz="6" w:space="0" w:color="FFFFFF"/>
                <w:left w:val="single" w:sz="6" w:space="0" w:color="FFFFFF"/>
                <w:bottom w:val="single" w:sz="6" w:space="0" w:color="FFFFFF"/>
                <w:right w:val="single" w:sz="6" w:space="0" w:color="FFFFFF"/>
              </w:pBdr>
              <w:jc w:val="center"/>
              <w:rPr>
                <w:sz w:val="20"/>
              </w:rPr>
            </w:pPr>
            <w:r w:rsidRPr="00046C19">
              <w:rPr>
                <w:sz w:val="20"/>
              </w:rPr>
              <w:t>0</w:t>
            </w:r>
          </w:p>
        </w:tc>
      </w:tr>
      <w:tr w14:paraId="524C621A" w14:textId="77777777" w:rsidTr="00920CCC">
        <w:tblPrEx>
          <w:tblW w:w="7290" w:type="dxa"/>
          <w:tblLayout w:type="fixed"/>
          <w:tblCellMar>
            <w:left w:w="111" w:type="dxa"/>
            <w:right w:w="111" w:type="dxa"/>
          </w:tblCellMar>
          <w:tblLook w:val="0000"/>
        </w:tblPrEx>
        <w:trPr>
          <w:trHeight w:val="366"/>
        </w:trPr>
        <w:tc>
          <w:tcPr>
            <w:tcW w:w="3960" w:type="dxa"/>
            <w:vAlign w:val="center"/>
          </w:tcPr>
          <w:p w:rsidR="002442C5" w:rsidRPr="00087AC9" w:rsidP="002442C5" w14:paraId="4888A233" w14:textId="43156529">
            <w:pPr>
              <w:pBdr>
                <w:top w:val="single" w:sz="6" w:space="0" w:color="FFFFFF"/>
                <w:left w:val="single" w:sz="6" w:space="0" w:color="FFFFFF"/>
                <w:bottom w:val="single" w:sz="6" w:space="0" w:color="FFFFFF"/>
                <w:right w:val="single" w:sz="6" w:space="0" w:color="FFFFFF"/>
              </w:pBdr>
              <w:rPr>
                <w:sz w:val="18"/>
                <w:szCs w:val="18"/>
              </w:rPr>
            </w:pPr>
            <w:r w:rsidRPr="00087AC9">
              <w:rPr>
                <w:sz w:val="20"/>
              </w:rPr>
              <w:t xml:space="preserve">  Notification of </w:t>
            </w:r>
            <w:r w:rsidRPr="00087AC9" w:rsidR="004800AC">
              <w:rPr>
                <w:sz w:val="20"/>
              </w:rPr>
              <w:t>Performance Testing</w:t>
            </w:r>
          </w:p>
        </w:tc>
        <w:tc>
          <w:tcPr>
            <w:tcW w:w="3330" w:type="dxa"/>
            <w:vAlign w:val="center"/>
          </w:tcPr>
          <w:p w:rsidR="002442C5" w:rsidRPr="00046C19" w:rsidP="002442C5" w14:paraId="1932F0CB" w14:textId="6C1CDAFD">
            <w:pPr>
              <w:pBdr>
                <w:top w:val="single" w:sz="6" w:space="0" w:color="FFFFFF"/>
                <w:left w:val="single" w:sz="6" w:space="0" w:color="FFFFFF"/>
                <w:bottom w:val="single" w:sz="6" w:space="0" w:color="FFFFFF"/>
                <w:right w:val="single" w:sz="6" w:space="0" w:color="FFFFFF"/>
              </w:pBdr>
              <w:jc w:val="center"/>
              <w:rPr>
                <w:sz w:val="20"/>
              </w:rPr>
            </w:pPr>
            <w:r w:rsidRPr="00046C19">
              <w:rPr>
                <w:sz w:val="20"/>
              </w:rPr>
              <w:t>0</w:t>
            </w:r>
          </w:p>
        </w:tc>
      </w:tr>
      <w:tr w14:paraId="72AF3BBB" w14:textId="77777777" w:rsidTr="00920CCC">
        <w:tblPrEx>
          <w:tblW w:w="7290" w:type="dxa"/>
          <w:tblLayout w:type="fixed"/>
          <w:tblCellMar>
            <w:left w:w="111" w:type="dxa"/>
            <w:right w:w="111" w:type="dxa"/>
          </w:tblCellMar>
          <w:tblLook w:val="0000"/>
        </w:tblPrEx>
        <w:trPr>
          <w:trHeight w:val="366"/>
        </w:trPr>
        <w:tc>
          <w:tcPr>
            <w:tcW w:w="3960" w:type="dxa"/>
            <w:vAlign w:val="center"/>
          </w:tcPr>
          <w:p w:rsidR="00A02941" w:rsidRPr="00087AC9" w:rsidP="002442C5" w14:paraId="1DAF0397" w14:textId="77777777">
            <w:pPr>
              <w:pBdr>
                <w:top w:val="single" w:sz="6" w:space="0" w:color="FFFFFF"/>
                <w:left w:val="single" w:sz="6" w:space="0" w:color="FFFFFF"/>
                <w:bottom w:val="single" w:sz="6" w:space="0" w:color="FFFFFF"/>
                <w:right w:val="single" w:sz="6" w:space="0" w:color="FFFFFF"/>
              </w:pBdr>
              <w:rPr>
                <w:sz w:val="20"/>
              </w:rPr>
            </w:pPr>
            <w:r w:rsidRPr="00087AC9">
              <w:rPr>
                <w:sz w:val="20"/>
              </w:rPr>
              <w:t xml:space="preserve">  </w:t>
            </w:r>
            <w:r w:rsidRPr="00087AC9">
              <w:rPr>
                <w:sz w:val="20"/>
              </w:rPr>
              <w:t xml:space="preserve">Reports of Performance Testing, NOx  </w:t>
            </w:r>
          </w:p>
          <w:p w:rsidR="00A02941" w:rsidRPr="00087AC9" w:rsidP="002442C5" w14:paraId="503A3921" w14:textId="77777777">
            <w:pPr>
              <w:pBdr>
                <w:top w:val="single" w:sz="6" w:space="0" w:color="FFFFFF"/>
                <w:left w:val="single" w:sz="6" w:space="0" w:color="FFFFFF"/>
                <w:bottom w:val="single" w:sz="6" w:space="0" w:color="FFFFFF"/>
                <w:right w:val="single" w:sz="6" w:space="0" w:color="FFFFFF"/>
              </w:pBdr>
              <w:rPr>
                <w:sz w:val="20"/>
              </w:rPr>
            </w:pPr>
            <w:r w:rsidRPr="00087AC9">
              <w:rPr>
                <w:sz w:val="20"/>
              </w:rPr>
              <w:t xml:space="preserve">  CEMS Performance Evaluation, and Excess </w:t>
            </w:r>
          </w:p>
          <w:p w:rsidR="00A02941" w:rsidRPr="00087AC9" w:rsidP="002442C5" w14:paraId="575C6ECA" w14:textId="144C454E">
            <w:pPr>
              <w:pBdr>
                <w:top w:val="single" w:sz="6" w:space="0" w:color="FFFFFF"/>
                <w:left w:val="single" w:sz="6" w:space="0" w:color="FFFFFF"/>
                <w:bottom w:val="single" w:sz="6" w:space="0" w:color="FFFFFF"/>
                <w:right w:val="single" w:sz="6" w:space="0" w:color="FFFFFF"/>
              </w:pBdr>
              <w:rPr>
                <w:sz w:val="20"/>
              </w:rPr>
            </w:pPr>
            <w:r w:rsidRPr="00087AC9">
              <w:rPr>
                <w:sz w:val="20"/>
              </w:rPr>
              <w:t xml:space="preserve">  Emissions</w:t>
            </w:r>
          </w:p>
        </w:tc>
        <w:tc>
          <w:tcPr>
            <w:tcW w:w="3330" w:type="dxa"/>
            <w:vAlign w:val="center"/>
          </w:tcPr>
          <w:p w:rsidR="002442C5" w:rsidRPr="00046C19" w:rsidP="002442C5" w14:paraId="2E970533" w14:textId="5D9567E5">
            <w:pPr>
              <w:pBdr>
                <w:top w:val="single" w:sz="6" w:space="0" w:color="FFFFFF"/>
                <w:left w:val="single" w:sz="6" w:space="0" w:color="FFFFFF"/>
                <w:bottom w:val="single" w:sz="6" w:space="0" w:color="FFFFFF"/>
                <w:right w:val="single" w:sz="6" w:space="0" w:color="FFFFFF"/>
              </w:pBdr>
              <w:jc w:val="center"/>
              <w:rPr>
                <w:sz w:val="20"/>
              </w:rPr>
            </w:pPr>
            <w:r w:rsidRPr="00046C19">
              <w:rPr>
                <w:sz w:val="20"/>
              </w:rPr>
              <w:t>0</w:t>
            </w:r>
          </w:p>
        </w:tc>
      </w:tr>
      <w:tr w14:paraId="7E324712" w14:textId="77777777" w:rsidTr="00920CCC">
        <w:tblPrEx>
          <w:tblW w:w="7290" w:type="dxa"/>
          <w:tblLayout w:type="fixed"/>
          <w:tblCellMar>
            <w:left w:w="111" w:type="dxa"/>
            <w:right w:w="111" w:type="dxa"/>
          </w:tblCellMar>
          <w:tblLook w:val="0000"/>
        </w:tblPrEx>
        <w:trPr>
          <w:trHeight w:val="366"/>
        </w:trPr>
        <w:tc>
          <w:tcPr>
            <w:tcW w:w="3960" w:type="dxa"/>
            <w:vAlign w:val="center"/>
          </w:tcPr>
          <w:p w:rsidR="002442C5" w:rsidRPr="008E4167" w:rsidP="008E4167" w14:paraId="47937CB4" w14:textId="7EE6C75F">
            <w:pPr>
              <w:pBdr>
                <w:top w:val="single" w:sz="6" w:space="0" w:color="FFFFFF"/>
                <w:left w:val="single" w:sz="6" w:space="0" w:color="FFFFFF"/>
                <w:bottom w:val="single" w:sz="6" w:space="0" w:color="FFFFFF"/>
                <w:right w:val="single" w:sz="6" w:space="0" w:color="FFFFFF"/>
              </w:pBdr>
              <w:rPr>
                <w:sz w:val="20"/>
              </w:rPr>
            </w:pPr>
            <w:r w:rsidRPr="00087AC9">
              <w:rPr>
                <w:sz w:val="20"/>
              </w:rPr>
              <w:t xml:space="preserve">  </w:t>
            </w:r>
            <w:r w:rsidR="008E4167">
              <w:rPr>
                <w:sz w:val="20"/>
              </w:rPr>
              <w:t xml:space="preserve">Annual </w:t>
            </w:r>
            <w:r w:rsidRPr="00087AC9" w:rsidR="00A02941">
              <w:rPr>
                <w:sz w:val="20"/>
              </w:rPr>
              <w:t>Reporting</w:t>
            </w:r>
          </w:p>
        </w:tc>
        <w:tc>
          <w:tcPr>
            <w:tcW w:w="3330" w:type="dxa"/>
            <w:vAlign w:val="center"/>
          </w:tcPr>
          <w:p w:rsidR="002442C5" w:rsidRPr="008E4167" w:rsidP="00190A3B" w14:paraId="7F2D0C00" w14:textId="3EF93911">
            <w:pPr>
              <w:pBdr>
                <w:top w:val="single" w:sz="6" w:space="0" w:color="FFFFFF"/>
                <w:left w:val="single" w:sz="6" w:space="0" w:color="FFFFFF"/>
                <w:bottom w:val="single" w:sz="6" w:space="0" w:color="FFFFFF"/>
                <w:right w:val="single" w:sz="6" w:space="0" w:color="FFFFFF"/>
              </w:pBdr>
              <w:jc w:val="center"/>
              <w:rPr>
                <w:sz w:val="18"/>
                <w:szCs w:val="18"/>
                <w:highlight w:val="yellow"/>
              </w:rPr>
            </w:pPr>
            <w:r w:rsidRPr="00190A3B">
              <w:rPr>
                <w:sz w:val="20"/>
              </w:rPr>
              <w:t>0</w:t>
            </w:r>
          </w:p>
        </w:tc>
      </w:tr>
    </w:tbl>
    <w:p w:rsidR="00B97C08" w:rsidRPr="00087AC9" w:rsidP="00AF17EF" w14:paraId="4FC94F9B" w14:textId="78FFD8E7">
      <w:pPr>
        <w:rPr>
          <w:color w:val="000000"/>
        </w:rPr>
      </w:pPr>
    </w:p>
    <w:p w:rsidR="00B97C08" w:rsidRPr="00087AC9" w:rsidP="00AF17EF" w14:paraId="0A310FD4" w14:textId="77777777">
      <w:pPr>
        <w:rPr>
          <w:color w:val="000000"/>
        </w:rPr>
      </w:pPr>
    </w:p>
    <w:p w:rsidR="005B1DDF" w:rsidRPr="00087AC9" w:rsidP="005B1DDF" w14:paraId="7B7AEC25" w14:textId="69CAAA1B">
      <w:pPr>
        <w:rPr>
          <w:color w:val="000000"/>
        </w:rPr>
      </w:pPr>
      <w:r w:rsidRPr="00087AC9">
        <w:rPr>
          <w:color w:val="000000"/>
        </w:rPr>
        <w:t xml:space="preserve">The number of total annual </w:t>
      </w:r>
      <w:r w:rsidRPr="00087AC9" w:rsidR="00287629">
        <w:rPr>
          <w:color w:val="000000"/>
        </w:rPr>
        <w:t xml:space="preserve">industry </w:t>
      </w:r>
      <w:r w:rsidRPr="00087AC9">
        <w:rPr>
          <w:color w:val="000000"/>
        </w:rPr>
        <w:t xml:space="preserve">responses </w:t>
      </w:r>
      <w:r w:rsidRPr="00671E50">
        <w:rPr>
          <w:color w:val="000000"/>
        </w:rPr>
        <w:t xml:space="preserve">is </w:t>
      </w:r>
      <w:r w:rsidRPr="00671E50" w:rsidR="004351F4">
        <w:rPr>
          <w:color w:val="000000"/>
        </w:rPr>
        <w:t>1</w:t>
      </w:r>
      <w:r w:rsidRPr="00671E50" w:rsidR="00541C10">
        <w:rPr>
          <w:color w:val="000000"/>
        </w:rPr>
        <w:t>4,6</w:t>
      </w:r>
      <w:r w:rsidRPr="00671E50" w:rsidR="00671E50">
        <w:rPr>
          <w:color w:val="000000"/>
        </w:rPr>
        <w:t>1</w:t>
      </w:r>
      <w:r w:rsidRPr="00671E50" w:rsidR="00541C10">
        <w:rPr>
          <w:color w:val="000000"/>
        </w:rPr>
        <w:t>4</w:t>
      </w:r>
      <w:r w:rsidRPr="00671E50">
        <w:rPr>
          <w:color w:val="000000"/>
        </w:rPr>
        <w:t>.</w:t>
      </w:r>
      <w:r w:rsidRPr="00087AC9">
        <w:rPr>
          <w:color w:val="000000"/>
        </w:rPr>
        <w:t xml:space="preserve"> </w:t>
      </w:r>
    </w:p>
    <w:p w:rsidR="005B1DDF" w:rsidRPr="00087AC9" w:rsidP="005B1DDF" w14:paraId="35C230DE" w14:textId="77777777">
      <w:pPr>
        <w:rPr>
          <w:color w:val="000000"/>
        </w:rPr>
      </w:pPr>
    </w:p>
    <w:p w:rsidR="005B1DDF" w:rsidRPr="00087AC9" w:rsidP="005B1DDF" w14:paraId="339DCA29" w14:textId="3D8BAD0A">
      <w:pPr>
        <w:rPr>
          <w:color w:val="000000"/>
        </w:rPr>
      </w:pPr>
      <w:r w:rsidRPr="00087AC9">
        <w:rPr>
          <w:color w:val="000000"/>
        </w:rPr>
        <w:t xml:space="preserve">The </w:t>
      </w:r>
      <w:r w:rsidRPr="00087AC9" w:rsidR="00287629">
        <w:rPr>
          <w:color w:val="000000"/>
        </w:rPr>
        <w:t>average</w:t>
      </w:r>
      <w:r w:rsidRPr="00087AC9">
        <w:rPr>
          <w:color w:val="000000"/>
        </w:rPr>
        <w:t xml:space="preserve"> annual</w:t>
      </w:r>
      <w:r w:rsidRPr="00087AC9" w:rsidR="00287629">
        <w:rPr>
          <w:color w:val="000000"/>
        </w:rPr>
        <w:t xml:space="preserve"> respondent</w:t>
      </w:r>
      <w:r w:rsidRPr="00087AC9">
        <w:rPr>
          <w:color w:val="000000"/>
        </w:rPr>
        <w:t xml:space="preserve"> labor costs are</w:t>
      </w:r>
      <w:r w:rsidR="001E5581">
        <w:rPr>
          <w:color w:val="000000"/>
        </w:rPr>
        <w:t xml:space="preserve">, in total for all </w:t>
      </w:r>
      <w:r w:rsidR="00835517">
        <w:rPr>
          <w:color w:val="000000"/>
        </w:rPr>
        <w:t xml:space="preserve">non-EGU </w:t>
      </w:r>
      <w:r w:rsidR="001E5581">
        <w:rPr>
          <w:color w:val="000000"/>
        </w:rPr>
        <w:t>sources,</w:t>
      </w:r>
      <w:r w:rsidRPr="00087AC9">
        <w:rPr>
          <w:color w:val="000000"/>
        </w:rPr>
        <w:t xml:space="preserve"> $</w:t>
      </w:r>
      <w:r w:rsidR="006E695B">
        <w:rPr>
          <w:color w:val="000000"/>
        </w:rPr>
        <w:t>1,</w:t>
      </w:r>
      <w:r w:rsidR="004351F4">
        <w:rPr>
          <w:color w:val="000000"/>
        </w:rPr>
        <w:t>4</w:t>
      </w:r>
      <w:r w:rsidR="0065266A">
        <w:rPr>
          <w:color w:val="000000"/>
        </w:rPr>
        <w:t>21</w:t>
      </w:r>
      <w:r w:rsidR="00B218B7">
        <w:rPr>
          <w:color w:val="000000"/>
        </w:rPr>
        <w:t>,000</w:t>
      </w:r>
      <w:r w:rsidRPr="00087AC9">
        <w:rPr>
          <w:color w:val="000000"/>
        </w:rPr>
        <w:t xml:space="preserve">. Details regarding these estimates may be found below in </w:t>
      </w:r>
      <w:r w:rsidR="00D41E39">
        <w:rPr>
          <w:color w:val="000000"/>
        </w:rPr>
        <w:t xml:space="preserve">the </w:t>
      </w:r>
      <w:r w:rsidRPr="00A05A2A" w:rsidR="00D41E39">
        <w:rPr>
          <w:color w:val="000000"/>
        </w:rPr>
        <w:t>Tables 1 – 3:  Annual Respondent Burden and Cost – Pipeline Transportation of Natural Gas, Year</w:t>
      </w:r>
      <w:r w:rsidR="00D41E39">
        <w:rPr>
          <w:color w:val="000000"/>
        </w:rPr>
        <w:t>s</w:t>
      </w:r>
      <w:r w:rsidRPr="00A05A2A" w:rsidR="00D41E39">
        <w:rPr>
          <w:color w:val="000000"/>
        </w:rPr>
        <w:t xml:space="preserve"> 1 through 3, Table</w:t>
      </w:r>
      <w:r w:rsidR="00D41E39">
        <w:rPr>
          <w:color w:val="000000"/>
        </w:rPr>
        <w:t>s</w:t>
      </w:r>
      <w:r w:rsidRPr="00A05A2A" w:rsidR="00D41E39">
        <w:rPr>
          <w:color w:val="000000"/>
        </w:rPr>
        <w:t xml:space="preserve"> 4</w:t>
      </w:r>
      <w:r w:rsidR="00D41E39">
        <w:rPr>
          <w:color w:val="000000"/>
        </w:rPr>
        <w:t xml:space="preserve"> -</w:t>
      </w:r>
      <w:r w:rsidR="006F131E">
        <w:rPr>
          <w:color w:val="000000"/>
        </w:rPr>
        <w:t xml:space="preserve"> </w:t>
      </w:r>
      <w:r w:rsidR="00D41E39">
        <w:rPr>
          <w:color w:val="000000"/>
        </w:rPr>
        <w:t>6</w:t>
      </w:r>
      <w:r w:rsidRPr="00A05A2A" w:rsidR="00D41E39">
        <w:rPr>
          <w:color w:val="000000"/>
        </w:rPr>
        <w:t xml:space="preserve">: Annual Respondent Burden and Cost - Cement and Concrete Product Manufacturing, </w:t>
      </w:r>
      <w:r w:rsidR="00D41E39">
        <w:rPr>
          <w:color w:val="000000"/>
        </w:rPr>
        <w:t xml:space="preserve">Years 1 through 3, </w:t>
      </w:r>
      <w:r w:rsidRPr="00A05A2A" w:rsidR="00D41E39">
        <w:rPr>
          <w:color w:val="000000"/>
        </w:rPr>
        <w:t xml:space="preserve">Table </w:t>
      </w:r>
      <w:r w:rsidR="00D41E39">
        <w:rPr>
          <w:color w:val="000000"/>
        </w:rPr>
        <w:t>7</w:t>
      </w:r>
      <w:r w:rsidRPr="00A05A2A" w:rsidR="00D41E39">
        <w:rPr>
          <w:color w:val="000000"/>
        </w:rPr>
        <w:t>-</w:t>
      </w:r>
      <w:r w:rsidR="00D41E39">
        <w:rPr>
          <w:color w:val="000000"/>
        </w:rPr>
        <w:t>9</w:t>
      </w:r>
      <w:r w:rsidRPr="00A05A2A" w:rsidR="00D41E39">
        <w:rPr>
          <w:color w:val="000000"/>
        </w:rPr>
        <w:t>:  Annual Respondent Burden and Cost – Iron and Steel Mills and Ferroalloy Manufacturing, Year</w:t>
      </w:r>
      <w:r w:rsidR="00D41E39">
        <w:rPr>
          <w:color w:val="000000"/>
        </w:rPr>
        <w:t>s</w:t>
      </w:r>
      <w:r w:rsidRPr="00A05A2A" w:rsidR="00D41E39">
        <w:rPr>
          <w:color w:val="000000"/>
        </w:rPr>
        <w:t xml:space="preserve"> 1 through 3, Table</w:t>
      </w:r>
      <w:r w:rsidR="00D41E39">
        <w:rPr>
          <w:color w:val="000000"/>
        </w:rPr>
        <w:t>s</w:t>
      </w:r>
      <w:r w:rsidRPr="00A05A2A" w:rsidR="00D41E39">
        <w:rPr>
          <w:color w:val="000000"/>
        </w:rPr>
        <w:t xml:space="preserve"> </w:t>
      </w:r>
      <w:r w:rsidR="00D41E39">
        <w:rPr>
          <w:color w:val="000000"/>
        </w:rPr>
        <w:t>10 - 12</w:t>
      </w:r>
      <w:r w:rsidRPr="00A05A2A" w:rsidR="00D41E39">
        <w:rPr>
          <w:color w:val="000000"/>
        </w:rPr>
        <w:t xml:space="preserve">:  Annual Respondent Burden and Cost – Glass and Glass Product Manufacturing, </w:t>
      </w:r>
      <w:r w:rsidR="00D41E39">
        <w:rPr>
          <w:color w:val="000000"/>
        </w:rPr>
        <w:t xml:space="preserve">Years 1 through 3, </w:t>
      </w:r>
      <w:r w:rsidRPr="00A05A2A" w:rsidR="00D41E39">
        <w:rPr>
          <w:color w:val="000000"/>
        </w:rPr>
        <w:t>Table</w:t>
      </w:r>
      <w:r w:rsidR="00D41E39">
        <w:rPr>
          <w:color w:val="000000"/>
        </w:rPr>
        <w:t>s</w:t>
      </w:r>
      <w:r w:rsidRPr="00A05A2A" w:rsidR="00D41E39">
        <w:rPr>
          <w:color w:val="000000"/>
        </w:rPr>
        <w:t xml:space="preserve"> </w:t>
      </w:r>
      <w:r w:rsidR="00D41E39">
        <w:rPr>
          <w:color w:val="000000"/>
        </w:rPr>
        <w:t xml:space="preserve">13 </w:t>
      </w:r>
      <w:r w:rsidRPr="00A05A2A" w:rsidR="00D41E39">
        <w:rPr>
          <w:color w:val="000000"/>
        </w:rPr>
        <w:t>-</w:t>
      </w:r>
      <w:r w:rsidR="00D41E39">
        <w:rPr>
          <w:color w:val="000000"/>
        </w:rPr>
        <w:t xml:space="preserve"> </w:t>
      </w:r>
      <w:r w:rsidRPr="00A05A2A" w:rsidR="00D41E39">
        <w:rPr>
          <w:color w:val="000000"/>
        </w:rPr>
        <w:t>1</w:t>
      </w:r>
      <w:r w:rsidR="00D41E39">
        <w:rPr>
          <w:color w:val="000000"/>
        </w:rPr>
        <w:t>5</w:t>
      </w:r>
      <w:r w:rsidRPr="00A05A2A" w:rsidR="00D41E39">
        <w:rPr>
          <w:color w:val="000000"/>
        </w:rPr>
        <w:t xml:space="preserve">:  Annual Respondent Burden and Cost – Basic Chemical Manufacturing, Petroleum and Coal Products Manufacturing, </w:t>
      </w:r>
      <w:r w:rsidR="00EB715D">
        <w:rPr>
          <w:color w:val="000000"/>
        </w:rPr>
        <w:t xml:space="preserve">Metal Ore Mining </w:t>
      </w:r>
      <w:r w:rsidRPr="00A05A2A" w:rsidR="00D41E39">
        <w:rPr>
          <w:color w:val="000000"/>
        </w:rPr>
        <w:t>and Pulp, Paper, and Paperboard Mills, Year</w:t>
      </w:r>
      <w:r w:rsidR="00D41E39">
        <w:rPr>
          <w:color w:val="000000"/>
        </w:rPr>
        <w:t>s</w:t>
      </w:r>
      <w:r w:rsidRPr="00A05A2A" w:rsidR="00D41E39">
        <w:rPr>
          <w:color w:val="000000"/>
        </w:rPr>
        <w:t xml:space="preserve"> 1 through </w:t>
      </w:r>
      <w:r w:rsidR="00D41E39">
        <w:rPr>
          <w:color w:val="000000"/>
        </w:rPr>
        <w:t>3, and Tables 16 – 18:  Annual Respondent Burden and Cost – Solid Waste Combustors and Incinerators, Years 1 through 3.</w:t>
      </w:r>
    </w:p>
    <w:p w:rsidR="005B1DDF" w:rsidRPr="00087AC9" w:rsidP="005B1DDF" w14:paraId="7BBAD5A2" w14:textId="77777777">
      <w:pPr>
        <w:rPr>
          <w:color w:val="000000"/>
        </w:rPr>
      </w:pPr>
    </w:p>
    <w:p w:rsidR="007665F0" w:rsidRPr="00087AC9" w:rsidP="007665F0" w14:paraId="26D0D129" w14:textId="4BF70DF2">
      <w:pPr>
        <w:rPr>
          <w:color w:val="000000"/>
        </w:rPr>
      </w:pPr>
      <w:r w:rsidRPr="00087AC9">
        <w:rPr>
          <w:color w:val="000000"/>
        </w:rPr>
        <w:t>The type of industry costs associated with the information collection activities in the subject standards are both labor costs, which are addressed elsewhere in this ICR, and the costs associated with</w:t>
      </w:r>
      <w:r w:rsidR="00D87DF9">
        <w:rPr>
          <w:color w:val="000000"/>
        </w:rPr>
        <w:t xml:space="preserve"> both </w:t>
      </w:r>
      <w:r w:rsidR="00652971">
        <w:rPr>
          <w:color w:val="000000"/>
        </w:rPr>
        <w:t>continuous parametric monitoring and</w:t>
      </w:r>
      <w:r w:rsidRPr="00087AC9">
        <w:rPr>
          <w:color w:val="000000"/>
        </w:rPr>
        <w:t xml:space="preserve"> continuous monitoring. </w:t>
      </w:r>
      <w:r w:rsidR="00006C3E">
        <w:rPr>
          <w:color w:val="000000"/>
        </w:rPr>
        <w:t>With very limited exceptions, c</w:t>
      </w:r>
      <w:r w:rsidR="002B71F6">
        <w:rPr>
          <w:color w:val="000000"/>
        </w:rPr>
        <w:t xml:space="preserve">ontinuous </w:t>
      </w:r>
      <w:r w:rsidR="00006C3E">
        <w:rPr>
          <w:color w:val="000000"/>
        </w:rPr>
        <w:t xml:space="preserve">emissions </w:t>
      </w:r>
      <w:r w:rsidR="002B71F6">
        <w:rPr>
          <w:color w:val="000000"/>
        </w:rPr>
        <w:t xml:space="preserve">monitoring is not required </w:t>
      </w:r>
      <w:r w:rsidR="000D42A9">
        <w:rPr>
          <w:color w:val="000000"/>
        </w:rPr>
        <w:t xml:space="preserve">by this rulemaking </w:t>
      </w:r>
      <w:r w:rsidR="00006C3E">
        <w:rPr>
          <w:color w:val="000000"/>
        </w:rPr>
        <w:t xml:space="preserve">for the non-EGU sources </w:t>
      </w:r>
      <w:r w:rsidR="002B71F6">
        <w:rPr>
          <w:color w:val="000000"/>
        </w:rPr>
        <w:t xml:space="preserve">and </w:t>
      </w:r>
      <w:r w:rsidR="000D42A9">
        <w:rPr>
          <w:color w:val="000000"/>
        </w:rPr>
        <w:t>therefore,</w:t>
      </w:r>
      <w:r w:rsidR="002B71F6">
        <w:rPr>
          <w:color w:val="000000"/>
        </w:rPr>
        <w:t xml:space="preserve"> </w:t>
      </w:r>
      <w:r w:rsidR="006D2E16">
        <w:rPr>
          <w:color w:val="000000"/>
        </w:rPr>
        <w:t>most of th</w:t>
      </w:r>
      <w:r w:rsidR="000D42A9">
        <w:rPr>
          <w:color w:val="000000"/>
        </w:rPr>
        <w:t>e</w:t>
      </w:r>
      <w:r w:rsidR="006D2E16">
        <w:rPr>
          <w:color w:val="000000"/>
        </w:rPr>
        <w:t xml:space="preserve"> monitoring costs are associated with continuous parametric monitorin</w:t>
      </w:r>
      <w:r w:rsidR="000D42A9">
        <w:rPr>
          <w:color w:val="000000"/>
        </w:rPr>
        <w:t xml:space="preserve">g. </w:t>
      </w:r>
      <w:r w:rsidR="00006C3E">
        <w:rPr>
          <w:color w:val="000000"/>
        </w:rPr>
        <w:t>Further, many of the large-boiler and MWC sources that may be subject to CEMS requirements under the rule already have CEMs installed and operate this monitoring equipment to comply with pre-existing CAA regulations.</w:t>
      </w:r>
      <w:r w:rsidR="000D42A9">
        <w:rPr>
          <w:color w:val="000000"/>
        </w:rPr>
        <w:t xml:space="preserve"> </w:t>
      </w:r>
      <w:r w:rsidRPr="00087AC9">
        <w:rPr>
          <w:color w:val="000000"/>
        </w:rPr>
        <w:t xml:space="preserve">The capital/startup costs are one-time costs when a facility becomes subject to these regulations. The annual operation and maintenance costs are the ongoing costs to maintain the monitors and other costs such as photocopying and postage. The total capital/startup and operation and </w:t>
      </w:r>
      <w:r w:rsidRPr="00087AC9">
        <w:rPr>
          <w:color w:val="000000"/>
        </w:rPr>
        <w:t xml:space="preserve">maintenance costs for this non-EGU ICR are </w:t>
      </w:r>
      <w:r w:rsidRPr="00087AC9" w:rsidR="00A778D5">
        <w:rPr>
          <w:color w:val="000000"/>
        </w:rPr>
        <w:t>$</w:t>
      </w:r>
      <w:r w:rsidR="004351F4">
        <w:rPr>
          <w:color w:val="000000"/>
        </w:rPr>
        <w:t>7,200</w:t>
      </w:r>
      <w:r w:rsidR="00B218B7">
        <w:rPr>
          <w:color w:val="000000"/>
        </w:rPr>
        <w:t>,000</w:t>
      </w:r>
      <w:r w:rsidRPr="00087AC9" w:rsidR="00A778D5">
        <w:rPr>
          <w:color w:val="000000"/>
        </w:rPr>
        <w:t>.</w:t>
      </w:r>
      <w:r w:rsidR="004351F4">
        <w:rPr>
          <w:color w:val="000000"/>
        </w:rPr>
        <w:t xml:space="preserve"> </w:t>
      </w:r>
      <w:r w:rsidR="001E5581">
        <w:rPr>
          <w:color w:val="000000"/>
        </w:rPr>
        <w:t>However, because compliance does not begin in earnest until 2026, we anticipate these costs will be spread over the 2023-2025 period. Thus,</w:t>
      </w:r>
      <w:r w:rsidRPr="00087AC9" w:rsidR="00A778D5">
        <w:rPr>
          <w:color w:val="000000"/>
        </w:rPr>
        <w:t xml:space="preserve"> </w:t>
      </w:r>
      <w:r w:rsidR="001E5581">
        <w:rPr>
          <w:color w:val="000000"/>
        </w:rPr>
        <w:t>t</w:t>
      </w:r>
      <w:r w:rsidRPr="00087AC9" w:rsidR="00A778D5">
        <w:rPr>
          <w:color w:val="000000"/>
        </w:rPr>
        <w:t xml:space="preserve">he average annual cost for capital/startup and operation and maintenance costs </w:t>
      </w:r>
      <w:r w:rsidR="001E5581">
        <w:rPr>
          <w:color w:val="000000"/>
        </w:rPr>
        <w:t xml:space="preserve">in total </w:t>
      </w:r>
      <w:r w:rsidRPr="00087AC9" w:rsidR="00A778D5">
        <w:rPr>
          <w:color w:val="000000"/>
        </w:rPr>
        <w:t xml:space="preserve">over the </w:t>
      </w:r>
      <w:r w:rsidR="005D4729">
        <w:rPr>
          <w:color w:val="000000"/>
        </w:rPr>
        <w:t xml:space="preserve">representative timeframe of </w:t>
      </w:r>
      <w:r w:rsidR="00231F44">
        <w:rPr>
          <w:color w:val="000000"/>
        </w:rPr>
        <w:t>2023-2025</w:t>
      </w:r>
      <w:r w:rsidRPr="00087AC9" w:rsidR="00A778D5">
        <w:rPr>
          <w:color w:val="000000"/>
        </w:rPr>
        <w:t xml:space="preserve"> of the ICR </w:t>
      </w:r>
      <w:r w:rsidR="006F131E">
        <w:rPr>
          <w:color w:val="000000"/>
        </w:rPr>
        <w:t>are</w:t>
      </w:r>
      <w:r w:rsidRPr="00087AC9" w:rsidR="006F131E">
        <w:rPr>
          <w:color w:val="000000"/>
        </w:rPr>
        <w:t xml:space="preserve"> </w:t>
      </w:r>
      <w:r w:rsidRPr="00087AC9" w:rsidR="00A778D5">
        <w:rPr>
          <w:color w:val="000000"/>
        </w:rPr>
        <w:t>estimated to be $</w:t>
      </w:r>
      <w:r w:rsidR="004351F4">
        <w:rPr>
          <w:color w:val="000000"/>
        </w:rPr>
        <w:t>2,40</w:t>
      </w:r>
      <w:r w:rsidR="006E695B">
        <w:rPr>
          <w:color w:val="000000"/>
        </w:rPr>
        <w:t>0</w:t>
      </w:r>
      <w:r w:rsidRPr="00087AC9" w:rsidR="00A778D5">
        <w:rPr>
          <w:color w:val="000000"/>
        </w:rPr>
        <w:t>,000.</w:t>
      </w:r>
      <w:bookmarkStart w:id="3" w:name="BM6_40_b_41__40_ii_41__32__32_Estimating"/>
      <w:bookmarkEnd w:id="3"/>
    </w:p>
    <w:p w:rsidR="007665F0" w:rsidRPr="00087AC9" w:rsidP="007665F0" w14:paraId="33F4CEF6" w14:textId="77777777">
      <w:pPr>
        <w:rPr>
          <w:szCs w:val="24"/>
        </w:rPr>
      </w:pPr>
      <w:bookmarkStart w:id="4" w:name="BM6_40_b_41__40_iii_41__32_Capital_47_St"/>
      <w:bookmarkEnd w:id="4"/>
    </w:p>
    <w:bookmarkStart w:id="5" w:name="BM6_40_b_41__40_iv_41__32_Annualizing_32"/>
    <w:bookmarkEnd w:id="5"/>
    <w:p w:rsidR="001D0FB2" w:rsidRPr="00087AC9" w14:paraId="16E57987" w14:textId="0DA304F5">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87AC9">
        <w:rPr>
          <w:noProof/>
          <w:szCs w:val="24"/>
        </w:rPr>
        <mc:AlternateContent>
          <mc:Choice Requires="wps">
            <w:drawing>
              <wp:anchor distT="0" distB="0" distL="114300" distR="114300" simplePos="0" relativeHeight="251688960" behindDoc="0" locked="0" layoutInCell="1" allowOverlap="1">
                <wp:simplePos x="0" y="0"/>
                <wp:positionH relativeFrom="margin">
                  <wp:posOffset>-2314575</wp:posOffset>
                </wp:positionH>
                <wp:positionV relativeFrom="paragraph">
                  <wp:posOffset>39370</wp:posOffset>
                </wp:positionV>
                <wp:extent cx="1856105" cy="447040"/>
                <wp:effectExtent l="0" t="0" r="1270" b="0"/>
                <wp:wrapNone/>
                <wp:docPr id="7" name="Text Box 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56105" cy="4470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3AC" w:rsidRPr="009B4422" w:rsidP="00C87742" w14:paraId="2B96B991" w14:textId="77777777">
                            <w:pPr>
                              <w:ind w:left="720" w:hanging="720"/>
                              <w:rPr>
                                <w:rFonts w:ascii="Arial" w:hAnsi="Arial" w:cs="Arial"/>
                                <w:b/>
                              </w:rPr>
                            </w:pPr>
                            <w:r>
                              <w:rPr>
                                <w:rFonts w:ascii="Arial" w:hAnsi="Arial" w:cs="Arial"/>
                                <w:b/>
                              </w:rPr>
                              <w:t>6.2.3</w:t>
                            </w:r>
                            <w:r w:rsidRPr="009B4422">
                              <w:rPr>
                                <w:rFonts w:ascii="Arial" w:hAnsi="Arial" w:cs="Arial"/>
                                <w:b/>
                              </w:rPr>
                              <w:tab/>
                            </w:r>
                            <w:r w:rsidRPr="00C87742">
                              <w:rPr>
                                <w:rFonts w:ascii="Arial" w:hAnsi="Arial" w:cs="Arial"/>
                                <w:b/>
                                <w:szCs w:val="24"/>
                              </w:rPr>
                              <w:t>Annualiz</w:t>
                            </w:r>
                            <w:r>
                              <w:rPr>
                                <w:rFonts w:ascii="Arial" w:hAnsi="Arial" w:cs="Arial"/>
                                <w:b/>
                                <w:szCs w:val="24"/>
                              </w:rPr>
                              <w:t>ed</w:t>
                            </w:r>
                            <w:r w:rsidRPr="00C87742">
                              <w:rPr>
                                <w:rFonts w:ascii="Arial" w:hAnsi="Arial" w:cs="Arial"/>
                                <w:b/>
                                <w:szCs w:val="24"/>
                              </w:rPr>
                              <w:t xml:space="preserve"> Capital Costs</w:t>
                            </w:r>
                          </w:p>
                        </w:txbxContent>
                      </wps:txbx>
                      <wps:bodyPr rot="0" vert="horz" wrap="square" lIns="0" tIns="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6" o:spid="_x0000_s1065" type="#_x0000_t202" style="width:146.15pt;height:35.2pt;margin-top:3.1pt;margin-left:-182.25pt;mso-height-percent:0;mso-height-relative:page;mso-position-horizontal-relative:margin;mso-width-percent:0;mso-width-relative:page;mso-wrap-distance-bottom:0;mso-wrap-distance-left:9pt;mso-wrap-distance-right:9pt;mso-wrap-distance-top:0;mso-wrap-style:square;position:absolute;visibility:visible;v-text-anchor:top;z-index:251689984" filled="f" stroked="f">
                <v:textbox inset="0,0">
                  <w:txbxContent>
                    <w:p w:rsidR="005343AC" w:rsidRPr="009B4422" w:rsidP="00C87742" w14:paraId="41CD59D5" w14:textId="77777777">
                      <w:pPr>
                        <w:ind w:left="720" w:hanging="720"/>
                        <w:rPr>
                          <w:rFonts w:ascii="Arial" w:hAnsi="Arial" w:cs="Arial"/>
                          <w:b/>
                        </w:rPr>
                      </w:pPr>
                      <w:r>
                        <w:rPr>
                          <w:rFonts w:ascii="Arial" w:hAnsi="Arial" w:cs="Arial"/>
                          <w:b/>
                        </w:rPr>
                        <w:t>6.2.3</w:t>
                      </w:r>
                      <w:r w:rsidRPr="009B4422">
                        <w:rPr>
                          <w:rFonts w:ascii="Arial" w:hAnsi="Arial" w:cs="Arial"/>
                          <w:b/>
                        </w:rPr>
                        <w:tab/>
                      </w:r>
                      <w:r w:rsidRPr="00C87742">
                        <w:rPr>
                          <w:rFonts w:ascii="Arial" w:hAnsi="Arial" w:cs="Arial"/>
                          <w:b/>
                          <w:szCs w:val="24"/>
                        </w:rPr>
                        <w:t>Annualiz</w:t>
                      </w:r>
                      <w:r>
                        <w:rPr>
                          <w:rFonts w:ascii="Arial" w:hAnsi="Arial" w:cs="Arial"/>
                          <w:b/>
                          <w:szCs w:val="24"/>
                        </w:rPr>
                        <w:t>ed</w:t>
                      </w:r>
                      <w:r w:rsidRPr="00C87742">
                        <w:rPr>
                          <w:rFonts w:ascii="Arial" w:hAnsi="Arial" w:cs="Arial"/>
                          <w:b/>
                          <w:szCs w:val="24"/>
                        </w:rPr>
                        <w:t xml:space="preserve"> Capital Costs</w:t>
                      </w:r>
                    </w:p>
                  </w:txbxContent>
                </v:textbox>
                <w10:wrap anchorx="margin"/>
              </v:shape>
            </w:pict>
          </mc:Fallback>
        </mc:AlternateContent>
      </w:r>
      <w:r w:rsidRPr="00087AC9" w:rsidR="001D0FB2">
        <w:rPr>
          <w:szCs w:val="24"/>
        </w:rPr>
        <w:t xml:space="preserve">The relevant capital costs for this ICR were annualized at a rate of </w:t>
      </w:r>
      <w:r w:rsidR="000E6E88">
        <w:rPr>
          <w:szCs w:val="24"/>
        </w:rPr>
        <w:t>7.50</w:t>
      </w:r>
      <w:r w:rsidRPr="00087AC9" w:rsidR="001D0FB2">
        <w:rPr>
          <w:szCs w:val="24"/>
        </w:rPr>
        <w:t xml:space="preserve"> percent, (i.e., the annualized capital cost was calculated assuming money to purchase the capital equipment was borrowed at a </w:t>
      </w:r>
      <w:r w:rsidR="000E6E88">
        <w:rPr>
          <w:szCs w:val="24"/>
        </w:rPr>
        <w:t>7.50</w:t>
      </w:r>
      <w:r w:rsidRPr="00087AC9" w:rsidR="001D0FB2">
        <w:rPr>
          <w:szCs w:val="24"/>
        </w:rPr>
        <w:t xml:space="preserve"> percent annual interest rate). </w:t>
      </w:r>
      <w:r w:rsidR="00306D13">
        <w:rPr>
          <w:szCs w:val="24"/>
        </w:rPr>
        <w:t xml:space="preserve">This interest rate is the bank prime rate, a rate for borrowing charged to large businesses and financial institutions, as of </w:t>
      </w:r>
      <w:r w:rsidR="002D4C11">
        <w:rPr>
          <w:szCs w:val="24"/>
        </w:rPr>
        <w:t>February</w:t>
      </w:r>
      <w:r w:rsidR="00306D13">
        <w:rPr>
          <w:szCs w:val="24"/>
        </w:rPr>
        <w:t xml:space="preserve"> 202</w:t>
      </w:r>
      <w:r w:rsidR="00C90388">
        <w:rPr>
          <w:szCs w:val="24"/>
        </w:rPr>
        <w:t>3</w:t>
      </w:r>
      <w:r w:rsidR="00306D13">
        <w:rPr>
          <w:szCs w:val="24"/>
        </w:rPr>
        <w:t xml:space="preserve"> as set by the U.S. Federal Reserve Board. </w:t>
      </w:r>
      <w:r w:rsidRPr="00087AC9" w:rsidR="001D0FB2">
        <w:rPr>
          <w:szCs w:val="24"/>
        </w:rPr>
        <w:t>The cost of the loan</w:t>
      </w:r>
      <w:r w:rsidR="006F131E">
        <w:rPr>
          <w:szCs w:val="24"/>
        </w:rPr>
        <w:t>s</w:t>
      </w:r>
      <w:r w:rsidRPr="00087AC9" w:rsidR="001D0FB2">
        <w:rPr>
          <w:szCs w:val="24"/>
        </w:rPr>
        <w:t xml:space="preserve"> </w:t>
      </w:r>
      <w:r w:rsidRPr="00087AC9" w:rsidR="002D4C3C">
        <w:rPr>
          <w:szCs w:val="24"/>
        </w:rPr>
        <w:t>w</w:t>
      </w:r>
      <w:r w:rsidR="002D4C3C">
        <w:rPr>
          <w:szCs w:val="24"/>
        </w:rPr>
        <w:t>as</w:t>
      </w:r>
      <w:r w:rsidRPr="00087AC9" w:rsidR="001D0FB2">
        <w:rPr>
          <w:szCs w:val="24"/>
        </w:rPr>
        <w:t xml:space="preserve"> amortized over the life of the loan</w:t>
      </w:r>
      <w:r w:rsidR="006F131E">
        <w:rPr>
          <w:szCs w:val="24"/>
        </w:rPr>
        <w:t>s</w:t>
      </w:r>
      <w:r w:rsidRPr="00087AC9" w:rsidR="001D0FB2">
        <w:rPr>
          <w:szCs w:val="24"/>
        </w:rPr>
        <w:t xml:space="preserve"> to repay the borrowed amount plus interest. The </w:t>
      </w:r>
      <w:r w:rsidR="0067569C">
        <w:rPr>
          <w:szCs w:val="24"/>
        </w:rPr>
        <w:t xml:space="preserve">calculated </w:t>
      </w:r>
      <w:r w:rsidRPr="00087AC9" w:rsidR="001D0FB2">
        <w:rPr>
          <w:szCs w:val="24"/>
        </w:rPr>
        <w:t>result is the annualized capital cost reported.</w:t>
      </w:r>
    </w:p>
    <w:p w:rsidR="00F114AB" w:rsidRPr="00087AC9" w14:paraId="16D09979"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287629" w:rsidRPr="00087AC9" w:rsidP="00287629" w14:paraId="517C0D68" w14:textId="77777777">
      <w:pPr>
        <w:rPr>
          <w:color w:val="000000"/>
        </w:rPr>
      </w:pPr>
      <w:r w:rsidRPr="00087AC9">
        <w:rPr>
          <w:noProof/>
        </w:rPr>
        <mc:AlternateContent>
          <mc:Choice Requires="wps">
            <w:drawing>
              <wp:anchor distT="0" distB="0" distL="114300" distR="114300" simplePos="0" relativeHeight="251742208" behindDoc="0" locked="0" layoutInCell="1" allowOverlap="1">
                <wp:simplePos x="0" y="0"/>
                <wp:positionH relativeFrom="margin">
                  <wp:posOffset>-2367280</wp:posOffset>
                </wp:positionH>
                <wp:positionV relativeFrom="paragraph">
                  <wp:posOffset>44450</wp:posOffset>
                </wp:positionV>
                <wp:extent cx="1856105" cy="666750"/>
                <wp:effectExtent l="4445" t="635" r="0" b="0"/>
                <wp:wrapNone/>
                <wp:docPr id="6" name="Text Box 1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56105" cy="6667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3AC" w:rsidRPr="009B4422" w:rsidP="00795215" w14:paraId="1BC34A99" w14:textId="77777777">
                            <w:pPr>
                              <w:ind w:left="720" w:hanging="720"/>
                              <w:rPr>
                                <w:rFonts w:ascii="Arial" w:hAnsi="Arial" w:cs="Arial"/>
                                <w:b/>
                              </w:rPr>
                            </w:pPr>
                            <w:r>
                              <w:rPr>
                                <w:rFonts w:ascii="Arial" w:hAnsi="Arial" w:cs="Arial"/>
                                <w:b/>
                              </w:rPr>
                              <w:t>6.3</w:t>
                            </w:r>
                            <w:r w:rsidRPr="009B4422">
                              <w:rPr>
                                <w:rFonts w:ascii="Arial" w:hAnsi="Arial" w:cs="Arial"/>
                                <w:b/>
                              </w:rPr>
                              <w:tab/>
                            </w:r>
                            <w:r>
                              <w:rPr>
                                <w:rFonts w:ascii="Arial" w:hAnsi="Arial" w:cs="Arial"/>
                                <w:b/>
                                <w:szCs w:val="24"/>
                              </w:rPr>
                              <w:t>Estimating Agency Burden and Cost</w:t>
                            </w:r>
                          </w:p>
                        </w:txbxContent>
                      </wps:txbx>
                      <wps:bodyPr rot="0" vert="horz" wrap="square" lIns="0" tIns="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77" o:spid="_x0000_s1066" type="#_x0000_t202" style="width:146.15pt;height:52.5pt;margin-top:3.5pt;margin-left:-186.4pt;mso-height-percent:0;mso-height-relative:page;mso-position-horizontal-relative:margin;mso-width-percent:0;mso-width-relative:page;mso-wrap-distance-bottom:0;mso-wrap-distance-left:9pt;mso-wrap-distance-right:9pt;mso-wrap-distance-top:0;mso-wrap-style:square;position:absolute;visibility:visible;v-text-anchor:top;z-index:251743232" filled="f" stroked="f">
                <v:textbox inset="0,0">
                  <w:txbxContent>
                    <w:p w:rsidR="005343AC" w:rsidRPr="009B4422" w:rsidP="00795215" w14:paraId="25BAD4D9" w14:textId="77777777">
                      <w:pPr>
                        <w:ind w:left="720" w:hanging="720"/>
                        <w:rPr>
                          <w:rFonts w:ascii="Arial" w:hAnsi="Arial" w:cs="Arial"/>
                          <w:b/>
                        </w:rPr>
                      </w:pPr>
                      <w:r>
                        <w:rPr>
                          <w:rFonts w:ascii="Arial" w:hAnsi="Arial" w:cs="Arial"/>
                          <w:b/>
                        </w:rPr>
                        <w:t>6.3</w:t>
                      </w:r>
                      <w:r w:rsidRPr="009B4422">
                        <w:rPr>
                          <w:rFonts w:ascii="Arial" w:hAnsi="Arial" w:cs="Arial"/>
                          <w:b/>
                        </w:rPr>
                        <w:tab/>
                      </w:r>
                      <w:r>
                        <w:rPr>
                          <w:rFonts w:ascii="Arial" w:hAnsi="Arial" w:cs="Arial"/>
                          <w:b/>
                          <w:szCs w:val="24"/>
                        </w:rPr>
                        <w:t>Estimating Agency Burden and Cost</w:t>
                      </w:r>
                    </w:p>
                  </w:txbxContent>
                </v:textbox>
                <w10:wrap anchorx="margin"/>
              </v:shape>
            </w:pict>
          </mc:Fallback>
        </mc:AlternateContent>
      </w:r>
      <w:r w:rsidRPr="00087AC9" w:rsidR="00287629">
        <w:rPr>
          <w:color w:val="000000"/>
        </w:rPr>
        <w:t xml:space="preserve"> </w:t>
      </w:r>
    </w:p>
    <w:p w:rsidR="00287629" w:rsidRPr="00087AC9" w:rsidP="00287629" w14:paraId="19A78E49" w14:textId="77777777">
      <w:pPr>
        <w:rPr>
          <w:color w:val="000000"/>
        </w:rPr>
      </w:pPr>
      <w:r w:rsidRPr="00087AC9">
        <w:rPr>
          <w:color w:val="000000"/>
        </w:rPr>
        <w:t>The costs to the Agency are those costs associated with the following agency activities:</w:t>
      </w:r>
    </w:p>
    <w:p w:rsidR="00287629" w:rsidRPr="00087AC9" w:rsidP="005E7C97" w14:paraId="42AE86BC" w14:textId="352C3CD8">
      <w:pPr>
        <w:pStyle w:val="ListParagraph"/>
        <w:numPr>
          <w:ilvl w:val="0"/>
          <w:numId w:val="26"/>
        </w:numPr>
        <w:rPr>
          <w:color w:val="000000"/>
        </w:rPr>
      </w:pPr>
      <w:r w:rsidRPr="00087AC9">
        <w:t>Review and analysis of notifications and reports, including performance test reports, excess emissions reports, required to be submitted by industry</w:t>
      </w:r>
      <w:r w:rsidRPr="00087AC9" w:rsidR="00CA6139">
        <w:t>;</w:t>
      </w:r>
    </w:p>
    <w:p w:rsidR="00287629" w:rsidRPr="00087AC9" w:rsidP="005E7C97" w14:paraId="4A317564" w14:textId="3ABD858A">
      <w:pPr>
        <w:pStyle w:val="ListParagraph"/>
        <w:numPr>
          <w:ilvl w:val="0"/>
          <w:numId w:val="26"/>
        </w:numPr>
        <w:rPr>
          <w:color w:val="000000"/>
        </w:rPr>
      </w:pPr>
      <w:r w:rsidRPr="00087AC9">
        <w:rPr>
          <w:szCs w:val="24"/>
        </w:rPr>
        <w:t>Observation of initial performance tests and repeat performance tests, if necessary;</w:t>
      </w:r>
    </w:p>
    <w:p w:rsidR="00CA6139" w:rsidRPr="00087AC9" w:rsidP="005E7C97" w14:paraId="63D37E91" w14:textId="39F33218">
      <w:pPr>
        <w:pStyle w:val="ListParagraph"/>
        <w:numPr>
          <w:ilvl w:val="0"/>
          <w:numId w:val="26"/>
        </w:numPr>
        <w:rPr>
          <w:color w:val="000000"/>
        </w:rPr>
      </w:pPr>
      <w:r w:rsidRPr="00087AC9">
        <w:rPr>
          <w:szCs w:val="24"/>
        </w:rPr>
        <w:t>Audi</w:t>
      </w:r>
      <w:r w:rsidRPr="00087AC9" w:rsidR="00650764">
        <w:rPr>
          <w:szCs w:val="24"/>
        </w:rPr>
        <w:t>t</w:t>
      </w:r>
      <w:r w:rsidRPr="00087AC9">
        <w:rPr>
          <w:szCs w:val="24"/>
        </w:rPr>
        <w:t xml:space="preserve"> of facility records; and</w:t>
      </w:r>
    </w:p>
    <w:p w:rsidR="00CA6139" w:rsidRPr="00087AC9" w:rsidP="005E7C97" w14:paraId="140ADB6B" w14:textId="41D5A660">
      <w:pPr>
        <w:pStyle w:val="ListParagraph"/>
        <w:numPr>
          <w:ilvl w:val="0"/>
          <w:numId w:val="26"/>
        </w:numPr>
        <w:rPr>
          <w:color w:val="000000"/>
        </w:rPr>
      </w:pPr>
      <w:r w:rsidRPr="00087AC9">
        <w:rPr>
          <w:szCs w:val="24"/>
        </w:rPr>
        <w:t>Input, analyze, and maintain data in the Enforcement and Compliance History Online (ECHO) and the Integrated Compliance Information System (ICIS).</w:t>
      </w:r>
    </w:p>
    <w:p w:rsidR="00CA6139" w:rsidRPr="00087AC9" w:rsidP="00CA6139" w14:paraId="095186BE" w14:textId="77777777">
      <w:pPr>
        <w:rPr>
          <w:color w:val="000000"/>
        </w:rPr>
      </w:pPr>
    </w:p>
    <w:p w:rsidR="00287629" w:rsidRPr="00087AC9" w:rsidP="00287629" w14:paraId="3B177857" w14:textId="289BC50D">
      <w:pPr>
        <w:rPr>
          <w:color w:val="000000"/>
        </w:rPr>
      </w:pPr>
      <w:r>
        <w:rPr>
          <w:color w:val="000000"/>
        </w:rPr>
        <w:t xml:space="preserve">The </w:t>
      </w:r>
      <w:r w:rsidRPr="00087AC9">
        <w:rPr>
          <w:color w:val="000000"/>
        </w:rPr>
        <w:t>EPA</w:t>
      </w:r>
      <w:r w:rsidR="006F131E">
        <w:rPr>
          <w:color w:val="000000"/>
        </w:rPr>
        <w:t>’</w:t>
      </w:r>
      <w:r w:rsidRPr="00087AC9">
        <w:rPr>
          <w:color w:val="000000"/>
        </w:rPr>
        <w:t>s overall compliance and enforcement program includes such activities as the examination of records maintained by the respondents, periodic inspection of sources of emissions, and the publication and distribution of collected information.</w:t>
      </w:r>
    </w:p>
    <w:p w:rsidR="00CA6139" w:rsidRPr="00087AC9" w:rsidP="00287629" w14:paraId="2AB5B8ED" w14:textId="18841B6A">
      <w:pPr>
        <w:rPr>
          <w:color w:val="000000"/>
        </w:rPr>
      </w:pPr>
    </w:p>
    <w:p w:rsidR="00CA6139" w:rsidRPr="00087AC9" w:rsidP="00CA6139" w14:paraId="55F714FC" w14:textId="3783673A">
      <w:pPr>
        <w:rPr>
          <w:color w:val="000000"/>
        </w:rPr>
      </w:pPr>
      <w:r w:rsidRPr="00087AC9">
        <w:rPr>
          <w:color w:val="000000"/>
        </w:rPr>
        <w:t xml:space="preserve">ICR uses the most recently available wage values from the Office of Personnel Management (OPM), </w:t>
      </w:r>
      <w:r w:rsidRPr="00087AC9" w:rsidR="00CD7EF6">
        <w:rPr>
          <w:color w:val="000000"/>
        </w:rPr>
        <w:t>“</w:t>
      </w:r>
      <w:r w:rsidRPr="00087AC9">
        <w:rPr>
          <w:color w:val="000000"/>
        </w:rPr>
        <w:t>2021 General Schedule</w:t>
      </w:r>
      <w:r w:rsidR="00CD3669">
        <w:rPr>
          <w:color w:val="000000"/>
        </w:rPr>
        <w:t>,</w:t>
      </w:r>
      <w:r w:rsidRPr="00087AC9" w:rsidR="00CD7EF6">
        <w:rPr>
          <w:color w:val="000000"/>
        </w:rPr>
        <w:t>”</w:t>
      </w:r>
      <w:r w:rsidRPr="00087AC9">
        <w:rPr>
          <w:color w:val="000000"/>
        </w:rPr>
        <w:t xml:space="preserve"> which excludes locality rates of pay. The rates have been increased by 60 percent to account for the benefit packages available to Federal government employees.</w:t>
      </w:r>
    </w:p>
    <w:p w:rsidR="00CA6139" w:rsidRPr="00087AC9" w:rsidP="00CA6139" w14:paraId="3F9A46C9" w14:textId="77777777">
      <w:pPr>
        <w:rPr>
          <w:color w:val="000000"/>
        </w:rPr>
      </w:pPr>
    </w:p>
    <w:p w:rsidR="00CA6139" w:rsidRPr="00087AC9" w:rsidP="00CA6139" w14:paraId="1C9A57BA" w14:textId="634B348B">
      <w:pPr>
        <w:rPr>
          <w:color w:val="000000"/>
        </w:rPr>
      </w:pPr>
      <w:r w:rsidRPr="00087AC9">
        <w:rPr>
          <w:color w:val="000000"/>
        </w:rPr>
        <w:t>This ICR uses the following Agency labor rates:</w:t>
      </w:r>
    </w:p>
    <w:p w:rsidR="00CA6139" w:rsidRPr="00087AC9" w:rsidP="00CA6139" w14:paraId="5306A5FE" w14:textId="77777777">
      <w:pPr>
        <w:rPr>
          <w:color w:val="000000"/>
        </w:rPr>
      </w:pPr>
    </w:p>
    <w:p w:rsidR="00CA6139" w:rsidRPr="00087AC9" w:rsidP="00CA6139" w14:paraId="411AD15F" w14:textId="662881B9">
      <w:pPr>
        <w:rPr>
          <w:color w:val="000000"/>
        </w:rPr>
      </w:pPr>
      <w:r w:rsidRPr="00087AC9">
        <w:rPr>
          <w:color w:val="000000"/>
        </w:rPr>
        <w:t>Managerial</w:t>
      </w:r>
      <w:r w:rsidRPr="00087AC9">
        <w:rPr>
          <w:color w:val="000000"/>
        </w:rPr>
        <w:tab/>
      </w:r>
      <w:r w:rsidRPr="00087AC9" w:rsidR="00CD7EF6">
        <w:rPr>
          <w:color w:val="000000"/>
        </w:rPr>
        <w:t>$69.04 (GS-13, Step 5, $43.15 + 60%)</w:t>
      </w:r>
    </w:p>
    <w:p w:rsidR="00CA6139" w:rsidRPr="00087AC9" w:rsidP="00CA6139" w14:paraId="3CDF0A05" w14:textId="1D1A5A85">
      <w:pPr>
        <w:rPr>
          <w:color w:val="000000"/>
        </w:rPr>
      </w:pPr>
      <w:r w:rsidRPr="00087AC9">
        <w:rPr>
          <w:color w:val="000000"/>
        </w:rPr>
        <w:t>Technical</w:t>
      </w:r>
      <w:r w:rsidRPr="00087AC9">
        <w:rPr>
          <w:color w:val="000000"/>
        </w:rPr>
        <w:tab/>
      </w:r>
      <w:r w:rsidRPr="00087AC9" w:rsidR="00CD7EF6">
        <w:rPr>
          <w:color w:val="000000"/>
        </w:rPr>
        <w:t>$51.23 (GS-12, Step 1, $32.02 + 60%)</w:t>
      </w:r>
    </w:p>
    <w:p w:rsidR="00CA6139" w:rsidRPr="00087AC9" w:rsidP="00287629" w14:paraId="1F1C77A5" w14:textId="00F532C5">
      <w:pPr>
        <w:rPr>
          <w:color w:val="000000"/>
        </w:rPr>
      </w:pPr>
      <w:r w:rsidRPr="00087AC9">
        <w:rPr>
          <w:color w:val="000000"/>
        </w:rPr>
        <w:t>Clerical</w:t>
      </w:r>
      <w:r w:rsidRPr="00087AC9">
        <w:rPr>
          <w:color w:val="000000"/>
        </w:rPr>
        <w:tab/>
      </w:r>
      <w:r w:rsidRPr="00087AC9" w:rsidR="00CD7EF6">
        <w:rPr>
          <w:color w:val="000000"/>
        </w:rPr>
        <w:t>$27.73 (GS-6, Step 3, $17.33 + 60%)</w:t>
      </w:r>
    </w:p>
    <w:p w:rsidR="00287629" w:rsidRPr="00087AC9" w:rsidP="00287629" w14:paraId="0C5C34AB" w14:textId="77777777">
      <w:pPr>
        <w:rPr>
          <w:color w:val="000000"/>
        </w:rPr>
      </w:pPr>
    </w:p>
    <w:p w:rsidR="00CE7492" w:rsidRPr="00087AC9" w:rsidP="00287629" w14:paraId="66B201D1" w14:textId="668FAA8A">
      <w:r w:rsidRPr="00087AC9">
        <w:rPr>
          <w:color w:val="000000"/>
        </w:rPr>
        <w:t xml:space="preserve">The average annual Agency estimate of hours is </w:t>
      </w:r>
      <w:r w:rsidR="00A9246E">
        <w:rPr>
          <w:color w:val="000000"/>
        </w:rPr>
        <w:t>3</w:t>
      </w:r>
      <w:r w:rsidR="0065266A">
        <w:rPr>
          <w:color w:val="000000"/>
        </w:rPr>
        <w:t>67</w:t>
      </w:r>
      <w:r w:rsidRPr="00087AC9">
        <w:rPr>
          <w:color w:val="000000"/>
        </w:rPr>
        <w:t xml:space="preserve"> and the average annual Agency labor costs are $</w:t>
      </w:r>
      <w:r w:rsidR="000E6E88">
        <w:rPr>
          <w:color w:val="000000"/>
        </w:rPr>
        <w:t>1</w:t>
      </w:r>
      <w:r w:rsidR="0065266A">
        <w:rPr>
          <w:color w:val="000000"/>
        </w:rPr>
        <w:t>8,323</w:t>
      </w:r>
      <w:r w:rsidRPr="00087AC9">
        <w:rPr>
          <w:color w:val="000000"/>
        </w:rPr>
        <w:t xml:space="preserve">. Details regarding these estimates may be found below in </w:t>
      </w:r>
      <w:r w:rsidR="003406DD">
        <w:rPr>
          <w:color w:val="000000"/>
        </w:rPr>
        <w:t xml:space="preserve">the </w:t>
      </w:r>
      <w:r w:rsidRPr="00A05A2A" w:rsidR="003406DD">
        <w:rPr>
          <w:color w:val="000000"/>
        </w:rPr>
        <w:t>Tables 1 – 3:  Annual Respondent Burden and Cost – Pipeline Transportation of Natural Gas, Year</w:t>
      </w:r>
      <w:r w:rsidR="003406DD">
        <w:rPr>
          <w:color w:val="000000"/>
        </w:rPr>
        <w:t>s</w:t>
      </w:r>
      <w:r w:rsidRPr="00A05A2A" w:rsidR="003406DD">
        <w:rPr>
          <w:color w:val="000000"/>
        </w:rPr>
        <w:t xml:space="preserve"> 1 through 3, Table</w:t>
      </w:r>
      <w:r w:rsidR="003406DD">
        <w:rPr>
          <w:color w:val="000000"/>
        </w:rPr>
        <w:t>s</w:t>
      </w:r>
      <w:r w:rsidRPr="00A05A2A" w:rsidR="003406DD">
        <w:rPr>
          <w:color w:val="000000"/>
        </w:rPr>
        <w:t xml:space="preserve"> 4</w:t>
      </w:r>
      <w:r w:rsidR="003406DD">
        <w:rPr>
          <w:color w:val="000000"/>
        </w:rPr>
        <w:t xml:space="preserve"> -</w:t>
      </w:r>
      <w:r w:rsidR="006F131E">
        <w:rPr>
          <w:color w:val="000000"/>
        </w:rPr>
        <w:t xml:space="preserve"> </w:t>
      </w:r>
      <w:r w:rsidR="003406DD">
        <w:rPr>
          <w:color w:val="000000"/>
        </w:rPr>
        <w:t>6</w:t>
      </w:r>
      <w:r w:rsidRPr="00A05A2A" w:rsidR="003406DD">
        <w:rPr>
          <w:color w:val="000000"/>
        </w:rPr>
        <w:t xml:space="preserve">: Annual Respondent Burden and Cost - Cement and Concrete Product Manufacturing, </w:t>
      </w:r>
      <w:r w:rsidR="003406DD">
        <w:rPr>
          <w:color w:val="000000"/>
        </w:rPr>
        <w:t xml:space="preserve">Years 1 through 3, </w:t>
      </w:r>
      <w:r w:rsidRPr="00A05A2A" w:rsidR="003406DD">
        <w:rPr>
          <w:color w:val="000000"/>
        </w:rPr>
        <w:t xml:space="preserve">Table </w:t>
      </w:r>
      <w:r w:rsidR="003406DD">
        <w:rPr>
          <w:color w:val="000000"/>
        </w:rPr>
        <w:t>7</w:t>
      </w:r>
      <w:r w:rsidRPr="00A05A2A" w:rsidR="003406DD">
        <w:rPr>
          <w:color w:val="000000"/>
        </w:rPr>
        <w:t>-</w:t>
      </w:r>
      <w:r w:rsidR="003406DD">
        <w:rPr>
          <w:color w:val="000000"/>
        </w:rPr>
        <w:t>9</w:t>
      </w:r>
      <w:r w:rsidRPr="00A05A2A" w:rsidR="003406DD">
        <w:rPr>
          <w:color w:val="000000"/>
        </w:rPr>
        <w:t>:  Annual Respondent Burden and Cost – Iron and Steel Mills and Ferroalloy Manufacturing, Year</w:t>
      </w:r>
      <w:r w:rsidR="003406DD">
        <w:rPr>
          <w:color w:val="000000"/>
        </w:rPr>
        <w:t>s</w:t>
      </w:r>
      <w:r w:rsidRPr="00A05A2A" w:rsidR="003406DD">
        <w:rPr>
          <w:color w:val="000000"/>
        </w:rPr>
        <w:t xml:space="preserve"> 1 through 3, Table</w:t>
      </w:r>
      <w:r w:rsidR="003406DD">
        <w:rPr>
          <w:color w:val="000000"/>
        </w:rPr>
        <w:t>s</w:t>
      </w:r>
      <w:r w:rsidRPr="00A05A2A" w:rsidR="003406DD">
        <w:rPr>
          <w:color w:val="000000"/>
        </w:rPr>
        <w:t xml:space="preserve"> </w:t>
      </w:r>
      <w:r w:rsidR="003406DD">
        <w:rPr>
          <w:color w:val="000000"/>
        </w:rPr>
        <w:t>10 - 12</w:t>
      </w:r>
      <w:r w:rsidRPr="00A05A2A" w:rsidR="003406DD">
        <w:rPr>
          <w:color w:val="000000"/>
        </w:rPr>
        <w:t xml:space="preserve">:  Annual Respondent Burden and Cost – Glass and Glass Product Manufacturing, </w:t>
      </w:r>
      <w:r w:rsidR="003406DD">
        <w:rPr>
          <w:color w:val="000000"/>
        </w:rPr>
        <w:t xml:space="preserve">Years 1 through 3, </w:t>
      </w:r>
      <w:r w:rsidRPr="00A05A2A" w:rsidR="003406DD">
        <w:rPr>
          <w:color w:val="000000"/>
        </w:rPr>
        <w:t>Table</w:t>
      </w:r>
      <w:r w:rsidR="003406DD">
        <w:rPr>
          <w:color w:val="000000"/>
        </w:rPr>
        <w:t>s</w:t>
      </w:r>
      <w:r w:rsidRPr="00A05A2A" w:rsidR="003406DD">
        <w:rPr>
          <w:color w:val="000000"/>
        </w:rPr>
        <w:t xml:space="preserve"> </w:t>
      </w:r>
      <w:r w:rsidR="003406DD">
        <w:rPr>
          <w:color w:val="000000"/>
        </w:rPr>
        <w:t xml:space="preserve">13 </w:t>
      </w:r>
      <w:r w:rsidRPr="00A05A2A" w:rsidR="003406DD">
        <w:rPr>
          <w:color w:val="000000"/>
        </w:rPr>
        <w:t>-</w:t>
      </w:r>
      <w:r w:rsidR="003406DD">
        <w:rPr>
          <w:color w:val="000000"/>
        </w:rPr>
        <w:t xml:space="preserve"> </w:t>
      </w:r>
      <w:r w:rsidRPr="00A05A2A" w:rsidR="003406DD">
        <w:rPr>
          <w:color w:val="000000"/>
        </w:rPr>
        <w:t>1</w:t>
      </w:r>
      <w:r w:rsidR="003406DD">
        <w:rPr>
          <w:color w:val="000000"/>
        </w:rPr>
        <w:t>5</w:t>
      </w:r>
      <w:r w:rsidRPr="00A05A2A" w:rsidR="003406DD">
        <w:rPr>
          <w:color w:val="000000"/>
        </w:rPr>
        <w:t xml:space="preserve">:  Annual Respondent Burden and Cost – Basic Chemical Manufacturing, Petroleum and Coal Products Manufacturing, </w:t>
      </w:r>
      <w:r w:rsidR="0097236E">
        <w:rPr>
          <w:color w:val="000000"/>
        </w:rPr>
        <w:t xml:space="preserve">Metal Ore Mining, </w:t>
      </w:r>
      <w:r w:rsidRPr="00A05A2A" w:rsidR="003406DD">
        <w:rPr>
          <w:color w:val="000000"/>
        </w:rPr>
        <w:t>and Pulp, Paper, and Paperboard Mills, Year</w:t>
      </w:r>
      <w:r w:rsidR="003406DD">
        <w:rPr>
          <w:color w:val="000000"/>
        </w:rPr>
        <w:t>s</w:t>
      </w:r>
      <w:r w:rsidRPr="00A05A2A" w:rsidR="003406DD">
        <w:rPr>
          <w:color w:val="000000"/>
        </w:rPr>
        <w:t xml:space="preserve"> 1 through </w:t>
      </w:r>
      <w:r w:rsidR="003406DD">
        <w:rPr>
          <w:color w:val="000000"/>
        </w:rPr>
        <w:t>3, and Tables 16 – 18:  Annual Respondent Burden and Cost – Solid Waste Combustors and Incinerators, Years 1 through 3.</w:t>
      </w:r>
      <w:r w:rsidRPr="00087AC9">
        <w:rPr>
          <w:color w:val="000000"/>
        </w:rPr>
        <w:t xml:space="preserve"> </w:t>
      </w:r>
      <w:r w:rsidRPr="00087AC9">
        <w:t xml:space="preserve"> </w:t>
      </w:r>
    </w:p>
    <w:p w:rsidR="00B773E4" w:rsidRPr="00087AC9" w:rsidP="00B773E4" w14:paraId="6D4967FB" w14:textId="77777777">
      <w:pPr>
        <w:rPr>
          <w:b/>
        </w:rPr>
      </w:pPr>
    </w:p>
    <w:p w:rsidR="00A67586" w:rsidRPr="00087AC9" w:rsidP="00B773E4" w14:paraId="3426FC53" w14:textId="77777777"/>
    <w:p w:rsidR="00B773E4" w:rsidRPr="00087AC9" w:rsidP="00B773E4" w14:paraId="56AAC49B" w14:textId="77777777">
      <w:r w:rsidRPr="00087AC9">
        <w:rPr>
          <w:noProof/>
          <w:szCs w:val="24"/>
        </w:rPr>
        <mc:AlternateContent>
          <mc:Choice Requires="wps">
            <w:drawing>
              <wp:anchor distT="0" distB="0" distL="114300" distR="114300" simplePos="0" relativeHeight="251701248" behindDoc="0" locked="0" layoutInCell="1" allowOverlap="1">
                <wp:simplePos x="0" y="0"/>
                <wp:positionH relativeFrom="margin">
                  <wp:posOffset>-2286000</wp:posOffset>
                </wp:positionH>
                <wp:positionV relativeFrom="paragraph">
                  <wp:posOffset>8255</wp:posOffset>
                </wp:positionV>
                <wp:extent cx="1744980" cy="616585"/>
                <wp:effectExtent l="0" t="0" r="0" b="0"/>
                <wp:wrapNone/>
                <wp:docPr id="5" name="Text Box 1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44980" cy="6165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3AC" w:rsidRPr="009B4422" w:rsidP="00E45EDD" w14:paraId="73CEC63C" w14:textId="77777777">
                            <w:pPr>
                              <w:ind w:left="720" w:hanging="720"/>
                              <w:rPr>
                                <w:rFonts w:ascii="Arial" w:hAnsi="Arial" w:cs="Arial"/>
                                <w:b/>
                              </w:rPr>
                            </w:pPr>
                            <w:r>
                              <w:rPr>
                                <w:rFonts w:ascii="Arial" w:hAnsi="Arial" w:cs="Arial"/>
                                <w:b/>
                              </w:rPr>
                              <w:t>6.4</w:t>
                            </w:r>
                            <w:r>
                              <w:rPr>
                                <w:rFonts w:ascii="Arial" w:hAnsi="Arial" w:cs="Arial"/>
                                <w:b/>
                              </w:rPr>
                              <w:tab/>
                            </w:r>
                            <w:r>
                              <w:rPr>
                                <w:rFonts w:ascii="Arial" w:hAnsi="Arial" w:cs="Arial"/>
                                <w:b/>
                              </w:rPr>
                              <w:t>Estimating the Respondent Universe</w:t>
                            </w:r>
                          </w:p>
                        </w:txbxContent>
                      </wps:txbx>
                      <wps:bodyPr rot="0" vert="horz" wrap="square" lIns="0" tIns="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42" o:spid="_x0000_s1067" type="#_x0000_t202" style="width:137.4pt;height:48.55pt;margin-top:0.65pt;margin-left:-180pt;mso-height-percent:0;mso-height-relative:page;mso-position-horizontal-relative:margin;mso-width-percent:0;mso-width-relative:page;mso-wrap-distance-bottom:0;mso-wrap-distance-left:9pt;mso-wrap-distance-right:9pt;mso-wrap-distance-top:0;mso-wrap-style:square;position:absolute;visibility:visible;v-text-anchor:top;z-index:251702272" filled="f" stroked="f">
                <v:textbox inset="0,0">
                  <w:txbxContent>
                    <w:p w:rsidR="005343AC" w:rsidRPr="009B4422" w:rsidP="00E45EDD" w14:paraId="7B18D5FD" w14:textId="77777777">
                      <w:pPr>
                        <w:ind w:left="720" w:hanging="720"/>
                        <w:rPr>
                          <w:rFonts w:ascii="Arial" w:hAnsi="Arial" w:cs="Arial"/>
                          <w:b/>
                        </w:rPr>
                      </w:pPr>
                      <w:r>
                        <w:rPr>
                          <w:rFonts w:ascii="Arial" w:hAnsi="Arial" w:cs="Arial"/>
                          <w:b/>
                        </w:rPr>
                        <w:t>6.4</w:t>
                      </w:r>
                      <w:r>
                        <w:rPr>
                          <w:rFonts w:ascii="Arial" w:hAnsi="Arial" w:cs="Arial"/>
                          <w:b/>
                        </w:rPr>
                        <w:tab/>
                      </w:r>
                      <w:r>
                        <w:rPr>
                          <w:rFonts w:ascii="Arial" w:hAnsi="Arial" w:cs="Arial"/>
                          <w:b/>
                        </w:rPr>
                        <w:t>Estimating the Respondent Universe</w:t>
                      </w:r>
                    </w:p>
                  </w:txbxContent>
                </v:textbox>
                <w10:wrap anchorx="margin"/>
              </v:shape>
            </w:pict>
          </mc:Fallback>
        </mc:AlternateContent>
      </w:r>
      <w:r w:rsidRPr="00087AC9" w:rsidR="00B773E4">
        <w:t>For the purpose of</w:t>
      </w:r>
      <w:r w:rsidRPr="00087AC9" w:rsidR="00B773E4">
        <w:t xml:space="preserve"> estimating burden in this ICR, the respondent universe is determined as follows.</w:t>
      </w:r>
    </w:p>
    <w:p w:rsidR="00EF76B9" w:rsidRPr="00087AC9" w:rsidP="005F4787" w14:paraId="50E860C0" w14:textId="77777777">
      <w:pPr>
        <w:rPr>
          <w:b/>
        </w:rPr>
      </w:pPr>
    </w:p>
    <w:p w:rsidR="008065F9" w:rsidRPr="00087AC9" w:rsidP="008065F9" w14:paraId="5B8C2471" w14:textId="48EF6DC7">
      <w:r w:rsidRPr="00087AC9">
        <w:rPr>
          <w:b/>
        </w:rPr>
        <w:t>Industry.</w:t>
      </w:r>
      <w:r w:rsidRPr="00087AC9">
        <w:t xml:space="preserve"> </w:t>
      </w:r>
      <w:r w:rsidRPr="00087AC9">
        <w:t xml:space="preserve"> </w:t>
      </w:r>
      <w:r w:rsidR="00247B8B">
        <w:t xml:space="preserve">The </w:t>
      </w:r>
      <w:r w:rsidRPr="00087AC9">
        <w:rPr>
          <w:szCs w:val="24"/>
        </w:rPr>
        <w:t xml:space="preserve">EPA is </w:t>
      </w:r>
      <w:r w:rsidRPr="00087AC9">
        <w:rPr>
          <w:rFonts w:eastAsiaTheme="minorEastAsia"/>
          <w:szCs w:val="24"/>
        </w:rPr>
        <w:t>establish</w:t>
      </w:r>
      <w:r w:rsidR="007803CE">
        <w:rPr>
          <w:rFonts w:eastAsiaTheme="minorEastAsia"/>
          <w:szCs w:val="24"/>
        </w:rPr>
        <w:t>ing</w:t>
      </w:r>
      <w:r w:rsidRPr="00087AC9">
        <w:rPr>
          <w:rFonts w:eastAsiaTheme="minorEastAsia"/>
          <w:szCs w:val="24"/>
        </w:rPr>
        <w:t xml:space="preserve"> nitrogen oxides (NOx) emissions limitations during </w:t>
      </w:r>
      <w:r w:rsidR="003C73BE">
        <w:rPr>
          <w:rFonts w:eastAsiaTheme="minorEastAsia"/>
          <w:szCs w:val="24"/>
        </w:rPr>
        <w:t xml:space="preserve">the </w:t>
      </w:r>
      <w:r w:rsidRPr="00087AC9">
        <w:rPr>
          <w:rFonts w:eastAsiaTheme="minorEastAsia"/>
          <w:szCs w:val="24"/>
        </w:rPr>
        <w:t xml:space="preserve">ozone season beginning in 2026 for certain non-EGU industry stationary sources in </w:t>
      </w:r>
      <w:r w:rsidR="00231F44">
        <w:rPr>
          <w:rFonts w:eastAsiaTheme="minorEastAsia"/>
          <w:szCs w:val="24"/>
        </w:rPr>
        <w:t>20</w:t>
      </w:r>
      <w:r w:rsidRPr="00087AC9">
        <w:rPr>
          <w:rFonts w:eastAsiaTheme="minorEastAsia"/>
          <w:szCs w:val="24"/>
        </w:rPr>
        <w:t xml:space="preserve"> states </w:t>
      </w:r>
      <w:r w:rsidR="009C0B7E">
        <w:rPr>
          <w:rFonts w:eastAsiaTheme="minorEastAsia"/>
          <w:szCs w:val="24"/>
        </w:rPr>
        <w:t xml:space="preserve">to </w:t>
      </w:r>
      <w:r w:rsidRPr="00087AC9">
        <w:rPr>
          <w:rFonts w:eastAsiaTheme="minorEastAsia"/>
          <w:szCs w:val="24"/>
        </w:rPr>
        <w:t xml:space="preserve">eliminate significant contribution to downwind ozone air quality problems in other states.  </w:t>
      </w:r>
      <w:r w:rsidRPr="00087AC9">
        <w:t xml:space="preserve">This </w:t>
      </w:r>
      <w:r w:rsidR="00231F44">
        <w:t>final</w:t>
      </w:r>
      <w:r w:rsidRPr="00087AC9">
        <w:t xml:space="preserve"> rule would resolve the interstate transport obligations of </w:t>
      </w:r>
      <w:r w:rsidR="003C73BE">
        <w:t xml:space="preserve">these </w:t>
      </w:r>
      <w:r w:rsidR="00231F44">
        <w:t>20</w:t>
      </w:r>
      <w:r w:rsidR="003C73BE">
        <w:t xml:space="preserve"> </w:t>
      </w:r>
      <w:r w:rsidRPr="00087AC9">
        <w:t>states under the “good neighbor provision” for the 2015 ozone NAAQS</w:t>
      </w:r>
      <w:r w:rsidR="00061EB8">
        <w:t>.</w:t>
      </w:r>
    </w:p>
    <w:p w:rsidR="008065F9" w:rsidRPr="00087AC9" w:rsidP="008065F9" w14:paraId="17E79EFD" w14:textId="77777777"/>
    <w:p w:rsidR="00950BE7" w:rsidP="00EE2EE9" w14:paraId="606C55A5" w14:textId="65782673">
      <w:r>
        <w:t xml:space="preserve">Over the </w:t>
      </w:r>
      <w:r w:rsidR="003C73BE">
        <w:t xml:space="preserve">representative </w:t>
      </w:r>
      <w:r w:rsidR="00231F44">
        <w:t>2023-2025</w:t>
      </w:r>
      <w:r w:rsidR="003C73BE">
        <w:t xml:space="preserve"> timeframe</w:t>
      </w:r>
      <w:r>
        <w:t>, approximately</w:t>
      </w:r>
      <w:r w:rsidR="00335406">
        <w:t xml:space="preserve"> 902</w:t>
      </w:r>
      <w:r w:rsidRPr="0895AA45" w:rsidR="00335406">
        <w:t xml:space="preserve"> facilities and </w:t>
      </w:r>
      <w:r w:rsidR="00335406">
        <w:t xml:space="preserve">3,328 </w:t>
      </w:r>
      <w:r w:rsidRPr="0895AA45" w:rsidR="00335406">
        <w:t>affected non-EGU emission</w:t>
      </w:r>
      <w:r w:rsidR="00335406">
        <w:t>s</w:t>
      </w:r>
      <w:r w:rsidRPr="00087AC9" w:rsidR="00335406">
        <w:rPr>
          <w:szCs w:val="24"/>
        </w:rPr>
        <w:t xml:space="preserve"> </w:t>
      </w:r>
      <w:r w:rsidR="00335406">
        <w:t>units</w:t>
      </w:r>
      <w:r w:rsidRPr="0895AA45" w:rsidR="00335406">
        <w:t xml:space="preserve"> </w:t>
      </w:r>
      <w:r w:rsidR="00335406">
        <w:t xml:space="preserve">(respondents) </w:t>
      </w:r>
      <w:r>
        <w:t xml:space="preserve">per year within these </w:t>
      </w:r>
      <w:r w:rsidR="00231F44">
        <w:t>20</w:t>
      </w:r>
      <w:r>
        <w:t xml:space="preserve"> states will be subject to the </w:t>
      </w:r>
      <w:r w:rsidR="00231F44">
        <w:t>final</w:t>
      </w:r>
      <w:r>
        <w:t xml:space="preserve"> rule</w:t>
      </w:r>
      <w:r w:rsidR="002E1D28">
        <w:t>.</w:t>
      </w:r>
      <w:r w:rsidR="00781848">
        <w:t xml:space="preserve"> </w:t>
      </w:r>
      <w:r w:rsidR="00F907B2">
        <w:t>The respondent universe was determined</w:t>
      </w:r>
      <w:r w:rsidR="00EE2EE9">
        <w:t xml:space="preserve"> through evaluating how many existing emissions units would be subject to the final rule. The analysis </w:t>
      </w:r>
      <w:r w:rsidR="004E155A">
        <w:t>and identification of these sources is laid out in</w:t>
      </w:r>
      <w:r w:rsidR="00AC7F1F">
        <w:t xml:space="preserve"> </w:t>
      </w:r>
      <w:r w:rsidR="00AC7F1F">
        <w:t>t</w:t>
      </w:r>
      <w:r w:rsidRPr="00AC7F1F" w:rsidR="00AC7F1F">
        <w:t>he memorandum titled, “</w:t>
      </w:r>
      <w:bookmarkStart w:id="6" w:name="_Hlk127371731"/>
      <w:r w:rsidRPr="00AC7F1F" w:rsidR="00AC7F1F">
        <w:t>Summary of Final Rule Applicability Criteria and Emissions Limits for Non-EGU Emissions Units, Assumed Control Technologies for Meeting the Final Emissions Limits, and Estimated Emissions Units, Emissions Reductions, and Costs.</w:t>
      </w:r>
      <w:bookmarkEnd w:id="6"/>
      <w:r w:rsidRPr="00AC7F1F" w:rsidR="00AC7F1F">
        <w:t>”</w:t>
      </w:r>
    </w:p>
    <w:p w:rsidR="001D7F78" w:rsidP="00606C94" w14:paraId="7EA07636" w14:textId="77777777"/>
    <w:p w:rsidR="00705F36" w:rsidRPr="00087AC9" w:rsidP="00606C94" w14:paraId="49A5B503" w14:textId="0A614820">
      <w:pPr>
        <w:rPr>
          <w:color w:val="000000"/>
        </w:rPr>
      </w:pPr>
      <w:r>
        <w:rPr>
          <w:color w:val="000000"/>
        </w:rPr>
        <w:t>Because the rule also covers new sources, i</w:t>
      </w:r>
      <w:r w:rsidRPr="00087AC9" w:rsidR="008065F9">
        <w:rPr>
          <w:color w:val="000000"/>
        </w:rPr>
        <w:t>t is estimated that additional respondent</w:t>
      </w:r>
      <w:r w:rsidR="00061EB8">
        <w:rPr>
          <w:color w:val="000000"/>
        </w:rPr>
        <w:t>s</w:t>
      </w:r>
      <w:r w:rsidRPr="00087AC9" w:rsidR="008065F9">
        <w:rPr>
          <w:color w:val="000000"/>
        </w:rPr>
        <w:t xml:space="preserve"> each year will become subject to these same standards and will increase at a rate of ten percent of the existing respondent universe.</w:t>
      </w:r>
      <w:r w:rsidR="00061EB8">
        <w:rPr>
          <w:color w:val="000000"/>
        </w:rPr>
        <w:t xml:space="preserve">  </w:t>
      </w:r>
    </w:p>
    <w:p w:rsidR="00705F36" w:rsidRPr="00087AC9" w:rsidP="00705F36" w14:paraId="1F4DDB03"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705F36" w:rsidRPr="003406DD" w:rsidP="00705F36" w14:paraId="545A9D72" w14:textId="030032BC">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87AC9">
        <w:rPr>
          <w:noProof/>
        </w:rPr>
        <mc:AlternateContent>
          <mc:Choice Requires="wps">
            <w:drawing>
              <wp:anchor distT="0" distB="0" distL="114300" distR="114300" simplePos="0" relativeHeight="251693056" behindDoc="0" locked="0" layoutInCell="1" allowOverlap="1">
                <wp:simplePos x="0" y="0"/>
                <wp:positionH relativeFrom="margin">
                  <wp:posOffset>-2282190</wp:posOffset>
                </wp:positionH>
                <wp:positionV relativeFrom="paragraph">
                  <wp:posOffset>27851</wp:posOffset>
                </wp:positionV>
                <wp:extent cx="1786255" cy="414655"/>
                <wp:effectExtent l="0" t="0" r="0" b="4445"/>
                <wp:wrapNone/>
                <wp:docPr id="4" name="Text Box 1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86255" cy="4146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3AC" w:rsidRPr="00DE09EE" w:rsidP="00A015B6" w14:paraId="045F9819" w14:textId="77777777">
                            <w:pPr>
                              <w:ind w:left="720" w:hanging="720"/>
                              <w:rPr>
                                <w:rFonts w:ascii="Arial" w:hAnsi="Arial" w:cs="Arial"/>
                                <w:b/>
                              </w:rPr>
                            </w:pPr>
                            <w:r>
                              <w:rPr>
                                <w:rFonts w:ascii="Arial" w:hAnsi="Arial" w:cs="Arial"/>
                                <w:b/>
                              </w:rPr>
                              <w:t>6.5</w:t>
                            </w:r>
                            <w:r>
                              <w:rPr>
                                <w:rFonts w:ascii="Arial" w:hAnsi="Arial" w:cs="Arial"/>
                                <w:b/>
                              </w:rPr>
                              <w:tab/>
                            </w:r>
                            <w:r>
                              <w:rPr>
                                <w:rFonts w:ascii="Arial" w:hAnsi="Arial" w:cs="Arial"/>
                                <w:b/>
                              </w:rPr>
                              <w:t>Bottom Line Burden and Cost</w:t>
                            </w:r>
                          </w:p>
                        </w:txbxContent>
                      </wps:txbx>
                      <wps:bodyPr rot="0" vert="horz" wrap="square" lIns="0" tIns="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3" o:spid="_x0000_s1068" type="#_x0000_t202" style="width:140.65pt;height:32.65pt;margin-top:2.2pt;margin-left:-179.7pt;mso-height-percent:0;mso-height-relative:page;mso-position-horizontal-relative:margin;mso-width-percent:0;mso-width-relative:page;mso-wrap-distance-bottom:0;mso-wrap-distance-left:9pt;mso-wrap-distance-right:9pt;mso-wrap-distance-top:0;mso-wrap-style:square;position:absolute;visibility:visible;v-text-anchor:top;z-index:251694080" filled="f" stroked="f">
                <v:textbox inset="0,0">
                  <w:txbxContent>
                    <w:p w:rsidR="005343AC" w:rsidRPr="00DE09EE" w:rsidP="00A015B6" w14:paraId="3146B5D5" w14:textId="77777777">
                      <w:pPr>
                        <w:ind w:left="720" w:hanging="720"/>
                        <w:rPr>
                          <w:rFonts w:ascii="Arial" w:hAnsi="Arial" w:cs="Arial"/>
                          <w:b/>
                        </w:rPr>
                      </w:pPr>
                      <w:r>
                        <w:rPr>
                          <w:rFonts w:ascii="Arial" w:hAnsi="Arial" w:cs="Arial"/>
                          <w:b/>
                        </w:rPr>
                        <w:t>6.5</w:t>
                      </w:r>
                      <w:r>
                        <w:rPr>
                          <w:rFonts w:ascii="Arial" w:hAnsi="Arial" w:cs="Arial"/>
                          <w:b/>
                        </w:rPr>
                        <w:tab/>
                      </w:r>
                      <w:r>
                        <w:rPr>
                          <w:rFonts w:ascii="Arial" w:hAnsi="Arial" w:cs="Arial"/>
                          <w:b/>
                        </w:rPr>
                        <w:t>Bottom Line Burden and Cost</w:t>
                      </w:r>
                    </w:p>
                  </w:txbxContent>
                </v:textbox>
                <w10:wrap anchorx="margin"/>
              </v:shape>
            </w:pict>
          </mc:Fallback>
        </mc:AlternateContent>
      </w:r>
      <w:r w:rsidR="00247B8B">
        <w:t xml:space="preserve">The </w:t>
      </w:r>
      <w:r>
        <w:t xml:space="preserve">EPA is not expecting any required respondent activities and associated costs to begin until </w:t>
      </w:r>
      <w:r w:rsidR="00247B8B">
        <w:t xml:space="preserve">later in </w:t>
      </w:r>
      <w:r>
        <w:t>202</w:t>
      </w:r>
      <w:r w:rsidR="00247B8B">
        <w:t>3 after the final rule becomes effective</w:t>
      </w:r>
      <w:r>
        <w:t xml:space="preserve">.  </w:t>
      </w:r>
      <w:r w:rsidR="00542B4B">
        <w:t xml:space="preserve">The </w:t>
      </w:r>
      <w:r w:rsidR="00D03BE8">
        <w:t>final r</w:t>
      </w:r>
      <w:r w:rsidR="00542B4B">
        <w:t xml:space="preserve">ule compliance period with emissions limits for non-EGU emissions sources begins in 2026 and would occur during the 2026-2029 </w:t>
      </w:r>
      <w:r w:rsidR="00542B4B">
        <w:t>time period</w:t>
      </w:r>
      <w:r w:rsidR="00542B4B">
        <w:t xml:space="preserve"> </w:t>
      </w:r>
      <w:r w:rsidR="00542B4B">
        <w:t xml:space="preserve">of any subsequent ICR renewal. The majority of ICR respondent burden and cost will be realized during the 2026-2029 renewal timeframe and beyond. </w:t>
      </w:r>
      <w:r>
        <w:t xml:space="preserve">Consequently, this non-EGU ICR is </w:t>
      </w:r>
      <w:r w:rsidR="00542B4B">
        <w:t xml:space="preserve">likely an overestimate </w:t>
      </w:r>
      <w:r>
        <w:t xml:space="preserve">of the burden occurring in the </w:t>
      </w:r>
      <w:r w:rsidR="00231F44">
        <w:t>2023-2025</w:t>
      </w:r>
      <w:r>
        <w:t xml:space="preserve"> timeframe.  </w:t>
      </w:r>
      <w:r w:rsidRPr="00087AC9" w:rsidR="00705F36">
        <w:rPr>
          <w:color w:val="000000"/>
        </w:rPr>
        <w:t xml:space="preserve">The detailed bottom line burden hours and cost calculations for the respondents and the Agency are shown at the end of this document, in </w:t>
      </w:r>
      <w:r w:rsidR="003406DD">
        <w:rPr>
          <w:color w:val="000000"/>
        </w:rPr>
        <w:t xml:space="preserve">the </w:t>
      </w:r>
      <w:r w:rsidRPr="00A05A2A" w:rsidR="003406DD">
        <w:rPr>
          <w:color w:val="000000"/>
        </w:rPr>
        <w:t>Tables 1 – 3:  Annual Respondent Burden and Cost – Pipeline Transportation of Natural Gas, Year</w:t>
      </w:r>
      <w:r w:rsidR="003406DD">
        <w:rPr>
          <w:color w:val="000000"/>
        </w:rPr>
        <w:t>s</w:t>
      </w:r>
      <w:r w:rsidRPr="00A05A2A" w:rsidR="003406DD">
        <w:rPr>
          <w:color w:val="000000"/>
        </w:rPr>
        <w:t xml:space="preserve"> 1 through 3, Table</w:t>
      </w:r>
      <w:r w:rsidR="003406DD">
        <w:rPr>
          <w:color w:val="000000"/>
        </w:rPr>
        <w:t>s</w:t>
      </w:r>
      <w:r w:rsidRPr="00A05A2A" w:rsidR="003406DD">
        <w:rPr>
          <w:color w:val="000000"/>
        </w:rPr>
        <w:t xml:space="preserve"> 4</w:t>
      </w:r>
      <w:r w:rsidR="003406DD">
        <w:rPr>
          <w:color w:val="000000"/>
        </w:rPr>
        <w:t xml:space="preserve"> -</w:t>
      </w:r>
      <w:r w:rsidR="00DA349F">
        <w:rPr>
          <w:color w:val="000000"/>
        </w:rPr>
        <w:t xml:space="preserve"> </w:t>
      </w:r>
      <w:r w:rsidR="003406DD">
        <w:rPr>
          <w:color w:val="000000"/>
        </w:rPr>
        <w:t>6</w:t>
      </w:r>
      <w:r w:rsidRPr="00A05A2A" w:rsidR="003406DD">
        <w:rPr>
          <w:color w:val="000000"/>
        </w:rPr>
        <w:t xml:space="preserve">: Annual Respondent Burden and Cost - Cement and Concrete Product Manufacturing, </w:t>
      </w:r>
      <w:r w:rsidR="003406DD">
        <w:rPr>
          <w:color w:val="000000"/>
        </w:rPr>
        <w:t xml:space="preserve">Years 1 through 3, </w:t>
      </w:r>
      <w:r w:rsidRPr="00A05A2A" w:rsidR="003406DD">
        <w:rPr>
          <w:color w:val="000000"/>
        </w:rPr>
        <w:t xml:space="preserve">Table </w:t>
      </w:r>
      <w:r w:rsidR="003406DD">
        <w:rPr>
          <w:color w:val="000000"/>
        </w:rPr>
        <w:t>7</w:t>
      </w:r>
      <w:r w:rsidRPr="00A05A2A" w:rsidR="003406DD">
        <w:rPr>
          <w:color w:val="000000"/>
        </w:rPr>
        <w:t>-</w:t>
      </w:r>
      <w:r w:rsidR="003406DD">
        <w:rPr>
          <w:color w:val="000000"/>
        </w:rPr>
        <w:t>9</w:t>
      </w:r>
      <w:r w:rsidRPr="00A05A2A" w:rsidR="003406DD">
        <w:rPr>
          <w:color w:val="000000"/>
        </w:rPr>
        <w:t>:  Annual Respondent Burden and Cost – Iron and Steel Mills and Ferroalloy Manufacturing, Year</w:t>
      </w:r>
      <w:r w:rsidR="003406DD">
        <w:rPr>
          <w:color w:val="000000"/>
        </w:rPr>
        <w:t>s</w:t>
      </w:r>
      <w:r w:rsidRPr="00A05A2A" w:rsidR="003406DD">
        <w:rPr>
          <w:color w:val="000000"/>
        </w:rPr>
        <w:t xml:space="preserve"> 1 through 3, Table</w:t>
      </w:r>
      <w:r w:rsidR="003406DD">
        <w:rPr>
          <w:color w:val="000000"/>
        </w:rPr>
        <w:t>s</w:t>
      </w:r>
      <w:r w:rsidRPr="00A05A2A" w:rsidR="003406DD">
        <w:rPr>
          <w:color w:val="000000"/>
        </w:rPr>
        <w:t xml:space="preserve"> </w:t>
      </w:r>
      <w:r w:rsidR="003406DD">
        <w:rPr>
          <w:color w:val="000000"/>
        </w:rPr>
        <w:t>10 - 12</w:t>
      </w:r>
      <w:r w:rsidRPr="00A05A2A" w:rsidR="003406DD">
        <w:rPr>
          <w:color w:val="000000"/>
        </w:rPr>
        <w:t xml:space="preserve">:  Annual Respondent Burden and Cost – Glass and Glass Product Manufacturing, </w:t>
      </w:r>
      <w:r w:rsidR="003406DD">
        <w:rPr>
          <w:color w:val="000000"/>
        </w:rPr>
        <w:t xml:space="preserve">Years 1 through 3, </w:t>
      </w:r>
      <w:r w:rsidRPr="00A05A2A" w:rsidR="003406DD">
        <w:rPr>
          <w:color w:val="000000"/>
        </w:rPr>
        <w:t>Table</w:t>
      </w:r>
      <w:r w:rsidR="003406DD">
        <w:rPr>
          <w:color w:val="000000"/>
        </w:rPr>
        <w:t>s</w:t>
      </w:r>
      <w:r w:rsidRPr="00A05A2A" w:rsidR="003406DD">
        <w:rPr>
          <w:color w:val="000000"/>
        </w:rPr>
        <w:t xml:space="preserve"> </w:t>
      </w:r>
      <w:r w:rsidR="003406DD">
        <w:rPr>
          <w:color w:val="000000"/>
        </w:rPr>
        <w:t xml:space="preserve">13 </w:t>
      </w:r>
      <w:r w:rsidRPr="00A05A2A" w:rsidR="003406DD">
        <w:rPr>
          <w:color w:val="000000"/>
        </w:rPr>
        <w:t>-</w:t>
      </w:r>
      <w:r w:rsidR="003406DD">
        <w:rPr>
          <w:color w:val="000000"/>
        </w:rPr>
        <w:t xml:space="preserve"> </w:t>
      </w:r>
      <w:r w:rsidRPr="00A05A2A" w:rsidR="003406DD">
        <w:rPr>
          <w:color w:val="000000"/>
        </w:rPr>
        <w:t>1</w:t>
      </w:r>
      <w:r w:rsidR="003406DD">
        <w:rPr>
          <w:color w:val="000000"/>
        </w:rPr>
        <w:t>5</w:t>
      </w:r>
      <w:r w:rsidRPr="00A05A2A" w:rsidR="003406DD">
        <w:rPr>
          <w:color w:val="000000"/>
        </w:rPr>
        <w:t xml:space="preserve">:  Annual Respondent Burden and Cost – Basic Chemical Manufacturing, Petroleum and Coal Products Manufacturing, </w:t>
      </w:r>
      <w:r w:rsidR="00BA5890">
        <w:rPr>
          <w:color w:val="000000"/>
        </w:rPr>
        <w:t xml:space="preserve">Metal Ore Mining, </w:t>
      </w:r>
      <w:r w:rsidRPr="00A05A2A" w:rsidR="003406DD">
        <w:rPr>
          <w:color w:val="000000"/>
        </w:rPr>
        <w:t>and Pulp, Paper, and Paperboard Mills, Year</w:t>
      </w:r>
      <w:r w:rsidR="003406DD">
        <w:rPr>
          <w:color w:val="000000"/>
        </w:rPr>
        <w:t>s</w:t>
      </w:r>
      <w:r w:rsidRPr="00A05A2A" w:rsidR="003406DD">
        <w:rPr>
          <w:color w:val="000000"/>
        </w:rPr>
        <w:t xml:space="preserve"> 1 through </w:t>
      </w:r>
      <w:r w:rsidR="003406DD">
        <w:rPr>
          <w:color w:val="000000"/>
        </w:rPr>
        <w:t>3, and Tables 16 – 18:  Annual Respondent Burden and Cost – Solid Waste Combustors and Incinerators, Years 1 through 3.</w:t>
      </w:r>
      <w:r w:rsidR="003406DD">
        <w:t xml:space="preserve">  </w:t>
      </w:r>
      <w:r w:rsidRPr="00087AC9" w:rsidR="00705F36">
        <w:rPr>
          <w:color w:val="000000"/>
        </w:rPr>
        <w:t xml:space="preserve">A summary of burden hours and cost calculations for the respondents and the Agency are shown below. </w:t>
      </w:r>
    </w:p>
    <w:p w:rsidR="00705F36" w:rsidRPr="00087AC9" w:rsidP="00705F36" w14:paraId="3356F136"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705F36" w:rsidRPr="00087AC9" w:rsidP="00705F36" w14:paraId="29707372"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color w:val="000000"/>
        </w:rPr>
        <w:t>(i) Respondent Tally</w:t>
      </w:r>
    </w:p>
    <w:p w:rsidR="00705F36" w:rsidRPr="00087AC9" w:rsidP="00705F36" w14:paraId="5A09932F"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705F36" w:rsidRPr="00087AC9" w:rsidP="003C273C" w14:paraId="3C6069CF" w14:textId="145A9A25">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876D0A">
        <w:rPr>
          <w:color w:val="000000"/>
        </w:rPr>
        <w:t>The total labor hours</w:t>
      </w:r>
      <w:r w:rsidRPr="00876D0A" w:rsidR="003C273C">
        <w:rPr>
          <w:color w:val="000000"/>
        </w:rPr>
        <w:t xml:space="preserve"> over the </w:t>
      </w:r>
      <w:r w:rsidRPr="00876D0A" w:rsidR="005D4729">
        <w:rPr>
          <w:color w:val="000000"/>
        </w:rPr>
        <w:t xml:space="preserve">collection period, which is the representative timeframe of </w:t>
      </w:r>
      <w:r w:rsidRPr="00876D0A" w:rsidR="00231F44">
        <w:rPr>
          <w:color w:val="000000"/>
        </w:rPr>
        <w:t>2023-2025</w:t>
      </w:r>
      <w:r w:rsidRPr="00876D0A" w:rsidR="005D4729">
        <w:rPr>
          <w:color w:val="000000"/>
        </w:rPr>
        <w:t xml:space="preserve">, </w:t>
      </w:r>
      <w:r w:rsidRPr="00876D0A" w:rsidR="00DA349F">
        <w:rPr>
          <w:color w:val="000000"/>
        </w:rPr>
        <w:t>are</w:t>
      </w:r>
      <w:r w:rsidRPr="00876D0A" w:rsidR="003C273C">
        <w:rPr>
          <w:color w:val="000000"/>
        </w:rPr>
        <w:t xml:space="preserve"> </w:t>
      </w:r>
      <w:r w:rsidRPr="00876D0A" w:rsidR="005B439A">
        <w:rPr>
          <w:color w:val="000000"/>
        </w:rPr>
        <w:t>34,</w:t>
      </w:r>
      <w:r w:rsidRPr="00876D0A" w:rsidR="00876D0A">
        <w:rPr>
          <w:color w:val="000000"/>
        </w:rPr>
        <w:t>443</w:t>
      </w:r>
      <w:r w:rsidRPr="00876D0A" w:rsidR="003C273C">
        <w:rPr>
          <w:color w:val="000000"/>
        </w:rPr>
        <w:t xml:space="preserve"> </w:t>
      </w:r>
      <w:r w:rsidRPr="00876D0A" w:rsidR="00DA349F">
        <w:rPr>
          <w:color w:val="000000"/>
        </w:rPr>
        <w:t xml:space="preserve">hours </w:t>
      </w:r>
      <w:r w:rsidRPr="00876D0A" w:rsidR="003C273C">
        <w:rPr>
          <w:color w:val="000000"/>
        </w:rPr>
        <w:t xml:space="preserve">and the average annual labor hours </w:t>
      </w:r>
      <w:r w:rsidRPr="00876D0A" w:rsidR="00DA349F">
        <w:rPr>
          <w:color w:val="000000"/>
        </w:rPr>
        <w:t>are</w:t>
      </w:r>
      <w:r w:rsidRPr="00876D0A" w:rsidR="003C273C">
        <w:rPr>
          <w:color w:val="000000"/>
        </w:rPr>
        <w:t xml:space="preserve"> </w:t>
      </w:r>
      <w:r w:rsidRPr="00876D0A" w:rsidR="009C0B7E">
        <w:rPr>
          <w:color w:val="000000"/>
        </w:rPr>
        <w:t>1</w:t>
      </w:r>
      <w:r w:rsidRPr="00876D0A" w:rsidR="005B439A">
        <w:rPr>
          <w:color w:val="000000"/>
        </w:rPr>
        <w:t>1,</w:t>
      </w:r>
      <w:r w:rsidRPr="00876D0A" w:rsidR="00876D0A">
        <w:rPr>
          <w:color w:val="000000"/>
        </w:rPr>
        <w:t>481</w:t>
      </w:r>
      <w:r w:rsidRPr="00876D0A" w:rsidR="00DA349F">
        <w:rPr>
          <w:color w:val="000000"/>
        </w:rPr>
        <w:t xml:space="preserve"> hours</w:t>
      </w:r>
      <w:r w:rsidRPr="00876D0A">
        <w:rPr>
          <w:color w:val="000000"/>
        </w:rPr>
        <w:t>.</w:t>
      </w:r>
      <w:r w:rsidRPr="00087AC9">
        <w:rPr>
          <w:color w:val="000000"/>
        </w:rPr>
        <w:t xml:space="preserve"> </w:t>
      </w:r>
    </w:p>
    <w:p w:rsidR="00705F36" w:rsidRPr="00087AC9" w:rsidP="00705F36" w14:paraId="59C80E14"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705F36" w:rsidRPr="00087AC9" w:rsidP="00705F36" w14:paraId="6AD0F3F9" w14:textId="68D1C9C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color w:val="000000"/>
        </w:rPr>
        <w:t xml:space="preserve">We assume that burdens for managerial tasks take 5% of the time required for technical tasks, because the typical tasks for managers are to review and approve reports. </w:t>
      </w:r>
      <w:r w:rsidR="008654AE">
        <w:rPr>
          <w:color w:val="000000"/>
        </w:rPr>
        <w:t>We assume c</w:t>
      </w:r>
      <w:r w:rsidRPr="00087AC9">
        <w:rPr>
          <w:color w:val="000000"/>
        </w:rPr>
        <w:t>lerical burdens take 10% of the time required for technical tasks, because the typical duties of clerical staff are to proofread the reports, make copies</w:t>
      </w:r>
      <w:r w:rsidR="008654AE">
        <w:rPr>
          <w:color w:val="000000"/>
        </w:rPr>
        <w:t>,</w:t>
      </w:r>
      <w:r w:rsidRPr="00087AC9">
        <w:rPr>
          <w:color w:val="000000"/>
        </w:rPr>
        <w:t xml:space="preserve"> and maintain records.</w:t>
      </w:r>
    </w:p>
    <w:p w:rsidR="00705F36" w:rsidRPr="00087AC9" w:rsidP="00705F36" w14:paraId="6D2C8812"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705F36" w:rsidRPr="00087AC9" w:rsidP="00705F36" w14:paraId="606D1B0A" w14:textId="06E1BFCD">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color w:val="000000"/>
        </w:rPr>
        <w:t xml:space="preserve">Furthermore, the annual public reporting and recordkeeping burden for this collection of information is estimated </w:t>
      </w:r>
      <w:r w:rsidRPr="005B439A">
        <w:rPr>
          <w:color w:val="000000"/>
        </w:rPr>
        <w:t xml:space="preserve">to average </w:t>
      </w:r>
      <w:r w:rsidRPr="005B439A" w:rsidR="005B439A">
        <w:rPr>
          <w:color w:val="000000"/>
        </w:rPr>
        <w:t>0.</w:t>
      </w:r>
      <w:r w:rsidR="00503BCC">
        <w:rPr>
          <w:color w:val="000000"/>
        </w:rPr>
        <w:t>8</w:t>
      </w:r>
      <w:r w:rsidRPr="005B439A">
        <w:rPr>
          <w:color w:val="000000"/>
        </w:rPr>
        <w:t xml:space="preserve"> hours</w:t>
      </w:r>
      <w:r w:rsidRPr="00087AC9">
        <w:rPr>
          <w:color w:val="000000"/>
        </w:rPr>
        <w:t xml:space="preserve"> per response.</w:t>
      </w:r>
    </w:p>
    <w:p w:rsidR="00705F36" w:rsidRPr="00087AC9" w:rsidP="00705F36" w14:paraId="54B33C41"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705F36" w:rsidRPr="00087AC9" w:rsidP="00705F36" w14:paraId="7B1B597C" w14:textId="79CDCD9E">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color w:val="000000"/>
        </w:rPr>
        <w:t xml:space="preserve">The total </w:t>
      </w:r>
      <w:r w:rsidR="004E155A">
        <w:rPr>
          <w:color w:val="000000"/>
        </w:rPr>
        <w:t xml:space="preserve">estimated </w:t>
      </w:r>
      <w:r w:rsidRPr="00087AC9">
        <w:rPr>
          <w:color w:val="000000"/>
        </w:rPr>
        <w:t>capital/startup and O&amp;M cost</w:t>
      </w:r>
      <w:r w:rsidR="008654AE">
        <w:rPr>
          <w:color w:val="000000"/>
        </w:rPr>
        <w:t>s</w:t>
      </w:r>
      <w:r w:rsidRPr="00087AC9">
        <w:rPr>
          <w:color w:val="000000"/>
        </w:rPr>
        <w:t xml:space="preserve"> to the regulated entit</w:t>
      </w:r>
      <w:r w:rsidR="004E155A">
        <w:rPr>
          <w:color w:val="000000"/>
        </w:rPr>
        <w:t>ies</w:t>
      </w:r>
      <w:r w:rsidRPr="00087AC9">
        <w:rPr>
          <w:color w:val="000000"/>
        </w:rPr>
        <w:t xml:space="preserve"> </w:t>
      </w:r>
      <w:r w:rsidR="008654AE">
        <w:rPr>
          <w:color w:val="000000"/>
        </w:rPr>
        <w:t>are</w:t>
      </w:r>
      <w:r w:rsidR="004E155A">
        <w:rPr>
          <w:color w:val="000000"/>
        </w:rPr>
        <w:t xml:space="preserve"> </w:t>
      </w:r>
      <w:r w:rsidRPr="00087AC9">
        <w:rPr>
          <w:color w:val="000000"/>
        </w:rPr>
        <w:t>$</w:t>
      </w:r>
      <w:r w:rsidR="00031E29">
        <w:rPr>
          <w:color w:val="000000"/>
        </w:rPr>
        <w:t>7,200,000</w:t>
      </w:r>
      <w:r w:rsidRPr="00087AC9" w:rsidR="003C273C">
        <w:rPr>
          <w:color w:val="000000"/>
        </w:rPr>
        <w:t xml:space="preserve"> and the </w:t>
      </w:r>
      <w:r w:rsidR="004E155A">
        <w:rPr>
          <w:color w:val="000000"/>
        </w:rPr>
        <w:t xml:space="preserve">total </w:t>
      </w:r>
      <w:r w:rsidRPr="00087AC9" w:rsidR="003C273C">
        <w:rPr>
          <w:color w:val="000000"/>
        </w:rPr>
        <w:t xml:space="preserve">average annual capital/startup and O&amp;M cost </w:t>
      </w:r>
      <w:r w:rsidR="004E155A">
        <w:rPr>
          <w:color w:val="000000"/>
        </w:rPr>
        <w:t xml:space="preserve">spread over 2023-2025 </w:t>
      </w:r>
      <w:r w:rsidR="008654AE">
        <w:rPr>
          <w:color w:val="000000"/>
        </w:rPr>
        <w:t>are</w:t>
      </w:r>
      <w:r w:rsidRPr="00087AC9" w:rsidR="003C273C">
        <w:rPr>
          <w:color w:val="000000"/>
        </w:rPr>
        <w:t xml:space="preserve"> $</w:t>
      </w:r>
      <w:r w:rsidR="00031E29">
        <w:rPr>
          <w:color w:val="000000"/>
        </w:rPr>
        <w:t>2,400,000</w:t>
      </w:r>
      <w:r w:rsidRPr="00087AC9">
        <w:rPr>
          <w:color w:val="000000"/>
        </w:rPr>
        <w:t xml:space="preserve">. </w:t>
      </w:r>
    </w:p>
    <w:p w:rsidR="00705F36" w:rsidRPr="00087AC9" w:rsidP="00705F36" w14:paraId="6344DC03"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705F36" w:rsidRPr="00087AC9" w:rsidP="00705F36" w14:paraId="63B94391"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color w:val="000000"/>
        </w:rPr>
        <w:t>(ii) The Agency Tally</w:t>
      </w:r>
    </w:p>
    <w:p w:rsidR="00705F36" w:rsidRPr="00087AC9" w:rsidP="00705F36" w14:paraId="556201C4"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705F36" w:rsidRPr="005B439A" w:rsidP="00705F36" w14:paraId="2BEAB237" w14:textId="5188B8A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color w:val="000000"/>
        </w:rPr>
        <w:t xml:space="preserve">The average annual Agency </w:t>
      </w:r>
      <w:r w:rsidRPr="005B439A">
        <w:rPr>
          <w:color w:val="000000"/>
        </w:rPr>
        <w:t xml:space="preserve">burden and cost over </w:t>
      </w:r>
      <w:r w:rsidRPr="005B439A" w:rsidR="005D4729">
        <w:rPr>
          <w:color w:val="000000"/>
        </w:rPr>
        <w:t xml:space="preserve">the representative timeframe of </w:t>
      </w:r>
      <w:r w:rsidRPr="005B439A" w:rsidR="0023156C">
        <w:rPr>
          <w:color w:val="000000"/>
        </w:rPr>
        <w:t>2023-2025</w:t>
      </w:r>
      <w:r w:rsidRPr="005B439A">
        <w:rPr>
          <w:color w:val="000000"/>
        </w:rPr>
        <w:t xml:space="preserve"> is estimated to</w:t>
      </w:r>
      <w:r w:rsidRPr="005B439A" w:rsidR="003C273C">
        <w:rPr>
          <w:color w:val="000000"/>
        </w:rPr>
        <w:t xml:space="preserve"> </w:t>
      </w:r>
      <w:r w:rsidRPr="005B439A">
        <w:rPr>
          <w:color w:val="000000"/>
        </w:rPr>
        <w:t xml:space="preserve">be </w:t>
      </w:r>
      <w:r w:rsidRPr="005B439A" w:rsidR="00C60CC7">
        <w:rPr>
          <w:color w:val="000000"/>
        </w:rPr>
        <w:t>3</w:t>
      </w:r>
      <w:r w:rsidR="00503BCC">
        <w:rPr>
          <w:color w:val="000000"/>
        </w:rPr>
        <w:t>67</w:t>
      </w:r>
      <w:r w:rsidRPr="005B439A">
        <w:rPr>
          <w:color w:val="000000"/>
        </w:rPr>
        <w:t xml:space="preserve"> labor hours at a</w:t>
      </w:r>
      <w:r w:rsidRPr="005B439A" w:rsidR="003C273C">
        <w:rPr>
          <w:color w:val="000000"/>
        </w:rPr>
        <w:t>n average annual</w:t>
      </w:r>
      <w:r w:rsidRPr="005B439A">
        <w:rPr>
          <w:color w:val="000000"/>
        </w:rPr>
        <w:t xml:space="preserve"> cost of $</w:t>
      </w:r>
      <w:r w:rsidRPr="005B439A" w:rsidR="00C60CC7">
        <w:rPr>
          <w:color w:val="000000"/>
        </w:rPr>
        <w:t>1</w:t>
      </w:r>
      <w:r w:rsidR="00503BCC">
        <w:rPr>
          <w:color w:val="000000"/>
        </w:rPr>
        <w:t>8</w:t>
      </w:r>
      <w:r w:rsidRPr="005B439A" w:rsidR="005B439A">
        <w:rPr>
          <w:color w:val="000000"/>
        </w:rPr>
        <w:t>,000</w:t>
      </w:r>
      <w:r w:rsidRPr="005B439A" w:rsidR="003C273C">
        <w:rPr>
          <w:color w:val="000000"/>
        </w:rPr>
        <w:t>.</w:t>
      </w:r>
    </w:p>
    <w:p w:rsidR="00705F36" w:rsidRPr="005B439A" w:rsidP="00705F36" w14:paraId="65C3C50A"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705F36" w:rsidRPr="00087AC9" w:rsidP="00BB7A59" w14:paraId="6B6B7F08" w14:textId="708C42D3">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5B439A">
        <w:rPr>
          <w:color w:val="000000"/>
        </w:rPr>
        <w:t>We assume that burdens for managerial tasks</w:t>
      </w:r>
      <w:r w:rsidRPr="00087AC9">
        <w:rPr>
          <w:color w:val="000000"/>
        </w:rPr>
        <w:t xml:space="preserve"> take 5% of the time required for technical tasks, because the typical tasks for managers are to review and approve reports. </w:t>
      </w:r>
      <w:r w:rsidR="005239C3">
        <w:rPr>
          <w:color w:val="000000"/>
        </w:rPr>
        <w:t>We assume c</w:t>
      </w:r>
      <w:r w:rsidRPr="00087AC9">
        <w:rPr>
          <w:color w:val="000000"/>
        </w:rPr>
        <w:t>lerical burdens take 10% of the time required for technical tasks, because the typical duties of clerical staff are to proofread the reports, make copies</w:t>
      </w:r>
      <w:r w:rsidR="005239C3">
        <w:rPr>
          <w:color w:val="000000"/>
        </w:rPr>
        <w:t>,</w:t>
      </w:r>
      <w:r w:rsidRPr="00087AC9">
        <w:rPr>
          <w:color w:val="000000"/>
        </w:rPr>
        <w:t xml:space="preserve"> and maintain records.</w:t>
      </w:r>
    </w:p>
    <w:p w:rsidR="005E6163" w:rsidRPr="00087AC9" w:rsidP="00DE09EE" w14:paraId="5D594A11" w14:textId="77777777"/>
    <w:p w:rsidR="0012793C" w:rsidRPr="00087AC9" w:rsidP="009632B3" w14:paraId="3F03897F" w14:textId="3DD3838A">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87AC9">
        <w:rPr>
          <w:noProof/>
        </w:rPr>
        <mc:AlternateContent>
          <mc:Choice Requires="wps">
            <w:drawing>
              <wp:anchor distT="0" distB="0" distL="114300" distR="114300" simplePos="0" relativeHeight="251695104" behindDoc="0" locked="0" layoutInCell="1" allowOverlap="1">
                <wp:simplePos x="0" y="0"/>
                <wp:positionH relativeFrom="margin">
                  <wp:posOffset>-2289175</wp:posOffset>
                </wp:positionH>
                <wp:positionV relativeFrom="paragraph">
                  <wp:posOffset>8890</wp:posOffset>
                </wp:positionV>
                <wp:extent cx="1786255" cy="574040"/>
                <wp:effectExtent l="0" t="1905" r="0" b="0"/>
                <wp:wrapNone/>
                <wp:docPr id="3" name="Text Box 10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86255" cy="5740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3AC" w:rsidRPr="00DE09EE" w:rsidP="004079BE" w14:paraId="49F23145" w14:textId="77777777">
                            <w:pPr>
                              <w:ind w:left="720" w:hanging="720"/>
                              <w:rPr>
                                <w:rFonts w:ascii="Arial" w:hAnsi="Arial" w:cs="Arial"/>
                                <w:b/>
                              </w:rPr>
                            </w:pPr>
                            <w:r>
                              <w:rPr>
                                <w:rFonts w:ascii="Arial" w:hAnsi="Arial" w:cs="Arial"/>
                                <w:b/>
                              </w:rPr>
                              <w:t>6.6</w:t>
                            </w:r>
                            <w:r>
                              <w:rPr>
                                <w:rFonts w:ascii="Arial" w:hAnsi="Arial" w:cs="Arial"/>
                                <w:b/>
                              </w:rPr>
                              <w:tab/>
                            </w:r>
                            <w:r>
                              <w:rPr>
                                <w:rFonts w:ascii="Arial" w:hAnsi="Arial" w:cs="Arial"/>
                                <w:b/>
                              </w:rPr>
                              <w:t>Reasons for Change in Burden</w:t>
                            </w:r>
                          </w:p>
                        </w:txbxContent>
                      </wps:txbx>
                      <wps:bodyPr rot="0" vert="horz" wrap="square" lIns="0" tIns="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4" o:spid="_x0000_s1069" type="#_x0000_t202" style="width:140.65pt;height:45.2pt;margin-top:0.7pt;margin-left:-180.25pt;mso-height-percent:0;mso-height-relative:page;mso-position-horizontal-relative:margin;mso-width-percent:0;mso-width-relative:page;mso-wrap-distance-bottom:0;mso-wrap-distance-left:9pt;mso-wrap-distance-right:9pt;mso-wrap-distance-top:0;mso-wrap-style:square;position:absolute;visibility:visible;v-text-anchor:top;z-index:251696128" filled="f" stroked="f">
                <v:textbox inset="0,0">
                  <w:txbxContent>
                    <w:p w:rsidR="005343AC" w:rsidRPr="00DE09EE" w:rsidP="004079BE" w14:paraId="20A9ADF3" w14:textId="77777777">
                      <w:pPr>
                        <w:ind w:left="720" w:hanging="720"/>
                        <w:rPr>
                          <w:rFonts w:ascii="Arial" w:hAnsi="Arial" w:cs="Arial"/>
                          <w:b/>
                        </w:rPr>
                      </w:pPr>
                      <w:r>
                        <w:rPr>
                          <w:rFonts w:ascii="Arial" w:hAnsi="Arial" w:cs="Arial"/>
                          <w:b/>
                        </w:rPr>
                        <w:t>6.6</w:t>
                      </w:r>
                      <w:r>
                        <w:rPr>
                          <w:rFonts w:ascii="Arial" w:hAnsi="Arial" w:cs="Arial"/>
                          <w:b/>
                        </w:rPr>
                        <w:tab/>
                      </w:r>
                      <w:r>
                        <w:rPr>
                          <w:rFonts w:ascii="Arial" w:hAnsi="Arial" w:cs="Arial"/>
                          <w:b/>
                        </w:rPr>
                        <w:t>Reasons for Change in Burden</w:t>
                      </w:r>
                    </w:p>
                  </w:txbxContent>
                </v:textbox>
                <w10:wrap anchorx="margin"/>
              </v:shape>
            </w:pict>
          </mc:Fallback>
        </mc:AlternateContent>
      </w:r>
      <w:r w:rsidRPr="00087AC9" w:rsidR="0012793C">
        <w:t xml:space="preserve">This </w:t>
      </w:r>
      <w:r w:rsidRPr="00087AC9" w:rsidR="00891D92">
        <w:t xml:space="preserve">section does not apply because this </w:t>
      </w:r>
      <w:r w:rsidRPr="00087AC9" w:rsidR="0012793C">
        <w:t xml:space="preserve">is a new </w:t>
      </w:r>
      <w:r w:rsidRPr="00087AC9" w:rsidR="00891D92">
        <w:t>burden</w:t>
      </w:r>
      <w:r w:rsidRPr="00087AC9" w:rsidR="00A56D1A">
        <w:t>.  T</w:t>
      </w:r>
      <w:r w:rsidRPr="00087AC9" w:rsidR="0012793C">
        <w:t xml:space="preserve">he </w:t>
      </w:r>
      <w:r w:rsidRPr="00087AC9" w:rsidR="00891D92">
        <w:t xml:space="preserve">new </w:t>
      </w:r>
      <w:r w:rsidRPr="00087AC9" w:rsidR="0012793C">
        <w:t>burden estimates for this</w:t>
      </w:r>
      <w:r w:rsidRPr="00087AC9" w:rsidR="00A56D1A">
        <w:t xml:space="preserve"> </w:t>
      </w:r>
      <w:r w:rsidRPr="00087AC9" w:rsidR="0012793C">
        <w:t>ICR reflects the new activities required of certain non-EGU industry sectors.</w:t>
      </w:r>
      <w:r w:rsidRPr="00087AC9" w:rsidR="00A56D1A">
        <w:t xml:space="preserve"> </w:t>
      </w:r>
      <w:r w:rsidRPr="00031E29" w:rsidR="00031E29">
        <w:t xml:space="preserve"> </w:t>
      </w:r>
      <w:r w:rsidR="00031E29">
        <w:t xml:space="preserve">It also includes estimates of administrative burden on the EPA in implementing the rule.  </w:t>
      </w:r>
      <w:r w:rsidRPr="00087AC9" w:rsidR="00A56D1A">
        <w:t xml:space="preserve">The new industry activities include </w:t>
      </w:r>
      <w:r w:rsidRPr="00087AC9" w:rsidR="0012793C">
        <w:t>monitoring, calibrating, recordkeeping, reporting</w:t>
      </w:r>
      <w:r w:rsidR="00D03BE8">
        <w:t>,</w:t>
      </w:r>
      <w:r w:rsidRPr="00087AC9" w:rsidR="0012793C">
        <w:t xml:space="preserve"> and testing activities required under the </w:t>
      </w:r>
      <w:r w:rsidR="00231F44">
        <w:t>final</w:t>
      </w:r>
      <w:r w:rsidRPr="00087AC9" w:rsidR="0012793C">
        <w:t xml:space="preserve"> rule, entitled “</w:t>
      </w:r>
      <w:r w:rsidRPr="008D077B" w:rsidR="008D077B">
        <w:t>Federal Good Neighbor Plan for the 2015 Ozone National Ambient Air Quality Standards</w:t>
      </w:r>
      <w:r w:rsidR="00D03BE8">
        <w:t>.</w:t>
      </w:r>
      <w:r w:rsidRPr="00087AC9" w:rsidR="0012793C">
        <w:t>”</w:t>
      </w:r>
    </w:p>
    <w:p w:rsidR="009632B3" w:rsidRPr="00087AC9" w:rsidP="009632B3" w14:paraId="29048AE8"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9632B3" w:rsidP="009632B3" w14:paraId="2E51B003" w14:textId="3F62350F">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087AC9">
        <w:rPr>
          <w:color w:val="000000"/>
        </w:rPr>
        <w:t xml:space="preserve">The annual public reporting and recordkeeping burden for this collection of information is estimated to </w:t>
      </w:r>
      <w:r w:rsidR="005239C3">
        <w:rPr>
          <w:color w:val="000000"/>
        </w:rPr>
        <w:t>be</w:t>
      </w:r>
      <w:r w:rsidR="00CD3669">
        <w:rPr>
          <w:color w:val="000000"/>
        </w:rPr>
        <w:t xml:space="preserve"> </w:t>
      </w:r>
      <w:r w:rsidR="003E20FC">
        <w:rPr>
          <w:color w:val="000000"/>
        </w:rPr>
        <w:t>3</w:t>
      </w:r>
      <w:r w:rsidR="00031E29">
        <w:rPr>
          <w:color w:val="000000"/>
        </w:rPr>
        <w:t xml:space="preserve"> </w:t>
      </w:r>
      <w:r w:rsidRPr="00087AC9">
        <w:rPr>
          <w:color w:val="000000"/>
        </w:rPr>
        <w:t>average hours per respon</w:t>
      </w:r>
      <w:r w:rsidRPr="00087AC9" w:rsidR="0038689F">
        <w:rPr>
          <w:color w:val="000000"/>
        </w:rPr>
        <w:t>dent</w:t>
      </w:r>
      <w:r w:rsidRPr="00087AC9">
        <w:rPr>
          <w:color w:val="000000"/>
        </w:rPr>
        <w:t xml:space="preserve">. </w:t>
      </w:r>
      <w:r w:rsidRPr="00087AC9" w:rsidR="006A7DE2">
        <w:rPr>
          <w:noProof/>
        </w:rPr>
        <mc:AlternateContent>
          <mc:Choice Requires="wps">
            <w:drawing>
              <wp:anchor distT="0" distB="0" distL="114300" distR="114300" simplePos="0" relativeHeight="251697152" behindDoc="0" locked="0" layoutInCell="1" allowOverlap="1">
                <wp:simplePos x="0" y="0"/>
                <wp:positionH relativeFrom="margin">
                  <wp:posOffset>-2286000</wp:posOffset>
                </wp:positionH>
                <wp:positionV relativeFrom="paragraph">
                  <wp:posOffset>19050</wp:posOffset>
                </wp:positionV>
                <wp:extent cx="1786255" cy="403860"/>
                <wp:effectExtent l="0" t="635" r="4445" b="0"/>
                <wp:wrapNone/>
                <wp:docPr id="1" name="Text Box 1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86255" cy="4038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3AC" w:rsidRPr="00DE09EE" w:rsidP="009632B3" w14:paraId="4FFD5FDC" w14:textId="77777777">
                            <w:pPr>
                              <w:ind w:left="720" w:hanging="720"/>
                              <w:rPr>
                                <w:rFonts w:ascii="Arial" w:hAnsi="Arial" w:cs="Arial"/>
                                <w:b/>
                              </w:rPr>
                            </w:pPr>
                            <w:r>
                              <w:rPr>
                                <w:rFonts w:ascii="Arial" w:hAnsi="Arial" w:cs="Arial"/>
                                <w:b/>
                              </w:rPr>
                              <w:t>6.7</w:t>
                            </w:r>
                            <w:r>
                              <w:rPr>
                                <w:rFonts w:ascii="Arial" w:hAnsi="Arial" w:cs="Arial"/>
                                <w:b/>
                              </w:rPr>
                              <w:tab/>
                            </w:r>
                            <w:r>
                              <w:rPr>
                                <w:rFonts w:ascii="Arial" w:hAnsi="Arial" w:cs="Arial"/>
                                <w:b/>
                              </w:rPr>
                              <w:t>Burden Statement</w:t>
                            </w:r>
                          </w:p>
                        </w:txbxContent>
                      </wps:txbx>
                      <wps:bodyPr rot="0" vert="horz" wrap="square" lIns="0" tIns="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5" o:spid="_x0000_s1070" type="#_x0000_t202" style="width:140.65pt;height:31.8pt;margin-top:1.5pt;margin-left:-180pt;mso-height-percent:0;mso-height-relative:page;mso-position-horizontal-relative:margin;mso-width-percent:0;mso-width-relative:page;mso-wrap-distance-bottom:0;mso-wrap-distance-left:9pt;mso-wrap-distance-right:9pt;mso-wrap-distance-top:0;mso-wrap-style:square;position:absolute;visibility:visible;v-text-anchor:top;z-index:251698176" filled="f" stroked="f">
                <v:textbox inset="0,0">
                  <w:txbxContent>
                    <w:p w:rsidR="005343AC" w:rsidRPr="00DE09EE" w:rsidP="009632B3" w14:paraId="71D1F0C1" w14:textId="77777777">
                      <w:pPr>
                        <w:ind w:left="720" w:hanging="720"/>
                        <w:rPr>
                          <w:rFonts w:ascii="Arial" w:hAnsi="Arial" w:cs="Arial"/>
                          <w:b/>
                        </w:rPr>
                      </w:pPr>
                      <w:r>
                        <w:rPr>
                          <w:rFonts w:ascii="Arial" w:hAnsi="Arial" w:cs="Arial"/>
                          <w:b/>
                        </w:rPr>
                        <w:t>6.7</w:t>
                      </w:r>
                      <w:r>
                        <w:rPr>
                          <w:rFonts w:ascii="Arial" w:hAnsi="Arial" w:cs="Arial"/>
                          <w:b/>
                        </w:rPr>
                        <w:tab/>
                      </w:r>
                      <w:r>
                        <w:rPr>
                          <w:rFonts w:ascii="Arial" w:hAnsi="Arial" w:cs="Arial"/>
                          <w:b/>
                        </w:rPr>
                        <w:t>Burden Statement</w:t>
                      </w:r>
                    </w:p>
                  </w:txbxContent>
                </v:textbox>
                <w10:wrap anchorx="margin"/>
              </v:shape>
            </w:pict>
          </mc:Fallback>
        </mc:AlternateContent>
      </w:r>
      <w:r w:rsidRPr="00087AC9" w:rsidR="009632B3">
        <w:rPr>
          <w:color w:val="000000"/>
        </w:rPr>
        <w:t>Burden means the total time, effort, or financial resources expended by persons to generate, maintain, retain, disclose</w:t>
      </w:r>
      <w:r w:rsidR="005239C3">
        <w:rPr>
          <w:color w:val="000000"/>
        </w:rPr>
        <w:t>,</w:t>
      </w:r>
      <w:r w:rsidRPr="00087AC9" w:rsidR="009632B3">
        <w:rPr>
          <w:color w:val="000000"/>
        </w:rPr>
        <w:t xml:space="preserve"> or p</w:t>
      </w:r>
      <w:r w:rsidRPr="00087AC9" w:rsidR="0050637A">
        <w:rPr>
          <w:color w:val="000000"/>
        </w:rPr>
        <w:t>rovide information to or for a f</w:t>
      </w:r>
      <w:r w:rsidRPr="00087AC9" w:rsidR="009632B3">
        <w:rPr>
          <w:color w:val="000000"/>
        </w:rPr>
        <w:t>ederal agency. This includes the time needed to review instructions; develop, acquire, install, and utilize technology and systems for the purposes of collecting,</w:t>
      </w:r>
      <w:r w:rsidRPr="00087AC9" w:rsidR="00206FC8">
        <w:rPr>
          <w:color w:val="000000"/>
        </w:rPr>
        <w:t xml:space="preserve"> </w:t>
      </w:r>
      <w:r w:rsidRPr="00087AC9" w:rsidR="009632B3">
        <w:rPr>
          <w:color w:val="000000"/>
        </w:rPr>
        <w:t>validating, and verifying information, processing and maintaining information, and disclosing and providing information; adjust</w:t>
      </w:r>
      <w:r w:rsidRPr="00087AC9" w:rsidR="00850378">
        <w:rPr>
          <w:color w:val="000000"/>
        </w:rPr>
        <w:t>ing</w:t>
      </w:r>
      <w:r w:rsidRPr="00087AC9" w:rsidR="009632B3">
        <w:rPr>
          <w:color w:val="000000"/>
        </w:rPr>
        <w:t xml:space="preserve"> the existing ways to comply with any previously applicable instructions and requirements; train</w:t>
      </w:r>
      <w:r w:rsidRPr="00087AC9" w:rsidR="00850378">
        <w:rPr>
          <w:color w:val="000000"/>
        </w:rPr>
        <w:t>ing</w:t>
      </w:r>
      <w:r w:rsidRPr="00087AC9" w:rsidR="009632B3">
        <w:rPr>
          <w:color w:val="000000"/>
        </w:rPr>
        <w:t xml:space="preserve"> personnel to be able to respond to a collection of information; search</w:t>
      </w:r>
      <w:r w:rsidRPr="00087AC9" w:rsidR="00850378">
        <w:rPr>
          <w:color w:val="000000"/>
        </w:rPr>
        <w:t>ing</w:t>
      </w:r>
      <w:r w:rsidRPr="00087AC9" w:rsidR="009632B3">
        <w:rPr>
          <w:color w:val="000000"/>
        </w:rPr>
        <w:t xml:space="preserve"> data sources; complet</w:t>
      </w:r>
      <w:r w:rsidRPr="00087AC9" w:rsidR="00850378">
        <w:rPr>
          <w:color w:val="000000"/>
        </w:rPr>
        <w:t>ing</w:t>
      </w:r>
      <w:r w:rsidRPr="00087AC9" w:rsidR="009632B3">
        <w:rPr>
          <w:color w:val="000000"/>
        </w:rPr>
        <w:t xml:space="preserve"> and review</w:t>
      </w:r>
      <w:r w:rsidRPr="00087AC9" w:rsidR="00850378">
        <w:rPr>
          <w:color w:val="000000"/>
        </w:rPr>
        <w:t>ing</w:t>
      </w:r>
      <w:r w:rsidRPr="00087AC9" w:rsidR="009632B3">
        <w:rPr>
          <w:color w:val="000000"/>
        </w:rPr>
        <w:t xml:space="preserve"> the collection of information; and </w:t>
      </w:r>
      <w:r w:rsidRPr="00087AC9" w:rsidR="006601C4">
        <w:rPr>
          <w:color w:val="000000"/>
        </w:rPr>
        <w:t>transmitting</w:t>
      </w:r>
      <w:r w:rsidRPr="00087AC9" w:rsidR="009632B3">
        <w:rPr>
          <w:color w:val="000000"/>
        </w:rPr>
        <w:t xml:space="preserve"> or otherwise disclos</w:t>
      </w:r>
      <w:r w:rsidRPr="00087AC9" w:rsidR="00850378">
        <w:rPr>
          <w:color w:val="000000"/>
        </w:rPr>
        <w:t>ing</w:t>
      </w:r>
      <w:r w:rsidRPr="00087AC9" w:rsidR="009632B3">
        <w:rPr>
          <w:color w:val="000000"/>
        </w:rPr>
        <w:t xml:space="preserve"> the information. The Agency may not conduct or sponsor, and a person is not required to respond to, a collection of information unless it displays a currently valid OMB control number. </w:t>
      </w:r>
    </w:p>
    <w:p w:rsidR="00312389" w:rsidP="009632B3" w14:paraId="300E5FA4" w14:textId="6BEF794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312389" w:rsidRPr="00312389" w:rsidP="00312389" w14:paraId="5D0BBFED" w14:textId="1445F962">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color w:val="000000"/>
        </w:rPr>
        <w:t xml:space="preserve">The EPA received public comments on the proposed rule from </w:t>
      </w:r>
      <w:r>
        <w:t>April 6, 2022, through June 21, 2022. The agency responded to public comments in the document, “Federal Good Neighbor Plan for the 2015 Ozone National Ambient Air Quality Standards, Response to Public Comments on Proposed Rule</w:t>
      </w:r>
      <w:r w:rsidR="00CD3669">
        <w:t>,</w:t>
      </w:r>
      <w:r>
        <w:t xml:space="preserve">” which is </w:t>
      </w:r>
      <w:r w:rsidR="00AF0112">
        <w:t xml:space="preserve">included </w:t>
      </w:r>
      <w:r>
        <w:t>in the docket</w:t>
      </w:r>
      <w:r w:rsidR="00AF0112">
        <w:t xml:space="preserve"> for this rulemaking</w:t>
      </w:r>
      <w:r>
        <w:t xml:space="preserve">. </w:t>
      </w:r>
    </w:p>
    <w:bookmarkStart w:id="7" w:name="_Hlk21590373"/>
    <w:p w:rsidR="00116BAE" w:rsidRPr="00087AC9" w:rsidP="006E60AA" w14:paraId="0B688639" w14:textId="3512AAEA">
      <w:pPr>
        <w:rPr>
          <w:szCs w:val="24"/>
        </w:rPr>
      </w:pPr>
      <w:r w:rsidRPr="00312389">
        <w:rPr>
          <w:noProof/>
          <w:highlight w:val="yellow"/>
        </w:rPr>
        <mc:AlternateContent>
          <mc:Choice Requires="wps">
            <w:drawing>
              <wp:anchor distT="0" distB="0" distL="114300" distR="114300" simplePos="0" relativeHeight="251750400" behindDoc="0" locked="0" layoutInCell="1" allowOverlap="1">
                <wp:simplePos x="0" y="0"/>
                <wp:positionH relativeFrom="margin">
                  <wp:posOffset>-2074241</wp:posOffset>
                </wp:positionH>
                <wp:positionV relativeFrom="paragraph">
                  <wp:posOffset>200246</wp:posOffset>
                </wp:positionV>
                <wp:extent cx="1786255" cy="403860"/>
                <wp:effectExtent l="0" t="635" r="4445" b="0"/>
                <wp:wrapNone/>
                <wp:docPr id="2" name="Text Box 1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86255" cy="4038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43AC" w:rsidRPr="00DE09EE" w:rsidP="005D242D" w14:paraId="7202293B" w14:textId="0476F1BB">
                            <w:pPr>
                              <w:ind w:left="720" w:hanging="720"/>
                              <w:rPr>
                                <w:rFonts w:ascii="Arial" w:hAnsi="Arial" w:cs="Arial"/>
                                <w:b/>
                              </w:rPr>
                            </w:pPr>
                            <w:r>
                              <w:rPr>
                                <w:rFonts w:ascii="Arial" w:hAnsi="Arial" w:cs="Arial"/>
                                <w:b/>
                              </w:rPr>
                              <w:t>PART B</w:t>
                            </w:r>
                          </w:p>
                        </w:txbxContent>
                      </wps:txbx>
                      <wps:bodyPr rot="0" vert="horz" wrap="square" lIns="0" tIns="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71" type="#_x0000_t202" style="width:140.65pt;height:31.8pt;margin-top:15.75pt;margin-left:-163.35pt;mso-height-percent:0;mso-height-relative:page;mso-position-horizontal-relative:margin;mso-width-percent:0;mso-width-relative:page;mso-wrap-distance-bottom:0;mso-wrap-distance-left:9pt;mso-wrap-distance-right:9pt;mso-wrap-distance-top:0;mso-wrap-style:square;position:absolute;visibility:visible;v-text-anchor:top;z-index:251751424" filled="f" stroked="f">
                <v:textbox inset="0,0">
                  <w:txbxContent>
                    <w:p w:rsidR="005343AC" w:rsidRPr="00DE09EE" w:rsidP="005D242D" w14:paraId="4CA7627E" w14:textId="0476F1BB">
                      <w:pPr>
                        <w:ind w:left="720" w:hanging="720"/>
                        <w:rPr>
                          <w:rFonts w:ascii="Arial" w:hAnsi="Arial" w:cs="Arial"/>
                          <w:b/>
                        </w:rPr>
                      </w:pPr>
                      <w:r>
                        <w:rPr>
                          <w:rFonts w:ascii="Arial" w:hAnsi="Arial" w:cs="Arial"/>
                          <w:b/>
                        </w:rPr>
                        <w:t>PART B</w:t>
                      </w:r>
                    </w:p>
                  </w:txbxContent>
                </v:textbox>
                <w10:wrap anchorx="margin"/>
              </v:shape>
            </w:pict>
          </mc:Fallback>
        </mc:AlternateContent>
      </w:r>
    </w:p>
    <w:bookmarkEnd w:id="7"/>
    <w:p w:rsidR="00D11ED0" w:rsidP="00116BAE" w14:paraId="49C0DFE9" w14:textId="06B4D116">
      <w:pPr>
        <w:rPr>
          <w:szCs w:val="24"/>
        </w:rPr>
        <w:sectPr w:rsidSect="00FD5710">
          <w:headerReference w:type="even" r:id="rId11"/>
          <w:headerReference w:type="default" r:id="rId12"/>
          <w:footerReference w:type="even" r:id="rId13"/>
          <w:footerReference w:type="default" r:id="rId14"/>
          <w:endnotePr>
            <w:numFmt w:val="lowerLetter"/>
          </w:endnotePr>
          <w:type w:val="continuous"/>
          <w:pgSz w:w="12240" w:h="15840" w:code="1"/>
          <w:pgMar w:top="1339" w:right="634" w:bottom="1814" w:left="4320" w:header="864" w:footer="576" w:gutter="0"/>
          <w:pgNumType w:start="1"/>
          <w:cols w:space="720"/>
        </w:sectPr>
      </w:pPr>
      <w:r w:rsidRPr="00087AC9">
        <w:rPr>
          <w:szCs w:val="24"/>
        </w:rPr>
        <w:t>This section is not applicable because statistical methods are not used in data collection associated with the implementation rule.</w:t>
      </w:r>
    </w:p>
    <w:p w:rsidR="00DF63C7" w:rsidP="00DF63C7" w14:paraId="1EE5BC0B" w14:textId="1EEBF0DA">
      <w:pPr>
        <w:ind w:firstLine="180"/>
        <w:rPr>
          <w:b/>
          <w:bCs/>
          <w:szCs w:val="24"/>
        </w:rPr>
      </w:pPr>
      <w:r w:rsidRPr="00087AC9">
        <w:rPr>
          <w:b/>
          <w:bCs/>
          <w:szCs w:val="24"/>
        </w:rPr>
        <w:t xml:space="preserve">Table 1: </w:t>
      </w:r>
      <w:r w:rsidRPr="00087AC9" w:rsidR="005302D3">
        <w:rPr>
          <w:b/>
          <w:bCs/>
          <w:szCs w:val="24"/>
        </w:rPr>
        <w:t xml:space="preserve">Annual </w:t>
      </w:r>
      <w:r w:rsidRPr="00087AC9">
        <w:rPr>
          <w:b/>
          <w:bCs/>
          <w:szCs w:val="24"/>
        </w:rPr>
        <w:t xml:space="preserve">Respondent Burden and Cost – Pipeline Transportation of Natural Gas, </w:t>
      </w:r>
      <w:r w:rsidRPr="00087AC9" w:rsidR="005302D3">
        <w:rPr>
          <w:b/>
          <w:bCs/>
          <w:szCs w:val="24"/>
        </w:rPr>
        <w:t>Year 1</w:t>
      </w:r>
    </w:p>
    <w:p w:rsidR="005239C3" w:rsidP="007A5A52" w14:paraId="5D3EB244" w14:textId="64144EBB">
      <w:pPr>
        <w:rPr>
          <w:b/>
          <w:bCs/>
          <w:szCs w:val="24"/>
        </w:rPr>
      </w:pPr>
    </w:p>
    <w:tbl>
      <w:tblPr>
        <w:tblW w:w="13675" w:type="dxa"/>
        <w:tblLook w:val="04A0"/>
      </w:tblPr>
      <w:tblGrid>
        <w:gridCol w:w="2785"/>
        <w:gridCol w:w="1440"/>
        <w:gridCol w:w="1271"/>
        <w:gridCol w:w="1216"/>
        <w:gridCol w:w="1294"/>
        <w:gridCol w:w="1439"/>
        <w:gridCol w:w="1260"/>
        <w:gridCol w:w="1620"/>
        <w:gridCol w:w="1350"/>
      </w:tblGrid>
      <w:tr w14:paraId="5D05BB8F" w14:textId="77777777" w:rsidTr="000F31D5">
        <w:tblPrEx>
          <w:tblW w:w="13675" w:type="dxa"/>
          <w:tblLook w:val="04A0"/>
        </w:tblPrEx>
        <w:trPr>
          <w:trHeight w:val="1300"/>
        </w:trPr>
        <w:tc>
          <w:tcPr>
            <w:tcW w:w="2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31D5" w:rsidRPr="000F31D5" w:rsidP="000F31D5" w14:paraId="57BC8858" w14:textId="77777777">
            <w:pPr>
              <w:jc w:val="center"/>
              <w:rPr>
                <w:b/>
                <w:bCs/>
                <w:color w:val="000000"/>
                <w:sz w:val="20"/>
              </w:rPr>
            </w:pPr>
            <w:r w:rsidRPr="000F31D5">
              <w:rPr>
                <w:b/>
                <w:bCs/>
                <w:color w:val="000000"/>
                <w:sz w:val="20"/>
              </w:rPr>
              <w:t>Burden Item</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F31D5" w:rsidRPr="000F31D5" w:rsidP="000F31D5" w14:paraId="76C78A88" w14:textId="77777777">
            <w:pPr>
              <w:jc w:val="center"/>
              <w:rPr>
                <w:color w:val="000000"/>
                <w:sz w:val="20"/>
              </w:rPr>
            </w:pPr>
            <w:r w:rsidRPr="000F31D5">
              <w:rPr>
                <w:color w:val="000000"/>
                <w:sz w:val="20"/>
              </w:rPr>
              <w:t>(A)</w:t>
            </w:r>
            <w:r w:rsidRPr="000F31D5">
              <w:rPr>
                <w:color w:val="000000"/>
                <w:sz w:val="20"/>
              </w:rPr>
              <w:br/>
            </w:r>
            <w:r w:rsidRPr="000F31D5">
              <w:rPr>
                <w:color w:val="000000"/>
                <w:sz w:val="20"/>
              </w:rPr>
              <w:t>Hours per Occurrence</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0F31D5" w:rsidRPr="000F31D5" w:rsidP="000F31D5" w14:paraId="601A7931" w14:textId="77777777">
            <w:pPr>
              <w:jc w:val="center"/>
              <w:rPr>
                <w:sz w:val="20"/>
              </w:rPr>
            </w:pPr>
            <w:r w:rsidRPr="000F31D5">
              <w:rPr>
                <w:sz w:val="20"/>
              </w:rPr>
              <w:t>(B)</w:t>
            </w:r>
            <w:r w:rsidRPr="000F31D5">
              <w:rPr>
                <w:sz w:val="20"/>
              </w:rPr>
              <w:br/>
            </w:r>
            <w:r w:rsidRPr="000F31D5">
              <w:rPr>
                <w:sz w:val="20"/>
              </w:rPr>
              <w:t>Occurrences/ Respondent/ Year</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0F31D5" w:rsidRPr="000F31D5" w:rsidP="000F31D5" w14:paraId="72A83B51" w14:textId="77777777">
            <w:pPr>
              <w:jc w:val="center"/>
              <w:rPr>
                <w:color w:val="000000"/>
                <w:sz w:val="20"/>
              </w:rPr>
            </w:pPr>
            <w:r w:rsidRPr="000F31D5">
              <w:rPr>
                <w:color w:val="000000"/>
                <w:sz w:val="20"/>
              </w:rPr>
              <w:t>(C)</w:t>
            </w:r>
            <w:r w:rsidRPr="000F31D5">
              <w:rPr>
                <w:color w:val="000000"/>
                <w:sz w:val="20"/>
              </w:rPr>
              <w:br/>
            </w:r>
            <w:r w:rsidRPr="000F31D5">
              <w:rPr>
                <w:color w:val="000000"/>
                <w:sz w:val="20"/>
              </w:rPr>
              <w:t xml:space="preserve">Hours/ Respondent/ Year </w:t>
            </w:r>
            <w:r w:rsidRPr="000F31D5">
              <w:rPr>
                <w:color w:val="000000"/>
                <w:sz w:val="20"/>
              </w:rPr>
              <w:br/>
            </w:r>
            <w:r w:rsidRPr="000F31D5">
              <w:rPr>
                <w:color w:val="000000"/>
                <w:sz w:val="20"/>
              </w:rPr>
              <w:t>(A x B)</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0F31D5" w:rsidRPr="000F31D5" w:rsidP="000F31D5" w14:paraId="3AF88F8F" w14:textId="77777777">
            <w:pPr>
              <w:jc w:val="center"/>
              <w:rPr>
                <w:sz w:val="20"/>
              </w:rPr>
            </w:pPr>
            <w:r w:rsidRPr="000F31D5">
              <w:rPr>
                <w:sz w:val="20"/>
              </w:rPr>
              <w:t>(D)</w:t>
            </w:r>
            <w:r w:rsidRPr="000F31D5">
              <w:rPr>
                <w:sz w:val="20"/>
              </w:rPr>
              <w:br/>
            </w:r>
            <w:r w:rsidRPr="000F31D5">
              <w:rPr>
                <w:sz w:val="20"/>
              </w:rPr>
              <w:t>Respondents/</w:t>
            </w:r>
            <w:r w:rsidRPr="000F31D5">
              <w:rPr>
                <w:sz w:val="20"/>
              </w:rPr>
              <w:br/>
            </w:r>
            <w:r w:rsidRPr="000F31D5">
              <w:rPr>
                <w:sz w:val="20"/>
              </w:rPr>
              <w:t>Year</w:t>
            </w:r>
            <w:r w:rsidRPr="000F31D5">
              <w:rPr>
                <w:sz w:val="20"/>
                <w:vertAlign w:val="superscript"/>
              </w:rPr>
              <w:t>a</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rsidR="000F31D5" w:rsidRPr="000F31D5" w:rsidP="000F31D5" w14:paraId="6CA8219C" w14:textId="77777777">
            <w:pPr>
              <w:jc w:val="center"/>
              <w:rPr>
                <w:color w:val="000000"/>
                <w:sz w:val="20"/>
              </w:rPr>
            </w:pPr>
            <w:r w:rsidRPr="000F31D5">
              <w:rPr>
                <w:color w:val="000000"/>
                <w:sz w:val="20"/>
              </w:rPr>
              <w:t>(E)</w:t>
            </w:r>
            <w:r w:rsidRPr="000F31D5">
              <w:rPr>
                <w:color w:val="000000"/>
                <w:sz w:val="20"/>
              </w:rPr>
              <w:br/>
            </w:r>
            <w:r w:rsidRPr="000F31D5">
              <w:rPr>
                <w:color w:val="000000"/>
                <w:sz w:val="20"/>
              </w:rPr>
              <w:t xml:space="preserve">Technical Hours/Year </w:t>
            </w:r>
            <w:r w:rsidRPr="000F31D5">
              <w:rPr>
                <w:color w:val="000000"/>
                <w:sz w:val="20"/>
              </w:rPr>
              <w:br/>
            </w:r>
            <w:r w:rsidRPr="000F31D5">
              <w:rPr>
                <w:color w:val="000000"/>
                <w:sz w:val="20"/>
              </w:rPr>
              <w:t>(C x D)</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0F31D5" w:rsidRPr="000F31D5" w:rsidP="000F31D5" w14:paraId="091E5483" w14:textId="77777777">
            <w:pPr>
              <w:jc w:val="center"/>
              <w:rPr>
                <w:color w:val="000000"/>
                <w:sz w:val="20"/>
              </w:rPr>
            </w:pPr>
            <w:r w:rsidRPr="000F31D5">
              <w:rPr>
                <w:color w:val="000000"/>
                <w:sz w:val="20"/>
              </w:rPr>
              <w:t xml:space="preserve">(F) Managerial Hours/Year </w:t>
            </w:r>
            <w:r w:rsidRPr="000F31D5">
              <w:rPr>
                <w:color w:val="000000"/>
                <w:sz w:val="20"/>
              </w:rPr>
              <w:br/>
            </w:r>
            <w:r w:rsidRPr="000F31D5">
              <w:rPr>
                <w:color w:val="000000"/>
                <w:sz w:val="20"/>
              </w:rPr>
              <w:t>(E x 0.05)</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0F31D5" w:rsidRPr="000F31D5" w:rsidP="000F31D5" w14:paraId="6B9CDC5C" w14:textId="77777777">
            <w:pPr>
              <w:jc w:val="center"/>
              <w:rPr>
                <w:color w:val="000000"/>
                <w:sz w:val="20"/>
              </w:rPr>
            </w:pPr>
            <w:r w:rsidRPr="000F31D5">
              <w:rPr>
                <w:color w:val="000000"/>
                <w:sz w:val="20"/>
              </w:rPr>
              <w:t xml:space="preserve">(G) </w:t>
            </w:r>
            <w:r w:rsidRPr="000F31D5">
              <w:rPr>
                <w:color w:val="000000"/>
                <w:sz w:val="20"/>
              </w:rPr>
              <w:br/>
            </w:r>
            <w:r w:rsidRPr="000F31D5">
              <w:rPr>
                <w:color w:val="000000"/>
                <w:sz w:val="20"/>
              </w:rPr>
              <w:t xml:space="preserve">Clerical Hours/Year </w:t>
            </w:r>
            <w:r w:rsidRPr="000F31D5">
              <w:rPr>
                <w:color w:val="000000"/>
                <w:sz w:val="20"/>
              </w:rPr>
              <w:br/>
            </w:r>
            <w:r w:rsidRPr="000F31D5">
              <w:rPr>
                <w:color w:val="000000"/>
                <w:sz w:val="20"/>
              </w:rPr>
              <w:t>(E x 0.10)</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0F31D5" w:rsidRPr="000F31D5" w:rsidP="000F31D5" w14:paraId="7BBEAD27" w14:textId="77777777">
            <w:pPr>
              <w:jc w:val="center"/>
              <w:rPr>
                <w:color w:val="000000"/>
                <w:sz w:val="20"/>
              </w:rPr>
            </w:pPr>
            <w:r w:rsidRPr="000F31D5">
              <w:rPr>
                <w:color w:val="000000"/>
                <w:sz w:val="20"/>
              </w:rPr>
              <w:t>(H)</w:t>
            </w:r>
            <w:r w:rsidRPr="000F31D5">
              <w:rPr>
                <w:color w:val="000000"/>
                <w:sz w:val="20"/>
              </w:rPr>
              <w:br/>
            </w:r>
            <w:r w:rsidRPr="000F31D5">
              <w:rPr>
                <w:color w:val="000000"/>
                <w:sz w:val="20"/>
              </w:rPr>
              <w:t>Cost/ Year</w:t>
            </w:r>
            <w:r w:rsidRPr="000F31D5">
              <w:rPr>
                <w:color w:val="000000"/>
                <w:sz w:val="20"/>
                <w:vertAlign w:val="superscript"/>
              </w:rPr>
              <w:t>b</w:t>
            </w:r>
          </w:p>
        </w:tc>
      </w:tr>
      <w:tr w14:paraId="1BE14D1D" w14:textId="77777777" w:rsidTr="000F31D5">
        <w:tblPrEx>
          <w:tblW w:w="13675" w:type="dxa"/>
          <w:tblLook w:val="04A0"/>
        </w:tblPrEx>
        <w:trPr>
          <w:trHeight w:val="418"/>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0F31D5" w:rsidRPr="000F31D5" w:rsidP="000F31D5" w14:paraId="3FF949AC" w14:textId="77777777">
            <w:pPr>
              <w:rPr>
                <w:color w:val="000000"/>
                <w:sz w:val="20"/>
              </w:rPr>
            </w:pPr>
            <w:r w:rsidRPr="000F31D5">
              <w:rPr>
                <w:color w:val="000000"/>
                <w:sz w:val="20"/>
              </w:rPr>
              <w:t xml:space="preserve">1. APPLICATIONS </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598C1477" w14:textId="77777777">
            <w:pPr>
              <w:jc w:val="center"/>
              <w:rPr>
                <w:color w:val="000000"/>
                <w:sz w:val="20"/>
              </w:rPr>
            </w:pPr>
            <w:r w:rsidRPr="000F31D5">
              <w:rPr>
                <w:color w:val="000000"/>
                <w:sz w:val="20"/>
              </w:rPr>
              <w:t>NA</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6DF9EFEC" w14:textId="77777777">
            <w:pPr>
              <w:jc w:val="right"/>
              <w:rPr>
                <w:sz w:val="20"/>
              </w:rPr>
            </w:pPr>
            <w:r w:rsidRPr="000F31D5">
              <w:rPr>
                <w:sz w:val="20"/>
              </w:rPr>
              <w:t> </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287610A5" w14:textId="77777777">
            <w:pPr>
              <w:jc w:val="right"/>
              <w:rPr>
                <w:color w:val="000000"/>
                <w:sz w:val="20"/>
              </w:rPr>
            </w:pPr>
            <w:r w:rsidRPr="000F31D5">
              <w:rPr>
                <w:color w:val="000000"/>
                <w:sz w:val="20"/>
              </w:rPr>
              <w:t> </w:t>
            </w:r>
          </w:p>
        </w:tc>
        <w:tc>
          <w:tcPr>
            <w:tcW w:w="1294" w:type="dxa"/>
            <w:tcBorders>
              <w:top w:val="nil"/>
              <w:left w:val="nil"/>
              <w:bottom w:val="single" w:sz="4" w:space="0" w:color="auto"/>
              <w:right w:val="single" w:sz="4" w:space="0" w:color="auto"/>
            </w:tcBorders>
            <w:shd w:val="clear" w:color="auto" w:fill="auto"/>
            <w:vAlign w:val="center"/>
            <w:hideMark/>
          </w:tcPr>
          <w:p w:rsidR="000F31D5" w:rsidRPr="000F31D5" w:rsidP="000F31D5" w14:paraId="54695099" w14:textId="77777777">
            <w:pPr>
              <w:jc w:val="right"/>
              <w:rPr>
                <w:sz w:val="20"/>
              </w:rPr>
            </w:pPr>
            <w:r w:rsidRPr="000F31D5">
              <w:rPr>
                <w:sz w:val="20"/>
              </w:rPr>
              <w:t> </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6745E26F" w14:textId="77777777">
            <w:pPr>
              <w:jc w:val="right"/>
              <w:rPr>
                <w:color w:val="000000"/>
                <w:sz w:val="20"/>
              </w:rPr>
            </w:pPr>
            <w:r w:rsidRPr="000F31D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7F0CA8E4" w14:textId="77777777">
            <w:pPr>
              <w:jc w:val="right"/>
              <w:rPr>
                <w:color w:val="000000"/>
                <w:sz w:val="20"/>
              </w:rPr>
            </w:pPr>
            <w:r w:rsidRPr="000F31D5">
              <w:rPr>
                <w:color w:val="000000"/>
                <w:sz w:val="20"/>
              </w:rPr>
              <w:t> </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23B83A9A" w14:textId="77777777">
            <w:pPr>
              <w:jc w:val="right"/>
              <w:rPr>
                <w:color w:val="000000"/>
                <w:sz w:val="20"/>
              </w:rPr>
            </w:pPr>
            <w:r w:rsidRPr="000F31D5">
              <w:rPr>
                <w:color w:val="000000"/>
                <w:sz w:val="20"/>
              </w:rPr>
              <w:t> </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6DACDE84" w14:textId="77777777">
            <w:pPr>
              <w:jc w:val="right"/>
              <w:rPr>
                <w:color w:val="000000"/>
                <w:sz w:val="20"/>
              </w:rPr>
            </w:pPr>
            <w:r w:rsidRPr="000F31D5">
              <w:rPr>
                <w:color w:val="000000"/>
                <w:sz w:val="20"/>
              </w:rPr>
              <w:t> </w:t>
            </w:r>
          </w:p>
        </w:tc>
      </w:tr>
      <w:tr w14:paraId="07ACB690" w14:textId="77777777" w:rsidTr="000F31D5">
        <w:tblPrEx>
          <w:tblW w:w="13675" w:type="dxa"/>
          <w:tblLook w:val="04A0"/>
        </w:tblPrEx>
        <w:trPr>
          <w:trHeight w:val="598"/>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0F31D5" w:rsidRPr="000F31D5" w:rsidP="000F31D5" w14:paraId="2D581F63" w14:textId="77777777">
            <w:pPr>
              <w:rPr>
                <w:color w:val="000000"/>
                <w:sz w:val="20"/>
              </w:rPr>
            </w:pPr>
            <w:r w:rsidRPr="000F31D5">
              <w:rPr>
                <w:color w:val="000000"/>
                <w:sz w:val="20"/>
              </w:rPr>
              <w:t xml:space="preserve">2. SURVEY AND STUDIES </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28B8E83E" w14:textId="77777777">
            <w:pPr>
              <w:jc w:val="center"/>
              <w:rPr>
                <w:color w:val="000000"/>
                <w:sz w:val="20"/>
              </w:rPr>
            </w:pPr>
            <w:r w:rsidRPr="000F31D5">
              <w:rPr>
                <w:color w:val="000000"/>
                <w:sz w:val="20"/>
              </w:rPr>
              <w:t>NA</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58B24CBE" w14:textId="77777777">
            <w:pPr>
              <w:jc w:val="right"/>
              <w:rPr>
                <w:sz w:val="20"/>
              </w:rPr>
            </w:pPr>
            <w:r w:rsidRPr="000F31D5">
              <w:rPr>
                <w:sz w:val="20"/>
              </w:rPr>
              <w:t> </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4B36F408" w14:textId="77777777">
            <w:pPr>
              <w:jc w:val="right"/>
              <w:rPr>
                <w:color w:val="000000"/>
                <w:sz w:val="20"/>
              </w:rPr>
            </w:pPr>
            <w:r w:rsidRPr="000F31D5">
              <w:rPr>
                <w:color w:val="000000"/>
                <w:sz w:val="20"/>
              </w:rPr>
              <w:t> </w:t>
            </w:r>
          </w:p>
        </w:tc>
        <w:tc>
          <w:tcPr>
            <w:tcW w:w="1294" w:type="dxa"/>
            <w:tcBorders>
              <w:top w:val="nil"/>
              <w:left w:val="nil"/>
              <w:bottom w:val="single" w:sz="4" w:space="0" w:color="auto"/>
              <w:right w:val="single" w:sz="4" w:space="0" w:color="auto"/>
            </w:tcBorders>
            <w:shd w:val="clear" w:color="auto" w:fill="auto"/>
            <w:vAlign w:val="center"/>
            <w:hideMark/>
          </w:tcPr>
          <w:p w:rsidR="000F31D5" w:rsidRPr="000F31D5" w:rsidP="000F31D5" w14:paraId="163CBD09" w14:textId="77777777">
            <w:pPr>
              <w:jc w:val="right"/>
              <w:rPr>
                <w:sz w:val="20"/>
              </w:rPr>
            </w:pPr>
            <w:r w:rsidRPr="000F31D5">
              <w:rPr>
                <w:sz w:val="20"/>
              </w:rPr>
              <w:t> </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332CCBDA" w14:textId="77777777">
            <w:pPr>
              <w:jc w:val="right"/>
              <w:rPr>
                <w:color w:val="000000"/>
                <w:sz w:val="20"/>
              </w:rPr>
            </w:pPr>
            <w:r w:rsidRPr="000F31D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58952BE8" w14:textId="77777777">
            <w:pPr>
              <w:jc w:val="right"/>
              <w:rPr>
                <w:color w:val="000000"/>
                <w:sz w:val="20"/>
              </w:rPr>
            </w:pPr>
            <w:r w:rsidRPr="000F31D5">
              <w:rPr>
                <w:color w:val="000000"/>
                <w:sz w:val="20"/>
              </w:rPr>
              <w:t> </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6DC24895" w14:textId="77777777">
            <w:pPr>
              <w:jc w:val="right"/>
              <w:rPr>
                <w:color w:val="000000"/>
                <w:sz w:val="20"/>
              </w:rPr>
            </w:pPr>
            <w:r w:rsidRPr="000F31D5">
              <w:rPr>
                <w:color w:val="000000"/>
                <w:sz w:val="20"/>
              </w:rPr>
              <w:t> </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51676C25" w14:textId="77777777">
            <w:pPr>
              <w:jc w:val="right"/>
              <w:rPr>
                <w:color w:val="000000"/>
                <w:sz w:val="20"/>
              </w:rPr>
            </w:pPr>
            <w:r w:rsidRPr="000F31D5">
              <w:rPr>
                <w:color w:val="000000"/>
                <w:sz w:val="20"/>
              </w:rPr>
              <w:t> </w:t>
            </w:r>
          </w:p>
        </w:tc>
      </w:tr>
      <w:tr w14:paraId="1A8BD751" w14:textId="77777777" w:rsidTr="000F31D5">
        <w:tblPrEx>
          <w:tblW w:w="13675" w:type="dxa"/>
          <w:tblLook w:val="04A0"/>
        </w:tblPrEx>
        <w:trPr>
          <w:trHeight w:val="930"/>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0F31D5" w:rsidRPr="000F31D5" w:rsidP="000F31D5" w14:paraId="07E4741A" w14:textId="77777777">
            <w:pPr>
              <w:rPr>
                <w:color w:val="000000"/>
                <w:sz w:val="20"/>
              </w:rPr>
            </w:pPr>
            <w:r w:rsidRPr="000F31D5">
              <w:rPr>
                <w:color w:val="000000"/>
                <w:sz w:val="20"/>
              </w:rPr>
              <w:t>3.ACQUISITION, INSTALLATION, AND UTILIZATION OF TECHNOLOGY AND SYSTEMS</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6246CF5A" w14:textId="77777777">
            <w:pPr>
              <w:jc w:val="center"/>
              <w:rPr>
                <w:color w:val="000000"/>
                <w:sz w:val="20"/>
              </w:rPr>
            </w:pPr>
            <w:r w:rsidRPr="000F31D5">
              <w:rPr>
                <w:color w:val="000000"/>
                <w:sz w:val="20"/>
              </w:rPr>
              <w:t>24</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518D9B97" w14:textId="77777777">
            <w:pPr>
              <w:jc w:val="center"/>
              <w:rPr>
                <w:sz w:val="20"/>
              </w:rPr>
            </w:pPr>
            <w:r w:rsidRPr="000F31D5">
              <w:rPr>
                <w:sz w:val="20"/>
              </w:rPr>
              <w:t>1</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4096DF46" w14:textId="77777777">
            <w:pPr>
              <w:jc w:val="center"/>
              <w:rPr>
                <w:color w:val="000000"/>
                <w:sz w:val="20"/>
              </w:rPr>
            </w:pPr>
            <w:r w:rsidRPr="000F31D5">
              <w:rPr>
                <w:color w:val="000000"/>
                <w:sz w:val="20"/>
              </w:rPr>
              <w:t>24</w:t>
            </w:r>
          </w:p>
        </w:tc>
        <w:tc>
          <w:tcPr>
            <w:tcW w:w="1294" w:type="dxa"/>
            <w:tcBorders>
              <w:top w:val="nil"/>
              <w:left w:val="nil"/>
              <w:bottom w:val="single" w:sz="4" w:space="0" w:color="auto"/>
              <w:right w:val="single" w:sz="4" w:space="0" w:color="auto"/>
            </w:tcBorders>
            <w:shd w:val="clear" w:color="auto" w:fill="auto"/>
            <w:vAlign w:val="center"/>
            <w:hideMark/>
          </w:tcPr>
          <w:p w:rsidR="000F31D5" w:rsidRPr="000F31D5" w:rsidP="000F31D5" w14:paraId="77005E16" w14:textId="77777777">
            <w:pPr>
              <w:jc w:val="center"/>
              <w:rPr>
                <w:sz w:val="20"/>
              </w:rPr>
            </w:pPr>
            <w:r w:rsidRPr="000F31D5">
              <w:rPr>
                <w:sz w:val="20"/>
              </w:rPr>
              <w:t>23.91</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64267424" w14:textId="77777777">
            <w:pPr>
              <w:jc w:val="center"/>
              <w:rPr>
                <w:color w:val="000000"/>
                <w:sz w:val="20"/>
              </w:rPr>
            </w:pPr>
            <w:r w:rsidRPr="000F31D5">
              <w:rPr>
                <w:color w:val="000000"/>
                <w:sz w:val="20"/>
              </w:rPr>
              <w:t>573.96</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3242768D" w14:textId="77777777">
            <w:pPr>
              <w:jc w:val="center"/>
              <w:rPr>
                <w:color w:val="000000"/>
                <w:sz w:val="20"/>
              </w:rPr>
            </w:pPr>
            <w:r w:rsidRPr="000F31D5">
              <w:rPr>
                <w:color w:val="000000"/>
                <w:sz w:val="20"/>
              </w:rPr>
              <w:t>28.70</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3ACAC129" w14:textId="77777777">
            <w:pPr>
              <w:jc w:val="center"/>
              <w:rPr>
                <w:color w:val="000000"/>
                <w:sz w:val="20"/>
              </w:rPr>
            </w:pPr>
            <w:r w:rsidRPr="000F31D5">
              <w:rPr>
                <w:color w:val="000000"/>
                <w:sz w:val="20"/>
              </w:rPr>
              <w:t>57.40</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0F6115BE" w14:textId="77777777">
            <w:pPr>
              <w:jc w:val="right"/>
              <w:rPr>
                <w:color w:val="000000"/>
                <w:sz w:val="20"/>
              </w:rPr>
            </w:pPr>
            <w:r w:rsidRPr="000F31D5">
              <w:rPr>
                <w:color w:val="000000"/>
                <w:sz w:val="20"/>
              </w:rPr>
              <w:t xml:space="preserve">$81,606 </w:t>
            </w:r>
          </w:p>
        </w:tc>
      </w:tr>
      <w:tr w14:paraId="21340F90" w14:textId="77777777" w:rsidTr="000F31D5">
        <w:tblPrEx>
          <w:tblW w:w="13675" w:type="dxa"/>
          <w:tblLook w:val="04A0"/>
        </w:tblPrEx>
        <w:trPr>
          <w:trHeight w:val="260"/>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0F31D5" w:rsidRPr="000F31D5" w:rsidP="000F31D5" w14:paraId="01D0083C" w14:textId="77777777">
            <w:pPr>
              <w:rPr>
                <w:color w:val="000000"/>
                <w:sz w:val="20"/>
              </w:rPr>
            </w:pPr>
            <w:r w:rsidRPr="000F31D5">
              <w:rPr>
                <w:color w:val="000000"/>
                <w:sz w:val="20"/>
              </w:rPr>
              <w:t>4. REPORT REQUIREMENTS</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24D8960D" w14:textId="77777777">
            <w:pPr>
              <w:jc w:val="center"/>
              <w:rPr>
                <w:color w:val="000000"/>
                <w:sz w:val="20"/>
              </w:rPr>
            </w:pPr>
            <w:r w:rsidRPr="000F31D5">
              <w:rPr>
                <w:color w:val="000000"/>
                <w:sz w:val="20"/>
              </w:rPr>
              <w:t> </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240149AB" w14:textId="77777777">
            <w:pPr>
              <w:jc w:val="center"/>
              <w:rPr>
                <w:sz w:val="20"/>
              </w:rPr>
            </w:pPr>
            <w:r w:rsidRPr="000F31D5">
              <w:rPr>
                <w:sz w:val="20"/>
              </w:rPr>
              <w:t> </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6073E08A" w14:textId="77777777">
            <w:pPr>
              <w:jc w:val="center"/>
              <w:rPr>
                <w:color w:val="000000"/>
                <w:sz w:val="20"/>
              </w:rPr>
            </w:pPr>
            <w:r w:rsidRPr="000F31D5">
              <w:rPr>
                <w:color w:val="000000"/>
                <w:sz w:val="20"/>
              </w:rPr>
              <w:t> </w:t>
            </w:r>
          </w:p>
        </w:tc>
        <w:tc>
          <w:tcPr>
            <w:tcW w:w="1294" w:type="dxa"/>
            <w:tcBorders>
              <w:top w:val="nil"/>
              <w:left w:val="nil"/>
              <w:bottom w:val="single" w:sz="4" w:space="0" w:color="auto"/>
              <w:right w:val="single" w:sz="4" w:space="0" w:color="auto"/>
            </w:tcBorders>
            <w:shd w:val="clear" w:color="auto" w:fill="auto"/>
            <w:vAlign w:val="center"/>
            <w:hideMark/>
          </w:tcPr>
          <w:p w:rsidR="000F31D5" w:rsidRPr="000F31D5" w:rsidP="000F31D5" w14:paraId="5879E98B" w14:textId="77777777">
            <w:pPr>
              <w:jc w:val="center"/>
              <w:rPr>
                <w:sz w:val="20"/>
              </w:rPr>
            </w:pPr>
            <w:r w:rsidRPr="000F31D5">
              <w:rPr>
                <w:sz w:val="20"/>
              </w:rPr>
              <w:t> </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58016A69" w14:textId="77777777">
            <w:pPr>
              <w:jc w:val="center"/>
              <w:rPr>
                <w:color w:val="000000"/>
                <w:sz w:val="20"/>
              </w:rPr>
            </w:pPr>
            <w:r w:rsidRPr="000F31D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495C3415" w14:textId="77777777">
            <w:pPr>
              <w:jc w:val="center"/>
              <w:rPr>
                <w:color w:val="000000"/>
                <w:sz w:val="20"/>
              </w:rPr>
            </w:pPr>
            <w:r w:rsidRPr="000F31D5">
              <w:rPr>
                <w:color w:val="000000"/>
                <w:sz w:val="20"/>
              </w:rPr>
              <w:t> </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7146DFB8" w14:textId="77777777">
            <w:pPr>
              <w:jc w:val="center"/>
              <w:rPr>
                <w:color w:val="000000"/>
                <w:sz w:val="20"/>
              </w:rPr>
            </w:pPr>
            <w:r w:rsidRPr="000F31D5">
              <w:rPr>
                <w:color w:val="000000"/>
                <w:sz w:val="20"/>
              </w:rPr>
              <w:t> </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47018ABB" w14:textId="77777777">
            <w:pPr>
              <w:jc w:val="right"/>
              <w:rPr>
                <w:color w:val="000000"/>
                <w:sz w:val="20"/>
              </w:rPr>
            </w:pPr>
            <w:r w:rsidRPr="000F31D5">
              <w:rPr>
                <w:color w:val="000000"/>
                <w:sz w:val="20"/>
              </w:rPr>
              <w:t> </w:t>
            </w:r>
          </w:p>
        </w:tc>
      </w:tr>
      <w:tr w14:paraId="1D1EF02E" w14:textId="77777777" w:rsidTr="000F31D5">
        <w:tblPrEx>
          <w:tblW w:w="13675" w:type="dxa"/>
          <w:tblLook w:val="04A0"/>
        </w:tblPrEx>
        <w:trPr>
          <w:trHeight w:val="1040"/>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0F31D5" w:rsidRPr="000F31D5" w:rsidP="000F31D5" w14:paraId="6545C2CE" w14:textId="7E37E0C2">
            <w:pPr>
              <w:rPr>
                <w:color w:val="000000"/>
                <w:sz w:val="20"/>
              </w:rPr>
            </w:pPr>
            <w:r w:rsidRPr="000F31D5">
              <w:rPr>
                <w:color w:val="000000"/>
                <w:sz w:val="20"/>
              </w:rPr>
              <w:t xml:space="preserve">REQUEST FOR CASE-BY-CASE EMISSION LIMITS - Per 52.40(e); (based on BACT analysis of 2020 NSR ICR) </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404F3B38" w14:textId="77777777">
            <w:pPr>
              <w:jc w:val="center"/>
              <w:rPr>
                <w:color w:val="000000"/>
                <w:sz w:val="20"/>
              </w:rPr>
            </w:pPr>
            <w:r w:rsidRPr="000F31D5">
              <w:rPr>
                <w:color w:val="000000"/>
                <w:sz w:val="20"/>
              </w:rPr>
              <w:t>156</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3A9F99C7" w14:textId="77777777">
            <w:pPr>
              <w:jc w:val="center"/>
              <w:rPr>
                <w:sz w:val="20"/>
              </w:rPr>
            </w:pPr>
            <w:r w:rsidRPr="000F31D5">
              <w:rPr>
                <w:sz w:val="20"/>
              </w:rPr>
              <w:t>1</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17DB373F" w14:textId="77777777">
            <w:pPr>
              <w:jc w:val="center"/>
              <w:rPr>
                <w:color w:val="000000"/>
                <w:sz w:val="20"/>
              </w:rPr>
            </w:pPr>
            <w:r w:rsidRPr="000F31D5">
              <w:rPr>
                <w:color w:val="000000"/>
                <w:sz w:val="20"/>
              </w:rPr>
              <w:t>156</w:t>
            </w:r>
          </w:p>
        </w:tc>
        <w:tc>
          <w:tcPr>
            <w:tcW w:w="1294" w:type="dxa"/>
            <w:tcBorders>
              <w:top w:val="nil"/>
              <w:left w:val="nil"/>
              <w:bottom w:val="single" w:sz="4" w:space="0" w:color="auto"/>
              <w:right w:val="single" w:sz="4" w:space="0" w:color="auto"/>
            </w:tcBorders>
            <w:shd w:val="clear" w:color="auto" w:fill="auto"/>
            <w:vAlign w:val="center"/>
            <w:hideMark/>
          </w:tcPr>
          <w:p w:rsidR="000F31D5" w:rsidRPr="000F31D5" w:rsidP="000F31D5" w14:paraId="4FE31818" w14:textId="77777777">
            <w:pPr>
              <w:jc w:val="center"/>
              <w:rPr>
                <w:sz w:val="20"/>
              </w:rPr>
            </w:pPr>
            <w:r w:rsidRPr="000F31D5">
              <w:rPr>
                <w:sz w:val="20"/>
              </w:rPr>
              <w:t>28.47</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56203100" w14:textId="77777777">
            <w:pPr>
              <w:jc w:val="center"/>
              <w:rPr>
                <w:color w:val="000000"/>
                <w:sz w:val="20"/>
              </w:rPr>
            </w:pPr>
            <w:r w:rsidRPr="000F31D5">
              <w:rPr>
                <w:color w:val="000000"/>
                <w:sz w:val="20"/>
              </w:rPr>
              <w:t>4441.32</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2C04B680" w14:textId="77777777">
            <w:pPr>
              <w:jc w:val="center"/>
              <w:rPr>
                <w:color w:val="000000"/>
                <w:sz w:val="20"/>
              </w:rPr>
            </w:pPr>
            <w:r w:rsidRPr="000F31D5">
              <w:rPr>
                <w:color w:val="000000"/>
                <w:sz w:val="20"/>
              </w:rPr>
              <w:t>222.066</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4BDA1CBF" w14:textId="77777777">
            <w:pPr>
              <w:jc w:val="center"/>
              <w:rPr>
                <w:color w:val="000000"/>
                <w:sz w:val="20"/>
              </w:rPr>
            </w:pPr>
            <w:r w:rsidRPr="000F31D5">
              <w:rPr>
                <w:color w:val="000000"/>
                <w:sz w:val="20"/>
              </w:rPr>
              <w:t>444.132</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098DB9D6" w14:textId="31C0384D">
            <w:pPr>
              <w:jc w:val="right"/>
              <w:rPr>
                <w:color w:val="000000"/>
                <w:sz w:val="20"/>
              </w:rPr>
            </w:pPr>
            <w:r w:rsidRPr="000F31D5">
              <w:rPr>
                <w:color w:val="000000"/>
                <w:sz w:val="20"/>
              </w:rPr>
              <w:t xml:space="preserve">$631,478 </w:t>
            </w:r>
          </w:p>
        </w:tc>
      </w:tr>
      <w:tr w14:paraId="4D86CD2F" w14:textId="77777777" w:rsidTr="000F31D5">
        <w:tblPrEx>
          <w:tblW w:w="13675" w:type="dxa"/>
          <w:tblLook w:val="04A0"/>
        </w:tblPrEx>
        <w:trPr>
          <w:trHeight w:val="26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rsidR="000F31D5" w:rsidRPr="000F31D5" w:rsidP="000F31D5" w14:paraId="46F0D958" w14:textId="77777777">
            <w:pPr>
              <w:ind w:firstLine="200" w:firstLineChars="100"/>
              <w:rPr>
                <w:color w:val="000000"/>
                <w:sz w:val="20"/>
              </w:rPr>
            </w:pPr>
            <w:r w:rsidRPr="000F31D5">
              <w:rPr>
                <w:color w:val="000000"/>
                <w:sz w:val="20"/>
              </w:rPr>
              <w:t>A. Familiarize with regulatory requirement</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20CEED7F" w14:textId="77777777">
            <w:pPr>
              <w:jc w:val="center"/>
              <w:rPr>
                <w:color w:val="000000"/>
                <w:sz w:val="20"/>
              </w:rPr>
            </w:pPr>
            <w:r w:rsidRPr="000F31D5">
              <w:rPr>
                <w:color w:val="000000"/>
                <w:sz w:val="20"/>
              </w:rPr>
              <w:t>1</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3D79E386" w14:textId="77777777">
            <w:pPr>
              <w:jc w:val="center"/>
              <w:rPr>
                <w:sz w:val="20"/>
              </w:rPr>
            </w:pPr>
            <w:r w:rsidRPr="000F31D5">
              <w:rPr>
                <w:sz w:val="20"/>
              </w:rPr>
              <w:t>1</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081A62FA" w14:textId="77777777">
            <w:pPr>
              <w:jc w:val="center"/>
              <w:rPr>
                <w:color w:val="000000"/>
                <w:sz w:val="20"/>
              </w:rPr>
            </w:pPr>
            <w:r w:rsidRPr="000F31D5">
              <w:rPr>
                <w:color w:val="000000"/>
                <w:sz w:val="20"/>
              </w:rPr>
              <w:t>1</w:t>
            </w:r>
          </w:p>
        </w:tc>
        <w:tc>
          <w:tcPr>
            <w:tcW w:w="1294" w:type="dxa"/>
            <w:tcBorders>
              <w:top w:val="nil"/>
              <w:left w:val="nil"/>
              <w:bottom w:val="single" w:sz="4" w:space="0" w:color="auto"/>
              <w:right w:val="single" w:sz="4" w:space="0" w:color="auto"/>
            </w:tcBorders>
            <w:shd w:val="clear" w:color="auto" w:fill="auto"/>
            <w:vAlign w:val="center"/>
            <w:hideMark/>
          </w:tcPr>
          <w:p w:rsidR="000F31D5" w:rsidRPr="000F31D5" w:rsidP="000F31D5" w14:paraId="7753B562" w14:textId="77777777">
            <w:pPr>
              <w:jc w:val="center"/>
              <w:rPr>
                <w:sz w:val="20"/>
              </w:rPr>
            </w:pPr>
            <w:r w:rsidRPr="000F31D5">
              <w:rPr>
                <w:sz w:val="20"/>
              </w:rPr>
              <w:t>2847</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61626304" w14:textId="77777777">
            <w:pPr>
              <w:jc w:val="center"/>
              <w:rPr>
                <w:color w:val="000000"/>
                <w:sz w:val="20"/>
              </w:rPr>
            </w:pPr>
            <w:r w:rsidRPr="000F31D5">
              <w:rPr>
                <w:color w:val="000000"/>
                <w:sz w:val="20"/>
              </w:rPr>
              <w:t>2847</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167D7862" w14:textId="77777777">
            <w:pPr>
              <w:jc w:val="center"/>
              <w:rPr>
                <w:color w:val="000000"/>
                <w:sz w:val="20"/>
              </w:rPr>
            </w:pPr>
            <w:r w:rsidRPr="000F31D5">
              <w:rPr>
                <w:color w:val="000000"/>
                <w:sz w:val="20"/>
              </w:rPr>
              <w:t>142.35</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667FF89A" w14:textId="77777777">
            <w:pPr>
              <w:jc w:val="center"/>
              <w:rPr>
                <w:color w:val="000000"/>
                <w:sz w:val="20"/>
              </w:rPr>
            </w:pPr>
            <w:r w:rsidRPr="000F31D5">
              <w:rPr>
                <w:color w:val="000000"/>
                <w:sz w:val="20"/>
              </w:rPr>
              <w:t>284.7</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56712434" w14:textId="77F2889E">
            <w:pPr>
              <w:jc w:val="right"/>
              <w:rPr>
                <w:color w:val="000000"/>
                <w:sz w:val="20"/>
              </w:rPr>
            </w:pPr>
            <w:r w:rsidRPr="000F31D5">
              <w:rPr>
                <w:color w:val="000000"/>
                <w:sz w:val="20"/>
              </w:rPr>
              <w:t>$404,79</w:t>
            </w:r>
            <w:r w:rsidR="00735E71">
              <w:rPr>
                <w:color w:val="000000"/>
                <w:sz w:val="20"/>
              </w:rPr>
              <w:t>4</w:t>
            </w:r>
            <w:r w:rsidRPr="000F31D5">
              <w:rPr>
                <w:color w:val="000000"/>
                <w:sz w:val="20"/>
              </w:rPr>
              <w:t xml:space="preserve"> </w:t>
            </w:r>
          </w:p>
        </w:tc>
      </w:tr>
      <w:tr w14:paraId="224EE51B" w14:textId="77777777" w:rsidTr="000F31D5">
        <w:tblPrEx>
          <w:tblW w:w="13675" w:type="dxa"/>
          <w:tblLook w:val="04A0"/>
        </w:tblPrEx>
        <w:trPr>
          <w:trHeight w:val="315"/>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rsidR="000F31D5" w:rsidRPr="000F31D5" w:rsidP="000F31D5" w14:paraId="477A6C4D" w14:textId="77777777">
            <w:pPr>
              <w:ind w:firstLine="200" w:firstLineChars="100"/>
              <w:rPr>
                <w:color w:val="000000"/>
                <w:sz w:val="20"/>
              </w:rPr>
            </w:pPr>
            <w:r w:rsidRPr="000F31D5">
              <w:rPr>
                <w:color w:val="000000"/>
                <w:sz w:val="20"/>
              </w:rPr>
              <w:t>B. Required Activities</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3E9992D9" w14:textId="77777777">
            <w:pPr>
              <w:jc w:val="center"/>
              <w:rPr>
                <w:color w:val="000000"/>
                <w:sz w:val="20"/>
              </w:rPr>
            </w:pPr>
            <w:r w:rsidRPr="000F31D5">
              <w:rPr>
                <w:color w:val="000000"/>
                <w:sz w:val="20"/>
              </w:rPr>
              <w:t> </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24A3769C" w14:textId="77777777">
            <w:pPr>
              <w:jc w:val="center"/>
              <w:rPr>
                <w:sz w:val="20"/>
              </w:rPr>
            </w:pPr>
            <w:r w:rsidRPr="000F31D5">
              <w:rPr>
                <w:sz w:val="20"/>
              </w:rPr>
              <w:t> </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2E0A081A" w14:textId="77777777">
            <w:pPr>
              <w:jc w:val="center"/>
              <w:rPr>
                <w:color w:val="000000"/>
                <w:sz w:val="20"/>
              </w:rPr>
            </w:pPr>
            <w:r w:rsidRPr="000F31D5">
              <w:rPr>
                <w:color w:val="000000"/>
                <w:sz w:val="20"/>
              </w:rPr>
              <w:t> </w:t>
            </w:r>
          </w:p>
        </w:tc>
        <w:tc>
          <w:tcPr>
            <w:tcW w:w="1294" w:type="dxa"/>
            <w:tcBorders>
              <w:top w:val="nil"/>
              <w:left w:val="nil"/>
              <w:bottom w:val="single" w:sz="4" w:space="0" w:color="auto"/>
              <w:right w:val="single" w:sz="4" w:space="0" w:color="auto"/>
            </w:tcBorders>
            <w:shd w:val="clear" w:color="auto" w:fill="auto"/>
            <w:vAlign w:val="center"/>
            <w:hideMark/>
          </w:tcPr>
          <w:p w:rsidR="000F31D5" w:rsidRPr="000F31D5" w:rsidP="000F31D5" w14:paraId="51E5A795" w14:textId="77777777">
            <w:pPr>
              <w:jc w:val="center"/>
              <w:rPr>
                <w:sz w:val="20"/>
              </w:rPr>
            </w:pPr>
            <w:r w:rsidRPr="000F31D5">
              <w:rPr>
                <w:sz w:val="20"/>
              </w:rPr>
              <w:t> </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725AECAC" w14:textId="77777777">
            <w:pPr>
              <w:jc w:val="center"/>
              <w:rPr>
                <w:color w:val="000000"/>
                <w:sz w:val="20"/>
              </w:rPr>
            </w:pPr>
            <w:r w:rsidRPr="000F31D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253671C1" w14:textId="77777777">
            <w:pPr>
              <w:jc w:val="center"/>
              <w:rPr>
                <w:color w:val="000000"/>
                <w:sz w:val="20"/>
              </w:rPr>
            </w:pPr>
            <w:r w:rsidRPr="000F31D5">
              <w:rPr>
                <w:color w:val="000000"/>
                <w:sz w:val="20"/>
              </w:rPr>
              <w:t> </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34B6C8EA" w14:textId="77777777">
            <w:pPr>
              <w:jc w:val="center"/>
              <w:rPr>
                <w:color w:val="000000"/>
                <w:sz w:val="20"/>
              </w:rPr>
            </w:pPr>
            <w:r w:rsidRPr="000F31D5">
              <w:rPr>
                <w:color w:val="000000"/>
                <w:sz w:val="20"/>
              </w:rPr>
              <w:t> </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63467DA4" w14:textId="77777777">
            <w:pPr>
              <w:jc w:val="right"/>
              <w:rPr>
                <w:color w:val="000000"/>
                <w:sz w:val="20"/>
              </w:rPr>
            </w:pPr>
            <w:r w:rsidRPr="000F31D5">
              <w:rPr>
                <w:color w:val="000000"/>
                <w:sz w:val="20"/>
              </w:rPr>
              <w:t> </w:t>
            </w:r>
          </w:p>
        </w:tc>
      </w:tr>
      <w:tr w14:paraId="7E277571" w14:textId="77777777" w:rsidTr="000F31D5">
        <w:tblPrEx>
          <w:tblW w:w="13675" w:type="dxa"/>
          <w:tblLook w:val="04A0"/>
        </w:tblPrEx>
        <w:trPr>
          <w:trHeight w:val="570"/>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0F31D5" w:rsidRPr="000F31D5" w:rsidP="000F31D5" w14:paraId="47B7FF32" w14:textId="77777777">
            <w:pPr>
              <w:ind w:firstLine="200" w:firstLineChars="100"/>
              <w:rPr>
                <w:i/>
                <w:iCs/>
                <w:color w:val="000000"/>
                <w:sz w:val="20"/>
              </w:rPr>
            </w:pPr>
            <w:r w:rsidRPr="000F31D5">
              <w:rPr>
                <w:i/>
                <w:iCs/>
                <w:color w:val="000000"/>
                <w:sz w:val="20"/>
              </w:rPr>
              <w:t xml:space="preserve">New Sources - Annual CPMS Performance Evaluation </w:t>
            </w:r>
            <w:r w:rsidRPr="000F31D5">
              <w:rPr>
                <w:color w:val="000000"/>
                <w:sz w:val="20"/>
                <w:vertAlign w:val="superscript"/>
              </w:rPr>
              <w:t>c</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78C5F874" w14:textId="77777777">
            <w:pPr>
              <w:jc w:val="center"/>
              <w:rPr>
                <w:color w:val="000000"/>
                <w:sz w:val="20"/>
              </w:rPr>
            </w:pPr>
            <w:r w:rsidRPr="000F31D5">
              <w:rPr>
                <w:color w:val="000000"/>
                <w:sz w:val="20"/>
              </w:rPr>
              <w:t> </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5DD96B6E" w14:textId="77777777">
            <w:pPr>
              <w:jc w:val="center"/>
              <w:rPr>
                <w:sz w:val="20"/>
              </w:rPr>
            </w:pPr>
            <w:r w:rsidRPr="000F31D5">
              <w:rPr>
                <w:sz w:val="20"/>
              </w:rPr>
              <w:t> </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78FB4D60" w14:textId="77777777">
            <w:pPr>
              <w:jc w:val="center"/>
              <w:rPr>
                <w:color w:val="000000"/>
                <w:sz w:val="20"/>
              </w:rPr>
            </w:pPr>
            <w:r w:rsidRPr="000F31D5">
              <w:rPr>
                <w:color w:val="000000"/>
                <w:sz w:val="20"/>
              </w:rPr>
              <w:t> </w:t>
            </w:r>
          </w:p>
        </w:tc>
        <w:tc>
          <w:tcPr>
            <w:tcW w:w="1294" w:type="dxa"/>
            <w:tcBorders>
              <w:top w:val="nil"/>
              <w:left w:val="nil"/>
              <w:bottom w:val="single" w:sz="4" w:space="0" w:color="auto"/>
              <w:right w:val="single" w:sz="4" w:space="0" w:color="auto"/>
            </w:tcBorders>
            <w:shd w:val="clear" w:color="auto" w:fill="auto"/>
            <w:noWrap/>
            <w:vAlign w:val="center"/>
            <w:hideMark/>
          </w:tcPr>
          <w:p w:rsidR="000F31D5" w:rsidRPr="000F31D5" w:rsidP="000F31D5" w14:paraId="5BD443B9" w14:textId="77777777">
            <w:pPr>
              <w:jc w:val="center"/>
              <w:rPr>
                <w:sz w:val="20"/>
              </w:rPr>
            </w:pPr>
            <w:r w:rsidRPr="000F31D5">
              <w:rPr>
                <w:sz w:val="20"/>
              </w:rPr>
              <w:t> </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7937071D" w14:textId="77777777">
            <w:pPr>
              <w:jc w:val="center"/>
              <w:rPr>
                <w:color w:val="000000"/>
                <w:sz w:val="20"/>
              </w:rPr>
            </w:pPr>
            <w:r w:rsidRPr="000F31D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4F18EDDA" w14:textId="77777777">
            <w:pPr>
              <w:jc w:val="center"/>
              <w:rPr>
                <w:color w:val="000000"/>
                <w:sz w:val="20"/>
              </w:rPr>
            </w:pPr>
            <w:r w:rsidRPr="000F31D5">
              <w:rPr>
                <w:color w:val="000000"/>
                <w:sz w:val="20"/>
              </w:rPr>
              <w:t> </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0A69AA07" w14:textId="77777777">
            <w:pPr>
              <w:jc w:val="center"/>
              <w:rPr>
                <w:color w:val="000000"/>
                <w:sz w:val="20"/>
              </w:rPr>
            </w:pPr>
            <w:r w:rsidRPr="000F31D5">
              <w:rPr>
                <w:color w:val="000000"/>
                <w:sz w:val="20"/>
              </w:rPr>
              <w:t> </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12AC7C41" w14:textId="77777777">
            <w:pPr>
              <w:jc w:val="right"/>
              <w:rPr>
                <w:color w:val="000000"/>
                <w:sz w:val="20"/>
              </w:rPr>
            </w:pPr>
            <w:r w:rsidRPr="000F31D5">
              <w:rPr>
                <w:color w:val="000000"/>
                <w:sz w:val="20"/>
              </w:rPr>
              <w:t> </w:t>
            </w:r>
          </w:p>
        </w:tc>
      </w:tr>
      <w:tr w14:paraId="2EC4F7A5" w14:textId="77777777" w:rsidTr="000F31D5">
        <w:tblPrEx>
          <w:tblW w:w="13675" w:type="dxa"/>
          <w:tblLook w:val="04A0"/>
        </w:tblPrEx>
        <w:trPr>
          <w:trHeight w:val="30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rsidR="000F31D5" w:rsidRPr="000F31D5" w:rsidP="000F31D5" w14:paraId="4AD17A38" w14:textId="77777777">
            <w:pPr>
              <w:ind w:firstLine="400" w:firstLineChars="200"/>
              <w:rPr>
                <w:sz w:val="20"/>
              </w:rPr>
            </w:pPr>
            <w:r w:rsidRPr="000F31D5">
              <w:rPr>
                <w:sz w:val="20"/>
              </w:rPr>
              <w:t>Annual CPMS Performance Evaluation</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614A8E15" w14:textId="77777777">
            <w:pPr>
              <w:jc w:val="center"/>
              <w:rPr>
                <w:sz w:val="20"/>
              </w:rPr>
            </w:pPr>
            <w:r w:rsidRPr="000F31D5">
              <w:rPr>
                <w:sz w:val="20"/>
              </w:rPr>
              <w:t>0</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0439B05F" w14:textId="77777777">
            <w:pPr>
              <w:jc w:val="center"/>
              <w:rPr>
                <w:sz w:val="20"/>
              </w:rPr>
            </w:pPr>
            <w:r w:rsidRPr="000F31D5">
              <w:rPr>
                <w:sz w:val="20"/>
              </w:rPr>
              <w:t>0</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342FDFD7" w14:textId="77777777">
            <w:pPr>
              <w:jc w:val="center"/>
              <w:rPr>
                <w:color w:val="000000"/>
                <w:sz w:val="20"/>
              </w:rPr>
            </w:pPr>
            <w:r w:rsidRPr="000F31D5">
              <w:rPr>
                <w:color w:val="000000"/>
                <w:sz w:val="20"/>
              </w:rPr>
              <w:t>0</w:t>
            </w:r>
          </w:p>
        </w:tc>
        <w:tc>
          <w:tcPr>
            <w:tcW w:w="1294" w:type="dxa"/>
            <w:tcBorders>
              <w:top w:val="nil"/>
              <w:left w:val="nil"/>
              <w:bottom w:val="single" w:sz="4" w:space="0" w:color="auto"/>
              <w:right w:val="single" w:sz="4" w:space="0" w:color="auto"/>
            </w:tcBorders>
            <w:shd w:val="clear" w:color="auto" w:fill="auto"/>
            <w:noWrap/>
            <w:vAlign w:val="center"/>
            <w:hideMark/>
          </w:tcPr>
          <w:p w:rsidR="000F31D5" w:rsidRPr="000F31D5" w:rsidP="000F31D5" w14:paraId="2BAAFED8" w14:textId="77777777">
            <w:pPr>
              <w:jc w:val="center"/>
              <w:rPr>
                <w:sz w:val="20"/>
              </w:rPr>
            </w:pPr>
            <w:r w:rsidRPr="000F31D5">
              <w:rPr>
                <w:sz w:val="20"/>
              </w:rPr>
              <w:t>0</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59FF5FBC" w14:textId="77777777">
            <w:pPr>
              <w:jc w:val="center"/>
              <w:rPr>
                <w:color w:val="000000"/>
                <w:sz w:val="20"/>
              </w:rPr>
            </w:pPr>
            <w:r w:rsidRPr="000F31D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3508A323" w14:textId="77777777">
            <w:pPr>
              <w:jc w:val="center"/>
              <w:rPr>
                <w:color w:val="000000"/>
                <w:sz w:val="20"/>
              </w:rPr>
            </w:pPr>
            <w:r w:rsidRPr="000F31D5">
              <w:rPr>
                <w:color w:val="000000"/>
                <w:sz w:val="20"/>
              </w:rPr>
              <w:t>0</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27674883" w14:textId="77777777">
            <w:pPr>
              <w:jc w:val="center"/>
              <w:rPr>
                <w:color w:val="000000"/>
                <w:sz w:val="20"/>
              </w:rPr>
            </w:pPr>
            <w:r w:rsidRPr="000F31D5">
              <w:rPr>
                <w:color w:val="000000"/>
                <w:sz w:val="20"/>
              </w:rPr>
              <w:t>0</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4055986A" w14:textId="77777777">
            <w:pPr>
              <w:jc w:val="right"/>
              <w:rPr>
                <w:color w:val="000000"/>
                <w:sz w:val="20"/>
              </w:rPr>
            </w:pPr>
            <w:r w:rsidRPr="000F31D5">
              <w:rPr>
                <w:color w:val="000000"/>
                <w:sz w:val="20"/>
              </w:rPr>
              <w:t xml:space="preserve">$0.00 </w:t>
            </w:r>
          </w:p>
        </w:tc>
      </w:tr>
      <w:tr w14:paraId="73539AE3" w14:textId="77777777" w:rsidTr="000F31D5">
        <w:tblPrEx>
          <w:tblW w:w="13675" w:type="dxa"/>
          <w:tblLook w:val="04A0"/>
        </w:tblPrEx>
        <w:trPr>
          <w:trHeight w:val="530"/>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0F31D5" w:rsidRPr="000F31D5" w:rsidP="000F31D5" w14:paraId="555D4650" w14:textId="77777777">
            <w:pPr>
              <w:ind w:firstLine="400" w:firstLineChars="200"/>
              <w:rPr>
                <w:sz w:val="20"/>
              </w:rPr>
            </w:pPr>
            <w:r w:rsidRPr="000F31D5">
              <w:rPr>
                <w:sz w:val="20"/>
              </w:rPr>
              <w:t>Repeat Annual CPMS Performance Evaluation</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765F4EF0" w14:textId="77777777">
            <w:pPr>
              <w:jc w:val="center"/>
              <w:rPr>
                <w:sz w:val="20"/>
              </w:rPr>
            </w:pPr>
            <w:r w:rsidRPr="000F31D5">
              <w:rPr>
                <w:sz w:val="20"/>
              </w:rPr>
              <w:t>0</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41645243" w14:textId="77777777">
            <w:pPr>
              <w:jc w:val="center"/>
              <w:rPr>
                <w:sz w:val="20"/>
              </w:rPr>
            </w:pPr>
            <w:r w:rsidRPr="000F31D5">
              <w:rPr>
                <w:sz w:val="20"/>
              </w:rPr>
              <w:t>0</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40B49E98" w14:textId="77777777">
            <w:pPr>
              <w:jc w:val="center"/>
              <w:rPr>
                <w:color w:val="000000"/>
                <w:sz w:val="20"/>
              </w:rPr>
            </w:pPr>
            <w:r w:rsidRPr="000F31D5">
              <w:rPr>
                <w:color w:val="000000"/>
                <w:sz w:val="20"/>
              </w:rPr>
              <w:t>0</w:t>
            </w:r>
          </w:p>
        </w:tc>
        <w:tc>
          <w:tcPr>
            <w:tcW w:w="1294" w:type="dxa"/>
            <w:tcBorders>
              <w:top w:val="nil"/>
              <w:left w:val="nil"/>
              <w:bottom w:val="single" w:sz="4" w:space="0" w:color="auto"/>
              <w:right w:val="single" w:sz="4" w:space="0" w:color="auto"/>
            </w:tcBorders>
            <w:shd w:val="clear" w:color="auto" w:fill="auto"/>
            <w:noWrap/>
            <w:vAlign w:val="center"/>
            <w:hideMark/>
          </w:tcPr>
          <w:p w:rsidR="000F31D5" w:rsidRPr="000F31D5" w:rsidP="000F31D5" w14:paraId="6C350748" w14:textId="77777777">
            <w:pPr>
              <w:jc w:val="center"/>
              <w:rPr>
                <w:sz w:val="20"/>
              </w:rPr>
            </w:pPr>
            <w:r w:rsidRPr="000F31D5">
              <w:rPr>
                <w:sz w:val="20"/>
              </w:rPr>
              <w:t>0</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49653BBC" w14:textId="77777777">
            <w:pPr>
              <w:jc w:val="center"/>
              <w:rPr>
                <w:color w:val="000000"/>
                <w:sz w:val="20"/>
              </w:rPr>
            </w:pPr>
            <w:r w:rsidRPr="000F31D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4BB16866" w14:textId="77777777">
            <w:pPr>
              <w:jc w:val="center"/>
              <w:rPr>
                <w:color w:val="000000"/>
                <w:sz w:val="20"/>
              </w:rPr>
            </w:pPr>
            <w:r w:rsidRPr="000F31D5">
              <w:rPr>
                <w:color w:val="000000"/>
                <w:sz w:val="20"/>
              </w:rPr>
              <w:t>0</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6FFEE75F" w14:textId="77777777">
            <w:pPr>
              <w:jc w:val="center"/>
              <w:rPr>
                <w:color w:val="000000"/>
                <w:sz w:val="20"/>
              </w:rPr>
            </w:pPr>
            <w:r w:rsidRPr="000F31D5">
              <w:rPr>
                <w:color w:val="000000"/>
                <w:sz w:val="20"/>
              </w:rPr>
              <w:t>0</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20FF0AF2" w14:textId="77777777">
            <w:pPr>
              <w:jc w:val="right"/>
              <w:rPr>
                <w:color w:val="000000"/>
                <w:sz w:val="20"/>
              </w:rPr>
            </w:pPr>
            <w:r w:rsidRPr="000F31D5">
              <w:rPr>
                <w:color w:val="000000"/>
                <w:sz w:val="20"/>
              </w:rPr>
              <w:t xml:space="preserve">$0.00 </w:t>
            </w:r>
          </w:p>
        </w:tc>
      </w:tr>
      <w:tr w14:paraId="54A3E092" w14:textId="77777777" w:rsidTr="000F31D5">
        <w:tblPrEx>
          <w:tblW w:w="13675" w:type="dxa"/>
          <w:tblLook w:val="04A0"/>
        </w:tblPrEx>
        <w:trPr>
          <w:trHeight w:val="31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rsidR="000F31D5" w:rsidRPr="000F31D5" w:rsidP="000F31D5" w14:paraId="6969E069" w14:textId="77777777">
            <w:pPr>
              <w:ind w:firstLine="200" w:firstLineChars="100"/>
              <w:rPr>
                <w:i/>
                <w:iCs/>
                <w:color w:val="000000"/>
                <w:sz w:val="20"/>
              </w:rPr>
            </w:pPr>
            <w:r w:rsidRPr="000F31D5">
              <w:rPr>
                <w:i/>
                <w:iCs/>
                <w:color w:val="000000"/>
                <w:sz w:val="20"/>
              </w:rPr>
              <w:t xml:space="preserve">Existing Sources - Annual CPMS Performance Evaluation and Performance Testing </w:t>
            </w:r>
            <w:r w:rsidRPr="000F31D5">
              <w:rPr>
                <w:color w:val="000000"/>
                <w:sz w:val="20"/>
                <w:vertAlign w:val="superscript"/>
              </w:rPr>
              <w:t>d</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1DD3165B" w14:textId="77777777">
            <w:pPr>
              <w:jc w:val="center"/>
              <w:rPr>
                <w:color w:val="000000"/>
                <w:sz w:val="20"/>
              </w:rPr>
            </w:pPr>
            <w:r w:rsidRPr="000F31D5">
              <w:rPr>
                <w:color w:val="000000"/>
                <w:sz w:val="20"/>
              </w:rPr>
              <w:t> </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460D5E5A" w14:textId="77777777">
            <w:pPr>
              <w:jc w:val="center"/>
              <w:rPr>
                <w:sz w:val="20"/>
              </w:rPr>
            </w:pPr>
            <w:r w:rsidRPr="000F31D5">
              <w:rPr>
                <w:sz w:val="20"/>
              </w:rPr>
              <w:t> </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09E96C81" w14:textId="77777777">
            <w:pPr>
              <w:jc w:val="center"/>
              <w:rPr>
                <w:color w:val="000000"/>
                <w:sz w:val="20"/>
              </w:rPr>
            </w:pPr>
            <w:r w:rsidRPr="000F31D5">
              <w:rPr>
                <w:color w:val="000000"/>
                <w:sz w:val="20"/>
              </w:rPr>
              <w:t> </w:t>
            </w:r>
          </w:p>
        </w:tc>
        <w:tc>
          <w:tcPr>
            <w:tcW w:w="1294" w:type="dxa"/>
            <w:tcBorders>
              <w:top w:val="nil"/>
              <w:left w:val="nil"/>
              <w:bottom w:val="single" w:sz="4" w:space="0" w:color="auto"/>
              <w:right w:val="single" w:sz="4" w:space="0" w:color="auto"/>
            </w:tcBorders>
            <w:shd w:val="clear" w:color="auto" w:fill="auto"/>
            <w:vAlign w:val="center"/>
            <w:hideMark/>
          </w:tcPr>
          <w:p w:rsidR="000F31D5" w:rsidRPr="000F31D5" w:rsidP="000F31D5" w14:paraId="5AF4411E" w14:textId="77777777">
            <w:pPr>
              <w:jc w:val="center"/>
              <w:rPr>
                <w:sz w:val="20"/>
              </w:rPr>
            </w:pPr>
            <w:r w:rsidRPr="000F31D5">
              <w:rPr>
                <w:sz w:val="20"/>
              </w:rPr>
              <w:t> </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6772F4D6" w14:textId="77777777">
            <w:pPr>
              <w:jc w:val="center"/>
              <w:rPr>
                <w:color w:val="000000"/>
                <w:sz w:val="20"/>
              </w:rPr>
            </w:pPr>
            <w:r w:rsidRPr="000F31D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4027A6E2" w14:textId="77777777">
            <w:pPr>
              <w:jc w:val="center"/>
              <w:rPr>
                <w:color w:val="000000"/>
                <w:sz w:val="20"/>
              </w:rPr>
            </w:pPr>
            <w:r w:rsidRPr="000F31D5">
              <w:rPr>
                <w:color w:val="000000"/>
                <w:sz w:val="20"/>
              </w:rPr>
              <w:t> </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4C3A1094" w14:textId="77777777">
            <w:pPr>
              <w:jc w:val="center"/>
              <w:rPr>
                <w:color w:val="000000"/>
                <w:sz w:val="20"/>
              </w:rPr>
            </w:pPr>
            <w:r w:rsidRPr="000F31D5">
              <w:rPr>
                <w:color w:val="000000"/>
                <w:sz w:val="20"/>
              </w:rPr>
              <w:t> </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6A9AEDDB" w14:textId="77777777">
            <w:pPr>
              <w:jc w:val="right"/>
              <w:rPr>
                <w:color w:val="000000"/>
                <w:sz w:val="20"/>
              </w:rPr>
            </w:pPr>
            <w:r w:rsidRPr="000F31D5">
              <w:rPr>
                <w:color w:val="000000"/>
                <w:sz w:val="20"/>
              </w:rPr>
              <w:t> </w:t>
            </w:r>
          </w:p>
        </w:tc>
      </w:tr>
      <w:tr w14:paraId="699CA7E3" w14:textId="77777777" w:rsidTr="000F31D5">
        <w:tblPrEx>
          <w:tblW w:w="13675" w:type="dxa"/>
          <w:tblLook w:val="04A0"/>
        </w:tblPrEx>
        <w:trPr>
          <w:trHeight w:val="26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rsidR="000F31D5" w:rsidRPr="000F31D5" w:rsidP="000F31D5" w14:paraId="2DEB1E1A" w14:textId="77777777">
            <w:pPr>
              <w:ind w:firstLine="400" w:firstLineChars="200"/>
              <w:rPr>
                <w:sz w:val="20"/>
              </w:rPr>
            </w:pPr>
            <w:r w:rsidRPr="000F31D5">
              <w:rPr>
                <w:sz w:val="20"/>
              </w:rPr>
              <w:t>Annual CPMS Performance Evaluation</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2FEE95DA" w14:textId="77777777">
            <w:pPr>
              <w:jc w:val="center"/>
              <w:rPr>
                <w:color w:val="000000"/>
                <w:sz w:val="20"/>
              </w:rPr>
            </w:pPr>
            <w:r w:rsidRPr="000F31D5">
              <w:rPr>
                <w:color w:val="000000"/>
                <w:sz w:val="20"/>
              </w:rPr>
              <w:t>0</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6EF78DD4" w14:textId="77777777">
            <w:pPr>
              <w:jc w:val="center"/>
              <w:rPr>
                <w:sz w:val="20"/>
              </w:rPr>
            </w:pPr>
            <w:r w:rsidRPr="000F31D5">
              <w:rPr>
                <w:sz w:val="20"/>
              </w:rPr>
              <w:t>0</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2A0902B7" w14:textId="77777777">
            <w:pPr>
              <w:jc w:val="center"/>
              <w:rPr>
                <w:color w:val="000000"/>
                <w:sz w:val="20"/>
              </w:rPr>
            </w:pPr>
            <w:r w:rsidRPr="000F31D5">
              <w:rPr>
                <w:color w:val="000000"/>
                <w:sz w:val="20"/>
              </w:rPr>
              <w:t>0</w:t>
            </w:r>
          </w:p>
        </w:tc>
        <w:tc>
          <w:tcPr>
            <w:tcW w:w="1294" w:type="dxa"/>
            <w:tcBorders>
              <w:top w:val="nil"/>
              <w:left w:val="nil"/>
              <w:bottom w:val="single" w:sz="4" w:space="0" w:color="auto"/>
              <w:right w:val="single" w:sz="4" w:space="0" w:color="auto"/>
            </w:tcBorders>
            <w:shd w:val="clear" w:color="auto" w:fill="auto"/>
            <w:noWrap/>
            <w:vAlign w:val="center"/>
            <w:hideMark/>
          </w:tcPr>
          <w:p w:rsidR="000F31D5" w:rsidRPr="000F31D5" w:rsidP="000F31D5" w14:paraId="36B9F455" w14:textId="77777777">
            <w:pPr>
              <w:jc w:val="center"/>
              <w:rPr>
                <w:sz w:val="20"/>
              </w:rPr>
            </w:pPr>
            <w:r w:rsidRPr="000F31D5">
              <w:rPr>
                <w:sz w:val="20"/>
              </w:rPr>
              <w:t>0</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16DF3028" w14:textId="77777777">
            <w:pPr>
              <w:jc w:val="center"/>
              <w:rPr>
                <w:color w:val="000000"/>
                <w:sz w:val="20"/>
              </w:rPr>
            </w:pPr>
            <w:r w:rsidRPr="000F31D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0B4728C1" w14:textId="77777777">
            <w:pPr>
              <w:jc w:val="center"/>
              <w:rPr>
                <w:color w:val="000000"/>
                <w:sz w:val="20"/>
              </w:rPr>
            </w:pPr>
            <w:r w:rsidRPr="000F31D5">
              <w:rPr>
                <w:color w:val="000000"/>
                <w:sz w:val="20"/>
              </w:rPr>
              <w:t>0</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43F32CC2" w14:textId="77777777">
            <w:pPr>
              <w:jc w:val="center"/>
              <w:rPr>
                <w:color w:val="000000"/>
                <w:sz w:val="20"/>
              </w:rPr>
            </w:pPr>
            <w:r w:rsidRPr="000F31D5">
              <w:rPr>
                <w:color w:val="000000"/>
                <w:sz w:val="20"/>
              </w:rPr>
              <w:t>0</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6308F49A" w14:textId="77777777">
            <w:pPr>
              <w:jc w:val="right"/>
              <w:rPr>
                <w:color w:val="000000"/>
                <w:sz w:val="20"/>
              </w:rPr>
            </w:pPr>
            <w:r w:rsidRPr="000F31D5">
              <w:rPr>
                <w:color w:val="000000"/>
                <w:sz w:val="20"/>
              </w:rPr>
              <w:t xml:space="preserve">$0.00 </w:t>
            </w:r>
          </w:p>
        </w:tc>
      </w:tr>
      <w:tr w14:paraId="3D61499C" w14:textId="77777777" w:rsidTr="000F31D5">
        <w:tblPrEx>
          <w:tblW w:w="13675" w:type="dxa"/>
          <w:tblLook w:val="04A0"/>
        </w:tblPrEx>
        <w:trPr>
          <w:trHeight w:val="26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rsidR="000F31D5" w:rsidRPr="000F31D5" w:rsidP="000F31D5" w14:paraId="39E1978A" w14:textId="77777777">
            <w:pPr>
              <w:ind w:firstLine="400" w:firstLineChars="200"/>
              <w:rPr>
                <w:sz w:val="20"/>
              </w:rPr>
            </w:pPr>
            <w:r w:rsidRPr="000F31D5">
              <w:rPr>
                <w:sz w:val="20"/>
              </w:rPr>
              <w:t>Repeat Annual CPMS Performance Evaluation</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1E7F6E70" w14:textId="77777777">
            <w:pPr>
              <w:jc w:val="center"/>
              <w:rPr>
                <w:sz w:val="20"/>
              </w:rPr>
            </w:pPr>
            <w:r w:rsidRPr="000F31D5">
              <w:rPr>
                <w:sz w:val="20"/>
              </w:rPr>
              <w:t>0</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19BC8858" w14:textId="77777777">
            <w:pPr>
              <w:jc w:val="center"/>
              <w:rPr>
                <w:sz w:val="20"/>
              </w:rPr>
            </w:pPr>
            <w:r w:rsidRPr="000F31D5">
              <w:rPr>
                <w:sz w:val="20"/>
              </w:rPr>
              <w:t>0</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70C760A6" w14:textId="77777777">
            <w:pPr>
              <w:jc w:val="center"/>
              <w:rPr>
                <w:color w:val="000000"/>
                <w:sz w:val="20"/>
              </w:rPr>
            </w:pPr>
            <w:r w:rsidRPr="000F31D5">
              <w:rPr>
                <w:color w:val="000000"/>
                <w:sz w:val="20"/>
              </w:rPr>
              <w:t>0</w:t>
            </w:r>
          </w:p>
        </w:tc>
        <w:tc>
          <w:tcPr>
            <w:tcW w:w="1294" w:type="dxa"/>
            <w:tcBorders>
              <w:top w:val="nil"/>
              <w:left w:val="nil"/>
              <w:bottom w:val="single" w:sz="4" w:space="0" w:color="auto"/>
              <w:right w:val="single" w:sz="4" w:space="0" w:color="auto"/>
            </w:tcBorders>
            <w:shd w:val="clear" w:color="auto" w:fill="auto"/>
            <w:noWrap/>
            <w:vAlign w:val="center"/>
            <w:hideMark/>
          </w:tcPr>
          <w:p w:rsidR="000F31D5" w:rsidRPr="000F31D5" w:rsidP="000F31D5" w14:paraId="2BD3A17D" w14:textId="77777777">
            <w:pPr>
              <w:jc w:val="center"/>
              <w:rPr>
                <w:sz w:val="20"/>
              </w:rPr>
            </w:pPr>
            <w:r w:rsidRPr="000F31D5">
              <w:rPr>
                <w:sz w:val="20"/>
              </w:rPr>
              <w:t>0</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70E70283" w14:textId="77777777">
            <w:pPr>
              <w:jc w:val="center"/>
              <w:rPr>
                <w:color w:val="000000"/>
                <w:sz w:val="20"/>
              </w:rPr>
            </w:pPr>
            <w:r w:rsidRPr="000F31D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69584E14" w14:textId="77777777">
            <w:pPr>
              <w:jc w:val="center"/>
              <w:rPr>
                <w:color w:val="000000"/>
                <w:sz w:val="20"/>
              </w:rPr>
            </w:pPr>
            <w:r w:rsidRPr="000F31D5">
              <w:rPr>
                <w:color w:val="000000"/>
                <w:sz w:val="20"/>
              </w:rPr>
              <w:t>0</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7BB84415" w14:textId="77777777">
            <w:pPr>
              <w:jc w:val="center"/>
              <w:rPr>
                <w:color w:val="000000"/>
                <w:sz w:val="20"/>
              </w:rPr>
            </w:pPr>
            <w:r w:rsidRPr="000F31D5">
              <w:rPr>
                <w:color w:val="000000"/>
                <w:sz w:val="20"/>
              </w:rPr>
              <w:t>0</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6718CC44" w14:textId="77777777">
            <w:pPr>
              <w:jc w:val="right"/>
              <w:rPr>
                <w:color w:val="000000"/>
                <w:sz w:val="20"/>
              </w:rPr>
            </w:pPr>
            <w:r w:rsidRPr="000F31D5">
              <w:rPr>
                <w:color w:val="000000"/>
                <w:sz w:val="20"/>
              </w:rPr>
              <w:t xml:space="preserve">$0.00 </w:t>
            </w:r>
          </w:p>
        </w:tc>
      </w:tr>
      <w:tr w14:paraId="2A78C1B9" w14:textId="77777777" w:rsidTr="000F31D5">
        <w:tblPrEx>
          <w:tblW w:w="13675" w:type="dxa"/>
          <w:tblLook w:val="04A0"/>
        </w:tblPrEx>
        <w:trPr>
          <w:trHeight w:val="613"/>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0F31D5" w:rsidRPr="000F31D5" w:rsidP="000F31D5" w14:paraId="5851B7A4" w14:textId="77777777">
            <w:pPr>
              <w:ind w:firstLine="400" w:firstLineChars="200"/>
              <w:rPr>
                <w:color w:val="000000"/>
                <w:sz w:val="20"/>
              </w:rPr>
            </w:pPr>
            <w:r w:rsidRPr="000F31D5">
              <w:rPr>
                <w:color w:val="000000"/>
                <w:sz w:val="20"/>
              </w:rPr>
              <w:t>Non EPA-Certified Engine NOx Performance Testing</w:t>
            </w:r>
            <w:r w:rsidRPr="000F31D5">
              <w:rPr>
                <w:color w:val="000000"/>
                <w:sz w:val="22"/>
                <w:szCs w:val="22"/>
                <w:vertAlign w:val="superscript"/>
              </w:rPr>
              <w:t>gh</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51FF03D7" w14:textId="77777777">
            <w:pPr>
              <w:jc w:val="center"/>
              <w:rPr>
                <w:sz w:val="20"/>
              </w:rPr>
            </w:pPr>
            <w:r w:rsidRPr="000F31D5">
              <w:rPr>
                <w:sz w:val="20"/>
              </w:rPr>
              <w:t>0</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3F433336" w14:textId="77777777">
            <w:pPr>
              <w:jc w:val="center"/>
              <w:rPr>
                <w:sz w:val="20"/>
              </w:rPr>
            </w:pPr>
            <w:r w:rsidRPr="000F31D5">
              <w:rPr>
                <w:sz w:val="20"/>
              </w:rPr>
              <w:t>0</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10106BDF" w14:textId="77777777">
            <w:pPr>
              <w:jc w:val="center"/>
              <w:rPr>
                <w:color w:val="000000"/>
                <w:sz w:val="20"/>
              </w:rPr>
            </w:pPr>
            <w:r w:rsidRPr="000F31D5">
              <w:rPr>
                <w:color w:val="000000"/>
                <w:sz w:val="20"/>
              </w:rPr>
              <w:t>0</w:t>
            </w:r>
          </w:p>
        </w:tc>
        <w:tc>
          <w:tcPr>
            <w:tcW w:w="1294" w:type="dxa"/>
            <w:tcBorders>
              <w:top w:val="nil"/>
              <w:left w:val="nil"/>
              <w:bottom w:val="single" w:sz="4" w:space="0" w:color="auto"/>
              <w:right w:val="single" w:sz="4" w:space="0" w:color="auto"/>
            </w:tcBorders>
            <w:shd w:val="clear" w:color="auto" w:fill="auto"/>
            <w:noWrap/>
            <w:vAlign w:val="center"/>
            <w:hideMark/>
          </w:tcPr>
          <w:p w:rsidR="000F31D5" w:rsidRPr="000F31D5" w:rsidP="000F31D5" w14:paraId="610707E7" w14:textId="77777777">
            <w:pPr>
              <w:jc w:val="center"/>
              <w:rPr>
                <w:sz w:val="20"/>
              </w:rPr>
            </w:pPr>
            <w:r w:rsidRPr="000F31D5">
              <w:rPr>
                <w:sz w:val="20"/>
              </w:rPr>
              <w:t>0</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65C7041B" w14:textId="77777777">
            <w:pPr>
              <w:jc w:val="center"/>
              <w:rPr>
                <w:color w:val="000000"/>
                <w:sz w:val="20"/>
              </w:rPr>
            </w:pPr>
            <w:r w:rsidRPr="000F31D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1EF55BD3" w14:textId="77777777">
            <w:pPr>
              <w:jc w:val="center"/>
              <w:rPr>
                <w:color w:val="000000"/>
                <w:sz w:val="20"/>
              </w:rPr>
            </w:pPr>
            <w:r w:rsidRPr="000F31D5">
              <w:rPr>
                <w:color w:val="000000"/>
                <w:sz w:val="20"/>
              </w:rPr>
              <w:t>0</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45D0633A" w14:textId="77777777">
            <w:pPr>
              <w:jc w:val="center"/>
              <w:rPr>
                <w:color w:val="000000"/>
                <w:sz w:val="20"/>
              </w:rPr>
            </w:pPr>
            <w:r w:rsidRPr="000F31D5">
              <w:rPr>
                <w:color w:val="000000"/>
                <w:sz w:val="20"/>
              </w:rPr>
              <w:t>0</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667B7D09" w14:textId="77777777">
            <w:pPr>
              <w:jc w:val="right"/>
              <w:rPr>
                <w:color w:val="000000"/>
                <w:sz w:val="20"/>
              </w:rPr>
            </w:pPr>
            <w:r w:rsidRPr="000F31D5">
              <w:rPr>
                <w:color w:val="000000"/>
                <w:sz w:val="20"/>
              </w:rPr>
              <w:t xml:space="preserve">$0.00 </w:t>
            </w:r>
          </w:p>
        </w:tc>
      </w:tr>
      <w:tr w14:paraId="1DBEDC7C" w14:textId="77777777" w:rsidTr="000F31D5">
        <w:tblPrEx>
          <w:tblW w:w="13675" w:type="dxa"/>
          <w:tblLook w:val="04A0"/>
        </w:tblPrEx>
        <w:trPr>
          <w:trHeight w:val="1200"/>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0F31D5" w:rsidRPr="000F31D5" w:rsidP="000F31D5" w14:paraId="75ACAEEB" w14:textId="77777777">
            <w:pPr>
              <w:ind w:firstLine="400" w:firstLineChars="200"/>
              <w:rPr>
                <w:color w:val="000000"/>
                <w:sz w:val="20"/>
              </w:rPr>
            </w:pPr>
            <w:r w:rsidRPr="000F31D5">
              <w:rPr>
                <w:color w:val="000000"/>
                <w:sz w:val="20"/>
              </w:rPr>
              <w:t>Repeat Non EPA-Certified Engine NOx Performance Testing</w:t>
            </w:r>
            <w:r w:rsidRPr="000F31D5">
              <w:rPr>
                <w:color w:val="000000"/>
                <w:sz w:val="20"/>
                <w:vertAlign w:val="superscript"/>
              </w:rPr>
              <w:t>gh</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7CBF6FF8" w14:textId="77777777">
            <w:pPr>
              <w:jc w:val="center"/>
              <w:rPr>
                <w:sz w:val="20"/>
              </w:rPr>
            </w:pPr>
            <w:r w:rsidRPr="000F31D5">
              <w:rPr>
                <w:sz w:val="20"/>
              </w:rPr>
              <w:t>0</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57376E02" w14:textId="77777777">
            <w:pPr>
              <w:jc w:val="center"/>
              <w:rPr>
                <w:sz w:val="20"/>
              </w:rPr>
            </w:pPr>
            <w:r w:rsidRPr="000F31D5">
              <w:rPr>
                <w:sz w:val="20"/>
              </w:rPr>
              <w:t>0</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048438BE" w14:textId="77777777">
            <w:pPr>
              <w:jc w:val="center"/>
              <w:rPr>
                <w:color w:val="000000"/>
                <w:sz w:val="20"/>
              </w:rPr>
            </w:pPr>
            <w:r w:rsidRPr="000F31D5">
              <w:rPr>
                <w:color w:val="000000"/>
                <w:sz w:val="20"/>
              </w:rPr>
              <w:t>0</w:t>
            </w:r>
          </w:p>
        </w:tc>
        <w:tc>
          <w:tcPr>
            <w:tcW w:w="1294" w:type="dxa"/>
            <w:tcBorders>
              <w:top w:val="nil"/>
              <w:left w:val="nil"/>
              <w:bottom w:val="single" w:sz="4" w:space="0" w:color="auto"/>
              <w:right w:val="single" w:sz="4" w:space="0" w:color="auto"/>
            </w:tcBorders>
            <w:shd w:val="clear" w:color="auto" w:fill="auto"/>
            <w:noWrap/>
            <w:vAlign w:val="center"/>
            <w:hideMark/>
          </w:tcPr>
          <w:p w:rsidR="000F31D5" w:rsidRPr="000F31D5" w:rsidP="000F31D5" w14:paraId="5F8187B8" w14:textId="77777777">
            <w:pPr>
              <w:jc w:val="center"/>
              <w:rPr>
                <w:sz w:val="20"/>
              </w:rPr>
            </w:pPr>
            <w:r w:rsidRPr="000F31D5">
              <w:rPr>
                <w:sz w:val="20"/>
              </w:rPr>
              <w:t>0</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07408E9D" w14:textId="77777777">
            <w:pPr>
              <w:jc w:val="center"/>
              <w:rPr>
                <w:color w:val="000000"/>
                <w:sz w:val="20"/>
              </w:rPr>
            </w:pPr>
            <w:r w:rsidRPr="000F31D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52ABDEAC" w14:textId="77777777">
            <w:pPr>
              <w:jc w:val="center"/>
              <w:rPr>
                <w:color w:val="000000"/>
                <w:sz w:val="20"/>
              </w:rPr>
            </w:pPr>
            <w:r w:rsidRPr="000F31D5">
              <w:rPr>
                <w:color w:val="000000"/>
                <w:sz w:val="20"/>
              </w:rPr>
              <w:t>0</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268A4AD2" w14:textId="77777777">
            <w:pPr>
              <w:jc w:val="center"/>
              <w:rPr>
                <w:color w:val="000000"/>
                <w:sz w:val="20"/>
              </w:rPr>
            </w:pPr>
            <w:r w:rsidRPr="000F31D5">
              <w:rPr>
                <w:color w:val="000000"/>
                <w:sz w:val="20"/>
              </w:rPr>
              <w:t>0</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22652811" w14:textId="77777777">
            <w:pPr>
              <w:jc w:val="right"/>
              <w:rPr>
                <w:color w:val="000000"/>
                <w:sz w:val="20"/>
              </w:rPr>
            </w:pPr>
            <w:r w:rsidRPr="000F31D5">
              <w:rPr>
                <w:color w:val="000000"/>
                <w:sz w:val="20"/>
              </w:rPr>
              <w:t xml:space="preserve">$0.00 </w:t>
            </w:r>
          </w:p>
        </w:tc>
      </w:tr>
      <w:tr w14:paraId="77F39750" w14:textId="77777777" w:rsidTr="000F31D5">
        <w:tblPrEx>
          <w:tblW w:w="13675" w:type="dxa"/>
          <w:tblLook w:val="04A0"/>
        </w:tblPrEx>
        <w:trPr>
          <w:trHeight w:val="129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rsidR="000F31D5" w:rsidRPr="000F31D5" w:rsidP="000F31D5" w14:paraId="3E1D3F63" w14:textId="77777777">
            <w:pPr>
              <w:ind w:firstLine="200" w:firstLineChars="100"/>
              <w:rPr>
                <w:i/>
                <w:iCs/>
                <w:color w:val="000000"/>
                <w:sz w:val="20"/>
              </w:rPr>
            </w:pPr>
            <w:r w:rsidRPr="000F31D5">
              <w:rPr>
                <w:i/>
                <w:iCs/>
                <w:color w:val="000000"/>
                <w:sz w:val="20"/>
              </w:rPr>
              <w:t xml:space="preserve">New and Existing Sources - Monitoring </w:t>
            </w:r>
            <w:r w:rsidRPr="000F31D5">
              <w:rPr>
                <w:color w:val="000000"/>
                <w:sz w:val="20"/>
                <w:vertAlign w:val="superscript"/>
              </w:rPr>
              <w:t>e</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0315979A" w14:textId="77777777">
            <w:pPr>
              <w:jc w:val="center"/>
              <w:rPr>
                <w:color w:val="000000"/>
                <w:sz w:val="20"/>
              </w:rPr>
            </w:pPr>
            <w:r w:rsidRPr="000F31D5">
              <w:rPr>
                <w:color w:val="000000"/>
                <w:sz w:val="20"/>
              </w:rPr>
              <w:t> </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6E65B23A" w14:textId="77777777">
            <w:pPr>
              <w:jc w:val="center"/>
              <w:rPr>
                <w:sz w:val="20"/>
              </w:rPr>
            </w:pPr>
            <w:r w:rsidRPr="000F31D5">
              <w:rPr>
                <w:sz w:val="20"/>
              </w:rPr>
              <w:t> </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4E735F9F" w14:textId="77777777">
            <w:pPr>
              <w:jc w:val="center"/>
              <w:rPr>
                <w:color w:val="000000"/>
                <w:sz w:val="20"/>
              </w:rPr>
            </w:pPr>
            <w:r w:rsidRPr="000F31D5">
              <w:rPr>
                <w:color w:val="000000"/>
                <w:sz w:val="20"/>
              </w:rPr>
              <w:t> </w:t>
            </w:r>
          </w:p>
        </w:tc>
        <w:tc>
          <w:tcPr>
            <w:tcW w:w="1294" w:type="dxa"/>
            <w:tcBorders>
              <w:top w:val="nil"/>
              <w:left w:val="nil"/>
              <w:bottom w:val="single" w:sz="4" w:space="0" w:color="auto"/>
              <w:right w:val="single" w:sz="4" w:space="0" w:color="auto"/>
            </w:tcBorders>
            <w:shd w:val="clear" w:color="auto" w:fill="auto"/>
            <w:noWrap/>
            <w:vAlign w:val="center"/>
            <w:hideMark/>
          </w:tcPr>
          <w:p w:rsidR="000F31D5" w:rsidRPr="000F31D5" w:rsidP="000F31D5" w14:paraId="3B282D9B" w14:textId="77777777">
            <w:pPr>
              <w:jc w:val="center"/>
              <w:rPr>
                <w:sz w:val="20"/>
              </w:rPr>
            </w:pPr>
            <w:r w:rsidRPr="000F31D5">
              <w:rPr>
                <w:sz w:val="20"/>
              </w:rPr>
              <w:t> </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0F6A5ACB" w14:textId="77777777">
            <w:pPr>
              <w:jc w:val="center"/>
              <w:rPr>
                <w:color w:val="000000"/>
                <w:sz w:val="20"/>
              </w:rPr>
            </w:pPr>
            <w:r w:rsidRPr="000F31D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7E29DC28" w14:textId="77777777">
            <w:pPr>
              <w:jc w:val="center"/>
              <w:rPr>
                <w:color w:val="000000"/>
                <w:sz w:val="20"/>
              </w:rPr>
            </w:pPr>
            <w:r w:rsidRPr="000F31D5">
              <w:rPr>
                <w:color w:val="000000"/>
                <w:sz w:val="20"/>
              </w:rPr>
              <w:t> </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26EFF680" w14:textId="77777777">
            <w:pPr>
              <w:jc w:val="center"/>
              <w:rPr>
                <w:color w:val="000000"/>
                <w:sz w:val="20"/>
              </w:rPr>
            </w:pPr>
            <w:r w:rsidRPr="000F31D5">
              <w:rPr>
                <w:color w:val="000000"/>
                <w:sz w:val="20"/>
              </w:rPr>
              <w:t> </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5ED04BAA" w14:textId="77777777">
            <w:pPr>
              <w:jc w:val="right"/>
              <w:rPr>
                <w:color w:val="000000"/>
                <w:sz w:val="20"/>
              </w:rPr>
            </w:pPr>
            <w:r w:rsidRPr="000F31D5">
              <w:rPr>
                <w:color w:val="000000"/>
                <w:sz w:val="20"/>
              </w:rPr>
              <w:t> </w:t>
            </w:r>
          </w:p>
        </w:tc>
      </w:tr>
      <w:tr w14:paraId="6B8973C6" w14:textId="77777777" w:rsidTr="000F31D5">
        <w:tblPrEx>
          <w:tblW w:w="13675" w:type="dxa"/>
          <w:tblLook w:val="04A0"/>
        </w:tblPrEx>
        <w:trPr>
          <w:trHeight w:val="26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rsidR="000F31D5" w:rsidRPr="000F31D5" w:rsidP="000F31D5" w14:paraId="5700E11B" w14:textId="77777777">
            <w:pPr>
              <w:ind w:firstLine="400" w:firstLineChars="200"/>
              <w:rPr>
                <w:color w:val="000000"/>
                <w:sz w:val="20"/>
              </w:rPr>
            </w:pPr>
            <w:r w:rsidRPr="000F31D5">
              <w:rPr>
                <w:color w:val="000000"/>
                <w:sz w:val="20"/>
              </w:rPr>
              <w:t>Daily Calibration Drift Tests - NOx CEMS</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57C8AB30" w14:textId="77777777">
            <w:pPr>
              <w:jc w:val="center"/>
              <w:rPr>
                <w:color w:val="000000"/>
                <w:sz w:val="20"/>
              </w:rPr>
            </w:pPr>
            <w:r w:rsidRPr="000F31D5">
              <w:rPr>
                <w:color w:val="000000"/>
                <w:sz w:val="20"/>
              </w:rPr>
              <w:t>0</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485C3D3C" w14:textId="77777777">
            <w:pPr>
              <w:jc w:val="center"/>
              <w:rPr>
                <w:sz w:val="20"/>
              </w:rPr>
            </w:pPr>
            <w:r w:rsidRPr="000F31D5">
              <w:rPr>
                <w:sz w:val="20"/>
              </w:rPr>
              <w:t>0</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15A5F6C0" w14:textId="77777777">
            <w:pPr>
              <w:jc w:val="center"/>
              <w:rPr>
                <w:color w:val="000000"/>
                <w:sz w:val="20"/>
              </w:rPr>
            </w:pPr>
            <w:r w:rsidRPr="000F31D5">
              <w:rPr>
                <w:color w:val="000000"/>
                <w:sz w:val="20"/>
              </w:rPr>
              <w:t>0</w:t>
            </w:r>
          </w:p>
        </w:tc>
        <w:tc>
          <w:tcPr>
            <w:tcW w:w="1294" w:type="dxa"/>
            <w:tcBorders>
              <w:top w:val="nil"/>
              <w:left w:val="nil"/>
              <w:bottom w:val="single" w:sz="4" w:space="0" w:color="auto"/>
              <w:right w:val="single" w:sz="4" w:space="0" w:color="auto"/>
            </w:tcBorders>
            <w:shd w:val="clear" w:color="auto" w:fill="auto"/>
            <w:noWrap/>
            <w:vAlign w:val="center"/>
            <w:hideMark/>
          </w:tcPr>
          <w:p w:rsidR="000F31D5" w:rsidRPr="000F31D5" w:rsidP="000F31D5" w14:paraId="1AF7CFF6" w14:textId="77777777">
            <w:pPr>
              <w:jc w:val="center"/>
              <w:rPr>
                <w:sz w:val="20"/>
              </w:rPr>
            </w:pPr>
            <w:r w:rsidRPr="000F31D5">
              <w:rPr>
                <w:sz w:val="20"/>
              </w:rPr>
              <w:t>0</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2FF1CA4A" w14:textId="77777777">
            <w:pPr>
              <w:jc w:val="center"/>
              <w:rPr>
                <w:color w:val="000000"/>
                <w:sz w:val="20"/>
              </w:rPr>
            </w:pPr>
            <w:r w:rsidRPr="000F31D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69EA3C04" w14:textId="77777777">
            <w:pPr>
              <w:jc w:val="center"/>
              <w:rPr>
                <w:color w:val="000000"/>
                <w:sz w:val="20"/>
              </w:rPr>
            </w:pPr>
            <w:r w:rsidRPr="000F31D5">
              <w:rPr>
                <w:color w:val="000000"/>
                <w:sz w:val="20"/>
              </w:rPr>
              <w:t>0</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5A0D5C10" w14:textId="77777777">
            <w:pPr>
              <w:jc w:val="center"/>
              <w:rPr>
                <w:color w:val="000000"/>
                <w:sz w:val="20"/>
              </w:rPr>
            </w:pPr>
            <w:r w:rsidRPr="000F31D5">
              <w:rPr>
                <w:color w:val="000000"/>
                <w:sz w:val="20"/>
              </w:rPr>
              <w:t>0</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4D91C042" w14:textId="77777777">
            <w:pPr>
              <w:jc w:val="right"/>
              <w:rPr>
                <w:color w:val="000000"/>
                <w:sz w:val="20"/>
              </w:rPr>
            </w:pPr>
            <w:r w:rsidRPr="000F31D5">
              <w:rPr>
                <w:color w:val="000000"/>
                <w:sz w:val="20"/>
              </w:rPr>
              <w:t xml:space="preserve">$0.00 </w:t>
            </w:r>
          </w:p>
        </w:tc>
      </w:tr>
      <w:tr w14:paraId="69F2A540" w14:textId="77777777" w:rsidTr="000F31D5">
        <w:tblPrEx>
          <w:tblW w:w="13675" w:type="dxa"/>
          <w:tblLook w:val="04A0"/>
        </w:tblPrEx>
        <w:trPr>
          <w:trHeight w:val="26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rsidR="000F31D5" w:rsidRPr="000F31D5" w:rsidP="000F31D5" w14:paraId="132B5DEE" w14:textId="77777777">
            <w:pPr>
              <w:ind w:firstLine="200" w:firstLineChars="100"/>
              <w:rPr>
                <w:color w:val="000000"/>
                <w:sz w:val="20"/>
              </w:rPr>
            </w:pPr>
            <w:r w:rsidRPr="000F31D5">
              <w:rPr>
                <w:color w:val="000000"/>
                <w:sz w:val="20"/>
              </w:rPr>
              <w:t>C. Create Information (Included in 4B)</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01BF35A0" w14:textId="77777777">
            <w:pPr>
              <w:jc w:val="center"/>
              <w:rPr>
                <w:color w:val="000000"/>
                <w:sz w:val="20"/>
              </w:rPr>
            </w:pPr>
            <w:r w:rsidRPr="000F31D5">
              <w:rPr>
                <w:color w:val="000000"/>
                <w:sz w:val="20"/>
              </w:rPr>
              <w:t> </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1F78FD84" w14:textId="77777777">
            <w:pPr>
              <w:jc w:val="right"/>
              <w:rPr>
                <w:sz w:val="20"/>
              </w:rPr>
            </w:pPr>
            <w:r w:rsidRPr="000F31D5">
              <w:rPr>
                <w:sz w:val="20"/>
              </w:rPr>
              <w:t> </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7FA261E1" w14:textId="77777777">
            <w:pPr>
              <w:jc w:val="right"/>
              <w:rPr>
                <w:color w:val="000000"/>
                <w:sz w:val="20"/>
              </w:rPr>
            </w:pPr>
            <w:r w:rsidRPr="000F31D5">
              <w:rPr>
                <w:color w:val="000000"/>
                <w:sz w:val="20"/>
              </w:rPr>
              <w:t> </w:t>
            </w:r>
          </w:p>
        </w:tc>
        <w:tc>
          <w:tcPr>
            <w:tcW w:w="1294" w:type="dxa"/>
            <w:tcBorders>
              <w:top w:val="nil"/>
              <w:left w:val="nil"/>
              <w:bottom w:val="single" w:sz="4" w:space="0" w:color="auto"/>
              <w:right w:val="single" w:sz="4" w:space="0" w:color="auto"/>
            </w:tcBorders>
            <w:shd w:val="clear" w:color="auto" w:fill="auto"/>
            <w:noWrap/>
            <w:vAlign w:val="center"/>
            <w:hideMark/>
          </w:tcPr>
          <w:p w:rsidR="000F31D5" w:rsidRPr="000F31D5" w:rsidP="000F31D5" w14:paraId="1391FD09" w14:textId="77777777">
            <w:pPr>
              <w:jc w:val="right"/>
              <w:rPr>
                <w:sz w:val="20"/>
              </w:rPr>
            </w:pPr>
            <w:r w:rsidRPr="000F31D5">
              <w:rPr>
                <w:sz w:val="20"/>
              </w:rPr>
              <w:t> </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62A50554" w14:textId="77777777">
            <w:pPr>
              <w:jc w:val="right"/>
              <w:rPr>
                <w:color w:val="000000"/>
                <w:sz w:val="20"/>
              </w:rPr>
            </w:pPr>
            <w:r w:rsidRPr="000F31D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6FCA5728" w14:textId="77777777">
            <w:pPr>
              <w:jc w:val="right"/>
              <w:rPr>
                <w:color w:val="000000"/>
                <w:sz w:val="20"/>
              </w:rPr>
            </w:pPr>
            <w:r w:rsidRPr="000F31D5">
              <w:rPr>
                <w:color w:val="000000"/>
                <w:sz w:val="20"/>
              </w:rPr>
              <w:t> </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407E8C19" w14:textId="77777777">
            <w:pPr>
              <w:jc w:val="right"/>
              <w:rPr>
                <w:color w:val="000000"/>
                <w:sz w:val="20"/>
              </w:rPr>
            </w:pPr>
            <w:r w:rsidRPr="000F31D5">
              <w:rPr>
                <w:color w:val="000000"/>
                <w:sz w:val="20"/>
              </w:rPr>
              <w:t> </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51D16A95" w14:textId="77777777">
            <w:pPr>
              <w:jc w:val="right"/>
              <w:rPr>
                <w:color w:val="000000"/>
                <w:sz w:val="20"/>
              </w:rPr>
            </w:pPr>
            <w:r w:rsidRPr="000F31D5">
              <w:rPr>
                <w:color w:val="000000"/>
                <w:sz w:val="20"/>
              </w:rPr>
              <w:t> </w:t>
            </w:r>
          </w:p>
        </w:tc>
      </w:tr>
      <w:tr w14:paraId="7A0D9191" w14:textId="77777777" w:rsidTr="000F31D5">
        <w:tblPrEx>
          <w:tblW w:w="13675" w:type="dxa"/>
          <w:tblLook w:val="04A0"/>
        </w:tblPrEx>
        <w:trPr>
          <w:trHeight w:val="520"/>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0F31D5" w:rsidRPr="000F31D5" w:rsidP="000F31D5" w14:paraId="1CBA8143" w14:textId="77777777">
            <w:pPr>
              <w:ind w:firstLine="200" w:firstLineChars="100"/>
              <w:rPr>
                <w:color w:val="000000"/>
                <w:sz w:val="20"/>
              </w:rPr>
            </w:pPr>
            <w:r w:rsidRPr="000F31D5">
              <w:rPr>
                <w:color w:val="000000"/>
                <w:sz w:val="20"/>
              </w:rPr>
              <w:t>D. Gather Existing Information (Included in 4E)</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39FDA83A" w14:textId="77777777">
            <w:pPr>
              <w:jc w:val="center"/>
              <w:rPr>
                <w:color w:val="000000"/>
                <w:sz w:val="20"/>
              </w:rPr>
            </w:pPr>
            <w:r w:rsidRPr="000F31D5">
              <w:rPr>
                <w:color w:val="000000"/>
                <w:sz w:val="20"/>
              </w:rPr>
              <w:t> </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532B9E73" w14:textId="77777777">
            <w:pPr>
              <w:jc w:val="right"/>
              <w:rPr>
                <w:sz w:val="20"/>
              </w:rPr>
            </w:pPr>
            <w:r w:rsidRPr="000F31D5">
              <w:rPr>
                <w:sz w:val="20"/>
              </w:rPr>
              <w:t> </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4B6A7266" w14:textId="77777777">
            <w:pPr>
              <w:jc w:val="right"/>
              <w:rPr>
                <w:color w:val="000000"/>
                <w:sz w:val="20"/>
              </w:rPr>
            </w:pPr>
            <w:r w:rsidRPr="000F31D5">
              <w:rPr>
                <w:color w:val="000000"/>
                <w:sz w:val="20"/>
              </w:rPr>
              <w:t> </w:t>
            </w:r>
          </w:p>
        </w:tc>
        <w:tc>
          <w:tcPr>
            <w:tcW w:w="1294" w:type="dxa"/>
            <w:tcBorders>
              <w:top w:val="nil"/>
              <w:left w:val="nil"/>
              <w:bottom w:val="single" w:sz="4" w:space="0" w:color="auto"/>
              <w:right w:val="single" w:sz="4" w:space="0" w:color="auto"/>
            </w:tcBorders>
            <w:shd w:val="clear" w:color="auto" w:fill="auto"/>
            <w:noWrap/>
            <w:vAlign w:val="center"/>
            <w:hideMark/>
          </w:tcPr>
          <w:p w:rsidR="000F31D5" w:rsidRPr="000F31D5" w:rsidP="000F31D5" w14:paraId="4DB39DFA" w14:textId="77777777">
            <w:pPr>
              <w:jc w:val="right"/>
              <w:rPr>
                <w:sz w:val="20"/>
              </w:rPr>
            </w:pPr>
            <w:r w:rsidRPr="000F31D5">
              <w:rPr>
                <w:sz w:val="20"/>
              </w:rPr>
              <w:t> </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7EC06160" w14:textId="77777777">
            <w:pPr>
              <w:jc w:val="right"/>
              <w:rPr>
                <w:color w:val="000000"/>
                <w:sz w:val="20"/>
              </w:rPr>
            </w:pPr>
            <w:r w:rsidRPr="000F31D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35648CBF" w14:textId="77777777">
            <w:pPr>
              <w:jc w:val="right"/>
              <w:rPr>
                <w:color w:val="000000"/>
                <w:sz w:val="20"/>
              </w:rPr>
            </w:pPr>
            <w:r w:rsidRPr="000F31D5">
              <w:rPr>
                <w:color w:val="000000"/>
                <w:sz w:val="20"/>
              </w:rPr>
              <w:t> </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6D785260" w14:textId="77777777">
            <w:pPr>
              <w:jc w:val="right"/>
              <w:rPr>
                <w:color w:val="000000"/>
                <w:sz w:val="20"/>
              </w:rPr>
            </w:pPr>
            <w:r w:rsidRPr="000F31D5">
              <w:rPr>
                <w:color w:val="000000"/>
                <w:sz w:val="20"/>
              </w:rPr>
              <w:t> </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3BFD28A8" w14:textId="77777777">
            <w:pPr>
              <w:jc w:val="right"/>
              <w:rPr>
                <w:color w:val="000000"/>
                <w:sz w:val="20"/>
              </w:rPr>
            </w:pPr>
            <w:r w:rsidRPr="000F31D5">
              <w:rPr>
                <w:color w:val="000000"/>
                <w:sz w:val="20"/>
              </w:rPr>
              <w:t> </w:t>
            </w:r>
          </w:p>
        </w:tc>
      </w:tr>
      <w:tr w14:paraId="180713EF" w14:textId="77777777" w:rsidTr="000F31D5">
        <w:tblPrEx>
          <w:tblW w:w="13675" w:type="dxa"/>
          <w:tblLook w:val="04A0"/>
        </w:tblPrEx>
        <w:trPr>
          <w:trHeight w:val="26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rsidR="000F31D5" w:rsidRPr="000F31D5" w:rsidP="000F31D5" w14:paraId="75964E06" w14:textId="77777777">
            <w:pPr>
              <w:ind w:firstLine="200" w:firstLineChars="100"/>
              <w:rPr>
                <w:color w:val="000000"/>
                <w:sz w:val="20"/>
              </w:rPr>
            </w:pPr>
            <w:r w:rsidRPr="000F31D5">
              <w:rPr>
                <w:color w:val="000000"/>
                <w:sz w:val="20"/>
              </w:rPr>
              <w:t>E. Write Report</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223C412E" w14:textId="77777777">
            <w:pPr>
              <w:jc w:val="right"/>
              <w:rPr>
                <w:color w:val="000000"/>
                <w:sz w:val="20"/>
              </w:rPr>
            </w:pPr>
            <w:r w:rsidRPr="000F31D5">
              <w:rPr>
                <w:color w:val="000000"/>
                <w:sz w:val="20"/>
              </w:rPr>
              <w:t> </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7C9D4511" w14:textId="77777777">
            <w:pPr>
              <w:jc w:val="right"/>
              <w:rPr>
                <w:sz w:val="20"/>
              </w:rPr>
            </w:pPr>
            <w:r w:rsidRPr="000F31D5">
              <w:rPr>
                <w:sz w:val="20"/>
              </w:rPr>
              <w:t> </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386FA8B1" w14:textId="77777777">
            <w:pPr>
              <w:jc w:val="right"/>
              <w:rPr>
                <w:color w:val="000000"/>
                <w:sz w:val="20"/>
              </w:rPr>
            </w:pPr>
            <w:r w:rsidRPr="000F31D5">
              <w:rPr>
                <w:color w:val="000000"/>
                <w:sz w:val="20"/>
              </w:rPr>
              <w:t> </w:t>
            </w:r>
          </w:p>
        </w:tc>
        <w:tc>
          <w:tcPr>
            <w:tcW w:w="1294" w:type="dxa"/>
            <w:tcBorders>
              <w:top w:val="nil"/>
              <w:left w:val="nil"/>
              <w:bottom w:val="single" w:sz="4" w:space="0" w:color="auto"/>
              <w:right w:val="single" w:sz="4" w:space="0" w:color="auto"/>
            </w:tcBorders>
            <w:shd w:val="clear" w:color="auto" w:fill="auto"/>
            <w:noWrap/>
            <w:vAlign w:val="center"/>
            <w:hideMark/>
          </w:tcPr>
          <w:p w:rsidR="000F31D5" w:rsidRPr="000F31D5" w:rsidP="000F31D5" w14:paraId="2EA77088" w14:textId="77777777">
            <w:pPr>
              <w:jc w:val="right"/>
              <w:rPr>
                <w:sz w:val="20"/>
              </w:rPr>
            </w:pPr>
            <w:r w:rsidRPr="000F31D5">
              <w:rPr>
                <w:sz w:val="20"/>
              </w:rPr>
              <w:t> </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6894F043" w14:textId="77777777">
            <w:pPr>
              <w:jc w:val="right"/>
              <w:rPr>
                <w:color w:val="000000"/>
                <w:sz w:val="20"/>
              </w:rPr>
            </w:pPr>
            <w:r w:rsidRPr="000F31D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34D238E5" w14:textId="77777777">
            <w:pPr>
              <w:jc w:val="right"/>
              <w:rPr>
                <w:color w:val="000000"/>
                <w:sz w:val="20"/>
              </w:rPr>
            </w:pPr>
            <w:r w:rsidRPr="000F31D5">
              <w:rPr>
                <w:color w:val="000000"/>
                <w:sz w:val="20"/>
              </w:rPr>
              <w:t> </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7FDD7B02" w14:textId="77777777">
            <w:pPr>
              <w:jc w:val="right"/>
              <w:rPr>
                <w:color w:val="000000"/>
                <w:sz w:val="20"/>
              </w:rPr>
            </w:pPr>
            <w:r w:rsidRPr="000F31D5">
              <w:rPr>
                <w:color w:val="000000"/>
                <w:sz w:val="20"/>
              </w:rPr>
              <w:t> </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6EC5096A" w14:textId="77777777">
            <w:pPr>
              <w:jc w:val="right"/>
              <w:rPr>
                <w:color w:val="000000"/>
                <w:sz w:val="20"/>
              </w:rPr>
            </w:pPr>
            <w:r w:rsidRPr="000F31D5">
              <w:rPr>
                <w:color w:val="000000"/>
                <w:sz w:val="20"/>
              </w:rPr>
              <w:t> </w:t>
            </w:r>
          </w:p>
        </w:tc>
      </w:tr>
      <w:tr w14:paraId="659D69B2" w14:textId="77777777" w:rsidTr="000F31D5">
        <w:tblPrEx>
          <w:tblW w:w="13675" w:type="dxa"/>
          <w:tblLook w:val="04A0"/>
        </w:tblPrEx>
        <w:trPr>
          <w:trHeight w:val="315"/>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rsidR="000F31D5" w:rsidRPr="000F31D5" w:rsidP="000F31D5" w14:paraId="62946501" w14:textId="77777777">
            <w:pPr>
              <w:ind w:firstLine="200" w:firstLineChars="100"/>
              <w:rPr>
                <w:i/>
                <w:iCs/>
                <w:color w:val="000000"/>
                <w:sz w:val="20"/>
                <w:u w:val="single"/>
              </w:rPr>
            </w:pPr>
            <w:r w:rsidRPr="000F31D5">
              <w:rPr>
                <w:i/>
                <w:iCs/>
                <w:color w:val="000000"/>
                <w:sz w:val="20"/>
                <w:u w:val="single"/>
              </w:rPr>
              <w:t>New Sources</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71F3C581" w14:textId="77777777">
            <w:pPr>
              <w:jc w:val="center"/>
              <w:rPr>
                <w:color w:val="000000"/>
                <w:sz w:val="20"/>
              </w:rPr>
            </w:pPr>
            <w:r w:rsidRPr="000F31D5">
              <w:rPr>
                <w:color w:val="000000"/>
                <w:sz w:val="20"/>
              </w:rPr>
              <w:t> </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2FECE684" w14:textId="77777777">
            <w:pPr>
              <w:jc w:val="center"/>
              <w:rPr>
                <w:sz w:val="20"/>
              </w:rPr>
            </w:pPr>
            <w:r w:rsidRPr="000F31D5">
              <w:rPr>
                <w:sz w:val="20"/>
              </w:rPr>
              <w:t> </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2E542B26" w14:textId="77777777">
            <w:pPr>
              <w:jc w:val="center"/>
              <w:rPr>
                <w:color w:val="000000"/>
                <w:sz w:val="20"/>
              </w:rPr>
            </w:pPr>
            <w:r w:rsidRPr="000F31D5">
              <w:rPr>
                <w:color w:val="000000"/>
                <w:sz w:val="20"/>
              </w:rPr>
              <w:t> </w:t>
            </w:r>
          </w:p>
        </w:tc>
        <w:tc>
          <w:tcPr>
            <w:tcW w:w="1294" w:type="dxa"/>
            <w:tcBorders>
              <w:top w:val="nil"/>
              <w:left w:val="nil"/>
              <w:bottom w:val="single" w:sz="4" w:space="0" w:color="auto"/>
              <w:right w:val="single" w:sz="4" w:space="0" w:color="auto"/>
            </w:tcBorders>
            <w:shd w:val="clear" w:color="auto" w:fill="auto"/>
            <w:noWrap/>
            <w:vAlign w:val="center"/>
            <w:hideMark/>
          </w:tcPr>
          <w:p w:rsidR="000F31D5" w:rsidRPr="000F31D5" w:rsidP="000F31D5" w14:paraId="6E08186F" w14:textId="77777777">
            <w:pPr>
              <w:jc w:val="center"/>
              <w:rPr>
                <w:sz w:val="20"/>
              </w:rPr>
            </w:pPr>
            <w:r w:rsidRPr="000F31D5">
              <w:rPr>
                <w:sz w:val="20"/>
              </w:rPr>
              <w:t> </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479E4D0A" w14:textId="77777777">
            <w:pPr>
              <w:jc w:val="center"/>
              <w:rPr>
                <w:color w:val="000000"/>
                <w:sz w:val="20"/>
              </w:rPr>
            </w:pPr>
            <w:r w:rsidRPr="000F31D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1EFE5612" w14:textId="77777777">
            <w:pPr>
              <w:jc w:val="center"/>
              <w:rPr>
                <w:color w:val="000000"/>
                <w:sz w:val="20"/>
              </w:rPr>
            </w:pPr>
            <w:r w:rsidRPr="000F31D5">
              <w:rPr>
                <w:color w:val="000000"/>
                <w:sz w:val="20"/>
              </w:rPr>
              <w:t> </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1E38B76C" w14:textId="77777777">
            <w:pPr>
              <w:jc w:val="center"/>
              <w:rPr>
                <w:color w:val="000000"/>
                <w:sz w:val="20"/>
              </w:rPr>
            </w:pPr>
            <w:r w:rsidRPr="000F31D5">
              <w:rPr>
                <w:color w:val="000000"/>
                <w:sz w:val="20"/>
              </w:rPr>
              <w:t> </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00E17DA2" w14:textId="77777777">
            <w:pPr>
              <w:jc w:val="right"/>
              <w:rPr>
                <w:color w:val="000000"/>
                <w:sz w:val="20"/>
              </w:rPr>
            </w:pPr>
            <w:r w:rsidRPr="000F31D5">
              <w:rPr>
                <w:color w:val="000000"/>
                <w:sz w:val="20"/>
              </w:rPr>
              <w:t> </w:t>
            </w:r>
          </w:p>
        </w:tc>
      </w:tr>
      <w:tr w14:paraId="08EBA8E2" w14:textId="77777777" w:rsidTr="000F31D5">
        <w:tblPrEx>
          <w:tblW w:w="13675" w:type="dxa"/>
          <w:tblLook w:val="04A0"/>
        </w:tblPrEx>
        <w:trPr>
          <w:trHeight w:val="520"/>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0F31D5" w:rsidRPr="000F31D5" w:rsidP="000F31D5" w14:paraId="62ECB432" w14:textId="77777777">
            <w:pPr>
              <w:ind w:firstLine="400" w:firstLineChars="200"/>
              <w:rPr>
                <w:color w:val="000000"/>
                <w:sz w:val="20"/>
              </w:rPr>
            </w:pPr>
            <w:r w:rsidRPr="000F31D5">
              <w:rPr>
                <w:color w:val="000000"/>
                <w:sz w:val="20"/>
              </w:rPr>
              <w:t>Notification of Demonstration of CEMS</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2DC9C200" w14:textId="77777777">
            <w:pPr>
              <w:jc w:val="center"/>
              <w:rPr>
                <w:color w:val="000000"/>
                <w:sz w:val="20"/>
              </w:rPr>
            </w:pPr>
            <w:r w:rsidRPr="000F31D5">
              <w:rPr>
                <w:color w:val="000000"/>
                <w:sz w:val="20"/>
              </w:rPr>
              <w:t>0</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302439B1" w14:textId="77777777">
            <w:pPr>
              <w:jc w:val="center"/>
              <w:rPr>
                <w:sz w:val="20"/>
              </w:rPr>
            </w:pPr>
            <w:r w:rsidRPr="000F31D5">
              <w:rPr>
                <w:sz w:val="20"/>
              </w:rPr>
              <w:t>0</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78C5FDE9" w14:textId="77777777">
            <w:pPr>
              <w:jc w:val="center"/>
              <w:rPr>
                <w:color w:val="000000"/>
                <w:sz w:val="20"/>
              </w:rPr>
            </w:pPr>
            <w:r w:rsidRPr="000F31D5">
              <w:rPr>
                <w:color w:val="000000"/>
                <w:sz w:val="20"/>
              </w:rPr>
              <w:t>2</w:t>
            </w:r>
          </w:p>
        </w:tc>
        <w:tc>
          <w:tcPr>
            <w:tcW w:w="1294" w:type="dxa"/>
            <w:tcBorders>
              <w:top w:val="nil"/>
              <w:left w:val="nil"/>
              <w:bottom w:val="single" w:sz="4" w:space="0" w:color="auto"/>
              <w:right w:val="single" w:sz="4" w:space="0" w:color="auto"/>
            </w:tcBorders>
            <w:shd w:val="clear" w:color="auto" w:fill="auto"/>
            <w:noWrap/>
            <w:vAlign w:val="center"/>
            <w:hideMark/>
          </w:tcPr>
          <w:p w:rsidR="000F31D5" w:rsidRPr="000F31D5" w:rsidP="000F31D5" w14:paraId="5EAABFD7" w14:textId="77777777">
            <w:pPr>
              <w:jc w:val="center"/>
              <w:rPr>
                <w:sz w:val="20"/>
              </w:rPr>
            </w:pPr>
            <w:r w:rsidRPr="000F31D5">
              <w:rPr>
                <w:sz w:val="20"/>
              </w:rPr>
              <w:t>0</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578E8008" w14:textId="77777777">
            <w:pPr>
              <w:jc w:val="center"/>
              <w:rPr>
                <w:color w:val="000000"/>
                <w:sz w:val="20"/>
              </w:rPr>
            </w:pPr>
            <w:r w:rsidRPr="000F31D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10D2A673" w14:textId="77777777">
            <w:pPr>
              <w:jc w:val="center"/>
              <w:rPr>
                <w:color w:val="000000"/>
                <w:sz w:val="20"/>
              </w:rPr>
            </w:pPr>
            <w:r w:rsidRPr="000F31D5">
              <w:rPr>
                <w:color w:val="000000"/>
                <w:sz w:val="20"/>
              </w:rPr>
              <w:t>0</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7C4840B2" w14:textId="77777777">
            <w:pPr>
              <w:jc w:val="center"/>
              <w:rPr>
                <w:color w:val="000000"/>
                <w:sz w:val="20"/>
              </w:rPr>
            </w:pPr>
            <w:r w:rsidRPr="000F31D5">
              <w:rPr>
                <w:color w:val="000000"/>
                <w:sz w:val="20"/>
              </w:rPr>
              <w:t>0</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7AE6F255" w14:textId="77777777">
            <w:pPr>
              <w:jc w:val="right"/>
              <w:rPr>
                <w:color w:val="000000"/>
                <w:sz w:val="20"/>
              </w:rPr>
            </w:pPr>
            <w:r w:rsidRPr="000F31D5">
              <w:rPr>
                <w:color w:val="000000"/>
                <w:sz w:val="20"/>
              </w:rPr>
              <w:t xml:space="preserve">$0.00 </w:t>
            </w:r>
          </w:p>
        </w:tc>
      </w:tr>
      <w:tr w14:paraId="3D07E613" w14:textId="77777777" w:rsidTr="000F31D5">
        <w:tblPrEx>
          <w:tblW w:w="13675" w:type="dxa"/>
          <w:tblLook w:val="04A0"/>
        </w:tblPrEx>
        <w:trPr>
          <w:trHeight w:val="520"/>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0F31D5" w:rsidRPr="000F31D5" w:rsidP="000F31D5" w14:paraId="53BA9F45" w14:textId="77777777">
            <w:pPr>
              <w:ind w:firstLine="400" w:firstLineChars="200"/>
              <w:rPr>
                <w:color w:val="000000"/>
                <w:sz w:val="20"/>
              </w:rPr>
            </w:pPr>
            <w:r w:rsidRPr="000F31D5">
              <w:rPr>
                <w:color w:val="000000"/>
                <w:sz w:val="20"/>
              </w:rPr>
              <w:t>Notification of Initial Performance Test</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397D0A9C" w14:textId="77777777">
            <w:pPr>
              <w:jc w:val="center"/>
              <w:rPr>
                <w:color w:val="000000"/>
                <w:sz w:val="20"/>
              </w:rPr>
            </w:pPr>
            <w:r w:rsidRPr="000F31D5">
              <w:rPr>
                <w:color w:val="000000"/>
                <w:sz w:val="20"/>
              </w:rPr>
              <w:t>0</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0D0CD5C5" w14:textId="77777777">
            <w:pPr>
              <w:jc w:val="center"/>
              <w:rPr>
                <w:sz w:val="20"/>
              </w:rPr>
            </w:pPr>
            <w:r w:rsidRPr="000F31D5">
              <w:rPr>
                <w:sz w:val="20"/>
              </w:rPr>
              <w:t>0</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4071AAE7" w14:textId="77777777">
            <w:pPr>
              <w:jc w:val="center"/>
              <w:rPr>
                <w:color w:val="000000"/>
                <w:sz w:val="20"/>
              </w:rPr>
            </w:pPr>
            <w:r w:rsidRPr="000F31D5">
              <w:rPr>
                <w:color w:val="000000"/>
                <w:sz w:val="20"/>
              </w:rPr>
              <w:t>2</w:t>
            </w:r>
          </w:p>
        </w:tc>
        <w:tc>
          <w:tcPr>
            <w:tcW w:w="1294" w:type="dxa"/>
            <w:tcBorders>
              <w:top w:val="nil"/>
              <w:left w:val="nil"/>
              <w:bottom w:val="single" w:sz="4" w:space="0" w:color="auto"/>
              <w:right w:val="single" w:sz="4" w:space="0" w:color="auto"/>
            </w:tcBorders>
            <w:shd w:val="clear" w:color="auto" w:fill="auto"/>
            <w:noWrap/>
            <w:vAlign w:val="center"/>
            <w:hideMark/>
          </w:tcPr>
          <w:p w:rsidR="000F31D5" w:rsidRPr="000F31D5" w:rsidP="000F31D5" w14:paraId="63B62C91" w14:textId="77777777">
            <w:pPr>
              <w:jc w:val="center"/>
              <w:rPr>
                <w:sz w:val="20"/>
              </w:rPr>
            </w:pPr>
            <w:r w:rsidRPr="000F31D5">
              <w:rPr>
                <w:sz w:val="20"/>
              </w:rPr>
              <w:t>0</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5ED8AFE8" w14:textId="77777777">
            <w:pPr>
              <w:jc w:val="center"/>
              <w:rPr>
                <w:color w:val="000000"/>
                <w:sz w:val="20"/>
              </w:rPr>
            </w:pPr>
            <w:r w:rsidRPr="000F31D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39E15370" w14:textId="77777777">
            <w:pPr>
              <w:jc w:val="center"/>
              <w:rPr>
                <w:color w:val="000000"/>
                <w:sz w:val="20"/>
              </w:rPr>
            </w:pPr>
            <w:r w:rsidRPr="000F31D5">
              <w:rPr>
                <w:color w:val="000000"/>
                <w:sz w:val="20"/>
              </w:rPr>
              <w:t>0</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144AC8B5" w14:textId="77777777">
            <w:pPr>
              <w:jc w:val="center"/>
              <w:rPr>
                <w:color w:val="000000"/>
                <w:sz w:val="20"/>
              </w:rPr>
            </w:pPr>
            <w:r w:rsidRPr="000F31D5">
              <w:rPr>
                <w:color w:val="000000"/>
                <w:sz w:val="20"/>
              </w:rPr>
              <w:t>0</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14027324" w14:textId="77777777">
            <w:pPr>
              <w:jc w:val="right"/>
              <w:rPr>
                <w:color w:val="000000"/>
                <w:sz w:val="20"/>
              </w:rPr>
            </w:pPr>
            <w:r w:rsidRPr="000F31D5">
              <w:rPr>
                <w:color w:val="000000"/>
                <w:sz w:val="20"/>
              </w:rPr>
              <w:t xml:space="preserve">$0.00 </w:t>
            </w:r>
          </w:p>
        </w:tc>
      </w:tr>
      <w:tr w14:paraId="6ED5059C" w14:textId="77777777" w:rsidTr="000F31D5">
        <w:tblPrEx>
          <w:tblW w:w="13675" w:type="dxa"/>
          <w:tblLook w:val="04A0"/>
        </w:tblPrEx>
        <w:trPr>
          <w:trHeight w:val="260"/>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0F31D5" w:rsidRPr="000F31D5" w:rsidP="000F31D5" w14:paraId="73123101" w14:textId="77777777">
            <w:pPr>
              <w:ind w:firstLine="400" w:firstLineChars="200"/>
              <w:rPr>
                <w:color w:val="000000"/>
                <w:sz w:val="20"/>
              </w:rPr>
            </w:pPr>
            <w:r w:rsidRPr="000F31D5">
              <w:rPr>
                <w:color w:val="000000"/>
                <w:sz w:val="20"/>
              </w:rPr>
              <w:t>Report of Performance Test</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1BEEE5DB" w14:textId="77777777">
            <w:pPr>
              <w:jc w:val="center"/>
              <w:rPr>
                <w:color w:val="000000"/>
                <w:sz w:val="20"/>
              </w:rPr>
            </w:pPr>
            <w:r w:rsidRPr="000F31D5">
              <w:rPr>
                <w:color w:val="000000"/>
                <w:sz w:val="20"/>
              </w:rPr>
              <w:t>0</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36F4CB04" w14:textId="77777777">
            <w:pPr>
              <w:jc w:val="center"/>
              <w:rPr>
                <w:sz w:val="20"/>
              </w:rPr>
            </w:pPr>
            <w:r w:rsidRPr="000F31D5">
              <w:rPr>
                <w:sz w:val="20"/>
              </w:rPr>
              <w:t>0</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681D24BA" w14:textId="77777777">
            <w:pPr>
              <w:jc w:val="center"/>
              <w:rPr>
                <w:color w:val="000000"/>
                <w:sz w:val="20"/>
              </w:rPr>
            </w:pPr>
            <w:r w:rsidRPr="000F31D5">
              <w:rPr>
                <w:color w:val="000000"/>
                <w:sz w:val="20"/>
              </w:rPr>
              <w:t>2</w:t>
            </w:r>
          </w:p>
        </w:tc>
        <w:tc>
          <w:tcPr>
            <w:tcW w:w="1294" w:type="dxa"/>
            <w:tcBorders>
              <w:top w:val="nil"/>
              <w:left w:val="nil"/>
              <w:bottom w:val="single" w:sz="4" w:space="0" w:color="auto"/>
              <w:right w:val="single" w:sz="4" w:space="0" w:color="auto"/>
            </w:tcBorders>
            <w:shd w:val="clear" w:color="auto" w:fill="auto"/>
            <w:noWrap/>
            <w:vAlign w:val="center"/>
            <w:hideMark/>
          </w:tcPr>
          <w:p w:rsidR="000F31D5" w:rsidRPr="000F31D5" w:rsidP="000F31D5" w14:paraId="4116F054" w14:textId="77777777">
            <w:pPr>
              <w:jc w:val="center"/>
              <w:rPr>
                <w:sz w:val="20"/>
              </w:rPr>
            </w:pPr>
            <w:r w:rsidRPr="000F31D5">
              <w:rPr>
                <w:sz w:val="20"/>
              </w:rPr>
              <w:t>0</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280E8A8D" w14:textId="77777777">
            <w:pPr>
              <w:jc w:val="center"/>
              <w:rPr>
                <w:color w:val="000000"/>
                <w:sz w:val="20"/>
              </w:rPr>
            </w:pPr>
            <w:r w:rsidRPr="000F31D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50E61A5D" w14:textId="77777777">
            <w:pPr>
              <w:jc w:val="center"/>
              <w:rPr>
                <w:color w:val="000000"/>
                <w:sz w:val="20"/>
              </w:rPr>
            </w:pPr>
            <w:r w:rsidRPr="000F31D5">
              <w:rPr>
                <w:color w:val="000000"/>
                <w:sz w:val="20"/>
              </w:rPr>
              <w:t>0</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268E4524" w14:textId="77777777">
            <w:pPr>
              <w:jc w:val="center"/>
              <w:rPr>
                <w:color w:val="000000"/>
                <w:sz w:val="20"/>
              </w:rPr>
            </w:pPr>
            <w:r w:rsidRPr="000F31D5">
              <w:rPr>
                <w:color w:val="000000"/>
                <w:sz w:val="20"/>
              </w:rPr>
              <w:t>0</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3AFF4A60" w14:textId="77777777">
            <w:pPr>
              <w:jc w:val="right"/>
              <w:rPr>
                <w:color w:val="000000"/>
                <w:sz w:val="20"/>
              </w:rPr>
            </w:pPr>
            <w:r w:rsidRPr="000F31D5">
              <w:rPr>
                <w:color w:val="000000"/>
                <w:sz w:val="20"/>
              </w:rPr>
              <w:t xml:space="preserve">$0.00 </w:t>
            </w:r>
          </w:p>
        </w:tc>
      </w:tr>
      <w:tr w14:paraId="49BB69CC" w14:textId="77777777" w:rsidTr="000F31D5">
        <w:tblPrEx>
          <w:tblW w:w="13675" w:type="dxa"/>
          <w:tblLook w:val="04A0"/>
        </w:tblPrEx>
        <w:trPr>
          <w:trHeight w:val="763"/>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0F31D5" w:rsidRPr="000F31D5" w:rsidP="000F31D5" w14:paraId="7D452F79" w14:textId="77777777">
            <w:pPr>
              <w:ind w:firstLine="400" w:firstLineChars="200"/>
              <w:rPr>
                <w:color w:val="000000"/>
                <w:sz w:val="20"/>
              </w:rPr>
            </w:pPr>
            <w:r w:rsidRPr="000F31D5">
              <w:rPr>
                <w:color w:val="000000"/>
                <w:sz w:val="20"/>
              </w:rPr>
              <w:t>Annual Report Submitted to Administrator of Compliance Statement, SubSection 52.41(d) performance test</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623B3442" w14:textId="77777777">
            <w:pPr>
              <w:jc w:val="center"/>
              <w:rPr>
                <w:color w:val="000000"/>
                <w:sz w:val="20"/>
              </w:rPr>
            </w:pPr>
            <w:r w:rsidRPr="000F31D5">
              <w:rPr>
                <w:color w:val="000000"/>
                <w:sz w:val="20"/>
              </w:rPr>
              <w:t>0</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1450B932" w14:textId="77777777">
            <w:pPr>
              <w:jc w:val="center"/>
              <w:rPr>
                <w:sz w:val="20"/>
              </w:rPr>
            </w:pPr>
            <w:r w:rsidRPr="000F31D5">
              <w:rPr>
                <w:sz w:val="20"/>
              </w:rPr>
              <w:t>0</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77DD783F" w14:textId="77777777">
            <w:pPr>
              <w:jc w:val="center"/>
              <w:rPr>
                <w:color w:val="000000"/>
                <w:sz w:val="20"/>
              </w:rPr>
            </w:pPr>
            <w:r w:rsidRPr="000F31D5">
              <w:rPr>
                <w:color w:val="000000"/>
                <w:sz w:val="20"/>
              </w:rPr>
              <w:t>0</w:t>
            </w:r>
          </w:p>
        </w:tc>
        <w:tc>
          <w:tcPr>
            <w:tcW w:w="1294" w:type="dxa"/>
            <w:tcBorders>
              <w:top w:val="nil"/>
              <w:left w:val="nil"/>
              <w:bottom w:val="single" w:sz="4" w:space="0" w:color="auto"/>
              <w:right w:val="single" w:sz="4" w:space="0" w:color="auto"/>
            </w:tcBorders>
            <w:shd w:val="clear" w:color="auto" w:fill="auto"/>
            <w:noWrap/>
            <w:vAlign w:val="center"/>
            <w:hideMark/>
          </w:tcPr>
          <w:p w:rsidR="000F31D5" w:rsidRPr="000F31D5" w:rsidP="000F31D5" w14:paraId="065AF4DD" w14:textId="77777777">
            <w:pPr>
              <w:jc w:val="center"/>
              <w:rPr>
                <w:sz w:val="20"/>
              </w:rPr>
            </w:pPr>
            <w:r w:rsidRPr="000F31D5">
              <w:rPr>
                <w:sz w:val="20"/>
              </w:rPr>
              <w:t>0.00</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6A706C05" w14:textId="77777777">
            <w:pPr>
              <w:jc w:val="center"/>
              <w:rPr>
                <w:color w:val="000000"/>
                <w:sz w:val="20"/>
              </w:rPr>
            </w:pPr>
            <w:r w:rsidRPr="000F31D5">
              <w:rPr>
                <w:color w:val="000000"/>
                <w:sz w:val="20"/>
              </w:rPr>
              <w:t>0.00</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75ECDC52" w14:textId="77777777">
            <w:pPr>
              <w:jc w:val="center"/>
              <w:rPr>
                <w:color w:val="000000"/>
                <w:sz w:val="20"/>
              </w:rPr>
            </w:pPr>
            <w:r w:rsidRPr="000F31D5">
              <w:rPr>
                <w:color w:val="000000"/>
                <w:sz w:val="20"/>
              </w:rPr>
              <w:t>0.00</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1ACD3432" w14:textId="77777777">
            <w:pPr>
              <w:jc w:val="center"/>
              <w:rPr>
                <w:color w:val="000000"/>
                <w:sz w:val="20"/>
              </w:rPr>
            </w:pPr>
            <w:r w:rsidRPr="000F31D5">
              <w:rPr>
                <w:color w:val="000000"/>
                <w:sz w:val="20"/>
              </w:rPr>
              <w:t>0.00</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4D582620" w14:textId="77777777">
            <w:pPr>
              <w:jc w:val="right"/>
              <w:rPr>
                <w:color w:val="000000"/>
                <w:sz w:val="20"/>
              </w:rPr>
            </w:pPr>
            <w:r w:rsidRPr="000F31D5">
              <w:rPr>
                <w:color w:val="000000"/>
                <w:sz w:val="20"/>
              </w:rPr>
              <w:t xml:space="preserve">$0 </w:t>
            </w:r>
          </w:p>
        </w:tc>
      </w:tr>
      <w:tr w14:paraId="562E2BBE" w14:textId="77777777" w:rsidTr="000F31D5">
        <w:tblPrEx>
          <w:tblW w:w="13675" w:type="dxa"/>
          <w:tblLook w:val="04A0"/>
        </w:tblPrEx>
        <w:trPr>
          <w:trHeight w:val="26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rsidR="000F31D5" w:rsidRPr="000F31D5" w:rsidP="000F31D5" w14:paraId="35D69E96" w14:textId="77777777">
            <w:pPr>
              <w:ind w:firstLine="200" w:firstLineChars="100"/>
              <w:rPr>
                <w:i/>
                <w:iCs/>
                <w:color w:val="000000"/>
                <w:sz w:val="20"/>
                <w:u w:val="single"/>
              </w:rPr>
            </w:pPr>
            <w:r w:rsidRPr="000F31D5">
              <w:rPr>
                <w:i/>
                <w:iCs/>
                <w:color w:val="000000"/>
                <w:sz w:val="20"/>
                <w:u w:val="single"/>
              </w:rPr>
              <w:t>Existing Sources</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058EB46A" w14:textId="77777777">
            <w:pPr>
              <w:jc w:val="right"/>
              <w:rPr>
                <w:color w:val="000000"/>
                <w:sz w:val="20"/>
              </w:rPr>
            </w:pPr>
            <w:r w:rsidRPr="000F31D5">
              <w:rPr>
                <w:color w:val="000000"/>
                <w:sz w:val="20"/>
              </w:rPr>
              <w:t> </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4EAC0AC4" w14:textId="77777777">
            <w:pPr>
              <w:jc w:val="right"/>
              <w:rPr>
                <w:sz w:val="20"/>
              </w:rPr>
            </w:pPr>
            <w:r w:rsidRPr="000F31D5">
              <w:rPr>
                <w:sz w:val="20"/>
              </w:rPr>
              <w:t> </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3925ED40" w14:textId="77777777">
            <w:pPr>
              <w:jc w:val="right"/>
              <w:rPr>
                <w:color w:val="000000"/>
                <w:sz w:val="20"/>
              </w:rPr>
            </w:pPr>
            <w:r w:rsidRPr="000F31D5">
              <w:rPr>
                <w:color w:val="000000"/>
                <w:sz w:val="20"/>
              </w:rPr>
              <w:t> </w:t>
            </w:r>
          </w:p>
        </w:tc>
        <w:tc>
          <w:tcPr>
            <w:tcW w:w="1294" w:type="dxa"/>
            <w:tcBorders>
              <w:top w:val="nil"/>
              <w:left w:val="nil"/>
              <w:bottom w:val="single" w:sz="4" w:space="0" w:color="auto"/>
              <w:right w:val="single" w:sz="4" w:space="0" w:color="auto"/>
            </w:tcBorders>
            <w:shd w:val="clear" w:color="auto" w:fill="auto"/>
            <w:noWrap/>
            <w:vAlign w:val="center"/>
            <w:hideMark/>
          </w:tcPr>
          <w:p w:rsidR="000F31D5" w:rsidRPr="000F31D5" w:rsidP="000F31D5" w14:paraId="7F0B873D" w14:textId="77777777">
            <w:pPr>
              <w:jc w:val="right"/>
              <w:rPr>
                <w:sz w:val="20"/>
              </w:rPr>
            </w:pPr>
            <w:r w:rsidRPr="000F31D5">
              <w:rPr>
                <w:sz w:val="20"/>
              </w:rPr>
              <w:t> </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78502AF0" w14:textId="77777777">
            <w:pPr>
              <w:jc w:val="right"/>
              <w:rPr>
                <w:color w:val="000000"/>
                <w:sz w:val="20"/>
              </w:rPr>
            </w:pPr>
            <w:r w:rsidRPr="000F31D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368C3C17" w14:textId="77777777">
            <w:pPr>
              <w:jc w:val="right"/>
              <w:rPr>
                <w:color w:val="000000"/>
                <w:sz w:val="20"/>
              </w:rPr>
            </w:pPr>
            <w:r w:rsidRPr="000F31D5">
              <w:rPr>
                <w:color w:val="000000"/>
                <w:sz w:val="20"/>
              </w:rPr>
              <w:t> </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3CE9FE6B" w14:textId="77777777">
            <w:pPr>
              <w:jc w:val="right"/>
              <w:rPr>
                <w:color w:val="000000"/>
                <w:sz w:val="20"/>
              </w:rPr>
            </w:pPr>
            <w:r w:rsidRPr="000F31D5">
              <w:rPr>
                <w:color w:val="000000"/>
                <w:sz w:val="20"/>
              </w:rPr>
              <w:t> </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77D23452" w14:textId="77777777">
            <w:pPr>
              <w:jc w:val="right"/>
              <w:rPr>
                <w:color w:val="000000"/>
                <w:sz w:val="20"/>
              </w:rPr>
            </w:pPr>
            <w:r w:rsidRPr="000F31D5">
              <w:rPr>
                <w:color w:val="000000"/>
                <w:sz w:val="20"/>
              </w:rPr>
              <w:t> </w:t>
            </w:r>
          </w:p>
        </w:tc>
      </w:tr>
      <w:tr w14:paraId="3B5EA35E" w14:textId="77777777" w:rsidTr="000F31D5">
        <w:tblPrEx>
          <w:tblW w:w="13675" w:type="dxa"/>
          <w:tblLook w:val="04A0"/>
        </w:tblPrEx>
        <w:trPr>
          <w:trHeight w:val="520"/>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0F31D5" w:rsidRPr="000F31D5" w:rsidP="000F31D5" w14:paraId="4450FEE6" w14:textId="77777777">
            <w:pPr>
              <w:ind w:firstLine="400" w:firstLineChars="200"/>
              <w:rPr>
                <w:color w:val="000000"/>
                <w:sz w:val="20"/>
              </w:rPr>
            </w:pPr>
            <w:r w:rsidRPr="000F31D5">
              <w:rPr>
                <w:color w:val="000000"/>
                <w:sz w:val="20"/>
              </w:rPr>
              <w:t>Notification of Demonstration of CEMS</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724FA674" w14:textId="77777777">
            <w:pPr>
              <w:jc w:val="center"/>
              <w:rPr>
                <w:color w:val="000000"/>
                <w:sz w:val="20"/>
              </w:rPr>
            </w:pPr>
            <w:r w:rsidRPr="000F31D5">
              <w:rPr>
                <w:color w:val="000000"/>
                <w:sz w:val="20"/>
              </w:rPr>
              <w:t>0</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74B1955E" w14:textId="77777777">
            <w:pPr>
              <w:jc w:val="center"/>
              <w:rPr>
                <w:sz w:val="20"/>
              </w:rPr>
            </w:pPr>
            <w:r w:rsidRPr="000F31D5">
              <w:rPr>
                <w:sz w:val="20"/>
              </w:rPr>
              <w:t>0</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5BBC2045" w14:textId="77777777">
            <w:pPr>
              <w:jc w:val="center"/>
              <w:rPr>
                <w:color w:val="000000"/>
                <w:sz w:val="20"/>
              </w:rPr>
            </w:pPr>
            <w:r w:rsidRPr="000F31D5">
              <w:rPr>
                <w:color w:val="000000"/>
                <w:sz w:val="20"/>
              </w:rPr>
              <w:t>2</w:t>
            </w:r>
          </w:p>
        </w:tc>
        <w:tc>
          <w:tcPr>
            <w:tcW w:w="1294" w:type="dxa"/>
            <w:tcBorders>
              <w:top w:val="nil"/>
              <w:left w:val="nil"/>
              <w:bottom w:val="single" w:sz="4" w:space="0" w:color="auto"/>
              <w:right w:val="single" w:sz="4" w:space="0" w:color="auto"/>
            </w:tcBorders>
            <w:shd w:val="clear" w:color="auto" w:fill="auto"/>
            <w:noWrap/>
            <w:vAlign w:val="center"/>
            <w:hideMark/>
          </w:tcPr>
          <w:p w:rsidR="000F31D5" w:rsidRPr="000F31D5" w:rsidP="000F31D5" w14:paraId="5B2EF146" w14:textId="77777777">
            <w:pPr>
              <w:jc w:val="center"/>
              <w:rPr>
                <w:sz w:val="20"/>
              </w:rPr>
            </w:pPr>
            <w:r w:rsidRPr="000F31D5">
              <w:rPr>
                <w:sz w:val="20"/>
              </w:rPr>
              <w:t>0</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32EAEE16" w14:textId="77777777">
            <w:pPr>
              <w:jc w:val="center"/>
              <w:rPr>
                <w:color w:val="000000"/>
                <w:sz w:val="20"/>
              </w:rPr>
            </w:pPr>
            <w:r w:rsidRPr="000F31D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79BC8BCB" w14:textId="77777777">
            <w:pPr>
              <w:jc w:val="center"/>
              <w:rPr>
                <w:color w:val="000000"/>
                <w:sz w:val="20"/>
              </w:rPr>
            </w:pPr>
            <w:r w:rsidRPr="000F31D5">
              <w:rPr>
                <w:color w:val="000000"/>
                <w:sz w:val="20"/>
              </w:rPr>
              <w:t>0</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514BE7BA" w14:textId="77777777">
            <w:pPr>
              <w:jc w:val="center"/>
              <w:rPr>
                <w:color w:val="000000"/>
                <w:sz w:val="20"/>
              </w:rPr>
            </w:pPr>
            <w:r w:rsidRPr="000F31D5">
              <w:rPr>
                <w:color w:val="000000"/>
                <w:sz w:val="20"/>
              </w:rPr>
              <w:t>0</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6805A382" w14:textId="77777777">
            <w:pPr>
              <w:jc w:val="right"/>
              <w:rPr>
                <w:color w:val="000000"/>
                <w:sz w:val="20"/>
              </w:rPr>
            </w:pPr>
            <w:r w:rsidRPr="000F31D5">
              <w:rPr>
                <w:color w:val="000000"/>
                <w:sz w:val="20"/>
              </w:rPr>
              <w:t xml:space="preserve">$0.00 </w:t>
            </w:r>
          </w:p>
        </w:tc>
      </w:tr>
      <w:tr w14:paraId="65D801B8" w14:textId="77777777" w:rsidTr="000F31D5">
        <w:tblPrEx>
          <w:tblW w:w="13675" w:type="dxa"/>
          <w:tblLook w:val="04A0"/>
        </w:tblPrEx>
        <w:trPr>
          <w:trHeight w:val="520"/>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0F31D5" w:rsidRPr="000F31D5" w:rsidP="000F31D5" w14:paraId="38AE31A1" w14:textId="77777777">
            <w:pPr>
              <w:ind w:firstLine="400" w:firstLineChars="200"/>
              <w:rPr>
                <w:color w:val="000000"/>
                <w:sz w:val="20"/>
              </w:rPr>
            </w:pPr>
            <w:r w:rsidRPr="000F31D5">
              <w:rPr>
                <w:color w:val="000000"/>
                <w:sz w:val="20"/>
              </w:rPr>
              <w:t>Notification of Non EPA-Certified Engine Performance Test</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0DB2B739" w14:textId="77777777">
            <w:pPr>
              <w:jc w:val="center"/>
              <w:rPr>
                <w:color w:val="000000"/>
                <w:sz w:val="20"/>
              </w:rPr>
            </w:pPr>
            <w:r w:rsidRPr="000F31D5">
              <w:rPr>
                <w:color w:val="000000"/>
                <w:sz w:val="20"/>
              </w:rPr>
              <w:t>0</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1C2BAEFF" w14:textId="77777777">
            <w:pPr>
              <w:jc w:val="center"/>
              <w:rPr>
                <w:sz w:val="20"/>
              </w:rPr>
            </w:pPr>
            <w:r w:rsidRPr="000F31D5">
              <w:rPr>
                <w:sz w:val="20"/>
              </w:rPr>
              <w:t>0</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52E52355" w14:textId="77777777">
            <w:pPr>
              <w:jc w:val="center"/>
              <w:rPr>
                <w:color w:val="000000"/>
                <w:sz w:val="20"/>
              </w:rPr>
            </w:pPr>
            <w:r w:rsidRPr="000F31D5">
              <w:rPr>
                <w:color w:val="000000"/>
                <w:sz w:val="20"/>
              </w:rPr>
              <w:t>2</w:t>
            </w:r>
          </w:p>
        </w:tc>
        <w:tc>
          <w:tcPr>
            <w:tcW w:w="1294" w:type="dxa"/>
            <w:tcBorders>
              <w:top w:val="nil"/>
              <w:left w:val="nil"/>
              <w:bottom w:val="single" w:sz="4" w:space="0" w:color="auto"/>
              <w:right w:val="single" w:sz="4" w:space="0" w:color="auto"/>
            </w:tcBorders>
            <w:shd w:val="clear" w:color="auto" w:fill="auto"/>
            <w:noWrap/>
            <w:vAlign w:val="center"/>
            <w:hideMark/>
          </w:tcPr>
          <w:p w:rsidR="000F31D5" w:rsidRPr="000F31D5" w:rsidP="000F31D5" w14:paraId="3B8964A6" w14:textId="77777777">
            <w:pPr>
              <w:jc w:val="center"/>
              <w:rPr>
                <w:sz w:val="20"/>
              </w:rPr>
            </w:pPr>
            <w:r w:rsidRPr="000F31D5">
              <w:rPr>
                <w:sz w:val="20"/>
              </w:rPr>
              <w:t>0.00</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20E6F5F2" w14:textId="77777777">
            <w:pPr>
              <w:jc w:val="center"/>
              <w:rPr>
                <w:color w:val="000000"/>
                <w:sz w:val="20"/>
              </w:rPr>
            </w:pPr>
            <w:r w:rsidRPr="000F31D5">
              <w:rPr>
                <w:color w:val="000000"/>
                <w:sz w:val="20"/>
              </w:rPr>
              <w:t>0.00</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5775FCE2" w14:textId="77777777">
            <w:pPr>
              <w:jc w:val="center"/>
              <w:rPr>
                <w:color w:val="000000"/>
                <w:sz w:val="20"/>
              </w:rPr>
            </w:pPr>
            <w:r w:rsidRPr="000F31D5">
              <w:rPr>
                <w:color w:val="000000"/>
                <w:sz w:val="20"/>
              </w:rPr>
              <w:t>0.00</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64735E3D" w14:textId="77777777">
            <w:pPr>
              <w:jc w:val="center"/>
              <w:rPr>
                <w:color w:val="000000"/>
                <w:sz w:val="20"/>
              </w:rPr>
            </w:pPr>
            <w:r w:rsidRPr="000F31D5">
              <w:rPr>
                <w:color w:val="000000"/>
                <w:sz w:val="20"/>
              </w:rPr>
              <w:t>0.00</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38F338D4" w14:textId="77777777">
            <w:pPr>
              <w:jc w:val="right"/>
              <w:rPr>
                <w:color w:val="000000"/>
                <w:sz w:val="20"/>
              </w:rPr>
            </w:pPr>
            <w:r w:rsidRPr="000F31D5">
              <w:rPr>
                <w:color w:val="000000"/>
                <w:sz w:val="20"/>
              </w:rPr>
              <w:t xml:space="preserve">$0.00 </w:t>
            </w:r>
          </w:p>
        </w:tc>
      </w:tr>
      <w:tr w14:paraId="74A6D58C" w14:textId="77777777" w:rsidTr="000F31D5">
        <w:tblPrEx>
          <w:tblW w:w="13675" w:type="dxa"/>
          <w:tblLook w:val="04A0"/>
        </w:tblPrEx>
        <w:trPr>
          <w:trHeight w:val="980"/>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0F31D5" w:rsidRPr="000F31D5" w:rsidP="000F31D5" w14:paraId="2AC6CE7B" w14:textId="77777777">
            <w:pPr>
              <w:ind w:firstLine="400" w:firstLineChars="200"/>
              <w:rPr>
                <w:color w:val="000000"/>
                <w:sz w:val="20"/>
              </w:rPr>
            </w:pPr>
            <w:r w:rsidRPr="000F31D5">
              <w:rPr>
                <w:color w:val="000000"/>
                <w:sz w:val="20"/>
              </w:rPr>
              <w:t>Report of Non EPA-Certified Engine Performance Test Results via CEDRI or analogous electronic reporting</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27EC07F9" w14:textId="77777777">
            <w:pPr>
              <w:jc w:val="center"/>
              <w:rPr>
                <w:color w:val="000000"/>
                <w:sz w:val="20"/>
              </w:rPr>
            </w:pPr>
            <w:r w:rsidRPr="000F31D5">
              <w:rPr>
                <w:color w:val="000000"/>
                <w:sz w:val="20"/>
              </w:rPr>
              <w:t>0</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24FA9348" w14:textId="77777777">
            <w:pPr>
              <w:jc w:val="center"/>
              <w:rPr>
                <w:sz w:val="20"/>
              </w:rPr>
            </w:pPr>
            <w:r w:rsidRPr="000F31D5">
              <w:rPr>
                <w:sz w:val="20"/>
              </w:rPr>
              <w:t>0</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3BF0F0FF" w14:textId="77777777">
            <w:pPr>
              <w:jc w:val="center"/>
              <w:rPr>
                <w:color w:val="000000"/>
                <w:sz w:val="20"/>
              </w:rPr>
            </w:pPr>
            <w:r w:rsidRPr="000F31D5">
              <w:rPr>
                <w:color w:val="000000"/>
                <w:sz w:val="20"/>
              </w:rPr>
              <w:t>2</w:t>
            </w:r>
          </w:p>
        </w:tc>
        <w:tc>
          <w:tcPr>
            <w:tcW w:w="1294" w:type="dxa"/>
            <w:tcBorders>
              <w:top w:val="nil"/>
              <w:left w:val="nil"/>
              <w:bottom w:val="single" w:sz="4" w:space="0" w:color="auto"/>
              <w:right w:val="single" w:sz="4" w:space="0" w:color="auto"/>
            </w:tcBorders>
            <w:shd w:val="clear" w:color="auto" w:fill="auto"/>
            <w:noWrap/>
            <w:vAlign w:val="center"/>
            <w:hideMark/>
          </w:tcPr>
          <w:p w:rsidR="000F31D5" w:rsidRPr="000F31D5" w:rsidP="000F31D5" w14:paraId="255A3730" w14:textId="77777777">
            <w:pPr>
              <w:jc w:val="center"/>
              <w:rPr>
                <w:sz w:val="20"/>
              </w:rPr>
            </w:pPr>
            <w:r w:rsidRPr="000F31D5">
              <w:rPr>
                <w:sz w:val="20"/>
              </w:rPr>
              <w:t>0.00</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1103EA08" w14:textId="77777777">
            <w:pPr>
              <w:jc w:val="center"/>
              <w:rPr>
                <w:color w:val="000000"/>
                <w:sz w:val="20"/>
              </w:rPr>
            </w:pPr>
            <w:r w:rsidRPr="000F31D5">
              <w:rPr>
                <w:color w:val="000000"/>
                <w:sz w:val="20"/>
              </w:rPr>
              <w:t>0.00</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5E35F438" w14:textId="77777777">
            <w:pPr>
              <w:jc w:val="center"/>
              <w:rPr>
                <w:color w:val="000000"/>
                <w:sz w:val="20"/>
              </w:rPr>
            </w:pPr>
            <w:r w:rsidRPr="000F31D5">
              <w:rPr>
                <w:color w:val="000000"/>
                <w:sz w:val="20"/>
              </w:rPr>
              <w:t>0.00</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56E6F4D7" w14:textId="77777777">
            <w:pPr>
              <w:jc w:val="center"/>
              <w:rPr>
                <w:color w:val="000000"/>
                <w:sz w:val="20"/>
              </w:rPr>
            </w:pPr>
            <w:r w:rsidRPr="000F31D5">
              <w:rPr>
                <w:color w:val="000000"/>
                <w:sz w:val="20"/>
              </w:rPr>
              <w:t>0.00</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754BB68A" w14:textId="77777777">
            <w:pPr>
              <w:jc w:val="right"/>
              <w:rPr>
                <w:color w:val="000000"/>
                <w:sz w:val="20"/>
              </w:rPr>
            </w:pPr>
            <w:r w:rsidRPr="000F31D5">
              <w:rPr>
                <w:color w:val="000000"/>
                <w:sz w:val="20"/>
              </w:rPr>
              <w:t xml:space="preserve">$0.00 </w:t>
            </w:r>
          </w:p>
        </w:tc>
      </w:tr>
      <w:tr w14:paraId="10D88B02" w14:textId="77777777" w:rsidTr="000F31D5">
        <w:tblPrEx>
          <w:tblW w:w="13675" w:type="dxa"/>
          <w:tblLook w:val="04A0"/>
        </w:tblPrEx>
        <w:trPr>
          <w:trHeight w:val="780"/>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0F31D5" w:rsidRPr="000F31D5" w:rsidP="000F31D5" w14:paraId="3F5B6128" w14:textId="77777777">
            <w:pPr>
              <w:ind w:firstLine="400" w:firstLineChars="200"/>
              <w:rPr>
                <w:color w:val="000000"/>
                <w:sz w:val="20"/>
              </w:rPr>
            </w:pPr>
            <w:r w:rsidRPr="000F31D5">
              <w:rPr>
                <w:color w:val="000000"/>
                <w:sz w:val="20"/>
              </w:rPr>
              <w:t>Annual Report submitted via CEDRI or analogous electronic reporting</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2FAB1AC4" w14:textId="77777777">
            <w:pPr>
              <w:jc w:val="center"/>
              <w:rPr>
                <w:color w:val="000000"/>
                <w:sz w:val="20"/>
              </w:rPr>
            </w:pPr>
            <w:r w:rsidRPr="000F31D5">
              <w:rPr>
                <w:color w:val="000000"/>
                <w:sz w:val="20"/>
              </w:rPr>
              <w:t>0</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522EA5DF" w14:textId="77777777">
            <w:pPr>
              <w:jc w:val="center"/>
              <w:rPr>
                <w:sz w:val="20"/>
              </w:rPr>
            </w:pPr>
            <w:r w:rsidRPr="000F31D5">
              <w:rPr>
                <w:sz w:val="20"/>
              </w:rPr>
              <w:t>0</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629E3F97" w14:textId="77777777">
            <w:pPr>
              <w:jc w:val="center"/>
              <w:rPr>
                <w:color w:val="000000"/>
                <w:sz w:val="20"/>
              </w:rPr>
            </w:pPr>
            <w:r w:rsidRPr="000F31D5">
              <w:rPr>
                <w:color w:val="000000"/>
                <w:sz w:val="20"/>
              </w:rPr>
              <w:t>0</w:t>
            </w:r>
          </w:p>
        </w:tc>
        <w:tc>
          <w:tcPr>
            <w:tcW w:w="1294" w:type="dxa"/>
            <w:tcBorders>
              <w:top w:val="nil"/>
              <w:left w:val="nil"/>
              <w:bottom w:val="single" w:sz="4" w:space="0" w:color="auto"/>
              <w:right w:val="single" w:sz="4" w:space="0" w:color="auto"/>
            </w:tcBorders>
            <w:shd w:val="clear" w:color="auto" w:fill="auto"/>
            <w:noWrap/>
            <w:vAlign w:val="center"/>
            <w:hideMark/>
          </w:tcPr>
          <w:p w:rsidR="000F31D5" w:rsidRPr="000F31D5" w:rsidP="000F31D5" w14:paraId="6BFA6D0D" w14:textId="77777777">
            <w:pPr>
              <w:jc w:val="center"/>
              <w:rPr>
                <w:sz w:val="20"/>
              </w:rPr>
            </w:pPr>
            <w:r w:rsidRPr="000F31D5">
              <w:rPr>
                <w:sz w:val="20"/>
              </w:rPr>
              <w:t>0</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01368CD4" w14:textId="77777777">
            <w:pPr>
              <w:jc w:val="center"/>
              <w:rPr>
                <w:color w:val="000000"/>
                <w:sz w:val="20"/>
              </w:rPr>
            </w:pPr>
            <w:r w:rsidRPr="000F31D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24C5534B" w14:textId="77777777">
            <w:pPr>
              <w:jc w:val="center"/>
              <w:rPr>
                <w:color w:val="000000"/>
                <w:sz w:val="20"/>
              </w:rPr>
            </w:pPr>
            <w:r w:rsidRPr="000F31D5">
              <w:rPr>
                <w:color w:val="000000"/>
                <w:sz w:val="20"/>
              </w:rPr>
              <w:t>0</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41193984" w14:textId="77777777">
            <w:pPr>
              <w:jc w:val="center"/>
              <w:rPr>
                <w:color w:val="000000"/>
                <w:sz w:val="20"/>
              </w:rPr>
            </w:pPr>
            <w:r w:rsidRPr="000F31D5">
              <w:rPr>
                <w:color w:val="000000"/>
                <w:sz w:val="20"/>
              </w:rPr>
              <w:t>0</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7FC0570D" w14:textId="77777777">
            <w:pPr>
              <w:jc w:val="right"/>
              <w:rPr>
                <w:color w:val="000000"/>
                <w:sz w:val="20"/>
              </w:rPr>
            </w:pPr>
            <w:r w:rsidRPr="000F31D5">
              <w:rPr>
                <w:color w:val="000000"/>
                <w:sz w:val="20"/>
              </w:rPr>
              <w:t xml:space="preserve">$0 </w:t>
            </w:r>
          </w:p>
        </w:tc>
      </w:tr>
      <w:tr w14:paraId="11B3C02D" w14:textId="77777777" w:rsidTr="000F31D5">
        <w:tblPrEx>
          <w:tblW w:w="13675" w:type="dxa"/>
          <w:tblLook w:val="04A0"/>
        </w:tblPrEx>
        <w:trPr>
          <w:trHeight w:val="270"/>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0F31D5" w:rsidRPr="000F31D5" w:rsidP="000F31D5" w14:paraId="5E5973D0" w14:textId="77777777">
            <w:pPr>
              <w:rPr>
                <w:b/>
                <w:bCs/>
                <w:i/>
                <w:iCs/>
                <w:color w:val="000000"/>
                <w:sz w:val="20"/>
              </w:rPr>
            </w:pPr>
            <w:r w:rsidRPr="000F31D5">
              <w:rPr>
                <w:b/>
                <w:bCs/>
                <w:i/>
                <w:iCs/>
                <w:color w:val="000000"/>
                <w:sz w:val="20"/>
              </w:rPr>
              <w:t>Subtotal for Reporting Requirements</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28BCD339" w14:textId="77777777">
            <w:pPr>
              <w:jc w:val="right"/>
              <w:rPr>
                <w:b/>
                <w:bCs/>
                <w:i/>
                <w:iCs/>
                <w:color w:val="000000"/>
                <w:sz w:val="20"/>
              </w:rPr>
            </w:pPr>
            <w:r w:rsidRPr="000F31D5">
              <w:rPr>
                <w:b/>
                <w:bCs/>
                <w:i/>
                <w:iCs/>
                <w:color w:val="000000"/>
                <w:sz w:val="20"/>
              </w:rPr>
              <w:t> </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6EFFF152" w14:textId="77777777">
            <w:pPr>
              <w:jc w:val="right"/>
              <w:rPr>
                <w:b/>
                <w:bCs/>
                <w:i/>
                <w:iCs/>
                <w:sz w:val="20"/>
              </w:rPr>
            </w:pPr>
            <w:r w:rsidRPr="000F31D5">
              <w:rPr>
                <w:b/>
                <w:bCs/>
                <w:i/>
                <w:iCs/>
                <w:sz w:val="20"/>
              </w:rPr>
              <w:t> </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6BD9B8CB" w14:textId="77777777">
            <w:pPr>
              <w:jc w:val="right"/>
              <w:rPr>
                <w:b/>
                <w:bCs/>
                <w:i/>
                <w:iCs/>
                <w:color w:val="000000"/>
                <w:sz w:val="20"/>
              </w:rPr>
            </w:pPr>
            <w:r w:rsidRPr="000F31D5">
              <w:rPr>
                <w:b/>
                <w:bCs/>
                <w:i/>
                <w:iCs/>
                <w:color w:val="000000"/>
                <w:sz w:val="20"/>
              </w:rPr>
              <w:t> </w:t>
            </w:r>
          </w:p>
        </w:tc>
        <w:tc>
          <w:tcPr>
            <w:tcW w:w="1294" w:type="dxa"/>
            <w:tcBorders>
              <w:top w:val="nil"/>
              <w:left w:val="nil"/>
              <w:bottom w:val="single" w:sz="4" w:space="0" w:color="auto"/>
              <w:right w:val="single" w:sz="4" w:space="0" w:color="auto"/>
            </w:tcBorders>
            <w:shd w:val="clear" w:color="auto" w:fill="auto"/>
            <w:noWrap/>
            <w:vAlign w:val="center"/>
            <w:hideMark/>
          </w:tcPr>
          <w:p w:rsidR="000F31D5" w:rsidRPr="000F31D5" w:rsidP="000F31D5" w14:paraId="1A933411" w14:textId="77777777">
            <w:pPr>
              <w:jc w:val="right"/>
              <w:rPr>
                <w:b/>
                <w:bCs/>
                <w:i/>
                <w:iCs/>
                <w:sz w:val="20"/>
              </w:rPr>
            </w:pPr>
            <w:r w:rsidRPr="000F31D5">
              <w:rPr>
                <w:b/>
                <w:bCs/>
                <w:i/>
                <w:iCs/>
                <w:sz w:val="20"/>
              </w:rPr>
              <w:t> </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1C412E72" w14:textId="77777777">
            <w:pPr>
              <w:jc w:val="center"/>
              <w:rPr>
                <w:b/>
                <w:bCs/>
                <w:i/>
                <w:iCs/>
                <w:color w:val="000000"/>
                <w:sz w:val="20"/>
              </w:rPr>
            </w:pPr>
            <w:r w:rsidRPr="000F31D5">
              <w:rPr>
                <w:b/>
                <w:bCs/>
                <w:i/>
                <w:iCs/>
                <w:color w:val="000000"/>
                <w:sz w:val="20"/>
              </w:rPr>
              <w:t>9,042</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0B9F7CB8" w14:textId="77777777">
            <w:pPr>
              <w:jc w:val="center"/>
              <w:rPr>
                <w:b/>
                <w:bCs/>
                <w:i/>
                <w:iCs/>
                <w:color w:val="000000"/>
                <w:sz w:val="20"/>
              </w:rPr>
            </w:pPr>
            <w:r w:rsidRPr="000F31D5">
              <w:rPr>
                <w:b/>
                <w:bCs/>
                <w:i/>
                <w:iCs/>
                <w:color w:val="000000"/>
                <w:sz w:val="20"/>
              </w:rPr>
              <w:t> </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00806641" w14:textId="77777777">
            <w:pPr>
              <w:jc w:val="center"/>
              <w:rPr>
                <w:b/>
                <w:bCs/>
                <w:i/>
                <w:iCs/>
                <w:color w:val="000000"/>
                <w:sz w:val="20"/>
              </w:rPr>
            </w:pPr>
            <w:r w:rsidRPr="000F31D5">
              <w:rPr>
                <w:b/>
                <w:bCs/>
                <w:i/>
                <w:iCs/>
                <w:color w:val="000000"/>
                <w:sz w:val="20"/>
              </w:rPr>
              <w:t> </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58DF830F" w14:textId="77777777">
            <w:pPr>
              <w:jc w:val="right"/>
              <w:rPr>
                <w:b/>
                <w:bCs/>
                <w:i/>
                <w:iCs/>
                <w:color w:val="000000"/>
                <w:sz w:val="20"/>
              </w:rPr>
            </w:pPr>
            <w:r w:rsidRPr="000F31D5">
              <w:rPr>
                <w:b/>
                <w:bCs/>
                <w:i/>
                <w:iCs/>
                <w:color w:val="000000"/>
                <w:sz w:val="20"/>
              </w:rPr>
              <w:t xml:space="preserve">$1,117,879 </w:t>
            </w:r>
          </w:p>
        </w:tc>
      </w:tr>
      <w:tr w14:paraId="2D237878" w14:textId="77777777" w:rsidTr="000F31D5">
        <w:tblPrEx>
          <w:tblW w:w="13675" w:type="dxa"/>
          <w:tblLook w:val="04A0"/>
        </w:tblPrEx>
        <w:trPr>
          <w:trHeight w:val="520"/>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0F31D5" w:rsidRPr="000F31D5" w:rsidP="000F31D5" w14:paraId="37E0489A" w14:textId="77777777">
            <w:pPr>
              <w:rPr>
                <w:color w:val="000000"/>
                <w:sz w:val="20"/>
              </w:rPr>
            </w:pPr>
            <w:r w:rsidRPr="000F31D5">
              <w:rPr>
                <w:color w:val="000000"/>
                <w:sz w:val="20"/>
              </w:rPr>
              <w:t>5. RECORDKEEPING REQUIREMENTS</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324E1603" w14:textId="77777777">
            <w:pPr>
              <w:jc w:val="right"/>
              <w:rPr>
                <w:color w:val="000000"/>
                <w:sz w:val="20"/>
              </w:rPr>
            </w:pPr>
            <w:r w:rsidRPr="000F31D5">
              <w:rPr>
                <w:color w:val="000000"/>
                <w:sz w:val="20"/>
              </w:rPr>
              <w:t> </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78AF314D" w14:textId="77777777">
            <w:pPr>
              <w:jc w:val="right"/>
              <w:rPr>
                <w:sz w:val="20"/>
              </w:rPr>
            </w:pPr>
            <w:r w:rsidRPr="000F31D5">
              <w:rPr>
                <w:sz w:val="20"/>
              </w:rPr>
              <w:t> </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74034A5C" w14:textId="77777777">
            <w:pPr>
              <w:jc w:val="right"/>
              <w:rPr>
                <w:color w:val="000000"/>
                <w:sz w:val="20"/>
              </w:rPr>
            </w:pPr>
            <w:r w:rsidRPr="000F31D5">
              <w:rPr>
                <w:color w:val="000000"/>
                <w:sz w:val="20"/>
              </w:rPr>
              <w:t> </w:t>
            </w:r>
          </w:p>
        </w:tc>
        <w:tc>
          <w:tcPr>
            <w:tcW w:w="1294" w:type="dxa"/>
            <w:tcBorders>
              <w:top w:val="nil"/>
              <w:left w:val="nil"/>
              <w:bottom w:val="single" w:sz="4" w:space="0" w:color="auto"/>
              <w:right w:val="single" w:sz="4" w:space="0" w:color="auto"/>
            </w:tcBorders>
            <w:shd w:val="clear" w:color="auto" w:fill="auto"/>
            <w:noWrap/>
            <w:vAlign w:val="center"/>
            <w:hideMark/>
          </w:tcPr>
          <w:p w:rsidR="000F31D5" w:rsidRPr="000F31D5" w:rsidP="000F31D5" w14:paraId="3D48A122" w14:textId="77777777">
            <w:pPr>
              <w:jc w:val="right"/>
              <w:rPr>
                <w:sz w:val="20"/>
              </w:rPr>
            </w:pPr>
            <w:r w:rsidRPr="000F31D5">
              <w:rPr>
                <w:sz w:val="20"/>
              </w:rPr>
              <w:t> </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265A7CFB" w14:textId="77777777">
            <w:pPr>
              <w:jc w:val="right"/>
              <w:rPr>
                <w:color w:val="000000"/>
                <w:sz w:val="20"/>
              </w:rPr>
            </w:pPr>
            <w:r w:rsidRPr="000F31D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787964AC" w14:textId="77777777">
            <w:pPr>
              <w:jc w:val="right"/>
              <w:rPr>
                <w:color w:val="000000"/>
                <w:sz w:val="20"/>
              </w:rPr>
            </w:pPr>
            <w:r w:rsidRPr="000F31D5">
              <w:rPr>
                <w:color w:val="000000"/>
                <w:sz w:val="20"/>
              </w:rPr>
              <w:t> </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6418233A" w14:textId="77777777">
            <w:pPr>
              <w:jc w:val="right"/>
              <w:rPr>
                <w:color w:val="000000"/>
                <w:sz w:val="20"/>
              </w:rPr>
            </w:pPr>
            <w:r w:rsidRPr="000F31D5">
              <w:rPr>
                <w:color w:val="000000"/>
                <w:sz w:val="20"/>
              </w:rPr>
              <w:t> </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0D0C54F2" w14:textId="77777777">
            <w:pPr>
              <w:jc w:val="right"/>
              <w:rPr>
                <w:color w:val="000000"/>
                <w:sz w:val="20"/>
              </w:rPr>
            </w:pPr>
            <w:r w:rsidRPr="000F31D5">
              <w:rPr>
                <w:color w:val="000000"/>
                <w:sz w:val="20"/>
              </w:rPr>
              <w:t> </w:t>
            </w:r>
          </w:p>
        </w:tc>
      </w:tr>
      <w:tr w14:paraId="49BD4DE9" w14:textId="77777777" w:rsidTr="000F31D5">
        <w:tblPrEx>
          <w:tblW w:w="13675" w:type="dxa"/>
          <w:tblLook w:val="04A0"/>
        </w:tblPrEx>
        <w:trPr>
          <w:trHeight w:val="26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rsidR="000F31D5" w:rsidRPr="000F31D5" w:rsidP="000F31D5" w14:paraId="44D1620B" w14:textId="77777777">
            <w:pPr>
              <w:ind w:firstLine="200" w:firstLineChars="100"/>
              <w:rPr>
                <w:color w:val="000000"/>
                <w:sz w:val="20"/>
              </w:rPr>
            </w:pPr>
            <w:r w:rsidRPr="000F31D5">
              <w:rPr>
                <w:color w:val="000000"/>
                <w:sz w:val="20"/>
              </w:rPr>
              <w:t>A. Familiarize with regulatory requirement</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2FAB20A8" w14:textId="77777777">
            <w:pPr>
              <w:jc w:val="center"/>
              <w:rPr>
                <w:color w:val="000000"/>
                <w:sz w:val="20"/>
              </w:rPr>
            </w:pPr>
            <w:r w:rsidRPr="000F31D5">
              <w:rPr>
                <w:color w:val="000000"/>
                <w:sz w:val="20"/>
              </w:rPr>
              <w:t> </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53108CA5" w14:textId="77777777">
            <w:pPr>
              <w:jc w:val="right"/>
              <w:rPr>
                <w:sz w:val="20"/>
              </w:rPr>
            </w:pPr>
            <w:r w:rsidRPr="000F31D5">
              <w:rPr>
                <w:sz w:val="20"/>
              </w:rPr>
              <w:t> </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3CF077F3" w14:textId="77777777">
            <w:pPr>
              <w:jc w:val="right"/>
              <w:rPr>
                <w:color w:val="000000"/>
                <w:sz w:val="20"/>
              </w:rPr>
            </w:pPr>
            <w:r w:rsidRPr="000F31D5">
              <w:rPr>
                <w:color w:val="000000"/>
                <w:sz w:val="20"/>
              </w:rPr>
              <w:t> </w:t>
            </w:r>
          </w:p>
        </w:tc>
        <w:tc>
          <w:tcPr>
            <w:tcW w:w="1294" w:type="dxa"/>
            <w:tcBorders>
              <w:top w:val="nil"/>
              <w:left w:val="nil"/>
              <w:bottom w:val="single" w:sz="4" w:space="0" w:color="auto"/>
              <w:right w:val="single" w:sz="4" w:space="0" w:color="auto"/>
            </w:tcBorders>
            <w:shd w:val="clear" w:color="auto" w:fill="auto"/>
            <w:vAlign w:val="center"/>
            <w:hideMark/>
          </w:tcPr>
          <w:p w:rsidR="000F31D5" w:rsidRPr="000F31D5" w:rsidP="000F31D5" w14:paraId="70366F3B" w14:textId="77777777">
            <w:pPr>
              <w:jc w:val="right"/>
              <w:rPr>
                <w:sz w:val="20"/>
              </w:rPr>
            </w:pPr>
            <w:r w:rsidRPr="000F31D5">
              <w:rPr>
                <w:sz w:val="20"/>
              </w:rPr>
              <w:t> </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73560EFC" w14:textId="77777777">
            <w:pPr>
              <w:jc w:val="right"/>
              <w:rPr>
                <w:color w:val="000000"/>
                <w:sz w:val="20"/>
              </w:rPr>
            </w:pPr>
            <w:r w:rsidRPr="000F31D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4789D0C2" w14:textId="77777777">
            <w:pPr>
              <w:jc w:val="right"/>
              <w:rPr>
                <w:color w:val="000000"/>
                <w:sz w:val="20"/>
              </w:rPr>
            </w:pPr>
            <w:r w:rsidRPr="000F31D5">
              <w:rPr>
                <w:color w:val="000000"/>
                <w:sz w:val="20"/>
              </w:rPr>
              <w:t> </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0D1A7C05" w14:textId="77777777">
            <w:pPr>
              <w:jc w:val="right"/>
              <w:rPr>
                <w:color w:val="000000"/>
                <w:sz w:val="20"/>
              </w:rPr>
            </w:pPr>
            <w:r w:rsidRPr="000F31D5">
              <w:rPr>
                <w:color w:val="000000"/>
                <w:sz w:val="20"/>
              </w:rPr>
              <w:t> </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4C14819D" w14:textId="77777777">
            <w:pPr>
              <w:jc w:val="right"/>
              <w:rPr>
                <w:color w:val="000000"/>
                <w:sz w:val="20"/>
              </w:rPr>
            </w:pPr>
            <w:r w:rsidRPr="000F31D5">
              <w:rPr>
                <w:color w:val="000000"/>
                <w:sz w:val="20"/>
              </w:rPr>
              <w:t> </w:t>
            </w:r>
          </w:p>
        </w:tc>
      </w:tr>
      <w:tr w14:paraId="29F95FF3" w14:textId="77777777" w:rsidTr="000F31D5">
        <w:tblPrEx>
          <w:tblW w:w="13675" w:type="dxa"/>
          <w:tblLook w:val="04A0"/>
        </w:tblPrEx>
        <w:trPr>
          <w:trHeight w:val="26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rsidR="000F31D5" w:rsidRPr="000F31D5" w:rsidP="000F31D5" w14:paraId="7E62B05E" w14:textId="77777777">
            <w:pPr>
              <w:ind w:firstLine="200" w:firstLineChars="100"/>
              <w:rPr>
                <w:color w:val="000000"/>
                <w:sz w:val="20"/>
              </w:rPr>
            </w:pPr>
            <w:r w:rsidRPr="000F31D5">
              <w:rPr>
                <w:color w:val="000000"/>
                <w:sz w:val="20"/>
              </w:rPr>
              <w:t xml:space="preserve">B. Plan Activities </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2B15065A" w14:textId="77777777">
            <w:pPr>
              <w:jc w:val="center"/>
              <w:rPr>
                <w:color w:val="000000"/>
                <w:sz w:val="20"/>
              </w:rPr>
            </w:pPr>
            <w:r w:rsidRPr="000F31D5">
              <w:rPr>
                <w:color w:val="000000"/>
                <w:sz w:val="20"/>
              </w:rPr>
              <w:t> </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60A17C71" w14:textId="77777777">
            <w:pPr>
              <w:jc w:val="right"/>
              <w:rPr>
                <w:sz w:val="20"/>
              </w:rPr>
            </w:pPr>
            <w:r w:rsidRPr="000F31D5">
              <w:rPr>
                <w:sz w:val="20"/>
              </w:rPr>
              <w:t> </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2E2FDB69" w14:textId="77777777">
            <w:pPr>
              <w:jc w:val="right"/>
              <w:rPr>
                <w:color w:val="000000"/>
                <w:sz w:val="20"/>
              </w:rPr>
            </w:pPr>
            <w:r w:rsidRPr="000F31D5">
              <w:rPr>
                <w:color w:val="000000"/>
                <w:sz w:val="20"/>
              </w:rPr>
              <w:t> </w:t>
            </w:r>
          </w:p>
        </w:tc>
        <w:tc>
          <w:tcPr>
            <w:tcW w:w="1294" w:type="dxa"/>
            <w:tcBorders>
              <w:top w:val="nil"/>
              <w:left w:val="nil"/>
              <w:bottom w:val="single" w:sz="4" w:space="0" w:color="auto"/>
              <w:right w:val="single" w:sz="4" w:space="0" w:color="auto"/>
            </w:tcBorders>
            <w:shd w:val="clear" w:color="auto" w:fill="auto"/>
            <w:vAlign w:val="center"/>
            <w:hideMark/>
          </w:tcPr>
          <w:p w:rsidR="000F31D5" w:rsidRPr="000F31D5" w:rsidP="000F31D5" w14:paraId="7D01153F" w14:textId="77777777">
            <w:pPr>
              <w:jc w:val="right"/>
              <w:rPr>
                <w:sz w:val="20"/>
              </w:rPr>
            </w:pPr>
            <w:r w:rsidRPr="000F31D5">
              <w:rPr>
                <w:sz w:val="20"/>
              </w:rPr>
              <w:t> </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2D990461" w14:textId="77777777">
            <w:pPr>
              <w:jc w:val="right"/>
              <w:rPr>
                <w:color w:val="000000"/>
                <w:sz w:val="20"/>
              </w:rPr>
            </w:pPr>
            <w:r w:rsidRPr="000F31D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6249C5B1" w14:textId="77777777">
            <w:pPr>
              <w:jc w:val="right"/>
              <w:rPr>
                <w:color w:val="000000"/>
                <w:sz w:val="20"/>
              </w:rPr>
            </w:pPr>
            <w:r w:rsidRPr="000F31D5">
              <w:rPr>
                <w:color w:val="000000"/>
                <w:sz w:val="20"/>
              </w:rPr>
              <w:t> </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433209F1" w14:textId="77777777">
            <w:pPr>
              <w:jc w:val="right"/>
              <w:rPr>
                <w:color w:val="000000"/>
                <w:sz w:val="20"/>
              </w:rPr>
            </w:pPr>
            <w:r w:rsidRPr="000F31D5">
              <w:rPr>
                <w:color w:val="000000"/>
                <w:sz w:val="20"/>
              </w:rPr>
              <w:t> </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71B438F1" w14:textId="77777777">
            <w:pPr>
              <w:jc w:val="right"/>
              <w:rPr>
                <w:color w:val="000000"/>
                <w:sz w:val="20"/>
              </w:rPr>
            </w:pPr>
            <w:r w:rsidRPr="000F31D5">
              <w:rPr>
                <w:color w:val="000000"/>
                <w:sz w:val="20"/>
              </w:rPr>
              <w:t> </w:t>
            </w:r>
          </w:p>
        </w:tc>
      </w:tr>
      <w:tr w14:paraId="37957494" w14:textId="77777777" w:rsidTr="000F31D5">
        <w:tblPrEx>
          <w:tblW w:w="13675" w:type="dxa"/>
          <w:tblLook w:val="04A0"/>
        </w:tblPrEx>
        <w:trPr>
          <w:trHeight w:val="26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rsidR="000F31D5" w:rsidRPr="000F31D5" w:rsidP="000F31D5" w14:paraId="5EE2C46B" w14:textId="77777777">
            <w:pPr>
              <w:ind w:firstLine="200" w:firstLineChars="100"/>
              <w:rPr>
                <w:color w:val="000000"/>
                <w:sz w:val="20"/>
              </w:rPr>
            </w:pPr>
            <w:r w:rsidRPr="000F31D5">
              <w:rPr>
                <w:color w:val="000000"/>
                <w:sz w:val="20"/>
              </w:rPr>
              <w:t xml:space="preserve">C. Implement Activities </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3C96203A" w14:textId="77777777">
            <w:pPr>
              <w:jc w:val="center"/>
              <w:rPr>
                <w:color w:val="000000"/>
                <w:sz w:val="20"/>
              </w:rPr>
            </w:pPr>
            <w:r w:rsidRPr="000F31D5">
              <w:rPr>
                <w:color w:val="000000"/>
                <w:sz w:val="20"/>
              </w:rPr>
              <w:t> </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665F255D" w14:textId="77777777">
            <w:pPr>
              <w:jc w:val="right"/>
              <w:rPr>
                <w:sz w:val="20"/>
              </w:rPr>
            </w:pPr>
            <w:r w:rsidRPr="000F31D5">
              <w:rPr>
                <w:sz w:val="20"/>
              </w:rPr>
              <w:t> </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6B2947E2" w14:textId="77777777">
            <w:pPr>
              <w:jc w:val="right"/>
              <w:rPr>
                <w:color w:val="000000"/>
                <w:sz w:val="20"/>
              </w:rPr>
            </w:pPr>
            <w:r w:rsidRPr="000F31D5">
              <w:rPr>
                <w:color w:val="000000"/>
                <w:sz w:val="20"/>
              </w:rPr>
              <w:t> </w:t>
            </w:r>
          </w:p>
        </w:tc>
        <w:tc>
          <w:tcPr>
            <w:tcW w:w="1294" w:type="dxa"/>
            <w:tcBorders>
              <w:top w:val="nil"/>
              <w:left w:val="nil"/>
              <w:bottom w:val="single" w:sz="4" w:space="0" w:color="auto"/>
              <w:right w:val="single" w:sz="4" w:space="0" w:color="auto"/>
            </w:tcBorders>
            <w:shd w:val="clear" w:color="auto" w:fill="auto"/>
            <w:vAlign w:val="center"/>
            <w:hideMark/>
          </w:tcPr>
          <w:p w:rsidR="000F31D5" w:rsidRPr="000F31D5" w:rsidP="000F31D5" w14:paraId="29B7A6E8" w14:textId="77777777">
            <w:pPr>
              <w:jc w:val="right"/>
              <w:rPr>
                <w:sz w:val="20"/>
              </w:rPr>
            </w:pPr>
            <w:r w:rsidRPr="000F31D5">
              <w:rPr>
                <w:sz w:val="20"/>
              </w:rPr>
              <w:t> </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058AEB3A" w14:textId="77777777">
            <w:pPr>
              <w:jc w:val="right"/>
              <w:rPr>
                <w:color w:val="000000"/>
                <w:sz w:val="20"/>
              </w:rPr>
            </w:pPr>
            <w:r w:rsidRPr="000F31D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3D6EB47C" w14:textId="77777777">
            <w:pPr>
              <w:jc w:val="right"/>
              <w:rPr>
                <w:color w:val="000000"/>
                <w:sz w:val="20"/>
              </w:rPr>
            </w:pPr>
            <w:r w:rsidRPr="000F31D5">
              <w:rPr>
                <w:color w:val="000000"/>
                <w:sz w:val="20"/>
              </w:rPr>
              <w:t> </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5B0EDD86" w14:textId="77777777">
            <w:pPr>
              <w:jc w:val="right"/>
              <w:rPr>
                <w:color w:val="000000"/>
                <w:sz w:val="20"/>
              </w:rPr>
            </w:pPr>
            <w:r w:rsidRPr="000F31D5">
              <w:rPr>
                <w:color w:val="000000"/>
                <w:sz w:val="20"/>
              </w:rPr>
              <w:t> </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64554DC5" w14:textId="77777777">
            <w:pPr>
              <w:jc w:val="right"/>
              <w:rPr>
                <w:color w:val="000000"/>
                <w:sz w:val="20"/>
              </w:rPr>
            </w:pPr>
            <w:r w:rsidRPr="000F31D5">
              <w:rPr>
                <w:color w:val="000000"/>
                <w:sz w:val="20"/>
              </w:rPr>
              <w:t> </w:t>
            </w:r>
          </w:p>
        </w:tc>
      </w:tr>
      <w:tr w14:paraId="2009ACBA" w14:textId="77777777" w:rsidTr="000F31D5">
        <w:tblPrEx>
          <w:tblW w:w="13675" w:type="dxa"/>
          <w:tblLook w:val="04A0"/>
        </w:tblPrEx>
        <w:trPr>
          <w:trHeight w:val="26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rsidR="000F31D5" w:rsidRPr="000F31D5" w:rsidP="000F31D5" w14:paraId="7BA62ED3" w14:textId="77777777">
            <w:pPr>
              <w:ind w:firstLine="200" w:firstLineChars="100"/>
              <w:rPr>
                <w:color w:val="000000"/>
                <w:sz w:val="20"/>
              </w:rPr>
            </w:pPr>
            <w:r w:rsidRPr="000F31D5">
              <w:rPr>
                <w:color w:val="000000"/>
                <w:sz w:val="20"/>
              </w:rPr>
              <w:t xml:space="preserve">D. Record Data </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315F456C" w14:textId="77777777">
            <w:pPr>
              <w:jc w:val="center"/>
              <w:rPr>
                <w:color w:val="000000"/>
                <w:sz w:val="20"/>
              </w:rPr>
            </w:pPr>
            <w:r w:rsidRPr="000F31D5">
              <w:rPr>
                <w:color w:val="000000"/>
                <w:sz w:val="20"/>
              </w:rPr>
              <w:t>NA</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2EF701F3" w14:textId="77777777">
            <w:pPr>
              <w:jc w:val="right"/>
              <w:rPr>
                <w:sz w:val="20"/>
              </w:rPr>
            </w:pPr>
            <w:r w:rsidRPr="000F31D5">
              <w:rPr>
                <w:sz w:val="20"/>
              </w:rPr>
              <w:t> </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55128637" w14:textId="77777777">
            <w:pPr>
              <w:jc w:val="right"/>
              <w:rPr>
                <w:color w:val="000000"/>
                <w:sz w:val="20"/>
              </w:rPr>
            </w:pPr>
            <w:r w:rsidRPr="000F31D5">
              <w:rPr>
                <w:color w:val="000000"/>
                <w:sz w:val="20"/>
              </w:rPr>
              <w:t> </w:t>
            </w:r>
          </w:p>
        </w:tc>
        <w:tc>
          <w:tcPr>
            <w:tcW w:w="1294" w:type="dxa"/>
            <w:tcBorders>
              <w:top w:val="nil"/>
              <w:left w:val="nil"/>
              <w:bottom w:val="single" w:sz="4" w:space="0" w:color="auto"/>
              <w:right w:val="single" w:sz="4" w:space="0" w:color="auto"/>
            </w:tcBorders>
            <w:shd w:val="clear" w:color="auto" w:fill="auto"/>
            <w:vAlign w:val="center"/>
            <w:hideMark/>
          </w:tcPr>
          <w:p w:rsidR="000F31D5" w:rsidRPr="000F31D5" w:rsidP="000F31D5" w14:paraId="42B3DC00" w14:textId="77777777">
            <w:pPr>
              <w:jc w:val="right"/>
              <w:rPr>
                <w:sz w:val="20"/>
              </w:rPr>
            </w:pPr>
            <w:r w:rsidRPr="000F31D5">
              <w:rPr>
                <w:sz w:val="20"/>
              </w:rPr>
              <w:t> </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090BB4AF" w14:textId="77777777">
            <w:pPr>
              <w:jc w:val="right"/>
              <w:rPr>
                <w:color w:val="000000"/>
                <w:sz w:val="20"/>
              </w:rPr>
            </w:pPr>
            <w:r w:rsidRPr="000F31D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211F5865" w14:textId="77777777">
            <w:pPr>
              <w:jc w:val="right"/>
              <w:rPr>
                <w:color w:val="000000"/>
                <w:sz w:val="20"/>
              </w:rPr>
            </w:pPr>
            <w:r w:rsidRPr="000F31D5">
              <w:rPr>
                <w:color w:val="000000"/>
                <w:sz w:val="20"/>
              </w:rPr>
              <w:t> </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4A8EE4B8" w14:textId="77777777">
            <w:pPr>
              <w:jc w:val="right"/>
              <w:rPr>
                <w:color w:val="000000"/>
                <w:sz w:val="20"/>
              </w:rPr>
            </w:pPr>
            <w:r w:rsidRPr="000F31D5">
              <w:rPr>
                <w:color w:val="000000"/>
                <w:sz w:val="20"/>
              </w:rPr>
              <w:t> </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66E9525D" w14:textId="77777777">
            <w:pPr>
              <w:jc w:val="right"/>
              <w:rPr>
                <w:color w:val="000000"/>
                <w:sz w:val="20"/>
              </w:rPr>
            </w:pPr>
            <w:r w:rsidRPr="000F31D5">
              <w:rPr>
                <w:color w:val="000000"/>
                <w:sz w:val="20"/>
              </w:rPr>
              <w:t> </w:t>
            </w:r>
          </w:p>
        </w:tc>
      </w:tr>
      <w:tr w14:paraId="7BAFB654" w14:textId="77777777" w:rsidTr="000F31D5">
        <w:tblPrEx>
          <w:tblW w:w="13675" w:type="dxa"/>
          <w:tblLook w:val="04A0"/>
        </w:tblPrEx>
        <w:trPr>
          <w:trHeight w:val="26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rsidR="000F31D5" w:rsidRPr="000F31D5" w:rsidP="000F31D5" w14:paraId="2E342779" w14:textId="77777777">
            <w:pPr>
              <w:ind w:firstLine="200" w:firstLineChars="100"/>
              <w:rPr>
                <w:color w:val="000000"/>
                <w:sz w:val="20"/>
              </w:rPr>
            </w:pPr>
            <w:r w:rsidRPr="000F31D5">
              <w:rPr>
                <w:color w:val="000000"/>
                <w:sz w:val="20"/>
              </w:rPr>
              <w:t>E. Time to Transmit or Disclose Information</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21DB26E0" w14:textId="77777777">
            <w:pPr>
              <w:jc w:val="right"/>
              <w:rPr>
                <w:color w:val="000000"/>
                <w:sz w:val="20"/>
              </w:rPr>
            </w:pPr>
            <w:r w:rsidRPr="000F31D5">
              <w:rPr>
                <w:color w:val="000000"/>
                <w:sz w:val="20"/>
              </w:rPr>
              <w:t> </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6F6F11A6" w14:textId="77777777">
            <w:pPr>
              <w:jc w:val="right"/>
              <w:rPr>
                <w:sz w:val="20"/>
              </w:rPr>
            </w:pPr>
            <w:r w:rsidRPr="000F31D5">
              <w:rPr>
                <w:sz w:val="20"/>
              </w:rPr>
              <w:t> </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130508F0" w14:textId="77777777">
            <w:pPr>
              <w:jc w:val="right"/>
              <w:rPr>
                <w:color w:val="000000"/>
                <w:sz w:val="20"/>
              </w:rPr>
            </w:pPr>
            <w:r w:rsidRPr="000F31D5">
              <w:rPr>
                <w:color w:val="000000"/>
                <w:sz w:val="20"/>
              </w:rPr>
              <w:t> </w:t>
            </w:r>
          </w:p>
        </w:tc>
        <w:tc>
          <w:tcPr>
            <w:tcW w:w="1294" w:type="dxa"/>
            <w:tcBorders>
              <w:top w:val="nil"/>
              <w:left w:val="nil"/>
              <w:bottom w:val="single" w:sz="4" w:space="0" w:color="auto"/>
              <w:right w:val="single" w:sz="4" w:space="0" w:color="auto"/>
            </w:tcBorders>
            <w:shd w:val="clear" w:color="auto" w:fill="auto"/>
            <w:vAlign w:val="center"/>
            <w:hideMark/>
          </w:tcPr>
          <w:p w:rsidR="000F31D5" w:rsidRPr="000F31D5" w:rsidP="000F31D5" w14:paraId="4334ADF0" w14:textId="77777777">
            <w:pPr>
              <w:jc w:val="right"/>
              <w:rPr>
                <w:sz w:val="20"/>
              </w:rPr>
            </w:pPr>
            <w:r w:rsidRPr="000F31D5">
              <w:rPr>
                <w:sz w:val="20"/>
              </w:rPr>
              <w:t> </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5701A65B" w14:textId="77777777">
            <w:pPr>
              <w:jc w:val="right"/>
              <w:rPr>
                <w:color w:val="000000"/>
                <w:sz w:val="20"/>
              </w:rPr>
            </w:pPr>
            <w:r w:rsidRPr="000F31D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7557C68D" w14:textId="77777777">
            <w:pPr>
              <w:jc w:val="right"/>
              <w:rPr>
                <w:color w:val="000000"/>
                <w:sz w:val="20"/>
              </w:rPr>
            </w:pPr>
            <w:r w:rsidRPr="000F31D5">
              <w:rPr>
                <w:color w:val="000000"/>
                <w:sz w:val="20"/>
              </w:rPr>
              <w:t> </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4368F2BA" w14:textId="77777777">
            <w:pPr>
              <w:jc w:val="right"/>
              <w:rPr>
                <w:color w:val="000000"/>
                <w:sz w:val="20"/>
              </w:rPr>
            </w:pPr>
            <w:r w:rsidRPr="000F31D5">
              <w:rPr>
                <w:color w:val="000000"/>
                <w:sz w:val="20"/>
              </w:rPr>
              <w:t> </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2C34ABCE" w14:textId="77777777">
            <w:pPr>
              <w:jc w:val="right"/>
              <w:rPr>
                <w:color w:val="000000"/>
                <w:sz w:val="20"/>
              </w:rPr>
            </w:pPr>
            <w:r w:rsidRPr="000F31D5">
              <w:rPr>
                <w:color w:val="000000"/>
                <w:sz w:val="20"/>
              </w:rPr>
              <w:t> </w:t>
            </w:r>
          </w:p>
        </w:tc>
      </w:tr>
      <w:tr w14:paraId="2F4F25DC" w14:textId="77777777" w:rsidTr="000F31D5">
        <w:tblPrEx>
          <w:tblW w:w="13675" w:type="dxa"/>
          <w:tblLook w:val="04A0"/>
        </w:tblPrEx>
        <w:trPr>
          <w:trHeight w:val="26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rsidR="000F31D5" w:rsidRPr="000F31D5" w:rsidP="000F31D5" w14:paraId="1EF2B312" w14:textId="77777777">
            <w:pPr>
              <w:ind w:firstLine="200" w:firstLineChars="100"/>
              <w:rPr>
                <w:i/>
                <w:iCs/>
                <w:color w:val="000000"/>
                <w:sz w:val="20"/>
                <w:u w:val="single"/>
              </w:rPr>
            </w:pPr>
            <w:r w:rsidRPr="000F31D5">
              <w:rPr>
                <w:i/>
                <w:iCs/>
                <w:color w:val="000000"/>
                <w:sz w:val="20"/>
                <w:u w:val="single"/>
              </w:rPr>
              <w:t>Existing Sources</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5FCC8B6F" w14:textId="77777777">
            <w:pPr>
              <w:jc w:val="right"/>
              <w:rPr>
                <w:color w:val="000000"/>
                <w:sz w:val="20"/>
              </w:rPr>
            </w:pPr>
            <w:r w:rsidRPr="000F31D5">
              <w:rPr>
                <w:color w:val="000000"/>
                <w:sz w:val="20"/>
              </w:rPr>
              <w:t> </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450E0F9E" w14:textId="77777777">
            <w:pPr>
              <w:jc w:val="right"/>
              <w:rPr>
                <w:sz w:val="20"/>
              </w:rPr>
            </w:pPr>
            <w:r w:rsidRPr="000F31D5">
              <w:rPr>
                <w:sz w:val="20"/>
              </w:rPr>
              <w:t> </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477A08A0" w14:textId="77777777">
            <w:pPr>
              <w:jc w:val="right"/>
              <w:rPr>
                <w:color w:val="000000"/>
                <w:sz w:val="20"/>
              </w:rPr>
            </w:pPr>
            <w:r w:rsidRPr="000F31D5">
              <w:rPr>
                <w:color w:val="000000"/>
                <w:sz w:val="20"/>
              </w:rPr>
              <w:t> </w:t>
            </w:r>
          </w:p>
        </w:tc>
        <w:tc>
          <w:tcPr>
            <w:tcW w:w="1294" w:type="dxa"/>
            <w:tcBorders>
              <w:top w:val="nil"/>
              <w:left w:val="nil"/>
              <w:bottom w:val="single" w:sz="4" w:space="0" w:color="auto"/>
              <w:right w:val="single" w:sz="4" w:space="0" w:color="auto"/>
            </w:tcBorders>
            <w:shd w:val="clear" w:color="auto" w:fill="auto"/>
            <w:vAlign w:val="center"/>
            <w:hideMark/>
          </w:tcPr>
          <w:p w:rsidR="000F31D5" w:rsidRPr="000F31D5" w:rsidP="000F31D5" w14:paraId="2FA9AF01" w14:textId="77777777">
            <w:pPr>
              <w:jc w:val="right"/>
              <w:rPr>
                <w:sz w:val="20"/>
              </w:rPr>
            </w:pPr>
            <w:r w:rsidRPr="000F31D5">
              <w:rPr>
                <w:sz w:val="20"/>
              </w:rPr>
              <w:t> </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1BAB7AC7" w14:textId="77777777">
            <w:pPr>
              <w:jc w:val="right"/>
              <w:rPr>
                <w:color w:val="000000"/>
                <w:sz w:val="20"/>
              </w:rPr>
            </w:pPr>
            <w:r w:rsidRPr="000F31D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1C91EDBA" w14:textId="77777777">
            <w:pPr>
              <w:jc w:val="right"/>
              <w:rPr>
                <w:color w:val="000000"/>
                <w:sz w:val="20"/>
              </w:rPr>
            </w:pPr>
            <w:r w:rsidRPr="000F31D5">
              <w:rPr>
                <w:color w:val="000000"/>
                <w:sz w:val="20"/>
              </w:rPr>
              <w:t> </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2559AC59" w14:textId="77777777">
            <w:pPr>
              <w:jc w:val="right"/>
              <w:rPr>
                <w:color w:val="000000"/>
                <w:sz w:val="20"/>
              </w:rPr>
            </w:pPr>
            <w:r w:rsidRPr="000F31D5">
              <w:rPr>
                <w:color w:val="000000"/>
                <w:sz w:val="20"/>
              </w:rPr>
              <w:t> </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7C359983" w14:textId="77777777">
            <w:pPr>
              <w:jc w:val="right"/>
              <w:rPr>
                <w:color w:val="000000"/>
                <w:sz w:val="20"/>
              </w:rPr>
            </w:pPr>
            <w:r w:rsidRPr="000F31D5">
              <w:rPr>
                <w:color w:val="000000"/>
                <w:sz w:val="20"/>
              </w:rPr>
              <w:t> </w:t>
            </w:r>
          </w:p>
        </w:tc>
      </w:tr>
      <w:tr w14:paraId="1E476E7E" w14:textId="77777777" w:rsidTr="000F31D5">
        <w:tblPrEx>
          <w:tblW w:w="13675" w:type="dxa"/>
          <w:tblLook w:val="04A0"/>
        </w:tblPrEx>
        <w:trPr>
          <w:trHeight w:val="26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rsidR="000F31D5" w:rsidRPr="000F31D5" w:rsidP="000F31D5" w14:paraId="0A6C38B9" w14:textId="77777777">
            <w:pPr>
              <w:ind w:firstLine="400" w:firstLineChars="200"/>
              <w:rPr>
                <w:color w:val="000000"/>
                <w:sz w:val="20"/>
              </w:rPr>
            </w:pPr>
            <w:r w:rsidRPr="000F31D5">
              <w:rPr>
                <w:color w:val="000000"/>
                <w:sz w:val="20"/>
              </w:rPr>
              <w:t>Data Collection</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74C8D5D7" w14:textId="77777777">
            <w:pPr>
              <w:jc w:val="center"/>
              <w:rPr>
                <w:color w:val="000000"/>
                <w:sz w:val="20"/>
              </w:rPr>
            </w:pPr>
            <w:r w:rsidRPr="000F31D5">
              <w:rPr>
                <w:color w:val="000000"/>
                <w:sz w:val="20"/>
              </w:rPr>
              <w:t>0</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57C081A1" w14:textId="77777777">
            <w:pPr>
              <w:jc w:val="center"/>
              <w:rPr>
                <w:sz w:val="20"/>
              </w:rPr>
            </w:pPr>
            <w:r w:rsidRPr="000F31D5">
              <w:rPr>
                <w:sz w:val="20"/>
              </w:rPr>
              <w:t>0</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0F39E651" w14:textId="77777777">
            <w:pPr>
              <w:jc w:val="center"/>
              <w:rPr>
                <w:color w:val="000000"/>
                <w:sz w:val="20"/>
              </w:rPr>
            </w:pPr>
            <w:r w:rsidRPr="000F31D5">
              <w:rPr>
                <w:color w:val="000000"/>
                <w:sz w:val="20"/>
              </w:rPr>
              <w:t>0</w:t>
            </w:r>
          </w:p>
        </w:tc>
        <w:tc>
          <w:tcPr>
            <w:tcW w:w="1294" w:type="dxa"/>
            <w:tcBorders>
              <w:top w:val="nil"/>
              <w:left w:val="nil"/>
              <w:bottom w:val="single" w:sz="4" w:space="0" w:color="auto"/>
              <w:right w:val="single" w:sz="4" w:space="0" w:color="auto"/>
            </w:tcBorders>
            <w:shd w:val="clear" w:color="auto" w:fill="auto"/>
            <w:noWrap/>
            <w:vAlign w:val="center"/>
            <w:hideMark/>
          </w:tcPr>
          <w:p w:rsidR="000F31D5" w:rsidRPr="000F31D5" w:rsidP="000F31D5" w14:paraId="3B456953" w14:textId="77777777">
            <w:pPr>
              <w:jc w:val="center"/>
              <w:rPr>
                <w:sz w:val="20"/>
              </w:rPr>
            </w:pPr>
            <w:r w:rsidRPr="000F31D5">
              <w:rPr>
                <w:sz w:val="20"/>
              </w:rPr>
              <w:t>0</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70E65BF5" w14:textId="77777777">
            <w:pPr>
              <w:jc w:val="center"/>
              <w:rPr>
                <w:color w:val="000000"/>
                <w:sz w:val="20"/>
              </w:rPr>
            </w:pPr>
            <w:r w:rsidRPr="000F31D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5062B8CB" w14:textId="77777777">
            <w:pPr>
              <w:jc w:val="center"/>
              <w:rPr>
                <w:color w:val="000000"/>
                <w:sz w:val="20"/>
              </w:rPr>
            </w:pPr>
            <w:r w:rsidRPr="000F31D5">
              <w:rPr>
                <w:color w:val="000000"/>
                <w:sz w:val="20"/>
              </w:rPr>
              <w:t>0</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76582812" w14:textId="77777777">
            <w:pPr>
              <w:jc w:val="center"/>
              <w:rPr>
                <w:color w:val="000000"/>
                <w:sz w:val="20"/>
              </w:rPr>
            </w:pPr>
            <w:r w:rsidRPr="000F31D5">
              <w:rPr>
                <w:color w:val="000000"/>
                <w:sz w:val="20"/>
              </w:rPr>
              <w:t>0</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2F06430F" w14:textId="77777777">
            <w:pPr>
              <w:jc w:val="right"/>
              <w:rPr>
                <w:color w:val="000000"/>
                <w:sz w:val="20"/>
              </w:rPr>
            </w:pPr>
            <w:r w:rsidRPr="000F31D5">
              <w:rPr>
                <w:color w:val="000000"/>
                <w:sz w:val="20"/>
              </w:rPr>
              <w:t xml:space="preserve">$0.00 </w:t>
            </w:r>
          </w:p>
        </w:tc>
      </w:tr>
      <w:tr w14:paraId="3352EBD7" w14:textId="77777777" w:rsidTr="000F31D5">
        <w:tblPrEx>
          <w:tblW w:w="13675" w:type="dxa"/>
          <w:tblLook w:val="04A0"/>
        </w:tblPrEx>
        <w:trPr>
          <w:trHeight w:val="29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rsidR="000F31D5" w:rsidRPr="000F31D5" w:rsidP="000F31D5" w14:paraId="35669BA9" w14:textId="77777777">
            <w:pPr>
              <w:ind w:firstLine="400" w:firstLineChars="200"/>
              <w:rPr>
                <w:color w:val="000000"/>
                <w:sz w:val="20"/>
              </w:rPr>
            </w:pPr>
            <w:r w:rsidRPr="000F31D5">
              <w:rPr>
                <w:color w:val="000000"/>
                <w:sz w:val="20"/>
              </w:rPr>
              <w:t>Create and Store Engine Maintenance Plan</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3C6E6B9A" w14:textId="77777777">
            <w:pPr>
              <w:jc w:val="center"/>
              <w:rPr>
                <w:color w:val="000000"/>
                <w:sz w:val="20"/>
              </w:rPr>
            </w:pPr>
            <w:r w:rsidRPr="000F31D5">
              <w:rPr>
                <w:color w:val="000000"/>
                <w:sz w:val="20"/>
              </w:rPr>
              <w:t>0</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7322B82D" w14:textId="77777777">
            <w:pPr>
              <w:jc w:val="center"/>
              <w:rPr>
                <w:sz w:val="20"/>
              </w:rPr>
            </w:pPr>
            <w:r w:rsidRPr="000F31D5">
              <w:rPr>
                <w:sz w:val="20"/>
              </w:rPr>
              <w:t>0</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16009042" w14:textId="77777777">
            <w:pPr>
              <w:jc w:val="center"/>
              <w:rPr>
                <w:color w:val="000000"/>
                <w:sz w:val="20"/>
              </w:rPr>
            </w:pPr>
            <w:r w:rsidRPr="000F31D5">
              <w:rPr>
                <w:color w:val="000000"/>
                <w:sz w:val="20"/>
              </w:rPr>
              <w:t>0</w:t>
            </w:r>
          </w:p>
        </w:tc>
        <w:tc>
          <w:tcPr>
            <w:tcW w:w="1294" w:type="dxa"/>
            <w:tcBorders>
              <w:top w:val="nil"/>
              <w:left w:val="nil"/>
              <w:bottom w:val="single" w:sz="4" w:space="0" w:color="auto"/>
              <w:right w:val="single" w:sz="4" w:space="0" w:color="auto"/>
            </w:tcBorders>
            <w:shd w:val="clear" w:color="auto" w:fill="auto"/>
            <w:noWrap/>
            <w:vAlign w:val="center"/>
            <w:hideMark/>
          </w:tcPr>
          <w:p w:rsidR="000F31D5" w:rsidRPr="000F31D5" w:rsidP="000F31D5" w14:paraId="2EAAFBD6" w14:textId="77777777">
            <w:pPr>
              <w:jc w:val="center"/>
              <w:rPr>
                <w:sz w:val="20"/>
              </w:rPr>
            </w:pPr>
            <w:r w:rsidRPr="000F31D5">
              <w:rPr>
                <w:sz w:val="20"/>
              </w:rPr>
              <w:t>0</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708BFBA2" w14:textId="77777777">
            <w:pPr>
              <w:jc w:val="center"/>
              <w:rPr>
                <w:color w:val="000000"/>
                <w:sz w:val="20"/>
              </w:rPr>
            </w:pPr>
            <w:r w:rsidRPr="000F31D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45416D36" w14:textId="77777777">
            <w:pPr>
              <w:jc w:val="center"/>
              <w:rPr>
                <w:color w:val="000000"/>
                <w:sz w:val="20"/>
              </w:rPr>
            </w:pPr>
            <w:r w:rsidRPr="000F31D5">
              <w:rPr>
                <w:color w:val="000000"/>
                <w:sz w:val="20"/>
              </w:rPr>
              <w:t>0</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7A079817" w14:textId="77777777">
            <w:pPr>
              <w:jc w:val="center"/>
              <w:rPr>
                <w:color w:val="000000"/>
                <w:sz w:val="20"/>
              </w:rPr>
            </w:pPr>
            <w:r w:rsidRPr="000F31D5">
              <w:rPr>
                <w:color w:val="000000"/>
                <w:sz w:val="20"/>
              </w:rPr>
              <w:t>0</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1062A4A4" w14:textId="77777777">
            <w:pPr>
              <w:jc w:val="right"/>
              <w:rPr>
                <w:color w:val="000000"/>
                <w:sz w:val="20"/>
              </w:rPr>
            </w:pPr>
            <w:r w:rsidRPr="000F31D5">
              <w:rPr>
                <w:color w:val="000000"/>
                <w:sz w:val="20"/>
              </w:rPr>
              <w:t xml:space="preserve">$0.00 </w:t>
            </w:r>
          </w:p>
        </w:tc>
      </w:tr>
      <w:tr w14:paraId="54CC0168" w14:textId="77777777" w:rsidTr="000F31D5">
        <w:tblPrEx>
          <w:tblW w:w="13675" w:type="dxa"/>
          <w:tblLook w:val="04A0"/>
        </w:tblPrEx>
        <w:trPr>
          <w:trHeight w:val="35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rsidR="000F31D5" w:rsidRPr="000F31D5" w:rsidP="000F31D5" w14:paraId="0F2E5CCB" w14:textId="77777777">
            <w:pPr>
              <w:ind w:firstLine="400" w:firstLineChars="200"/>
              <w:rPr>
                <w:color w:val="000000"/>
                <w:sz w:val="20"/>
              </w:rPr>
            </w:pPr>
            <w:r w:rsidRPr="000F31D5">
              <w:rPr>
                <w:color w:val="000000"/>
                <w:sz w:val="20"/>
              </w:rPr>
              <w:t>Records of Hours of Operation</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00AA8861" w14:textId="77777777">
            <w:pPr>
              <w:jc w:val="center"/>
              <w:rPr>
                <w:color w:val="000000"/>
                <w:sz w:val="20"/>
              </w:rPr>
            </w:pPr>
            <w:r w:rsidRPr="000F31D5">
              <w:rPr>
                <w:color w:val="000000"/>
                <w:sz w:val="20"/>
              </w:rPr>
              <w:t>0</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293EA04C" w14:textId="77777777">
            <w:pPr>
              <w:jc w:val="center"/>
              <w:rPr>
                <w:sz w:val="20"/>
              </w:rPr>
            </w:pPr>
            <w:r w:rsidRPr="000F31D5">
              <w:rPr>
                <w:sz w:val="20"/>
              </w:rPr>
              <w:t>0</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629839C8" w14:textId="77777777">
            <w:pPr>
              <w:jc w:val="center"/>
              <w:rPr>
                <w:color w:val="000000"/>
                <w:sz w:val="20"/>
              </w:rPr>
            </w:pPr>
            <w:r w:rsidRPr="000F31D5">
              <w:rPr>
                <w:color w:val="000000"/>
                <w:sz w:val="20"/>
              </w:rPr>
              <w:t>0</w:t>
            </w:r>
          </w:p>
        </w:tc>
        <w:tc>
          <w:tcPr>
            <w:tcW w:w="1294" w:type="dxa"/>
            <w:tcBorders>
              <w:top w:val="nil"/>
              <w:left w:val="nil"/>
              <w:bottom w:val="single" w:sz="4" w:space="0" w:color="auto"/>
              <w:right w:val="single" w:sz="4" w:space="0" w:color="auto"/>
            </w:tcBorders>
            <w:shd w:val="clear" w:color="auto" w:fill="auto"/>
            <w:noWrap/>
            <w:vAlign w:val="center"/>
            <w:hideMark/>
          </w:tcPr>
          <w:p w:rsidR="000F31D5" w:rsidRPr="000F31D5" w:rsidP="000F31D5" w14:paraId="04ED9F84" w14:textId="77777777">
            <w:pPr>
              <w:jc w:val="center"/>
              <w:rPr>
                <w:sz w:val="20"/>
              </w:rPr>
            </w:pPr>
            <w:r w:rsidRPr="000F31D5">
              <w:rPr>
                <w:sz w:val="20"/>
              </w:rPr>
              <w:t>0</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2B0D2B53" w14:textId="77777777">
            <w:pPr>
              <w:jc w:val="center"/>
              <w:rPr>
                <w:color w:val="000000"/>
                <w:sz w:val="20"/>
              </w:rPr>
            </w:pPr>
            <w:r w:rsidRPr="000F31D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3343D49D" w14:textId="77777777">
            <w:pPr>
              <w:jc w:val="center"/>
              <w:rPr>
                <w:color w:val="000000"/>
                <w:sz w:val="20"/>
              </w:rPr>
            </w:pPr>
            <w:r w:rsidRPr="000F31D5">
              <w:rPr>
                <w:color w:val="000000"/>
                <w:sz w:val="20"/>
              </w:rPr>
              <w:t>0</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4C404D1F" w14:textId="77777777">
            <w:pPr>
              <w:jc w:val="center"/>
              <w:rPr>
                <w:color w:val="000000"/>
                <w:sz w:val="20"/>
              </w:rPr>
            </w:pPr>
            <w:r w:rsidRPr="000F31D5">
              <w:rPr>
                <w:color w:val="000000"/>
                <w:sz w:val="20"/>
              </w:rPr>
              <w:t>0</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59DB800B" w14:textId="77777777">
            <w:pPr>
              <w:jc w:val="right"/>
              <w:rPr>
                <w:color w:val="000000"/>
                <w:sz w:val="20"/>
              </w:rPr>
            </w:pPr>
            <w:r w:rsidRPr="000F31D5">
              <w:rPr>
                <w:color w:val="000000"/>
                <w:sz w:val="20"/>
              </w:rPr>
              <w:t xml:space="preserve">$0.00 </w:t>
            </w:r>
          </w:p>
        </w:tc>
      </w:tr>
      <w:tr w14:paraId="670E801B" w14:textId="77777777" w:rsidTr="000F31D5">
        <w:tblPrEx>
          <w:tblW w:w="13675" w:type="dxa"/>
          <w:tblLook w:val="04A0"/>
        </w:tblPrEx>
        <w:trPr>
          <w:trHeight w:val="530"/>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0F31D5" w:rsidRPr="000F31D5" w:rsidP="000F31D5" w14:paraId="315EE3B3" w14:textId="77777777">
            <w:pPr>
              <w:ind w:firstLine="400" w:firstLineChars="200"/>
              <w:rPr>
                <w:color w:val="000000"/>
                <w:sz w:val="20"/>
              </w:rPr>
            </w:pPr>
            <w:r w:rsidRPr="000F31D5">
              <w:rPr>
                <w:color w:val="000000"/>
                <w:sz w:val="20"/>
              </w:rPr>
              <w:t>Records of Engine Maintenance Conducted</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2052199A" w14:textId="77777777">
            <w:pPr>
              <w:jc w:val="center"/>
              <w:rPr>
                <w:color w:val="000000"/>
                <w:sz w:val="20"/>
              </w:rPr>
            </w:pPr>
            <w:r w:rsidRPr="000F31D5">
              <w:rPr>
                <w:color w:val="000000"/>
                <w:sz w:val="20"/>
              </w:rPr>
              <w:t>0</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08ACFF0B" w14:textId="77777777">
            <w:pPr>
              <w:jc w:val="center"/>
              <w:rPr>
                <w:sz w:val="20"/>
              </w:rPr>
            </w:pPr>
            <w:r w:rsidRPr="000F31D5">
              <w:rPr>
                <w:sz w:val="20"/>
              </w:rPr>
              <w:t>0</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6FC0F128" w14:textId="77777777">
            <w:pPr>
              <w:jc w:val="center"/>
              <w:rPr>
                <w:color w:val="000000"/>
                <w:sz w:val="20"/>
              </w:rPr>
            </w:pPr>
            <w:r w:rsidRPr="000F31D5">
              <w:rPr>
                <w:color w:val="000000"/>
                <w:sz w:val="20"/>
              </w:rPr>
              <w:t>0</w:t>
            </w:r>
          </w:p>
        </w:tc>
        <w:tc>
          <w:tcPr>
            <w:tcW w:w="1294" w:type="dxa"/>
            <w:tcBorders>
              <w:top w:val="nil"/>
              <w:left w:val="nil"/>
              <w:bottom w:val="single" w:sz="4" w:space="0" w:color="auto"/>
              <w:right w:val="single" w:sz="4" w:space="0" w:color="auto"/>
            </w:tcBorders>
            <w:shd w:val="clear" w:color="auto" w:fill="auto"/>
            <w:noWrap/>
            <w:vAlign w:val="center"/>
            <w:hideMark/>
          </w:tcPr>
          <w:p w:rsidR="000F31D5" w:rsidRPr="000F31D5" w:rsidP="000F31D5" w14:paraId="57F07328" w14:textId="77777777">
            <w:pPr>
              <w:jc w:val="center"/>
              <w:rPr>
                <w:sz w:val="20"/>
              </w:rPr>
            </w:pPr>
            <w:r w:rsidRPr="000F31D5">
              <w:rPr>
                <w:sz w:val="20"/>
              </w:rPr>
              <w:t>0</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3E7EA777" w14:textId="77777777">
            <w:pPr>
              <w:jc w:val="center"/>
              <w:rPr>
                <w:color w:val="000000"/>
                <w:sz w:val="20"/>
              </w:rPr>
            </w:pPr>
            <w:r w:rsidRPr="000F31D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1BEB4338" w14:textId="77777777">
            <w:pPr>
              <w:jc w:val="center"/>
              <w:rPr>
                <w:color w:val="000000"/>
                <w:sz w:val="20"/>
              </w:rPr>
            </w:pPr>
            <w:r w:rsidRPr="000F31D5">
              <w:rPr>
                <w:color w:val="000000"/>
                <w:sz w:val="20"/>
              </w:rPr>
              <w:t>0</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2B7E7DA8" w14:textId="77777777">
            <w:pPr>
              <w:jc w:val="center"/>
              <w:rPr>
                <w:color w:val="000000"/>
                <w:sz w:val="20"/>
              </w:rPr>
            </w:pPr>
            <w:r w:rsidRPr="000F31D5">
              <w:rPr>
                <w:color w:val="000000"/>
                <w:sz w:val="20"/>
              </w:rPr>
              <w:t>0</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2EA7665B" w14:textId="77777777">
            <w:pPr>
              <w:jc w:val="right"/>
              <w:rPr>
                <w:color w:val="000000"/>
                <w:sz w:val="20"/>
              </w:rPr>
            </w:pPr>
            <w:r w:rsidRPr="000F31D5">
              <w:rPr>
                <w:color w:val="000000"/>
                <w:sz w:val="20"/>
              </w:rPr>
              <w:t xml:space="preserve">$0.00 </w:t>
            </w:r>
          </w:p>
        </w:tc>
      </w:tr>
      <w:tr w14:paraId="45208470" w14:textId="77777777" w:rsidTr="000F31D5">
        <w:tblPrEx>
          <w:tblW w:w="13675" w:type="dxa"/>
          <w:tblLook w:val="04A0"/>
        </w:tblPrEx>
        <w:trPr>
          <w:trHeight w:val="53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rsidR="000F31D5" w:rsidRPr="000F31D5" w:rsidP="000F31D5" w14:paraId="32557DDA" w14:textId="77777777">
            <w:pPr>
              <w:ind w:firstLine="200" w:firstLineChars="100"/>
              <w:rPr>
                <w:i/>
                <w:iCs/>
                <w:color w:val="000000"/>
                <w:sz w:val="20"/>
              </w:rPr>
            </w:pPr>
            <w:r w:rsidRPr="000F31D5">
              <w:rPr>
                <w:i/>
                <w:iCs/>
                <w:color w:val="000000"/>
                <w:sz w:val="20"/>
              </w:rPr>
              <w:t xml:space="preserve">      Engines Anticipated with SCR or NSCR</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14C9D935" w14:textId="77777777">
            <w:pPr>
              <w:jc w:val="center"/>
              <w:rPr>
                <w:color w:val="000000"/>
                <w:sz w:val="20"/>
              </w:rPr>
            </w:pPr>
            <w:r w:rsidRPr="000F31D5">
              <w:rPr>
                <w:color w:val="000000"/>
                <w:sz w:val="20"/>
              </w:rPr>
              <w:t> </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1E9E84E5" w14:textId="77777777">
            <w:pPr>
              <w:jc w:val="center"/>
              <w:rPr>
                <w:sz w:val="20"/>
              </w:rPr>
            </w:pPr>
            <w:r w:rsidRPr="000F31D5">
              <w:rPr>
                <w:sz w:val="20"/>
              </w:rPr>
              <w:t> </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425D1956" w14:textId="77777777">
            <w:pPr>
              <w:jc w:val="center"/>
              <w:rPr>
                <w:color w:val="000000"/>
                <w:sz w:val="20"/>
              </w:rPr>
            </w:pPr>
            <w:r w:rsidRPr="000F31D5">
              <w:rPr>
                <w:color w:val="000000"/>
                <w:sz w:val="20"/>
              </w:rPr>
              <w:t> </w:t>
            </w:r>
          </w:p>
        </w:tc>
        <w:tc>
          <w:tcPr>
            <w:tcW w:w="1294" w:type="dxa"/>
            <w:tcBorders>
              <w:top w:val="nil"/>
              <w:left w:val="nil"/>
              <w:bottom w:val="single" w:sz="4" w:space="0" w:color="auto"/>
              <w:right w:val="single" w:sz="4" w:space="0" w:color="auto"/>
            </w:tcBorders>
            <w:shd w:val="clear" w:color="auto" w:fill="auto"/>
            <w:noWrap/>
            <w:vAlign w:val="center"/>
            <w:hideMark/>
          </w:tcPr>
          <w:p w:rsidR="000F31D5" w:rsidRPr="000F31D5" w:rsidP="000F31D5" w14:paraId="08A1D169" w14:textId="77777777">
            <w:pPr>
              <w:jc w:val="center"/>
              <w:rPr>
                <w:sz w:val="20"/>
              </w:rPr>
            </w:pPr>
            <w:r w:rsidRPr="000F31D5">
              <w:rPr>
                <w:sz w:val="20"/>
              </w:rPr>
              <w:t> </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42EB6277" w14:textId="77777777">
            <w:pPr>
              <w:jc w:val="center"/>
              <w:rPr>
                <w:color w:val="000000"/>
                <w:sz w:val="20"/>
              </w:rPr>
            </w:pPr>
            <w:r w:rsidRPr="000F31D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5B2D4758" w14:textId="77777777">
            <w:pPr>
              <w:jc w:val="center"/>
              <w:rPr>
                <w:color w:val="000000"/>
                <w:sz w:val="20"/>
              </w:rPr>
            </w:pPr>
            <w:r w:rsidRPr="000F31D5">
              <w:rPr>
                <w:color w:val="000000"/>
                <w:sz w:val="20"/>
              </w:rPr>
              <w:t> </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7316EC2F" w14:textId="77777777">
            <w:pPr>
              <w:jc w:val="center"/>
              <w:rPr>
                <w:color w:val="000000"/>
                <w:sz w:val="20"/>
              </w:rPr>
            </w:pPr>
            <w:r w:rsidRPr="000F31D5">
              <w:rPr>
                <w:color w:val="000000"/>
                <w:sz w:val="20"/>
              </w:rPr>
              <w:t> </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516FB285" w14:textId="77777777">
            <w:pPr>
              <w:jc w:val="right"/>
              <w:rPr>
                <w:color w:val="000000"/>
                <w:sz w:val="20"/>
              </w:rPr>
            </w:pPr>
            <w:r w:rsidRPr="000F31D5">
              <w:rPr>
                <w:color w:val="000000"/>
                <w:sz w:val="20"/>
              </w:rPr>
              <w:t> </w:t>
            </w:r>
          </w:p>
        </w:tc>
      </w:tr>
      <w:tr w14:paraId="434B3AF2" w14:textId="77777777" w:rsidTr="000F31D5">
        <w:tblPrEx>
          <w:tblW w:w="13675" w:type="dxa"/>
          <w:tblLook w:val="04A0"/>
        </w:tblPrEx>
        <w:trPr>
          <w:trHeight w:val="530"/>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0F31D5" w:rsidRPr="000F31D5" w:rsidP="000F31D5" w14:paraId="0B859AA7" w14:textId="77777777">
            <w:pPr>
              <w:ind w:firstLine="400" w:firstLineChars="200"/>
              <w:rPr>
                <w:color w:val="000000"/>
                <w:sz w:val="20"/>
              </w:rPr>
            </w:pPr>
            <w:r w:rsidRPr="000F31D5">
              <w:rPr>
                <w:color w:val="000000"/>
                <w:sz w:val="20"/>
              </w:rPr>
              <w:t xml:space="preserve">    Daily monitoring of catalyst inlet temperature</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1F8AA39B" w14:textId="77777777">
            <w:pPr>
              <w:jc w:val="center"/>
              <w:rPr>
                <w:color w:val="000000"/>
                <w:sz w:val="20"/>
              </w:rPr>
            </w:pPr>
            <w:r w:rsidRPr="000F31D5">
              <w:rPr>
                <w:color w:val="000000"/>
                <w:sz w:val="20"/>
              </w:rPr>
              <w:t>0</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24B327DC" w14:textId="77777777">
            <w:pPr>
              <w:jc w:val="center"/>
              <w:rPr>
                <w:sz w:val="20"/>
              </w:rPr>
            </w:pPr>
            <w:r w:rsidRPr="000F31D5">
              <w:rPr>
                <w:sz w:val="20"/>
              </w:rPr>
              <w:t>0</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080CDF65" w14:textId="77777777">
            <w:pPr>
              <w:jc w:val="center"/>
              <w:rPr>
                <w:color w:val="000000"/>
                <w:sz w:val="20"/>
              </w:rPr>
            </w:pPr>
            <w:r w:rsidRPr="000F31D5">
              <w:rPr>
                <w:color w:val="000000"/>
                <w:sz w:val="20"/>
              </w:rPr>
              <w:t>0</w:t>
            </w:r>
          </w:p>
        </w:tc>
        <w:tc>
          <w:tcPr>
            <w:tcW w:w="1294" w:type="dxa"/>
            <w:tcBorders>
              <w:top w:val="nil"/>
              <w:left w:val="nil"/>
              <w:bottom w:val="single" w:sz="4" w:space="0" w:color="auto"/>
              <w:right w:val="single" w:sz="4" w:space="0" w:color="auto"/>
            </w:tcBorders>
            <w:shd w:val="clear" w:color="auto" w:fill="auto"/>
            <w:noWrap/>
            <w:vAlign w:val="center"/>
            <w:hideMark/>
          </w:tcPr>
          <w:p w:rsidR="000F31D5" w:rsidRPr="000F31D5" w:rsidP="000F31D5" w14:paraId="70E2C934" w14:textId="77777777">
            <w:pPr>
              <w:jc w:val="center"/>
              <w:rPr>
                <w:sz w:val="20"/>
              </w:rPr>
            </w:pPr>
            <w:r w:rsidRPr="000F31D5">
              <w:rPr>
                <w:sz w:val="20"/>
              </w:rPr>
              <w:t>0</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474DD3D7" w14:textId="77777777">
            <w:pPr>
              <w:jc w:val="center"/>
              <w:rPr>
                <w:color w:val="000000"/>
                <w:sz w:val="20"/>
              </w:rPr>
            </w:pPr>
            <w:r w:rsidRPr="000F31D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0FC4B401" w14:textId="77777777">
            <w:pPr>
              <w:jc w:val="center"/>
              <w:rPr>
                <w:color w:val="000000"/>
                <w:sz w:val="20"/>
              </w:rPr>
            </w:pPr>
            <w:r w:rsidRPr="000F31D5">
              <w:rPr>
                <w:color w:val="000000"/>
                <w:sz w:val="20"/>
              </w:rPr>
              <w:t>0</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083A3620" w14:textId="77777777">
            <w:pPr>
              <w:jc w:val="center"/>
              <w:rPr>
                <w:color w:val="000000"/>
                <w:sz w:val="20"/>
              </w:rPr>
            </w:pPr>
            <w:r w:rsidRPr="000F31D5">
              <w:rPr>
                <w:color w:val="000000"/>
                <w:sz w:val="20"/>
              </w:rPr>
              <w:t>0</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3C3B2019" w14:textId="77777777">
            <w:pPr>
              <w:jc w:val="right"/>
              <w:rPr>
                <w:color w:val="000000"/>
                <w:sz w:val="20"/>
              </w:rPr>
            </w:pPr>
            <w:r w:rsidRPr="000F31D5">
              <w:rPr>
                <w:color w:val="000000"/>
                <w:sz w:val="20"/>
              </w:rPr>
              <w:t xml:space="preserve">$0.00 </w:t>
            </w:r>
          </w:p>
        </w:tc>
      </w:tr>
      <w:tr w14:paraId="6E5674B0" w14:textId="77777777" w:rsidTr="000F31D5">
        <w:tblPrEx>
          <w:tblW w:w="13675" w:type="dxa"/>
          <w:tblLook w:val="04A0"/>
        </w:tblPrEx>
        <w:trPr>
          <w:trHeight w:val="530"/>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0F31D5" w:rsidRPr="000F31D5" w:rsidP="000F31D5" w14:paraId="382123EA" w14:textId="77777777">
            <w:pPr>
              <w:ind w:firstLine="400" w:firstLineChars="200"/>
              <w:rPr>
                <w:color w:val="000000"/>
                <w:sz w:val="20"/>
              </w:rPr>
            </w:pPr>
            <w:r w:rsidRPr="000F31D5">
              <w:rPr>
                <w:color w:val="000000"/>
                <w:sz w:val="20"/>
              </w:rPr>
              <w:t xml:space="preserve">    Monthly monitoring of pressure drop across catalyst</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6A6BA537" w14:textId="77777777">
            <w:pPr>
              <w:jc w:val="center"/>
              <w:rPr>
                <w:color w:val="000000"/>
                <w:sz w:val="20"/>
              </w:rPr>
            </w:pPr>
            <w:r w:rsidRPr="000F31D5">
              <w:rPr>
                <w:color w:val="000000"/>
                <w:sz w:val="20"/>
              </w:rPr>
              <w:t>0</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3EAE2DAF" w14:textId="77777777">
            <w:pPr>
              <w:jc w:val="center"/>
              <w:rPr>
                <w:sz w:val="20"/>
              </w:rPr>
            </w:pPr>
            <w:r w:rsidRPr="000F31D5">
              <w:rPr>
                <w:sz w:val="20"/>
              </w:rPr>
              <w:t>0</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3B1B7255" w14:textId="77777777">
            <w:pPr>
              <w:jc w:val="center"/>
              <w:rPr>
                <w:color w:val="000000"/>
                <w:sz w:val="20"/>
              </w:rPr>
            </w:pPr>
            <w:r w:rsidRPr="000F31D5">
              <w:rPr>
                <w:color w:val="000000"/>
                <w:sz w:val="20"/>
              </w:rPr>
              <w:t>0</w:t>
            </w:r>
          </w:p>
        </w:tc>
        <w:tc>
          <w:tcPr>
            <w:tcW w:w="1294" w:type="dxa"/>
            <w:tcBorders>
              <w:top w:val="nil"/>
              <w:left w:val="nil"/>
              <w:bottom w:val="single" w:sz="4" w:space="0" w:color="auto"/>
              <w:right w:val="single" w:sz="4" w:space="0" w:color="auto"/>
            </w:tcBorders>
            <w:shd w:val="clear" w:color="auto" w:fill="auto"/>
            <w:noWrap/>
            <w:vAlign w:val="center"/>
            <w:hideMark/>
          </w:tcPr>
          <w:p w:rsidR="000F31D5" w:rsidRPr="000F31D5" w:rsidP="000F31D5" w14:paraId="26FE05F7" w14:textId="77777777">
            <w:pPr>
              <w:jc w:val="center"/>
              <w:rPr>
                <w:sz w:val="20"/>
              </w:rPr>
            </w:pPr>
            <w:r w:rsidRPr="000F31D5">
              <w:rPr>
                <w:sz w:val="20"/>
              </w:rPr>
              <w:t>0</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7A379B76" w14:textId="77777777">
            <w:pPr>
              <w:jc w:val="center"/>
              <w:rPr>
                <w:color w:val="000000"/>
                <w:sz w:val="20"/>
              </w:rPr>
            </w:pPr>
            <w:r w:rsidRPr="000F31D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4253E9B0" w14:textId="77777777">
            <w:pPr>
              <w:jc w:val="center"/>
              <w:rPr>
                <w:color w:val="000000"/>
                <w:sz w:val="20"/>
              </w:rPr>
            </w:pPr>
            <w:r w:rsidRPr="000F31D5">
              <w:rPr>
                <w:color w:val="000000"/>
                <w:sz w:val="20"/>
              </w:rPr>
              <w:t>0</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2838ED77" w14:textId="77777777">
            <w:pPr>
              <w:jc w:val="center"/>
              <w:rPr>
                <w:color w:val="000000"/>
                <w:sz w:val="20"/>
              </w:rPr>
            </w:pPr>
            <w:r w:rsidRPr="000F31D5">
              <w:rPr>
                <w:color w:val="000000"/>
                <w:sz w:val="20"/>
              </w:rPr>
              <w:t>0</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2AFAB09E" w14:textId="77777777">
            <w:pPr>
              <w:jc w:val="right"/>
              <w:rPr>
                <w:color w:val="000000"/>
                <w:sz w:val="20"/>
              </w:rPr>
            </w:pPr>
            <w:r w:rsidRPr="000F31D5">
              <w:rPr>
                <w:color w:val="000000"/>
                <w:sz w:val="20"/>
              </w:rPr>
              <w:t xml:space="preserve">$0.00 </w:t>
            </w:r>
          </w:p>
        </w:tc>
      </w:tr>
      <w:tr w14:paraId="66FBA350" w14:textId="77777777" w:rsidTr="000F31D5">
        <w:tblPrEx>
          <w:tblW w:w="13675" w:type="dxa"/>
          <w:tblLook w:val="04A0"/>
        </w:tblPrEx>
        <w:trPr>
          <w:trHeight w:val="53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rsidR="000F31D5" w:rsidRPr="000F31D5" w:rsidP="000F31D5" w14:paraId="05C7753C" w14:textId="77777777">
            <w:pPr>
              <w:ind w:firstLine="200" w:firstLineChars="100"/>
              <w:rPr>
                <w:i/>
                <w:iCs/>
                <w:color w:val="000000"/>
                <w:sz w:val="20"/>
              </w:rPr>
            </w:pPr>
            <w:r w:rsidRPr="000F31D5">
              <w:rPr>
                <w:i/>
                <w:iCs/>
                <w:color w:val="000000"/>
                <w:sz w:val="20"/>
              </w:rPr>
              <w:t xml:space="preserve">      Engines Anticipated with no SCR or NSCR</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4FE9247C" w14:textId="77777777">
            <w:pPr>
              <w:jc w:val="center"/>
              <w:rPr>
                <w:color w:val="000000"/>
                <w:sz w:val="20"/>
              </w:rPr>
            </w:pPr>
            <w:r w:rsidRPr="000F31D5">
              <w:rPr>
                <w:color w:val="000000"/>
                <w:sz w:val="20"/>
              </w:rPr>
              <w:t> </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3E2990E6" w14:textId="77777777">
            <w:pPr>
              <w:jc w:val="center"/>
              <w:rPr>
                <w:sz w:val="20"/>
              </w:rPr>
            </w:pPr>
            <w:r w:rsidRPr="000F31D5">
              <w:rPr>
                <w:sz w:val="20"/>
              </w:rPr>
              <w:t> </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5BA897F4" w14:textId="77777777">
            <w:pPr>
              <w:jc w:val="center"/>
              <w:rPr>
                <w:color w:val="000000"/>
                <w:sz w:val="20"/>
              </w:rPr>
            </w:pPr>
            <w:r w:rsidRPr="000F31D5">
              <w:rPr>
                <w:color w:val="000000"/>
                <w:sz w:val="20"/>
              </w:rPr>
              <w:t> </w:t>
            </w:r>
          </w:p>
        </w:tc>
        <w:tc>
          <w:tcPr>
            <w:tcW w:w="1294" w:type="dxa"/>
            <w:tcBorders>
              <w:top w:val="nil"/>
              <w:left w:val="nil"/>
              <w:bottom w:val="single" w:sz="4" w:space="0" w:color="auto"/>
              <w:right w:val="single" w:sz="4" w:space="0" w:color="auto"/>
            </w:tcBorders>
            <w:shd w:val="clear" w:color="auto" w:fill="auto"/>
            <w:noWrap/>
            <w:vAlign w:val="center"/>
            <w:hideMark/>
          </w:tcPr>
          <w:p w:rsidR="000F31D5" w:rsidRPr="000F31D5" w:rsidP="000F31D5" w14:paraId="6DDA41A8" w14:textId="77777777">
            <w:pPr>
              <w:jc w:val="center"/>
              <w:rPr>
                <w:sz w:val="20"/>
              </w:rPr>
            </w:pPr>
            <w:r w:rsidRPr="000F31D5">
              <w:rPr>
                <w:sz w:val="20"/>
              </w:rPr>
              <w:t> </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6915B7F3" w14:textId="77777777">
            <w:pPr>
              <w:jc w:val="center"/>
              <w:rPr>
                <w:color w:val="000000"/>
                <w:sz w:val="20"/>
              </w:rPr>
            </w:pPr>
            <w:r w:rsidRPr="000F31D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013ED11A" w14:textId="77777777">
            <w:pPr>
              <w:jc w:val="center"/>
              <w:rPr>
                <w:color w:val="000000"/>
                <w:sz w:val="20"/>
              </w:rPr>
            </w:pPr>
            <w:r w:rsidRPr="000F31D5">
              <w:rPr>
                <w:color w:val="000000"/>
                <w:sz w:val="20"/>
              </w:rPr>
              <w:t> </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61E89488" w14:textId="77777777">
            <w:pPr>
              <w:jc w:val="center"/>
              <w:rPr>
                <w:color w:val="000000"/>
                <w:sz w:val="20"/>
              </w:rPr>
            </w:pPr>
            <w:r w:rsidRPr="000F31D5">
              <w:rPr>
                <w:color w:val="000000"/>
                <w:sz w:val="20"/>
              </w:rPr>
              <w:t> </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32970731" w14:textId="77777777">
            <w:pPr>
              <w:jc w:val="right"/>
              <w:rPr>
                <w:color w:val="000000"/>
                <w:sz w:val="20"/>
              </w:rPr>
            </w:pPr>
            <w:r w:rsidRPr="000F31D5">
              <w:rPr>
                <w:color w:val="000000"/>
                <w:sz w:val="20"/>
              </w:rPr>
              <w:t> </w:t>
            </w:r>
          </w:p>
        </w:tc>
      </w:tr>
      <w:tr w14:paraId="6C554A09" w14:textId="77777777" w:rsidTr="000F31D5">
        <w:tblPrEx>
          <w:tblW w:w="13675" w:type="dxa"/>
          <w:tblLook w:val="04A0"/>
        </w:tblPrEx>
        <w:trPr>
          <w:trHeight w:val="530"/>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0F31D5" w:rsidRPr="000F31D5" w:rsidP="000F31D5" w14:paraId="5EB51CF6" w14:textId="77777777">
            <w:pPr>
              <w:ind w:firstLine="400" w:firstLineChars="200"/>
              <w:rPr>
                <w:color w:val="000000"/>
                <w:sz w:val="20"/>
              </w:rPr>
            </w:pPr>
            <w:r w:rsidRPr="000F31D5">
              <w:rPr>
                <w:color w:val="000000"/>
                <w:sz w:val="20"/>
              </w:rPr>
              <w:t xml:space="preserve">    Prepare CPMS site-specific monitoring plan to address monitoring system design, data collection, and QA/QC.</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6524EE98" w14:textId="77777777">
            <w:pPr>
              <w:jc w:val="center"/>
              <w:rPr>
                <w:color w:val="000000"/>
                <w:sz w:val="20"/>
              </w:rPr>
            </w:pPr>
            <w:r w:rsidRPr="000F31D5">
              <w:rPr>
                <w:color w:val="000000"/>
                <w:sz w:val="20"/>
              </w:rPr>
              <w:t>0</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54E22644" w14:textId="77777777">
            <w:pPr>
              <w:jc w:val="center"/>
              <w:rPr>
                <w:sz w:val="20"/>
              </w:rPr>
            </w:pPr>
            <w:r w:rsidRPr="000F31D5">
              <w:rPr>
                <w:sz w:val="20"/>
              </w:rPr>
              <w:t>0</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02E2F1DF" w14:textId="77777777">
            <w:pPr>
              <w:jc w:val="center"/>
              <w:rPr>
                <w:color w:val="000000"/>
                <w:sz w:val="20"/>
              </w:rPr>
            </w:pPr>
            <w:r w:rsidRPr="000F31D5">
              <w:rPr>
                <w:color w:val="000000"/>
                <w:sz w:val="20"/>
              </w:rPr>
              <w:t>0</w:t>
            </w:r>
          </w:p>
        </w:tc>
        <w:tc>
          <w:tcPr>
            <w:tcW w:w="1294" w:type="dxa"/>
            <w:tcBorders>
              <w:top w:val="nil"/>
              <w:left w:val="nil"/>
              <w:bottom w:val="single" w:sz="4" w:space="0" w:color="auto"/>
              <w:right w:val="single" w:sz="4" w:space="0" w:color="auto"/>
            </w:tcBorders>
            <w:shd w:val="clear" w:color="auto" w:fill="auto"/>
            <w:noWrap/>
            <w:vAlign w:val="center"/>
            <w:hideMark/>
          </w:tcPr>
          <w:p w:rsidR="000F31D5" w:rsidRPr="000F31D5" w:rsidP="000F31D5" w14:paraId="5765B274" w14:textId="77777777">
            <w:pPr>
              <w:jc w:val="center"/>
              <w:rPr>
                <w:sz w:val="20"/>
              </w:rPr>
            </w:pPr>
            <w:r w:rsidRPr="000F31D5">
              <w:rPr>
                <w:sz w:val="20"/>
              </w:rPr>
              <w:t>0</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737C000E" w14:textId="77777777">
            <w:pPr>
              <w:jc w:val="center"/>
              <w:rPr>
                <w:color w:val="000000"/>
                <w:sz w:val="20"/>
              </w:rPr>
            </w:pPr>
            <w:r w:rsidRPr="000F31D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771B09DA" w14:textId="77777777">
            <w:pPr>
              <w:jc w:val="center"/>
              <w:rPr>
                <w:color w:val="000000"/>
                <w:sz w:val="20"/>
              </w:rPr>
            </w:pPr>
            <w:r w:rsidRPr="000F31D5">
              <w:rPr>
                <w:color w:val="000000"/>
                <w:sz w:val="20"/>
              </w:rPr>
              <w:t>0</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6355D845" w14:textId="77777777">
            <w:pPr>
              <w:jc w:val="center"/>
              <w:rPr>
                <w:color w:val="000000"/>
                <w:sz w:val="20"/>
              </w:rPr>
            </w:pPr>
            <w:r w:rsidRPr="000F31D5">
              <w:rPr>
                <w:color w:val="000000"/>
                <w:sz w:val="20"/>
              </w:rPr>
              <w:t>0</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6F56B471" w14:textId="77777777">
            <w:pPr>
              <w:jc w:val="right"/>
              <w:rPr>
                <w:color w:val="000000"/>
                <w:sz w:val="20"/>
              </w:rPr>
            </w:pPr>
            <w:r w:rsidRPr="000F31D5">
              <w:rPr>
                <w:color w:val="000000"/>
                <w:sz w:val="20"/>
              </w:rPr>
              <w:t xml:space="preserve">$0.00 </w:t>
            </w:r>
          </w:p>
        </w:tc>
      </w:tr>
      <w:tr w14:paraId="71F24589" w14:textId="77777777" w:rsidTr="000F31D5">
        <w:tblPrEx>
          <w:tblW w:w="13675" w:type="dxa"/>
          <w:tblLook w:val="04A0"/>
        </w:tblPrEx>
        <w:trPr>
          <w:trHeight w:val="520"/>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0F31D5" w:rsidRPr="000F31D5" w:rsidP="000F31D5" w14:paraId="1F062632" w14:textId="77777777">
            <w:pPr>
              <w:ind w:firstLine="400" w:firstLineChars="200"/>
              <w:rPr>
                <w:color w:val="000000"/>
                <w:sz w:val="20"/>
              </w:rPr>
            </w:pPr>
            <w:r w:rsidRPr="000F31D5">
              <w:rPr>
                <w:color w:val="000000"/>
                <w:sz w:val="20"/>
              </w:rPr>
              <w:t xml:space="preserve">    Records of Annual CPMS Performance Evaluation</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49F4076F" w14:textId="77777777">
            <w:pPr>
              <w:jc w:val="center"/>
              <w:rPr>
                <w:color w:val="000000"/>
                <w:sz w:val="20"/>
              </w:rPr>
            </w:pPr>
            <w:r w:rsidRPr="000F31D5">
              <w:rPr>
                <w:color w:val="000000"/>
                <w:sz w:val="20"/>
              </w:rPr>
              <w:t>0</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31CDFACD" w14:textId="77777777">
            <w:pPr>
              <w:jc w:val="center"/>
              <w:rPr>
                <w:sz w:val="20"/>
              </w:rPr>
            </w:pPr>
            <w:r w:rsidRPr="000F31D5">
              <w:rPr>
                <w:sz w:val="20"/>
              </w:rPr>
              <w:t>0</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461B5D45" w14:textId="77777777">
            <w:pPr>
              <w:jc w:val="center"/>
              <w:rPr>
                <w:color w:val="000000"/>
                <w:sz w:val="20"/>
              </w:rPr>
            </w:pPr>
            <w:r w:rsidRPr="000F31D5">
              <w:rPr>
                <w:color w:val="000000"/>
                <w:sz w:val="20"/>
              </w:rPr>
              <w:t>0</w:t>
            </w:r>
          </w:p>
        </w:tc>
        <w:tc>
          <w:tcPr>
            <w:tcW w:w="1294" w:type="dxa"/>
            <w:tcBorders>
              <w:top w:val="nil"/>
              <w:left w:val="nil"/>
              <w:bottom w:val="single" w:sz="4" w:space="0" w:color="auto"/>
              <w:right w:val="single" w:sz="4" w:space="0" w:color="auto"/>
            </w:tcBorders>
            <w:shd w:val="clear" w:color="auto" w:fill="auto"/>
            <w:noWrap/>
            <w:vAlign w:val="center"/>
            <w:hideMark/>
          </w:tcPr>
          <w:p w:rsidR="000F31D5" w:rsidRPr="000F31D5" w:rsidP="000F31D5" w14:paraId="22D5EEE5" w14:textId="77777777">
            <w:pPr>
              <w:jc w:val="center"/>
              <w:rPr>
                <w:sz w:val="20"/>
              </w:rPr>
            </w:pPr>
            <w:r w:rsidRPr="000F31D5">
              <w:rPr>
                <w:sz w:val="20"/>
              </w:rPr>
              <w:t>0</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043A7DF8" w14:textId="77777777">
            <w:pPr>
              <w:jc w:val="center"/>
              <w:rPr>
                <w:color w:val="000000"/>
                <w:sz w:val="20"/>
              </w:rPr>
            </w:pPr>
            <w:r w:rsidRPr="000F31D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52FF3E1A" w14:textId="77777777">
            <w:pPr>
              <w:jc w:val="center"/>
              <w:rPr>
                <w:color w:val="000000"/>
                <w:sz w:val="20"/>
              </w:rPr>
            </w:pPr>
            <w:r w:rsidRPr="000F31D5">
              <w:rPr>
                <w:color w:val="000000"/>
                <w:sz w:val="20"/>
              </w:rPr>
              <w:t>0</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24FE4F54" w14:textId="77777777">
            <w:pPr>
              <w:jc w:val="center"/>
              <w:rPr>
                <w:color w:val="000000"/>
                <w:sz w:val="20"/>
              </w:rPr>
            </w:pPr>
            <w:r w:rsidRPr="000F31D5">
              <w:rPr>
                <w:color w:val="000000"/>
                <w:sz w:val="20"/>
              </w:rPr>
              <w:t>0</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4B3601DD" w14:textId="77777777">
            <w:pPr>
              <w:jc w:val="right"/>
              <w:rPr>
                <w:color w:val="000000"/>
                <w:sz w:val="20"/>
              </w:rPr>
            </w:pPr>
            <w:r w:rsidRPr="000F31D5">
              <w:rPr>
                <w:color w:val="000000"/>
                <w:sz w:val="20"/>
              </w:rPr>
              <w:t xml:space="preserve">$0.00 </w:t>
            </w:r>
          </w:p>
        </w:tc>
      </w:tr>
      <w:tr w14:paraId="1B2D263F" w14:textId="77777777" w:rsidTr="000F31D5">
        <w:tblPrEx>
          <w:tblW w:w="13675" w:type="dxa"/>
          <w:tblLook w:val="04A0"/>
        </w:tblPrEx>
        <w:trPr>
          <w:trHeight w:val="520"/>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0F31D5" w:rsidRPr="000F31D5" w:rsidP="000F31D5" w14:paraId="76629932" w14:textId="77777777">
            <w:pPr>
              <w:ind w:firstLine="400" w:firstLineChars="200"/>
              <w:rPr>
                <w:color w:val="000000"/>
                <w:sz w:val="20"/>
              </w:rPr>
            </w:pPr>
            <w:r w:rsidRPr="000F31D5">
              <w:rPr>
                <w:color w:val="000000"/>
                <w:sz w:val="20"/>
              </w:rPr>
              <w:t xml:space="preserve">    Collect and record the CPMS monitoring parameters.</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3F9BF9E4" w14:textId="77777777">
            <w:pPr>
              <w:jc w:val="center"/>
              <w:rPr>
                <w:color w:val="000000"/>
                <w:sz w:val="20"/>
              </w:rPr>
            </w:pPr>
            <w:r w:rsidRPr="000F31D5">
              <w:rPr>
                <w:color w:val="000000"/>
                <w:sz w:val="20"/>
              </w:rPr>
              <w:t>0</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5DCE7ADD" w14:textId="77777777">
            <w:pPr>
              <w:jc w:val="center"/>
              <w:rPr>
                <w:sz w:val="20"/>
              </w:rPr>
            </w:pPr>
            <w:r w:rsidRPr="000F31D5">
              <w:rPr>
                <w:sz w:val="20"/>
              </w:rPr>
              <w:t>0</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554C64B9" w14:textId="77777777">
            <w:pPr>
              <w:jc w:val="center"/>
              <w:rPr>
                <w:color w:val="000000"/>
                <w:sz w:val="20"/>
              </w:rPr>
            </w:pPr>
            <w:r w:rsidRPr="000F31D5">
              <w:rPr>
                <w:color w:val="000000"/>
                <w:sz w:val="20"/>
              </w:rPr>
              <w:t>0</w:t>
            </w:r>
          </w:p>
        </w:tc>
        <w:tc>
          <w:tcPr>
            <w:tcW w:w="1294" w:type="dxa"/>
            <w:tcBorders>
              <w:top w:val="nil"/>
              <w:left w:val="nil"/>
              <w:bottom w:val="single" w:sz="4" w:space="0" w:color="auto"/>
              <w:right w:val="single" w:sz="4" w:space="0" w:color="auto"/>
            </w:tcBorders>
            <w:shd w:val="clear" w:color="auto" w:fill="auto"/>
            <w:noWrap/>
            <w:vAlign w:val="center"/>
            <w:hideMark/>
          </w:tcPr>
          <w:p w:rsidR="000F31D5" w:rsidRPr="000F31D5" w:rsidP="000F31D5" w14:paraId="6EC0F162" w14:textId="77777777">
            <w:pPr>
              <w:jc w:val="center"/>
              <w:rPr>
                <w:sz w:val="20"/>
              </w:rPr>
            </w:pPr>
            <w:r w:rsidRPr="000F31D5">
              <w:rPr>
                <w:sz w:val="20"/>
              </w:rPr>
              <w:t>0</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7AF9372E" w14:textId="77777777">
            <w:pPr>
              <w:jc w:val="center"/>
              <w:rPr>
                <w:color w:val="000000"/>
                <w:sz w:val="20"/>
              </w:rPr>
            </w:pPr>
            <w:r w:rsidRPr="000F31D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45C6E635" w14:textId="77777777">
            <w:pPr>
              <w:jc w:val="center"/>
              <w:rPr>
                <w:color w:val="000000"/>
                <w:sz w:val="20"/>
              </w:rPr>
            </w:pPr>
            <w:r w:rsidRPr="000F31D5">
              <w:rPr>
                <w:color w:val="000000"/>
                <w:sz w:val="20"/>
              </w:rPr>
              <w:t>0</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7A7A5AE3" w14:textId="77777777">
            <w:pPr>
              <w:jc w:val="center"/>
              <w:rPr>
                <w:color w:val="000000"/>
                <w:sz w:val="20"/>
              </w:rPr>
            </w:pPr>
            <w:r w:rsidRPr="000F31D5">
              <w:rPr>
                <w:color w:val="000000"/>
                <w:sz w:val="20"/>
              </w:rPr>
              <w:t>0</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42FDBC49" w14:textId="77777777">
            <w:pPr>
              <w:jc w:val="right"/>
              <w:rPr>
                <w:color w:val="000000"/>
                <w:sz w:val="20"/>
              </w:rPr>
            </w:pPr>
            <w:r w:rsidRPr="000F31D5">
              <w:rPr>
                <w:color w:val="000000"/>
                <w:sz w:val="20"/>
              </w:rPr>
              <w:t xml:space="preserve">$0.00 </w:t>
            </w:r>
          </w:p>
        </w:tc>
      </w:tr>
      <w:tr w14:paraId="4F807FDF" w14:textId="77777777" w:rsidTr="000F31D5">
        <w:tblPrEx>
          <w:tblW w:w="13675" w:type="dxa"/>
          <w:tblLook w:val="04A0"/>
        </w:tblPrEx>
        <w:trPr>
          <w:trHeight w:val="26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rsidR="000F31D5" w:rsidRPr="000F31D5" w:rsidP="000F31D5" w14:paraId="2E20FDAE" w14:textId="77777777">
            <w:pPr>
              <w:ind w:firstLine="200" w:firstLineChars="100"/>
              <w:rPr>
                <w:i/>
                <w:iCs/>
                <w:color w:val="000000"/>
                <w:sz w:val="20"/>
                <w:u w:val="single"/>
              </w:rPr>
            </w:pPr>
            <w:r w:rsidRPr="000F31D5">
              <w:rPr>
                <w:i/>
                <w:iCs/>
                <w:color w:val="000000"/>
                <w:sz w:val="20"/>
                <w:u w:val="single"/>
              </w:rPr>
              <w:t>New Sources</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42B0B7EE" w14:textId="77777777">
            <w:pPr>
              <w:jc w:val="center"/>
              <w:rPr>
                <w:color w:val="000000"/>
                <w:sz w:val="20"/>
              </w:rPr>
            </w:pPr>
            <w:r w:rsidRPr="000F31D5">
              <w:rPr>
                <w:color w:val="000000"/>
                <w:sz w:val="20"/>
              </w:rPr>
              <w:t> </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108CF663" w14:textId="77777777">
            <w:pPr>
              <w:jc w:val="center"/>
              <w:rPr>
                <w:sz w:val="20"/>
              </w:rPr>
            </w:pPr>
            <w:r w:rsidRPr="000F31D5">
              <w:rPr>
                <w:sz w:val="20"/>
              </w:rPr>
              <w:t> </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0AD4EE0A" w14:textId="77777777">
            <w:pPr>
              <w:jc w:val="center"/>
              <w:rPr>
                <w:color w:val="000000"/>
                <w:sz w:val="20"/>
              </w:rPr>
            </w:pPr>
            <w:r w:rsidRPr="000F31D5">
              <w:rPr>
                <w:color w:val="000000"/>
                <w:sz w:val="20"/>
              </w:rPr>
              <w:t> </w:t>
            </w:r>
          </w:p>
        </w:tc>
        <w:tc>
          <w:tcPr>
            <w:tcW w:w="1294" w:type="dxa"/>
            <w:tcBorders>
              <w:top w:val="nil"/>
              <w:left w:val="nil"/>
              <w:bottom w:val="single" w:sz="4" w:space="0" w:color="auto"/>
              <w:right w:val="single" w:sz="4" w:space="0" w:color="auto"/>
            </w:tcBorders>
            <w:shd w:val="clear" w:color="auto" w:fill="auto"/>
            <w:noWrap/>
            <w:vAlign w:val="center"/>
            <w:hideMark/>
          </w:tcPr>
          <w:p w:rsidR="000F31D5" w:rsidRPr="000F31D5" w:rsidP="000F31D5" w14:paraId="25BCA058" w14:textId="77777777">
            <w:pPr>
              <w:jc w:val="center"/>
              <w:rPr>
                <w:sz w:val="20"/>
              </w:rPr>
            </w:pPr>
            <w:r w:rsidRPr="000F31D5">
              <w:rPr>
                <w:sz w:val="20"/>
              </w:rPr>
              <w:t> </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506017F9" w14:textId="77777777">
            <w:pPr>
              <w:jc w:val="center"/>
              <w:rPr>
                <w:color w:val="000000"/>
                <w:sz w:val="20"/>
              </w:rPr>
            </w:pPr>
            <w:r w:rsidRPr="000F31D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11849AA7" w14:textId="77777777">
            <w:pPr>
              <w:jc w:val="center"/>
              <w:rPr>
                <w:color w:val="000000"/>
                <w:sz w:val="20"/>
              </w:rPr>
            </w:pPr>
            <w:r w:rsidRPr="000F31D5">
              <w:rPr>
                <w:color w:val="000000"/>
                <w:sz w:val="20"/>
              </w:rPr>
              <w:t> </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272DC16D" w14:textId="77777777">
            <w:pPr>
              <w:jc w:val="center"/>
              <w:rPr>
                <w:color w:val="000000"/>
                <w:sz w:val="20"/>
              </w:rPr>
            </w:pPr>
            <w:r w:rsidRPr="000F31D5">
              <w:rPr>
                <w:color w:val="000000"/>
                <w:sz w:val="20"/>
              </w:rPr>
              <w:t> </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21623463" w14:textId="77777777">
            <w:pPr>
              <w:jc w:val="right"/>
              <w:rPr>
                <w:color w:val="000000"/>
                <w:sz w:val="20"/>
              </w:rPr>
            </w:pPr>
            <w:r w:rsidRPr="000F31D5">
              <w:rPr>
                <w:color w:val="000000"/>
                <w:sz w:val="20"/>
              </w:rPr>
              <w:t> </w:t>
            </w:r>
          </w:p>
        </w:tc>
      </w:tr>
      <w:tr w14:paraId="3F3792BC" w14:textId="77777777" w:rsidTr="000F31D5">
        <w:tblPrEx>
          <w:tblW w:w="13675" w:type="dxa"/>
          <w:tblLook w:val="04A0"/>
        </w:tblPrEx>
        <w:trPr>
          <w:trHeight w:val="26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rsidR="000F31D5" w:rsidRPr="000F31D5" w:rsidP="000F31D5" w14:paraId="0FB679E9" w14:textId="77777777">
            <w:pPr>
              <w:ind w:firstLine="400" w:firstLineChars="200"/>
              <w:rPr>
                <w:color w:val="000000"/>
                <w:sz w:val="20"/>
              </w:rPr>
            </w:pPr>
            <w:r w:rsidRPr="000F31D5">
              <w:rPr>
                <w:color w:val="000000"/>
                <w:sz w:val="20"/>
              </w:rPr>
              <w:t>Data Collection</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666FA8B3" w14:textId="77777777">
            <w:pPr>
              <w:jc w:val="center"/>
              <w:rPr>
                <w:color w:val="000000"/>
                <w:sz w:val="20"/>
              </w:rPr>
            </w:pPr>
            <w:r w:rsidRPr="000F31D5">
              <w:rPr>
                <w:color w:val="000000"/>
                <w:sz w:val="20"/>
              </w:rPr>
              <w:t>0.5</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64A7B8B0" w14:textId="77777777">
            <w:pPr>
              <w:jc w:val="center"/>
              <w:rPr>
                <w:sz w:val="20"/>
              </w:rPr>
            </w:pPr>
            <w:r w:rsidRPr="000F31D5">
              <w:rPr>
                <w:sz w:val="20"/>
              </w:rPr>
              <w:t>1</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116513BA" w14:textId="77777777">
            <w:pPr>
              <w:jc w:val="center"/>
              <w:rPr>
                <w:color w:val="000000"/>
                <w:sz w:val="20"/>
              </w:rPr>
            </w:pPr>
            <w:r w:rsidRPr="000F31D5">
              <w:rPr>
                <w:color w:val="000000"/>
                <w:sz w:val="20"/>
              </w:rPr>
              <w:t>0.5</w:t>
            </w:r>
          </w:p>
        </w:tc>
        <w:tc>
          <w:tcPr>
            <w:tcW w:w="1294" w:type="dxa"/>
            <w:tcBorders>
              <w:top w:val="nil"/>
              <w:left w:val="nil"/>
              <w:bottom w:val="single" w:sz="4" w:space="0" w:color="auto"/>
              <w:right w:val="single" w:sz="4" w:space="0" w:color="auto"/>
            </w:tcBorders>
            <w:shd w:val="clear" w:color="auto" w:fill="auto"/>
            <w:noWrap/>
            <w:vAlign w:val="bottom"/>
            <w:hideMark/>
          </w:tcPr>
          <w:p w:rsidR="000F31D5" w:rsidRPr="000F31D5" w:rsidP="000F31D5" w14:paraId="6DB28D9A" w14:textId="77777777">
            <w:pPr>
              <w:jc w:val="right"/>
              <w:rPr>
                <w:color w:val="000000"/>
                <w:sz w:val="20"/>
              </w:rPr>
            </w:pPr>
            <w:r w:rsidRPr="000F31D5">
              <w:rPr>
                <w:color w:val="000000"/>
                <w:sz w:val="20"/>
              </w:rPr>
              <w:t>2847</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75EF2E46" w14:textId="77777777">
            <w:pPr>
              <w:jc w:val="center"/>
              <w:rPr>
                <w:color w:val="000000"/>
                <w:sz w:val="20"/>
              </w:rPr>
            </w:pPr>
            <w:r w:rsidRPr="000F31D5">
              <w:rPr>
                <w:color w:val="000000"/>
                <w:sz w:val="20"/>
              </w:rPr>
              <w:t>1,424</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182AF7" w14:paraId="73CF31D5" w14:textId="27E2555E">
            <w:pPr>
              <w:jc w:val="center"/>
              <w:rPr>
                <w:color w:val="000000"/>
                <w:sz w:val="20"/>
              </w:rPr>
            </w:pPr>
            <w:r w:rsidRPr="000F31D5">
              <w:rPr>
                <w:color w:val="000000"/>
                <w:sz w:val="20"/>
              </w:rPr>
              <w:t>71.1</w:t>
            </w:r>
            <w:r>
              <w:rPr>
                <w:color w:val="000000"/>
                <w:sz w:val="20"/>
              </w:rPr>
              <w:t>8</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6EB7A2B3" w14:textId="77777777">
            <w:pPr>
              <w:jc w:val="center"/>
              <w:rPr>
                <w:color w:val="000000"/>
                <w:sz w:val="20"/>
              </w:rPr>
            </w:pPr>
            <w:r w:rsidRPr="000F31D5">
              <w:rPr>
                <w:color w:val="000000"/>
                <w:sz w:val="20"/>
              </w:rPr>
              <w:t>142.35</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15E9A3A4" w14:textId="77777777">
            <w:pPr>
              <w:jc w:val="right"/>
              <w:rPr>
                <w:color w:val="000000"/>
                <w:sz w:val="20"/>
              </w:rPr>
            </w:pPr>
            <w:r w:rsidRPr="000F31D5">
              <w:rPr>
                <w:color w:val="000000"/>
                <w:sz w:val="20"/>
              </w:rPr>
              <w:t xml:space="preserve">$202,397 </w:t>
            </w:r>
          </w:p>
        </w:tc>
      </w:tr>
      <w:tr w14:paraId="18058E7B" w14:textId="77777777" w:rsidTr="000F31D5">
        <w:tblPrEx>
          <w:tblW w:w="13675" w:type="dxa"/>
          <w:tblLook w:val="04A0"/>
        </w:tblPrEx>
        <w:trPr>
          <w:trHeight w:val="26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rsidR="000F31D5" w:rsidRPr="000F31D5" w:rsidP="000F31D5" w14:paraId="52050D10" w14:textId="77777777">
            <w:pPr>
              <w:ind w:firstLine="400" w:firstLineChars="200"/>
              <w:rPr>
                <w:color w:val="000000"/>
                <w:sz w:val="20"/>
              </w:rPr>
            </w:pPr>
            <w:r w:rsidRPr="000F31D5">
              <w:rPr>
                <w:color w:val="000000"/>
                <w:sz w:val="20"/>
              </w:rPr>
              <w:t>Create and Store Maintenance Plan</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26D305B1" w14:textId="77777777">
            <w:pPr>
              <w:jc w:val="center"/>
              <w:rPr>
                <w:color w:val="000000"/>
                <w:sz w:val="20"/>
              </w:rPr>
            </w:pPr>
            <w:r w:rsidRPr="000F31D5">
              <w:rPr>
                <w:color w:val="000000"/>
                <w:sz w:val="20"/>
              </w:rPr>
              <w:t>0</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088E19D7" w14:textId="77777777">
            <w:pPr>
              <w:jc w:val="center"/>
              <w:rPr>
                <w:sz w:val="20"/>
              </w:rPr>
            </w:pPr>
            <w:r w:rsidRPr="000F31D5">
              <w:rPr>
                <w:sz w:val="20"/>
              </w:rPr>
              <w:t>0</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4E820BF8" w14:textId="77777777">
            <w:pPr>
              <w:jc w:val="center"/>
              <w:rPr>
                <w:color w:val="000000"/>
                <w:sz w:val="20"/>
              </w:rPr>
            </w:pPr>
            <w:r w:rsidRPr="000F31D5">
              <w:rPr>
                <w:color w:val="000000"/>
                <w:sz w:val="20"/>
              </w:rPr>
              <w:t>0</w:t>
            </w:r>
          </w:p>
        </w:tc>
        <w:tc>
          <w:tcPr>
            <w:tcW w:w="1294" w:type="dxa"/>
            <w:tcBorders>
              <w:top w:val="nil"/>
              <w:left w:val="nil"/>
              <w:bottom w:val="single" w:sz="4" w:space="0" w:color="auto"/>
              <w:right w:val="single" w:sz="4" w:space="0" w:color="auto"/>
            </w:tcBorders>
            <w:shd w:val="clear" w:color="auto" w:fill="auto"/>
            <w:noWrap/>
            <w:vAlign w:val="center"/>
            <w:hideMark/>
          </w:tcPr>
          <w:p w:rsidR="000F31D5" w:rsidRPr="000F31D5" w:rsidP="000F31D5" w14:paraId="6E121224" w14:textId="77777777">
            <w:pPr>
              <w:jc w:val="center"/>
              <w:rPr>
                <w:sz w:val="20"/>
              </w:rPr>
            </w:pPr>
            <w:r w:rsidRPr="000F31D5">
              <w:rPr>
                <w:sz w:val="20"/>
              </w:rPr>
              <w:t>0</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464EE23E" w14:textId="77777777">
            <w:pPr>
              <w:jc w:val="center"/>
              <w:rPr>
                <w:color w:val="000000"/>
                <w:sz w:val="20"/>
              </w:rPr>
            </w:pPr>
            <w:r w:rsidRPr="000F31D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5B4A4568" w14:textId="77777777">
            <w:pPr>
              <w:jc w:val="center"/>
              <w:rPr>
                <w:color w:val="000000"/>
                <w:sz w:val="20"/>
              </w:rPr>
            </w:pPr>
            <w:r w:rsidRPr="000F31D5">
              <w:rPr>
                <w:color w:val="000000"/>
                <w:sz w:val="20"/>
              </w:rPr>
              <w:t>0</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4B557B4D" w14:textId="77777777">
            <w:pPr>
              <w:jc w:val="center"/>
              <w:rPr>
                <w:color w:val="000000"/>
                <w:sz w:val="20"/>
              </w:rPr>
            </w:pPr>
            <w:r w:rsidRPr="000F31D5">
              <w:rPr>
                <w:color w:val="000000"/>
                <w:sz w:val="20"/>
              </w:rPr>
              <w:t>0</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29680E9E" w14:textId="77777777">
            <w:pPr>
              <w:jc w:val="right"/>
              <w:rPr>
                <w:color w:val="000000"/>
                <w:sz w:val="20"/>
              </w:rPr>
            </w:pPr>
            <w:r w:rsidRPr="000F31D5">
              <w:rPr>
                <w:color w:val="000000"/>
                <w:sz w:val="20"/>
              </w:rPr>
              <w:t xml:space="preserve">$0 </w:t>
            </w:r>
          </w:p>
        </w:tc>
      </w:tr>
      <w:tr w14:paraId="52FAF1CD" w14:textId="77777777" w:rsidTr="000F31D5">
        <w:tblPrEx>
          <w:tblW w:w="13675" w:type="dxa"/>
          <w:tblLook w:val="04A0"/>
        </w:tblPrEx>
        <w:trPr>
          <w:trHeight w:val="613"/>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0F31D5" w:rsidRPr="000F31D5" w:rsidP="000F31D5" w14:paraId="2837B850" w14:textId="77777777">
            <w:pPr>
              <w:ind w:firstLine="200" w:firstLineChars="100"/>
              <w:rPr>
                <w:color w:val="000000"/>
                <w:sz w:val="20"/>
              </w:rPr>
            </w:pPr>
            <w:r w:rsidRPr="000F31D5">
              <w:rPr>
                <w:color w:val="000000"/>
                <w:sz w:val="20"/>
              </w:rPr>
              <w:t>F. Time to Train Personnel of 1st year Existing Sources</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7CA68E4E" w14:textId="77777777">
            <w:pPr>
              <w:jc w:val="center"/>
              <w:rPr>
                <w:color w:val="000000"/>
                <w:sz w:val="20"/>
              </w:rPr>
            </w:pPr>
            <w:r w:rsidRPr="000F31D5">
              <w:rPr>
                <w:color w:val="000000"/>
                <w:sz w:val="20"/>
              </w:rPr>
              <w:t>0</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1CAE3DD9" w14:textId="77777777">
            <w:pPr>
              <w:jc w:val="center"/>
              <w:rPr>
                <w:sz w:val="20"/>
              </w:rPr>
            </w:pPr>
            <w:r w:rsidRPr="000F31D5">
              <w:rPr>
                <w:sz w:val="20"/>
              </w:rPr>
              <w:t>0</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63877CE1" w14:textId="77777777">
            <w:pPr>
              <w:jc w:val="center"/>
              <w:rPr>
                <w:color w:val="000000"/>
                <w:sz w:val="20"/>
              </w:rPr>
            </w:pPr>
            <w:r w:rsidRPr="000F31D5">
              <w:rPr>
                <w:color w:val="000000"/>
                <w:sz w:val="20"/>
              </w:rPr>
              <w:t>0</w:t>
            </w:r>
          </w:p>
        </w:tc>
        <w:tc>
          <w:tcPr>
            <w:tcW w:w="1294" w:type="dxa"/>
            <w:tcBorders>
              <w:top w:val="nil"/>
              <w:left w:val="nil"/>
              <w:bottom w:val="single" w:sz="4" w:space="0" w:color="auto"/>
              <w:right w:val="single" w:sz="4" w:space="0" w:color="auto"/>
            </w:tcBorders>
            <w:shd w:val="clear" w:color="auto" w:fill="auto"/>
            <w:noWrap/>
            <w:vAlign w:val="center"/>
            <w:hideMark/>
          </w:tcPr>
          <w:p w:rsidR="000F31D5" w:rsidRPr="000F31D5" w:rsidP="000F31D5" w14:paraId="5FCEB5C7" w14:textId="77777777">
            <w:pPr>
              <w:jc w:val="center"/>
              <w:rPr>
                <w:sz w:val="20"/>
              </w:rPr>
            </w:pPr>
            <w:r w:rsidRPr="000F31D5">
              <w:rPr>
                <w:sz w:val="20"/>
              </w:rPr>
              <w:t>0</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18207EAB" w14:textId="77777777">
            <w:pPr>
              <w:jc w:val="center"/>
              <w:rPr>
                <w:color w:val="000000"/>
                <w:sz w:val="20"/>
              </w:rPr>
            </w:pPr>
            <w:r w:rsidRPr="000F31D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31A824C3" w14:textId="77777777">
            <w:pPr>
              <w:jc w:val="center"/>
              <w:rPr>
                <w:color w:val="000000"/>
                <w:sz w:val="20"/>
              </w:rPr>
            </w:pPr>
            <w:r w:rsidRPr="000F31D5">
              <w:rPr>
                <w:color w:val="000000"/>
                <w:sz w:val="20"/>
              </w:rPr>
              <w:t>0</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1A9720FD" w14:textId="77777777">
            <w:pPr>
              <w:jc w:val="center"/>
              <w:rPr>
                <w:color w:val="000000"/>
                <w:sz w:val="20"/>
              </w:rPr>
            </w:pPr>
            <w:r w:rsidRPr="000F31D5">
              <w:rPr>
                <w:color w:val="000000"/>
                <w:sz w:val="20"/>
              </w:rPr>
              <w:t>0</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32D93CB6" w14:textId="77777777">
            <w:pPr>
              <w:jc w:val="right"/>
              <w:rPr>
                <w:color w:val="000000"/>
                <w:sz w:val="20"/>
              </w:rPr>
            </w:pPr>
            <w:r w:rsidRPr="000F31D5">
              <w:rPr>
                <w:color w:val="000000"/>
                <w:sz w:val="20"/>
              </w:rPr>
              <w:t xml:space="preserve">$0 </w:t>
            </w:r>
          </w:p>
        </w:tc>
      </w:tr>
      <w:tr w14:paraId="599B2071" w14:textId="77777777" w:rsidTr="000F31D5">
        <w:tblPrEx>
          <w:tblW w:w="13675" w:type="dxa"/>
          <w:tblLook w:val="04A0"/>
        </w:tblPrEx>
        <w:trPr>
          <w:trHeight w:val="260"/>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rsidR="000F31D5" w:rsidRPr="000F31D5" w:rsidP="000F31D5" w14:paraId="001B1D98" w14:textId="77777777">
            <w:pPr>
              <w:ind w:firstLine="200" w:firstLineChars="100"/>
              <w:rPr>
                <w:color w:val="000000"/>
                <w:sz w:val="20"/>
              </w:rPr>
            </w:pPr>
            <w:r w:rsidRPr="000F31D5">
              <w:rPr>
                <w:color w:val="000000"/>
                <w:sz w:val="20"/>
              </w:rPr>
              <w:t xml:space="preserve">G. Time for Audits </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2B4AF4B6" w14:textId="77777777">
            <w:pPr>
              <w:jc w:val="center"/>
              <w:rPr>
                <w:color w:val="000000"/>
                <w:sz w:val="20"/>
              </w:rPr>
            </w:pPr>
            <w:r w:rsidRPr="000F31D5">
              <w:rPr>
                <w:color w:val="000000"/>
                <w:sz w:val="20"/>
              </w:rPr>
              <w:t>NA</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759AAF33" w14:textId="77777777">
            <w:pPr>
              <w:jc w:val="right"/>
              <w:rPr>
                <w:sz w:val="20"/>
              </w:rPr>
            </w:pPr>
            <w:r w:rsidRPr="000F31D5">
              <w:rPr>
                <w:sz w:val="20"/>
              </w:rPr>
              <w:t> </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4A4031E3" w14:textId="77777777">
            <w:pPr>
              <w:jc w:val="right"/>
              <w:rPr>
                <w:color w:val="000000"/>
                <w:sz w:val="20"/>
              </w:rPr>
            </w:pPr>
            <w:r w:rsidRPr="000F31D5">
              <w:rPr>
                <w:color w:val="000000"/>
                <w:sz w:val="20"/>
              </w:rPr>
              <w:t> </w:t>
            </w:r>
          </w:p>
        </w:tc>
        <w:tc>
          <w:tcPr>
            <w:tcW w:w="1294" w:type="dxa"/>
            <w:tcBorders>
              <w:top w:val="nil"/>
              <w:left w:val="nil"/>
              <w:bottom w:val="single" w:sz="4" w:space="0" w:color="auto"/>
              <w:right w:val="single" w:sz="4" w:space="0" w:color="auto"/>
            </w:tcBorders>
            <w:shd w:val="clear" w:color="auto" w:fill="auto"/>
            <w:vAlign w:val="center"/>
            <w:hideMark/>
          </w:tcPr>
          <w:p w:rsidR="000F31D5" w:rsidRPr="000F31D5" w:rsidP="000F31D5" w14:paraId="1BC69CC5" w14:textId="77777777">
            <w:pPr>
              <w:jc w:val="right"/>
              <w:rPr>
                <w:sz w:val="20"/>
              </w:rPr>
            </w:pPr>
            <w:r w:rsidRPr="000F31D5">
              <w:rPr>
                <w:sz w:val="20"/>
              </w:rPr>
              <w:t> </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2D78FA19" w14:textId="77777777">
            <w:pPr>
              <w:jc w:val="right"/>
              <w:rPr>
                <w:color w:val="000000"/>
                <w:sz w:val="20"/>
              </w:rPr>
            </w:pPr>
            <w:r w:rsidRPr="000F31D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151F6455" w14:textId="77777777">
            <w:pPr>
              <w:jc w:val="right"/>
              <w:rPr>
                <w:color w:val="000000"/>
                <w:sz w:val="20"/>
              </w:rPr>
            </w:pPr>
            <w:r w:rsidRPr="000F31D5">
              <w:rPr>
                <w:color w:val="000000"/>
                <w:sz w:val="20"/>
              </w:rPr>
              <w:t> </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7058BCC9" w14:textId="77777777">
            <w:pPr>
              <w:jc w:val="right"/>
              <w:rPr>
                <w:color w:val="000000"/>
                <w:sz w:val="20"/>
              </w:rPr>
            </w:pPr>
            <w:r w:rsidRPr="000F31D5">
              <w:rPr>
                <w:color w:val="000000"/>
                <w:sz w:val="20"/>
              </w:rPr>
              <w:t> </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174F55CC" w14:textId="77777777">
            <w:pPr>
              <w:jc w:val="right"/>
              <w:rPr>
                <w:color w:val="000000"/>
                <w:sz w:val="20"/>
              </w:rPr>
            </w:pPr>
            <w:r w:rsidRPr="000F31D5">
              <w:rPr>
                <w:color w:val="000000"/>
                <w:sz w:val="20"/>
              </w:rPr>
              <w:t> </w:t>
            </w:r>
          </w:p>
        </w:tc>
      </w:tr>
      <w:tr w14:paraId="7783FDDA" w14:textId="77777777" w:rsidTr="000F31D5">
        <w:tblPrEx>
          <w:tblW w:w="13675" w:type="dxa"/>
          <w:tblLook w:val="04A0"/>
        </w:tblPrEx>
        <w:trPr>
          <w:trHeight w:val="540"/>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0F31D5" w:rsidRPr="000F31D5" w:rsidP="000F31D5" w14:paraId="2F3864C5" w14:textId="77777777">
            <w:pPr>
              <w:rPr>
                <w:b/>
                <w:bCs/>
                <w:i/>
                <w:iCs/>
                <w:color w:val="000000"/>
                <w:sz w:val="20"/>
              </w:rPr>
            </w:pPr>
            <w:r w:rsidRPr="000F31D5">
              <w:rPr>
                <w:b/>
                <w:bCs/>
                <w:i/>
                <w:iCs/>
                <w:color w:val="000000"/>
                <w:sz w:val="20"/>
              </w:rPr>
              <w:t>Subtotal for Recordkeeping Requirements</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217EAB9D" w14:textId="77777777">
            <w:pPr>
              <w:jc w:val="right"/>
              <w:rPr>
                <w:b/>
                <w:bCs/>
                <w:i/>
                <w:iCs/>
                <w:color w:val="000000"/>
                <w:sz w:val="20"/>
              </w:rPr>
            </w:pPr>
            <w:r w:rsidRPr="000F31D5">
              <w:rPr>
                <w:b/>
                <w:bCs/>
                <w:i/>
                <w:iCs/>
                <w:color w:val="000000"/>
                <w:sz w:val="20"/>
              </w:rPr>
              <w:t> </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138A7BE8" w14:textId="77777777">
            <w:pPr>
              <w:jc w:val="right"/>
              <w:rPr>
                <w:b/>
                <w:bCs/>
                <w:i/>
                <w:iCs/>
                <w:sz w:val="20"/>
              </w:rPr>
            </w:pPr>
            <w:r w:rsidRPr="000F31D5">
              <w:rPr>
                <w:b/>
                <w:bCs/>
                <w:i/>
                <w:iCs/>
                <w:sz w:val="20"/>
              </w:rPr>
              <w:t> </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42C02CE7" w14:textId="77777777">
            <w:pPr>
              <w:jc w:val="right"/>
              <w:rPr>
                <w:b/>
                <w:bCs/>
                <w:i/>
                <w:iCs/>
                <w:color w:val="000000"/>
                <w:sz w:val="20"/>
              </w:rPr>
            </w:pPr>
            <w:r w:rsidRPr="000F31D5">
              <w:rPr>
                <w:b/>
                <w:bCs/>
                <w:i/>
                <w:iCs/>
                <w:color w:val="000000"/>
                <w:sz w:val="20"/>
              </w:rPr>
              <w:t> </w:t>
            </w:r>
          </w:p>
        </w:tc>
        <w:tc>
          <w:tcPr>
            <w:tcW w:w="1294" w:type="dxa"/>
            <w:tcBorders>
              <w:top w:val="nil"/>
              <w:left w:val="nil"/>
              <w:bottom w:val="single" w:sz="4" w:space="0" w:color="auto"/>
              <w:right w:val="single" w:sz="4" w:space="0" w:color="auto"/>
            </w:tcBorders>
            <w:shd w:val="clear" w:color="auto" w:fill="auto"/>
            <w:noWrap/>
            <w:vAlign w:val="center"/>
            <w:hideMark/>
          </w:tcPr>
          <w:p w:rsidR="000F31D5" w:rsidRPr="000F31D5" w:rsidP="000F31D5" w14:paraId="6187678B" w14:textId="77777777">
            <w:pPr>
              <w:jc w:val="right"/>
              <w:rPr>
                <w:b/>
                <w:bCs/>
                <w:i/>
                <w:iCs/>
                <w:sz w:val="20"/>
              </w:rPr>
            </w:pPr>
            <w:r w:rsidRPr="000F31D5">
              <w:rPr>
                <w:b/>
                <w:bCs/>
                <w:i/>
                <w:iCs/>
                <w:sz w:val="20"/>
              </w:rPr>
              <w:t> </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229C203B" w14:textId="77777777">
            <w:pPr>
              <w:jc w:val="center"/>
              <w:rPr>
                <w:b/>
                <w:bCs/>
                <w:i/>
                <w:iCs/>
                <w:color w:val="000000"/>
                <w:sz w:val="20"/>
              </w:rPr>
            </w:pPr>
            <w:r w:rsidRPr="000F31D5">
              <w:rPr>
                <w:b/>
                <w:bCs/>
                <w:i/>
                <w:iCs/>
                <w:color w:val="000000"/>
                <w:sz w:val="20"/>
              </w:rPr>
              <w:t>1,637</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5A8D3E04" w14:textId="77777777">
            <w:pPr>
              <w:jc w:val="center"/>
              <w:rPr>
                <w:b/>
                <w:bCs/>
                <w:i/>
                <w:iCs/>
                <w:color w:val="000000"/>
                <w:sz w:val="20"/>
              </w:rPr>
            </w:pPr>
            <w:r w:rsidRPr="000F31D5">
              <w:rPr>
                <w:b/>
                <w:bCs/>
                <w:i/>
                <w:iCs/>
                <w:color w:val="000000"/>
                <w:sz w:val="20"/>
              </w:rPr>
              <w:t> </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7790FD56" w14:textId="77777777">
            <w:pPr>
              <w:jc w:val="center"/>
              <w:rPr>
                <w:b/>
                <w:bCs/>
                <w:i/>
                <w:iCs/>
                <w:color w:val="000000"/>
                <w:sz w:val="20"/>
              </w:rPr>
            </w:pPr>
            <w:r w:rsidRPr="000F31D5">
              <w:rPr>
                <w:b/>
                <w:bCs/>
                <w:i/>
                <w:iCs/>
                <w:color w:val="000000"/>
                <w:sz w:val="20"/>
              </w:rPr>
              <w:t> </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1053BCF0" w14:textId="77777777">
            <w:pPr>
              <w:jc w:val="right"/>
              <w:rPr>
                <w:b/>
                <w:bCs/>
                <w:i/>
                <w:iCs/>
                <w:color w:val="000000"/>
                <w:sz w:val="20"/>
              </w:rPr>
            </w:pPr>
            <w:r w:rsidRPr="000F31D5">
              <w:rPr>
                <w:b/>
                <w:bCs/>
                <w:i/>
                <w:iCs/>
                <w:color w:val="000000"/>
                <w:sz w:val="20"/>
              </w:rPr>
              <w:t xml:space="preserve">$202,397 </w:t>
            </w:r>
          </w:p>
        </w:tc>
      </w:tr>
      <w:tr w14:paraId="3E19D038" w14:textId="77777777" w:rsidTr="000F31D5">
        <w:tblPrEx>
          <w:tblW w:w="13675" w:type="dxa"/>
          <w:tblLook w:val="04A0"/>
        </w:tblPrEx>
        <w:trPr>
          <w:trHeight w:val="560"/>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0F31D5" w:rsidRPr="000F31D5" w:rsidP="000F31D5" w14:paraId="1DAE9D04" w14:textId="77777777">
            <w:pPr>
              <w:rPr>
                <w:b/>
                <w:bCs/>
                <w:color w:val="000000"/>
                <w:sz w:val="20"/>
              </w:rPr>
            </w:pPr>
            <w:r w:rsidRPr="000F31D5">
              <w:rPr>
                <w:b/>
                <w:bCs/>
                <w:color w:val="000000"/>
                <w:sz w:val="20"/>
              </w:rPr>
              <w:t xml:space="preserve">Total Labor Burden and Cost (rounded) </w:t>
            </w:r>
            <w:r w:rsidRPr="000F31D5">
              <w:rPr>
                <w:b/>
                <w:bCs/>
                <w:color w:val="000000"/>
                <w:sz w:val="20"/>
                <w:vertAlign w:val="superscript"/>
              </w:rPr>
              <w:t>f</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4ECA7001" w14:textId="77777777">
            <w:pPr>
              <w:jc w:val="right"/>
              <w:rPr>
                <w:b/>
                <w:bCs/>
                <w:color w:val="000000"/>
                <w:sz w:val="20"/>
              </w:rPr>
            </w:pPr>
            <w:r w:rsidRPr="000F31D5">
              <w:rPr>
                <w:b/>
                <w:bCs/>
                <w:color w:val="000000"/>
                <w:sz w:val="20"/>
              </w:rPr>
              <w:t> </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4737B021" w14:textId="77777777">
            <w:pPr>
              <w:jc w:val="center"/>
              <w:rPr>
                <w:b/>
                <w:bCs/>
                <w:sz w:val="20"/>
              </w:rPr>
            </w:pPr>
            <w:r w:rsidRPr="000F31D5">
              <w:rPr>
                <w:b/>
                <w:bCs/>
                <w:sz w:val="20"/>
              </w:rPr>
              <w:t> </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3E6CACB1" w14:textId="77777777">
            <w:pPr>
              <w:jc w:val="right"/>
              <w:rPr>
                <w:b/>
                <w:bCs/>
                <w:color w:val="000000"/>
                <w:sz w:val="20"/>
              </w:rPr>
            </w:pPr>
            <w:r w:rsidRPr="000F31D5">
              <w:rPr>
                <w:b/>
                <w:bCs/>
                <w:color w:val="000000"/>
                <w:sz w:val="20"/>
              </w:rPr>
              <w:t> </w:t>
            </w:r>
          </w:p>
        </w:tc>
        <w:tc>
          <w:tcPr>
            <w:tcW w:w="1294" w:type="dxa"/>
            <w:tcBorders>
              <w:top w:val="nil"/>
              <w:left w:val="nil"/>
              <w:bottom w:val="single" w:sz="4" w:space="0" w:color="auto"/>
              <w:right w:val="single" w:sz="4" w:space="0" w:color="auto"/>
            </w:tcBorders>
            <w:shd w:val="clear" w:color="auto" w:fill="auto"/>
            <w:vAlign w:val="center"/>
            <w:hideMark/>
          </w:tcPr>
          <w:p w:rsidR="000F31D5" w:rsidRPr="000F31D5" w:rsidP="000F31D5" w14:paraId="6A29DFCF" w14:textId="77777777">
            <w:pPr>
              <w:jc w:val="right"/>
              <w:rPr>
                <w:b/>
                <w:bCs/>
                <w:sz w:val="20"/>
              </w:rPr>
            </w:pPr>
            <w:r w:rsidRPr="000F31D5">
              <w:rPr>
                <w:b/>
                <w:bCs/>
                <w:sz w:val="20"/>
              </w:rPr>
              <w:t> </w:t>
            </w:r>
          </w:p>
        </w:tc>
        <w:tc>
          <w:tcPr>
            <w:tcW w:w="4319" w:type="dxa"/>
            <w:gridSpan w:val="3"/>
            <w:tcBorders>
              <w:top w:val="single" w:sz="4" w:space="0" w:color="auto"/>
              <w:left w:val="nil"/>
              <w:bottom w:val="single" w:sz="4" w:space="0" w:color="auto"/>
              <w:right w:val="single" w:sz="4" w:space="0" w:color="auto"/>
            </w:tcBorders>
            <w:shd w:val="clear" w:color="auto" w:fill="auto"/>
            <w:vAlign w:val="center"/>
            <w:hideMark/>
          </w:tcPr>
          <w:p w:rsidR="000F31D5" w:rsidRPr="000F31D5" w:rsidP="000F31D5" w14:paraId="637BFC69" w14:textId="77777777">
            <w:pPr>
              <w:jc w:val="center"/>
              <w:rPr>
                <w:b/>
                <w:bCs/>
                <w:color w:val="000000"/>
                <w:sz w:val="20"/>
              </w:rPr>
            </w:pPr>
            <w:r w:rsidRPr="000F31D5">
              <w:rPr>
                <w:b/>
                <w:bCs/>
                <w:color w:val="000000"/>
                <w:sz w:val="20"/>
              </w:rPr>
              <w:t>10,700</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268F3DC9" w14:textId="77777777">
            <w:pPr>
              <w:jc w:val="right"/>
              <w:rPr>
                <w:b/>
                <w:bCs/>
                <w:color w:val="000000"/>
                <w:sz w:val="20"/>
              </w:rPr>
            </w:pPr>
            <w:r w:rsidRPr="000F31D5">
              <w:rPr>
                <w:b/>
                <w:bCs/>
                <w:color w:val="000000"/>
                <w:sz w:val="20"/>
              </w:rPr>
              <w:t xml:space="preserve">$1,320,000 </w:t>
            </w:r>
          </w:p>
        </w:tc>
      </w:tr>
      <w:tr w14:paraId="5DE2497A" w14:textId="77777777" w:rsidTr="000F31D5">
        <w:tblPrEx>
          <w:tblW w:w="13675" w:type="dxa"/>
          <w:tblLook w:val="04A0"/>
        </w:tblPrEx>
        <w:trPr>
          <w:trHeight w:val="560"/>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0F31D5" w:rsidRPr="000F31D5" w:rsidP="000F31D5" w14:paraId="5F5CBD2B" w14:textId="77777777">
            <w:pPr>
              <w:rPr>
                <w:b/>
                <w:bCs/>
                <w:sz w:val="20"/>
              </w:rPr>
            </w:pPr>
            <w:r w:rsidRPr="000F31D5">
              <w:rPr>
                <w:b/>
                <w:bCs/>
                <w:sz w:val="20"/>
              </w:rPr>
              <w:t xml:space="preserve">Total Capital and O&amp;M Cost (rounded) </w:t>
            </w:r>
            <w:r w:rsidRPr="000F31D5">
              <w:rPr>
                <w:b/>
                <w:bCs/>
                <w:sz w:val="20"/>
                <w:vertAlign w:val="superscript"/>
              </w:rPr>
              <w:t>f</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03D200C1" w14:textId="77777777">
            <w:pPr>
              <w:jc w:val="right"/>
              <w:rPr>
                <w:color w:val="000000"/>
                <w:sz w:val="20"/>
              </w:rPr>
            </w:pPr>
            <w:r w:rsidRPr="000F31D5">
              <w:rPr>
                <w:color w:val="000000"/>
                <w:sz w:val="20"/>
              </w:rPr>
              <w:t> </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2A738F55" w14:textId="77777777">
            <w:pPr>
              <w:jc w:val="right"/>
              <w:rPr>
                <w:sz w:val="20"/>
              </w:rPr>
            </w:pPr>
            <w:r w:rsidRPr="000F31D5">
              <w:rPr>
                <w:sz w:val="20"/>
              </w:rPr>
              <w:t> </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2E4E7198" w14:textId="77777777">
            <w:pPr>
              <w:jc w:val="right"/>
              <w:rPr>
                <w:color w:val="000000"/>
                <w:sz w:val="20"/>
              </w:rPr>
            </w:pPr>
            <w:r w:rsidRPr="000F31D5">
              <w:rPr>
                <w:color w:val="000000"/>
                <w:sz w:val="20"/>
              </w:rPr>
              <w:t> </w:t>
            </w:r>
          </w:p>
        </w:tc>
        <w:tc>
          <w:tcPr>
            <w:tcW w:w="1294" w:type="dxa"/>
            <w:tcBorders>
              <w:top w:val="nil"/>
              <w:left w:val="nil"/>
              <w:bottom w:val="single" w:sz="4" w:space="0" w:color="auto"/>
              <w:right w:val="single" w:sz="4" w:space="0" w:color="auto"/>
            </w:tcBorders>
            <w:shd w:val="clear" w:color="auto" w:fill="auto"/>
            <w:vAlign w:val="center"/>
            <w:hideMark/>
          </w:tcPr>
          <w:p w:rsidR="000F31D5" w:rsidRPr="000F31D5" w:rsidP="000F31D5" w14:paraId="12689329" w14:textId="77777777">
            <w:pPr>
              <w:jc w:val="right"/>
              <w:rPr>
                <w:sz w:val="20"/>
              </w:rPr>
            </w:pPr>
            <w:r w:rsidRPr="000F31D5">
              <w:rPr>
                <w:sz w:val="20"/>
              </w:rPr>
              <w:t> </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50E2558C" w14:textId="77777777">
            <w:pPr>
              <w:jc w:val="right"/>
              <w:rPr>
                <w:color w:val="000000"/>
                <w:sz w:val="20"/>
              </w:rPr>
            </w:pPr>
            <w:r w:rsidRPr="000F31D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15F8CAE8" w14:textId="77777777">
            <w:pPr>
              <w:jc w:val="right"/>
              <w:rPr>
                <w:color w:val="000000"/>
                <w:sz w:val="20"/>
              </w:rPr>
            </w:pPr>
            <w:r w:rsidRPr="000F31D5">
              <w:rPr>
                <w:color w:val="000000"/>
                <w:sz w:val="20"/>
              </w:rPr>
              <w:t> </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048CE11B" w14:textId="77777777">
            <w:pPr>
              <w:jc w:val="right"/>
              <w:rPr>
                <w:color w:val="000000"/>
                <w:sz w:val="20"/>
              </w:rPr>
            </w:pPr>
            <w:r w:rsidRPr="000F31D5">
              <w:rPr>
                <w:color w:val="000000"/>
                <w:sz w:val="20"/>
              </w:rPr>
              <w:t> </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2BA46C7A" w14:textId="77777777">
            <w:pPr>
              <w:jc w:val="right"/>
              <w:rPr>
                <w:b/>
                <w:bCs/>
                <w:color w:val="000000"/>
                <w:sz w:val="20"/>
              </w:rPr>
            </w:pPr>
            <w:r w:rsidRPr="000F31D5">
              <w:rPr>
                <w:b/>
                <w:bCs/>
                <w:color w:val="000000"/>
                <w:sz w:val="20"/>
              </w:rPr>
              <w:t xml:space="preserve">$0 </w:t>
            </w:r>
          </w:p>
        </w:tc>
      </w:tr>
      <w:tr w14:paraId="7A3F21F0" w14:textId="77777777" w:rsidTr="000F31D5">
        <w:tblPrEx>
          <w:tblW w:w="13675" w:type="dxa"/>
          <w:tblLook w:val="04A0"/>
        </w:tblPrEx>
        <w:trPr>
          <w:trHeight w:val="300"/>
        </w:trPr>
        <w:tc>
          <w:tcPr>
            <w:tcW w:w="2785" w:type="dxa"/>
            <w:tcBorders>
              <w:top w:val="nil"/>
              <w:left w:val="single" w:sz="4" w:space="0" w:color="auto"/>
              <w:bottom w:val="single" w:sz="4" w:space="0" w:color="auto"/>
              <w:right w:val="single" w:sz="4" w:space="0" w:color="auto"/>
            </w:tcBorders>
            <w:shd w:val="clear" w:color="auto" w:fill="auto"/>
            <w:vAlign w:val="center"/>
            <w:hideMark/>
          </w:tcPr>
          <w:p w:rsidR="000F31D5" w:rsidRPr="000F31D5" w:rsidP="000F31D5" w14:paraId="4D29C043" w14:textId="77777777">
            <w:pPr>
              <w:rPr>
                <w:b/>
                <w:bCs/>
                <w:sz w:val="20"/>
              </w:rPr>
            </w:pPr>
            <w:r w:rsidRPr="000F31D5">
              <w:rPr>
                <w:b/>
                <w:bCs/>
                <w:sz w:val="20"/>
              </w:rPr>
              <w:t xml:space="preserve">Grand TOTAL (rounded) </w:t>
            </w:r>
            <w:r w:rsidRPr="000F31D5">
              <w:rPr>
                <w:b/>
                <w:bCs/>
                <w:sz w:val="20"/>
                <w:vertAlign w:val="superscript"/>
              </w:rPr>
              <w:t>f</w:t>
            </w:r>
          </w:p>
        </w:tc>
        <w:tc>
          <w:tcPr>
            <w:tcW w:w="1440" w:type="dxa"/>
            <w:tcBorders>
              <w:top w:val="nil"/>
              <w:left w:val="nil"/>
              <w:bottom w:val="single" w:sz="4" w:space="0" w:color="auto"/>
              <w:right w:val="single" w:sz="4" w:space="0" w:color="auto"/>
            </w:tcBorders>
            <w:shd w:val="clear" w:color="auto" w:fill="auto"/>
            <w:vAlign w:val="center"/>
            <w:hideMark/>
          </w:tcPr>
          <w:p w:rsidR="000F31D5" w:rsidRPr="000F31D5" w:rsidP="000F31D5" w14:paraId="55C1963E" w14:textId="77777777">
            <w:pPr>
              <w:jc w:val="right"/>
              <w:rPr>
                <w:color w:val="000000"/>
                <w:sz w:val="20"/>
              </w:rPr>
            </w:pPr>
            <w:r w:rsidRPr="000F31D5">
              <w:rPr>
                <w:color w:val="000000"/>
                <w:sz w:val="20"/>
              </w:rPr>
              <w:t> </w:t>
            </w:r>
          </w:p>
        </w:tc>
        <w:tc>
          <w:tcPr>
            <w:tcW w:w="1271" w:type="dxa"/>
            <w:tcBorders>
              <w:top w:val="nil"/>
              <w:left w:val="nil"/>
              <w:bottom w:val="single" w:sz="4" w:space="0" w:color="auto"/>
              <w:right w:val="single" w:sz="4" w:space="0" w:color="auto"/>
            </w:tcBorders>
            <w:shd w:val="clear" w:color="auto" w:fill="auto"/>
            <w:vAlign w:val="center"/>
            <w:hideMark/>
          </w:tcPr>
          <w:p w:rsidR="000F31D5" w:rsidRPr="000F31D5" w:rsidP="000F31D5" w14:paraId="7EADA26F" w14:textId="77777777">
            <w:pPr>
              <w:jc w:val="right"/>
              <w:rPr>
                <w:sz w:val="20"/>
              </w:rPr>
            </w:pPr>
            <w:r w:rsidRPr="000F31D5">
              <w:rPr>
                <w:sz w:val="20"/>
              </w:rPr>
              <w:t> </w:t>
            </w:r>
          </w:p>
        </w:tc>
        <w:tc>
          <w:tcPr>
            <w:tcW w:w="1216" w:type="dxa"/>
            <w:tcBorders>
              <w:top w:val="nil"/>
              <w:left w:val="nil"/>
              <w:bottom w:val="single" w:sz="4" w:space="0" w:color="auto"/>
              <w:right w:val="single" w:sz="4" w:space="0" w:color="auto"/>
            </w:tcBorders>
            <w:shd w:val="clear" w:color="auto" w:fill="auto"/>
            <w:vAlign w:val="center"/>
            <w:hideMark/>
          </w:tcPr>
          <w:p w:rsidR="000F31D5" w:rsidRPr="000F31D5" w:rsidP="000F31D5" w14:paraId="663D7B53" w14:textId="77777777">
            <w:pPr>
              <w:jc w:val="right"/>
              <w:rPr>
                <w:color w:val="000000"/>
                <w:sz w:val="20"/>
              </w:rPr>
            </w:pPr>
            <w:r w:rsidRPr="000F31D5">
              <w:rPr>
                <w:color w:val="000000"/>
                <w:sz w:val="20"/>
              </w:rPr>
              <w:t> </w:t>
            </w:r>
          </w:p>
        </w:tc>
        <w:tc>
          <w:tcPr>
            <w:tcW w:w="1294" w:type="dxa"/>
            <w:tcBorders>
              <w:top w:val="nil"/>
              <w:left w:val="nil"/>
              <w:bottom w:val="single" w:sz="4" w:space="0" w:color="auto"/>
              <w:right w:val="single" w:sz="4" w:space="0" w:color="auto"/>
            </w:tcBorders>
            <w:shd w:val="clear" w:color="auto" w:fill="auto"/>
            <w:vAlign w:val="center"/>
            <w:hideMark/>
          </w:tcPr>
          <w:p w:rsidR="000F31D5" w:rsidRPr="000F31D5" w:rsidP="000F31D5" w14:paraId="5FB11ADB" w14:textId="77777777">
            <w:pPr>
              <w:jc w:val="right"/>
              <w:rPr>
                <w:sz w:val="20"/>
              </w:rPr>
            </w:pPr>
            <w:r w:rsidRPr="000F31D5">
              <w:rPr>
                <w:sz w:val="20"/>
              </w:rPr>
              <w:t> </w:t>
            </w:r>
          </w:p>
        </w:tc>
        <w:tc>
          <w:tcPr>
            <w:tcW w:w="1439" w:type="dxa"/>
            <w:tcBorders>
              <w:top w:val="nil"/>
              <w:left w:val="nil"/>
              <w:bottom w:val="single" w:sz="4" w:space="0" w:color="auto"/>
              <w:right w:val="single" w:sz="4" w:space="0" w:color="auto"/>
            </w:tcBorders>
            <w:shd w:val="clear" w:color="auto" w:fill="auto"/>
            <w:vAlign w:val="center"/>
            <w:hideMark/>
          </w:tcPr>
          <w:p w:rsidR="000F31D5" w:rsidRPr="000F31D5" w:rsidP="000F31D5" w14:paraId="28603F7E" w14:textId="77777777">
            <w:pPr>
              <w:jc w:val="right"/>
              <w:rPr>
                <w:color w:val="000000"/>
                <w:sz w:val="20"/>
              </w:rPr>
            </w:pPr>
            <w:r w:rsidRPr="000F31D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0F31D5" w:rsidRPr="000F31D5" w:rsidP="000F31D5" w14:paraId="0F7088E3" w14:textId="77777777">
            <w:pPr>
              <w:jc w:val="right"/>
              <w:rPr>
                <w:color w:val="000000"/>
                <w:sz w:val="20"/>
              </w:rPr>
            </w:pPr>
            <w:r w:rsidRPr="000F31D5">
              <w:rPr>
                <w:color w:val="000000"/>
                <w:sz w:val="20"/>
              </w:rPr>
              <w:t> </w:t>
            </w:r>
          </w:p>
        </w:tc>
        <w:tc>
          <w:tcPr>
            <w:tcW w:w="1620" w:type="dxa"/>
            <w:tcBorders>
              <w:top w:val="nil"/>
              <w:left w:val="nil"/>
              <w:bottom w:val="single" w:sz="4" w:space="0" w:color="auto"/>
              <w:right w:val="single" w:sz="4" w:space="0" w:color="auto"/>
            </w:tcBorders>
            <w:shd w:val="clear" w:color="auto" w:fill="auto"/>
            <w:vAlign w:val="center"/>
            <w:hideMark/>
          </w:tcPr>
          <w:p w:rsidR="000F31D5" w:rsidRPr="000F31D5" w:rsidP="000F31D5" w14:paraId="6B402436" w14:textId="77777777">
            <w:pPr>
              <w:jc w:val="right"/>
              <w:rPr>
                <w:color w:val="000000"/>
                <w:sz w:val="20"/>
              </w:rPr>
            </w:pPr>
            <w:r w:rsidRPr="000F31D5">
              <w:rPr>
                <w:color w:val="000000"/>
                <w:sz w:val="20"/>
              </w:rPr>
              <w:t> </w:t>
            </w:r>
          </w:p>
        </w:tc>
        <w:tc>
          <w:tcPr>
            <w:tcW w:w="1350" w:type="dxa"/>
            <w:tcBorders>
              <w:top w:val="nil"/>
              <w:left w:val="nil"/>
              <w:bottom w:val="single" w:sz="4" w:space="0" w:color="auto"/>
              <w:right w:val="single" w:sz="4" w:space="0" w:color="auto"/>
            </w:tcBorders>
            <w:shd w:val="clear" w:color="auto" w:fill="auto"/>
            <w:vAlign w:val="center"/>
            <w:hideMark/>
          </w:tcPr>
          <w:p w:rsidR="000F31D5" w:rsidRPr="000F31D5" w:rsidP="000F31D5" w14:paraId="16BA0ADB" w14:textId="77777777">
            <w:pPr>
              <w:jc w:val="right"/>
              <w:rPr>
                <w:b/>
                <w:bCs/>
                <w:color w:val="000000"/>
                <w:sz w:val="20"/>
              </w:rPr>
            </w:pPr>
            <w:r w:rsidRPr="000F31D5">
              <w:rPr>
                <w:b/>
                <w:bCs/>
                <w:color w:val="000000"/>
                <w:sz w:val="20"/>
              </w:rPr>
              <w:t xml:space="preserve">$1,300,000 </w:t>
            </w:r>
          </w:p>
        </w:tc>
      </w:tr>
      <w:tr w14:paraId="4C325FE3" w14:textId="77777777" w:rsidTr="000F31D5">
        <w:tblPrEx>
          <w:tblW w:w="13675" w:type="dxa"/>
          <w:tblLook w:val="04A0"/>
        </w:tblPrEx>
        <w:trPr>
          <w:trHeight w:val="110"/>
        </w:trPr>
        <w:tc>
          <w:tcPr>
            <w:tcW w:w="2785" w:type="dxa"/>
            <w:tcBorders>
              <w:top w:val="nil"/>
              <w:left w:val="nil"/>
              <w:bottom w:val="nil"/>
              <w:right w:val="nil"/>
            </w:tcBorders>
            <w:shd w:val="clear" w:color="auto" w:fill="auto"/>
            <w:noWrap/>
            <w:vAlign w:val="bottom"/>
            <w:hideMark/>
          </w:tcPr>
          <w:p w:rsidR="000F31D5" w:rsidRPr="000F31D5" w:rsidP="000F31D5" w14:paraId="6305DEBC" w14:textId="77777777">
            <w:pPr>
              <w:jc w:val="right"/>
              <w:rPr>
                <w:b/>
                <w:bCs/>
                <w:color w:val="000000"/>
                <w:sz w:val="20"/>
              </w:rPr>
            </w:pPr>
          </w:p>
        </w:tc>
        <w:tc>
          <w:tcPr>
            <w:tcW w:w="1440" w:type="dxa"/>
            <w:tcBorders>
              <w:top w:val="nil"/>
              <w:left w:val="nil"/>
              <w:bottom w:val="nil"/>
              <w:right w:val="nil"/>
            </w:tcBorders>
            <w:shd w:val="clear" w:color="auto" w:fill="auto"/>
            <w:noWrap/>
            <w:vAlign w:val="bottom"/>
            <w:hideMark/>
          </w:tcPr>
          <w:p w:rsidR="000F31D5" w:rsidRPr="000F31D5" w:rsidP="000F31D5" w14:paraId="733EB786" w14:textId="77777777">
            <w:pPr>
              <w:rPr>
                <w:sz w:val="20"/>
              </w:rPr>
            </w:pPr>
          </w:p>
        </w:tc>
        <w:tc>
          <w:tcPr>
            <w:tcW w:w="1271" w:type="dxa"/>
            <w:tcBorders>
              <w:top w:val="nil"/>
              <w:left w:val="nil"/>
              <w:bottom w:val="nil"/>
              <w:right w:val="nil"/>
            </w:tcBorders>
            <w:shd w:val="clear" w:color="auto" w:fill="auto"/>
            <w:noWrap/>
            <w:vAlign w:val="bottom"/>
            <w:hideMark/>
          </w:tcPr>
          <w:p w:rsidR="000F31D5" w:rsidRPr="000F31D5" w:rsidP="000F31D5" w14:paraId="481378BB" w14:textId="77777777">
            <w:pPr>
              <w:rPr>
                <w:sz w:val="20"/>
              </w:rPr>
            </w:pPr>
          </w:p>
        </w:tc>
        <w:tc>
          <w:tcPr>
            <w:tcW w:w="1216" w:type="dxa"/>
            <w:tcBorders>
              <w:top w:val="nil"/>
              <w:left w:val="nil"/>
              <w:bottom w:val="nil"/>
              <w:right w:val="nil"/>
            </w:tcBorders>
            <w:shd w:val="clear" w:color="auto" w:fill="auto"/>
            <w:noWrap/>
            <w:vAlign w:val="bottom"/>
            <w:hideMark/>
          </w:tcPr>
          <w:p w:rsidR="000F31D5" w:rsidRPr="000F31D5" w:rsidP="000F31D5" w14:paraId="2E0B6AE3" w14:textId="77777777">
            <w:pPr>
              <w:rPr>
                <w:sz w:val="20"/>
              </w:rPr>
            </w:pPr>
          </w:p>
        </w:tc>
        <w:tc>
          <w:tcPr>
            <w:tcW w:w="1294" w:type="dxa"/>
            <w:tcBorders>
              <w:top w:val="nil"/>
              <w:left w:val="nil"/>
              <w:bottom w:val="nil"/>
              <w:right w:val="nil"/>
            </w:tcBorders>
            <w:shd w:val="clear" w:color="auto" w:fill="auto"/>
            <w:noWrap/>
            <w:vAlign w:val="bottom"/>
            <w:hideMark/>
          </w:tcPr>
          <w:p w:rsidR="000F31D5" w:rsidRPr="000F31D5" w:rsidP="000F31D5" w14:paraId="07104ED9" w14:textId="77777777">
            <w:pPr>
              <w:rPr>
                <w:sz w:val="20"/>
              </w:rPr>
            </w:pPr>
          </w:p>
        </w:tc>
        <w:tc>
          <w:tcPr>
            <w:tcW w:w="1439" w:type="dxa"/>
            <w:tcBorders>
              <w:top w:val="nil"/>
              <w:left w:val="nil"/>
              <w:bottom w:val="nil"/>
              <w:right w:val="nil"/>
            </w:tcBorders>
            <w:shd w:val="clear" w:color="auto" w:fill="auto"/>
            <w:noWrap/>
            <w:vAlign w:val="bottom"/>
            <w:hideMark/>
          </w:tcPr>
          <w:p w:rsidR="000F31D5" w:rsidRPr="000F31D5" w:rsidP="000F31D5" w14:paraId="17ADA025" w14:textId="77777777">
            <w:pPr>
              <w:rPr>
                <w:sz w:val="20"/>
              </w:rPr>
            </w:pPr>
          </w:p>
        </w:tc>
        <w:tc>
          <w:tcPr>
            <w:tcW w:w="1260" w:type="dxa"/>
            <w:tcBorders>
              <w:top w:val="nil"/>
              <w:left w:val="nil"/>
              <w:bottom w:val="nil"/>
              <w:right w:val="nil"/>
            </w:tcBorders>
            <w:shd w:val="clear" w:color="auto" w:fill="auto"/>
            <w:noWrap/>
            <w:vAlign w:val="bottom"/>
            <w:hideMark/>
          </w:tcPr>
          <w:p w:rsidR="000F31D5" w:rsidRPr="000F31D5" w:rsidP="000F31D5" w14:paraId="7AE55F97" w14:textId="77777777">
            <w:pPr>
              <w:rPr>
                <w:sz w:val="20"/>
              </w:rPr>
            </w:pPr>
          </w:p>
        </w:tc>
        <w:tc>
          <w:tcPr>
            <w:tcW w:w="1620" w:type="dxa"/>
            <w:tcBorders>
              <w:top w:val="nil"/>
              <w:left w:val="nil"/>
              <w:bottom w:val="nil"/>
              <w:right w:val="nil"/>
            </w:tcBorders>
            <w:shd w:val="clear" w:color="auto" w:fill="auto"/>
            <w:noWrap/>
            <w:vAlign w:val="bottom"/>
            <w:hideMark/>
          </w:tcPr>
          <w:p w:rsidR="000F31D5" w:rsidRPr="000F31D5" w:rsidP="000F31D5" w14:paraId="4C910DE1" w14:textId="77777777">
            <w:pPr>
              <w:rPr>
                <w:sz w:val="20"/>
              </w:rPr>
            </w:pPr>
          </w:p>
        </w:tc>
        <w:tc>
          <w:tcPr>
            <w:tcW w:w="1350" w:type="dxa"/>
            <w:tcBorders>
              <w:top w:val="nil"/>
              <w:left w:val="nil"/>
              <w:bottom w:val="nil"/>
              <w:right w:val="nil"/>
            </w:tcBorders>
            <w:shd w:val="clear" w:color="auto" w:fill="auto"/>
            <w:noWrap/>
            <w:vAlign w:val="bottom"/>
            <w:hideMark/>
          </w:tcPr>
          <w:p w:rsidR="000F31D5" w:rsidRPr="000F31D5" w:rsidP="000F31D5" w14:paraId="73CE4B79" w14:textId="77777777">
            <w:pPr>
              <w:rPr>
                <w:sz w:val="20"/>
              </w:rPr>
            </w:pPr>
          </w:p>
        </w:tc>
      </w:tr>
      <w:tr w14:paraId="530DD2AA" w14:textId="77777777" w:rsidTr="000F31D5">
        <w:tblPrEx>
          <w:tblW w:w="13675" w:type="dxa"/>
          <w:tblLook w:val="04A0"/>
        </w:tblPrEx>
        <w:trPr>
          <w:trHeight w:val="230"/>
        </w:trPr>
        <w:tc>
          <w:tcPr>
            <w:tcW w:w="13675" w:type="dxa"/>
            <w:gridSpan w:val="9"/>
            <w:tcBorders>
              <w:top w:val="nil"/>
              <w:left w:val="nil"/>
              <w:bottom w:val="nil"/>
              <w:right w:val="nil"/>
            </w:tcBorders>
            <w:shd w:val="clear" w:color="auto" w:fill="auto"/>
            <w:vAlign w:val="center"/>
            <w:hideMark/>
          </w:tcPr>
          <w:p w:rsidR="000F31D5" w:rsidRPr="000F31D5" w:rsidP="000F31D5" w14:paraId="439555EA" w14:textId="77777777">
            <w:pPr>
              <w:rPr>
                <w:color w:val="000000"/>
                <w:sz w:val="20"/>
              </w:rPr>
            </w:pPr>
            <w:r w:rsidRPr="000F31D5">
              <w:rPr>
                <w:color w:val="000000"/>
                <w:sz w:val="20"/>
                <w:vertAlign w:val="superscript"/>
              </w:rPr>
              <w:t>a</w:t>
            </w:r>
            <w:r w:rsidRPr="000F31D5">
              <w:rPr>
                <w:color w:val="000000"/>
                <w:sz w:val="20"/>
              </w:rPr>
              <w:t xml:space="preserve">  We have assumed that there are approximately 2847 RICE units and that 10% of the existing units will have new construction/reconstruction.</w:t>
            </w:r>
          </w:p>
        </w:tc>
      </w:tr>
      <w:tr w14:paraId="4217734E" w14:textId="77777777" w:rsidTr="000F31D5">
        <w:tblPrEx>
          <w:tblW w:w="13675" w:type="dxa"/>
          <w:tblLook w:val="04A0"/>
        </w:tblPrEx>
        <w:trPr>
          <w:trHeight w:val="1250"/>
        </w:trPr>
        <w:tc>
          <w:tcPr>
            <w:tcW w:w="13675" w:type="dxa"/>
            <w:gridSpan w:val="9"/>
            <w:tcBorders>
              <w:top w:val="nil"/>
              <w:left w:val="nil"/>
              <w:bottom w:val="nil"/>
              <w:right w:val="nil"/>
            </w:tcBorders>
            <w:shd w:val="clear" w:color="auto" w:fill="auto"/>
            <w:vAlign w:val="bottom"/>
            <w:hideMark/>
          </w:tcPr>
          <w:p w:rsidR="000F31D5" w:rsidRPr="000F31D5" w:rsidP="000F31D5" w14:paraId="5457A9BC" w14:textId="77777777">
            <w:pPr>
              <w:rPr>
                <w:color w:val="000000"/>
                <w:sz w:val="20"/>
              </w:rPr>
            </w:pPr>
            <w:r w:rsidRPr="000F31D5">
              <w:rPr>
                <w:color w:val="000000"/>
                <w:sz w:val="20"/>
                <w:vertAlign w:val="superscript"/>
              </w:rPr>
              <w:t>b</w:t>
            </w:r>
            <w:r w:rsidRPr="000F31D5">
              <w:rPr>
                <w:color w:val="000000"/>
                <w:sz w:val="20"/>
              </w:rPr>
              <w:t xml:space="preserve">  This ICR uses the following labor rates: $161.62 per hour for Executive, Administrative, and Managerial labor; $127.68 per hour for Technical labor, and $64.22 per hour for Clerical labor.  These rates are from the United States Department of Labor, Bureau of Labor Statistics, June 2022, “Table 2. Civilian Workers, by Occupational and Industry group.”  The rates are from column 1, “Total Compensation.”  The rates have been increased by 110 percent to account for the benefit packages available to those employed by private industry.  Archived report releases can be accessed from https://www.bls.gov/bls/news-release/ecec.htm#2021;  from homepage, select Economic Releases, Archived News Releases, Employer Costs for Employee Compensation, Select a past year, Select a published report.</w:t>
            </w:r>
          </w:p>
        </w:tc>
      </w:tr>
      <w:tr w14:paraId="16689870" w14:textId="77777777" w:rsidTr="000F31D5">
        <w:tblPrEx>
          <w:tblW w:w="13675" w:type="dxa"/>
          <w:tblLook w:val="04A0"/>
        </w:tblPrEx>
        <w:trPr>
          <w:trHeight w:val="463"/>
        </w:trPr>
        <w:tc>
          <w:tcPr>
            <w:tcW w:w="13675" w:type="dxa"/>
            <w:gridSpan w:val="9"/>
            <w:tcBorders>
              <w:top w:val="nil"/>
              <w:left w:val="nil"/>
              <w:bottom w:val="nil"/>
              <w:right w:val="nil"/>
            </w:tcBorders>
            <w:shd w:val="clear" w:color="auto" w:fill="auto"/>
            <w:vAlign w:val="center"/>
            <w:hideMark/>
          </w:tcPr>
          <w:p w:rsidR="000F31D5" w:rsidRPr="000F31D5" w:rsidP="000F31D5" w14:paraId="18AF414B" w14:textId="77777777">
            <w:pPr>
              <w:rPr>
                <w:color w:val="000000"/>
                <w:sz w:val="20"/>
              </w:rPr>
            </w:pPr>
            <w:r w:rsidRPr="000F31D5">
              <w:rPr>
                <w:color w:val="000000"/>
                <w:sz w:val="20"/>
                <w:vertAlign w:val="superscript"/>
              </w:rPr>
              <w:t>c</w:t>
            </w:r>
            <w:r w:rsidRPr="000F31D5">
              <w:rPr>
                <w:color w:val="000000"/>
                <w:sz w:val="20"/>
              </w:rPr>
              <w:t xml:space="preserve">  New RICE CPMS performance evaluation conducted annually. We have assumed that 5 percent of respondents would repeat annual CPMS performance evaluation due to failure.</w:t>
            </w:r>
          </w:p>
        </w:tc>
      </w:tr>
      <w:tr w14:paraId="11E98E7F" w14:textId="77777777" w:rsidTr="000F31D5">
        <w:tblPrEx>
          <w:tblW w:w="13675" w:type="dxa"/>
          <w:tblLook w:val="04A0"/>
        </w:tblPrEx>
        <w:trPr>
          <w:trHeight w:val="230"/>
        </w:trPr>
        <w:tc>
          <w:tcPr>
            <w:tcW w:w="13675" w:type="dxa"/>
            <w:gridSpan w:val="9"/>
            <w:tcBorders>
              <w:top w:val="nil"/>
              <w:left w:val="nil"/>
              <w:bottom w:val="nil"/>
              <w:right w:val="nil"/>
            </w:tcBorders>
            <w:shd w:val="clear" w:color="auto" w:fill="auto"/>
            <w:vAlign w:val="center"/>
            <w:hideMark/>
          </w:tcPr>
          <w:p w:rsidR="000F31D5" w:rsidRPr="000F31D5" w:rsidP="000F31D5" w14:paraId="45ACD163" w14:textId="77777777">
            <w:pPr>
              <w:rPr>
                <w:sz w:val="20"/>
              </w:rPr>
            </w:pPr>
            <w:r w:rsidRPr="000F31D5">
              <w:rPr>
                <w:sz w:val="20"/>
                <w:vertAlign w:val="superscript"/>
              </w:rPr>
              <w:t>d</w:t>
            </w:r>
            <w:r w:rsidRPr="000F31D5">
              <w:rPr>
                <w:sz w:val="20"/>
              </w:rPr>
              <w:t xml:space="preserve">  We have assumed that 5 percent of respondents would repeat annual CPMS performance evaluation due to failure.</w:t>
            </w:r>
          </w:p>
        </w:tc>
      </w:tr>
      <w:tr w14:paraId="1C2DBF80" w14:textId="77777777" w:rsidTr="000F31D5">
        <w:tblPrEx>
          <w:tblW w:w="13675" w:type="dxa"/>
          <w:tblLook w:val="04A0"/>
        </w:tblPrEx>
        <w:trPr>
          <w:trHeight w:val="310"/>
        </w:trPr>
        <w:tc>
          <w:tcPr>
            <w:tcW w:w="13675" w:type="dxa"/>
            <w:gridSpan w:val="9"/>
            <w:tcBorders>
              <w:top w:val="nil"/>
              <w:left w:val="nil"/>
              <w:bottom w:val="nil"/>
              <w:right w:val="nil"/>
            </w:tcBorders>
            <w:shd w:val="clear" w:color="auto" w:fill="auto"/>
            <w:noWrap/>
            <w:vAlign w:val="center"/>
            <w:hideMark/>
          </w:tcPr>
          <w:p w:rsidR="000F31D5" w:rsidRPr="000F31D5" w:rsidP="000F31D5" w14:paraId="480C5535" w14:textId="77777777">
            <w:pPr>
              <w:rPr>
                <w:color w:val="000000"/>
                <w:sz w:val="20"/>
              </w:rPr>
            </w:pPr>
            <w:r w:rsidRPr="000F31D5">
              <w:rPr>
                <w:color w:val="000000"/>
                <w:sz w:val="20"/>
                <w:vertAlign w:val="superscript"/>
              </w:rPr>
              <w:t>e</w:t>
            </w:r>
            <w:r w:rsidRPr="000F31D5">
              <w:rPr>
                <w:color w:val="000000"/>
                <w:sz w:val="20"/>
              </w:rPr>
              <w:t xml:space="preserve">  Calibration drift checks on the air flow sensor on the NOx CEMS are performed daily. </w:t>
            </w:r>
          </w:p>
        </w:tc>
      </w:tr>
      <w:tr w14:paraId="1CE38567" w14:textId="77777777" w:rsidTr="000F31D5">
        <w:tblPrEx>
          <w:tblW w:w="13675" w:type="dxa"/>
          <w:tblLook w:val="04A0"/>
        </w:tblPrEx>
        <w:trPr>
          <w:trHeight w:val="283"/>
        </w:trPr>
        <w:tc>
          <w:tcPr>
            <w:tcW w:w="13675" w:type="dxa"/>
            <w:gridSpan w:val="9"/>
            <w:tcBorders>
              <w:top w:val="nil"/>
              <w:left w:val="nil"/>
              <w:bottom w:val="nil"/>
              <w:right w:val="nil"/>
            </w:tcBorders>
            <w:shd w:val="clear" w:color="auto" w:fill="auto"/>
            <w:hideMark/>
          </w:tcPr>
          <w:p w:rsidR="000F31D5" w:rsidRPr="000F31D5" w:rsidP="000F31D5" w14:paraId="221864E6" w14:textId="77777777">
            <w:pPr>
              <w:rPr>
                <w:color w:val="000000"/>
                <w:sz w:val="20"/>
              </w:rPr>
            </w:pPr>
            <w:r w:rsidRPr="000F31D5">
              <w:rPr>
                <w:color w:val="000000"/>
                <w:sz w:val="20"/>
                <w:vertAlign w:val="superscript"/>
              </w:rPr>
              <w:t>f</w:t>
            </w:r>
            <w:r w:rsidRPr="000F31D5">
              <w:rPr>
                <w:color w:val="000000"/>
                <w:sz w:val="20"/>
              </w:rPr>
              <w:t xml:space="preserve">  Totals have been rounded to 3 significant figures.  Figures may not add exactly due to rounding.</w:t>
            </w:r>
          </w:p>
        </w:tc>
      </w:tr>
      <w:tr w14:paraId="05955ADE" w14:textId="77777777" w:rsidTr="000F31D5">
        <w:tblPrEx>
          <w:tblW w:w="13675" w:type="dxa"/>
          <w:tblLook w:val="04A0"/>
        </w:tblPrEx>
        <w:trPr>
          <w:trHeight w:val="300"/>
        </w:trPr>
        <w:tc>
          <w:tcPr>
            <w:tcW w:w="13675" w:type="dxa"/>
            <w:gridSpan w:val="9"/>
            <w:tcBorders>
              <w:top w:val="nil"/>
              <w:left w:val="nil"/>
              <w:bottom w:val="nil"/>
              <w:right w:val="nil"/>
            </w:tcBorders>
            <w:shd w:val="clear" w:color="auto" w:fill="auto"/>
            <w:hideMark/>
          </w:tcPr>
          <w:p w:rsidR="000F31D5" w:rsidRPr="000F31D5" w:rsidP="000F31D5" w14:paraId="5F817C95" w14:textId="77777777">
            <w:pPr>
              <w:rPr>
                <w:color w:val="000000"/>
                <w:sz w:val="20"/>
              </w:rPr>
            </w:pPr>
            <w:r w:rsidRPr="000F31D5">
              <w:rPr>
                <w:color w:val="000000"/>
                <w:sz w:val="20"/>
                <w:vertAlign w:val="superscript"/>
              </w:rPr>
              <w:t>g</w:t>
            </w:r>
            <w:r w:rsidRPr="000F31D5">
              <w:rPr>
                <w:color w:val="000000"/>
                <w:sz w:val="20"/>
              </w:rPr>
              <w:t xml:space="preserve">  "Hours per Occurrence" based on RICE MACT uploaded to regulations.gov on February 25, 2020.</w:t>
            </w:r>
          </w:p>
        </w:tc>
      </w:tr>
      <w:tr w14:paraId="1692BE99" w14:textId="77777777" w:rsidTr="000F31D5">
        <w:tblPrEx>
          <w:tblW w:w="13675" w:type="dxa"/>
          <w:tblLook w:val="04A0"/>
        </w:tblPrEx>
        <w:trPr>
          <w:trHeight w:val="1783"/>
        </w:trPr>
        <w:tc>
          <w:tcPr>
            <w:tcW w:w="13675" w:type="dxa"/>
            <w:gridSpan w:val="9"/>
            <w:tcBorders>
              <w:top w:val="nil"/>
              <w:left w:val="nil"/>
              <w:bottom w:val="nil"/>
              <w:right w:val="nil"/>
            </w:tcBorders>
            <w:shd w:val="clear" w:color="auto" w:fill="auto"/>
            <w:hideMark/>
          </w:tcPr>
          <w:p w:rsidR="000F31D5" w:rsidRPr="000F31D5" w:rsidP="000F31D5" w14:paraId="4DCB97FE" w14:textId="77777777">
            <w:pPr>
              <w:rPr>
                <w:color w:val="000000"/>
                <w:sz w:val="20"/>
              </w:rPr>
            </w:pPr>
            <w:r w:rsidRPr="000F31D5">
              <w:rPr>
                <w:color w:val="000000"/>
                <w:sz w:val="20"/>
                <w:vertAlign w:val="superscript"/>
              </w:rPr>
              <w:t>h</w:t>
            </w:r>
            <w:r w:rsidRPr="000F31D5">
              <w:rPr>
                <w:color w:val="000000"/>
                <w:sz w:val="20"/>
              </w:rPr>
              <w:t xml:space="preserve">  RICE engines required to conduct initial and annual NOx performance testing is based upon an estimated count of non-EPA-Certified Engines per 40 CFR part 60, subpart JJJJ.  An estimated count of EPA-Certified Engines of 1,594 (56% of affected engines) was determined from 2019 NEI data using the criteria of certification requirements referenced in 40 CFR part 60, subpart JJJJ, § 60.4243(a).  An estimated count of non-certified engines of 1,253 (44% of affected engines) was based upon the stated Unit Status Year data available from 2019 NEI dataset for units expecting to be controlled.  The estimated 1,253 non-certified engines was found to be in alignment with EPA's estimated number of engines (2,100) which were determined to be below the 21 tpy threshold of the facility-wide averaging plan's engine analysis as described in EPA's final non-EGU TSD.  This estimate is expected for engines subject to NSPS subpart JJJJ operating at a lower g/hp-hr emissions thresholds.</w:t>
            </w:r>
          </w:p>
        </w:tc>
      </w:tr>
    </w:tbl>
    <w:p w:rsidR="00AE1621" w:rsidP="007A5A52" w14:paraId="049F0CEC" w14:textId="77777777">
      <w:pPr>
        <w:rPr>
          <w:b/>
          <w:bCs/>
          <w:szCs w:val="24"/>
        </w:rPr>
      </w:pPr>
    </w:p>
    <w:p w:rsidR="00D17F6A" w:rsidP="00D304E5" w14:paraId="1DBD1468" w14:textId="7E814FB9">
      <w:pPr>
        <w:ind w:firstLine="153"/>
        <w:rPr>
          <w:b/>
          <w:bCs/>
          <w:szCs w:val="24"/>
        </w:rPr>
      </w:pPr>
      <w:r w:rsidRPr="00D17F6A">
        <w:rPr>
          <w:b/>
          <w:bCs/>
          <w:szCs w:val="24"/>
        </w:rPr>
        <w:t xml:space="preserve">Table </w:t>
      </w:r>
      <w:r>
        <w:rPr>
          <w:b/>
          <w:bCs/>
          <w:szCs w:val="24"/>
        </w:rPr>
        <w:t>2</w:t>
      </w:r>
      <w:r w:rsidRPr="00D17F6A">
        <w:rPr>
          <w:b/>
          <w:bCs/>
          <w:szCs w:val="24"/>
        </w:rPr>
        <w:t xml:space="preserve">: </w:t>
      </w:r>
      <w:r>
        <w:rPr>
          <w:b/>
          <w:bCs/>
          <w:szCs w:val="24"/>
        </w:rPr>
        <w:t xml:space="preserve">Annual </w:t>
      </w:r>
      <w:r w:rsidRPr="00D17F6A">
        <w:rPr>
          <w:b/>
          <w:bCs/>
          <w:szCs w:val="24"/>
        </w:rPr>
        <w:t xml:space="preserve">Respondent Burden and Cost – Pipeline Transportation of Natural Gas, </w:t>
      </w:r>
      <w:r>
        <w:rPr>
          <w:b/>
          <w:bCs/>
          <w:szCs w:val="24"/>
        </w:rPr>
        <w:t>Year 2</w:t>
      </w:r>
    </w:p>
    <w:p w:rsidR="000405A7" w:rsidP="00DF63C7" w14:paraId="41DC5568" w14:textId="3E38EBD4">
      <w:pPr>
        <w:tabs>
          <w:tab w:val="left" w:pos="7719"/>
        </w:tabs>
        <w:ind w:firstLine="153"/>
        <w:rPr>
          <w:b/>
          <w:bCs/>
          <w:szCs w:val="24"/>
        </w:rPr>
      </w:pPr>
      <w:r>
        <w:rPr>
          <w:b/>
          <w:bCs/>
          <w:szCs w:val="24"/>
        </w:rPr>
        <w:tab/>
      </w:r>
    </w:p>
    <w:tbl>
      <w:tblPr>
        <w:tblW w:w="13640" w:type="dxa"/>
        <w:tblLook w:val="04A0"/>
      </w:tblPr>
      <w:tblGrid>
        <w:gridCol w:w="3320"/>
        <w:gridCol w:w="1138"/>
        <w:gridCol w:w="1320"/>
        <w:gridCol w:w="1240"/>
        <w:gridCol w:w="1340"/>
        <w:gridCol w:w="1160"/>
        <w:gridCol w:w="1280"/>
        <w:gridCol w:w="1260"/>
        <w:gridCol w:w="1600"/>
      </w:tblGrid>
      <w:tr w14:paraId="0AC05AD2" w14:textId="77777777" w:rsidTr="00182AF7">
        <w:tblPrEx>
          <w:tblW w:w="13640" w:type="dxa"/>
          <w:tblLook w:val="04A0"/>
        </w:tblPrEx>
        <w:trPr>
          <w:trHeight w:val="1300"/>
        </w:trPr>
        <w:tc>
          <w:tcPr>
            <w:tcW w:w="3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2AF7" w:rsidRPr="00182AF7" w:rsidP="00182AF7" w14:paraId="67D04EAF" w14:textId="77777777">
            <w:pPr>
              <w:jc w:val="center"/>
              <w:rPr>
                <w:b/>
                <w:bCs/>
                <w:color w:val="000000"/>
                <w:sz w:val="20"/>
              </w:rPr>
            </w:pPr>
            <w:r w:rsidRPr="00182AF7">
              <w:rPr>
                <w:b/>
                <w:bCs/>
                <w:color w:val="000000"/>
                <w:sz w:val="20"/>
              </w:rPr>
              <w:t>Burden Item</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182AF7" w:rsidRPr="00182AF7" w:rsidP="00182AF7" w14:paraId="3D678789" w14:textId="77777777">
            <w:pPr>
              <w:jc w:val="center"/>
              <w:rPr>
                <w:color w:val="000000"/>
                <w:sz w:val="20"/>
              </w:rPr>
            </w:pPr>
            <w:r w:rsidRPr="00182AF7">
              <w:rPr>
                <w:color w:val="000000"/>
                <w:sz w:val="20"/>
              </w:rPr>
              <w:t>(A)</w:t>
            </w:r>
            <w:r w:rsidRPr="00182AF7">
              <w:rPr>
                <w:color w:val="000000"/>
                <w:sz w:val="20"/>
              </w:rPr>
              <w:br/>
            </w:r>
            <w:r w:rsidRPr="00182AF7">
              <w:rPr>
                <w:color w:val="000000"/>
                <w:sz w:val="20"/>
              </w:rPr>
              <w:t>Hours per Occurrence</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182AF7" w:rsidRPr="00182AF7" w:rsidP="00182AF7" w14:paraId="47C76531" w14:textId="77777777">
            <w:pPr>
              <w:jc w:val="center"/>
              <w:rPr>
                <w:sz w:val="20"/>
              </w:rPr>
            </w:pPr>
            <w:r w:rsidRPr="00182AF7">
              <w:rPr>
                <w:sz w:val="20"/>
              </w:rPr>
              <w:t>(B)</w:t>
            </w:r>
            <w:r w:rsidRPr="00182AF7">
              <w:rPr>
                <w:sz w:val="20"/>
              </w:rPr>
              <w:br/>
            </w:r>
            <w:r w:rsidRPr="00182AF7">
              <w:rPr>
                <w:sz w:val="20"/>
              </w:rPr>
              <w:t>Occurrences/ Respondent/ Year</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182AF7" w:rsidRPr="00182AF7" w:rsidP="00182AF7" w14:paraId="4781DB26" w14:textId="77777777">
            <w:pPr>
              <w:jc w:val="center"/>
              <w:rPr>
                <w:color w:val="000000"/>
                <w:sz w:val="20"/>
              </w:rPr>
            </w:pPr>
            <w:r w:rsidRPr="00182AF7">
              <w:rPr>
                <w:color w:val="000000"/>
                <w:sz w:val="20"/>
              </w:rPr>
              <w:t>(C)</w:t>
            </w:r>
            <w:r w:rsidRPr="00182AF7">
              <w:rPr>
                <w:color w:val="000000"/>
                <w:sz w:val="20"/>
              </w:rPr>
              <w:br/>
            </w:r>
            <w:r w:rsidRPr="00182AF7">
              <w:rPr>
                <w:color w:val="000000"/>
                <w:sz w:val="20"/>
              </w:rPr>
              <w:t xml:space="preserve">Hours/ Respondent/ Year </w:t>
            </w:r>
            <w:r w:rsidRPr="00182AF7">
              <w:rPr>
                <w:color w:val="000000"/>
                <w:sz w:val="20"/>
              </w:rPr>
              <w:br/>
            </w:r>
            <w:r w:rsidRPr="00182AF7">
              <w:rPr>
                <w:color w:val="000000"/>
                <w:sz w:val="20"/>
              </w:rPr>
              <w:t>(A x B)</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182AF7" w:rsidRPr="00182AF7" w:rsidP="00182AF7" w14:paraId="5BC10C2E" w14:textId="77777777">
            <w:pPr>
              <w:jc w:val="center"/>
              <w:rPr>
                <w:sz w:val="20"/>
              </w:rPr>
            </w:pPr>
            <w:r w:rsidRPr="00182AF7">
              <w:rPr>
                <w:sz w:val="20"/>
              </w:rPr>
              <w:t>(D)</w:t>
            </w:r>
            <w:r w:rsidRPr="00182AF7">
              <w:rPr>
                <w:sz w:val="20"/>
              </w:rPr>
              <w:br/>
            </w:r>
            <w:r w:rsidRPr="00182AF7">
              <w:rPr>
                <w:sz w:val="20"/>
              </w:rPr>
              <w:t>Respondents/</w:t>
            </w:r>
            <w:r w:rsidRPr="00182AF7">
              <w:rPr>
                <w:sz w:val="20"/>
              </w:rPr>
              <w:br/>
            </w:r>
            <w:r w:rsidRPr="00182AF7">
              <w:rPr>
                <w:sz w:val="20"/>
              </w:rPr>
              <w:t>Year</w:t>
            </w:r>
            <w:r w:rsidRPr="00182AF7">
              <w:rPr>
                <w:sz w:val="20"/>
                <w:vertAlign w:val="superscript"/>
              </w:rPr>
              <w:t>a</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182AF7" w:rsidRPr="00182AF7" w:rsidP="00182AF7" w14:paraId="17FD3693" w14:textId="77777777">
            <w:pPr>
              <w:jc w:val="center"/>
              <w:rPr>
                <w:color w:val="000000"/>
                <w:sz w:val="20"/>
              </w:rPr>
            </w:pPr>
            <w:r w:rsidRPr="00182AF7">
              <w:rPr>
                <w:color w:val="000000"/>
                <w:sz w:val="20"/>
              </w:rPr>
              <w:t>(E)</w:t>
            </w:r>
            <w:r w:rsidRPr="00182AF7">
              <w:rPr>
                <w:color w:val="000000"/>
                <w:sz w:val="20"/>
              </w:rPr>
              <w:br/>
            </w:r>
            <w:r w:rsidRPr="00182AF7">
              <w:rPr>
                <w:color w:val="000000"/>
                <w:sz w:val="20"/>
              </w:rPr>
              <w:t xml:space="preserve">Technical Hours/Year </w:t>
            </w:r>
            <w:r w:rsidRPr="00182AF7">
              <w:rPr>
                <w:color w:val="000000"/>
                <w:sz w:val="20"/>
              </w:rPr>
              <w:br/>
            </w:r>
            <w:r w:rsidRPr="00182AF7">
              <w:rPr>
                <w:color w:val="000000"/>
                <w:sz w:val="20"/>
              </w:rPr>
              <w:t>(C x D)</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182AF7" w:rsidRPr="00182AF7" w:rsidP="00182AF7" w14:paraId="68237486" w14:textId="77777777">
            <w:pPr>
              <w:jc w:val="center"/>
              <w:rPr>
                <w:color w:val="000000"/>
                <w:sz w:val="20"/>
              </w:rPr>
            </w:pPr>
            <w:r w:rsidRPr="00182AF7">
              <w:rPr>
                <w:color w:val="000000"/>
                <w:sz w:val="20"/>
              </w:rPr>
              <w:t xml:space="preserve">(F) Managerial Hours/Year </w:t>
            </w:r>
            <w:r w:rsidRPr="00182AF7">
              <w:rPr>
                <w:color w:val="000000"/>
                <w:sz w:val="20"/>
              </w:rPr>
              <w:br/>
            </w:r>
            <w:r w:rsidRPr="00182AF7">
              <w:rPr>
                <w:color w:val="000000"/>
                <w:sz w:val="20"/>
              </w:rPr>
              <w:t>(E x 0.05)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182AF7" w:rsidRPr="00182AF7" w:rsidP="00182AF7" w14:paraId="333A31B1" w14:textId="77777777">
            <w:pPr>
              <w:jc w:val="center"/>
              <w:rPr>
                <w:color w:val="000000"/>
                <w:sz w:val="20"/>
              </w:rPr>
            </w:pPr>
            <w:r w:rsidRPr="00182AF7">
              <w:rPr>
                <w:color w:val="000000"/>
                <w:sz w:val="20"/>
              </w:rPr>
              <w:t xml:space="preserve">(G) </w:t>
            </w:r>
            <w:r w:rsidRPr="00182AF7">
              <w:rPr>
                <w:color w:val="000000"/>
                <w:sz w:val="20"/>
              </w:rPr>
              <w:br/>
            </w:r>
            <w:r w:rsidRPr="00182AF7">
              <w:rPr>
                <w:color w:val="000000"/>
                <w:sz w:val="20"/>
              </w:rPr>
              <w:t xml:space="preserve">Clerical Hours/Year </w:t>
            </w:r>
            <w:r w:rsidRPr="00182AF7">
              <w:rPr>
                <w:color w:val="000000"/>
                <w:sz w:val="20"/>
              </w:rPr>
              <w:br/>
            </w:r>
            <w:r w:rsidRPr="00182AF7">
              <w:rPr>
                <w:color w:val="000000"/>
                <w:sz w:val="20"/>
              </w:rPr>
              <w:t>(E x 0.10)</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182AF7" w:rsidRPr="00182AF7" w:rsidP="00182AF7" w14:paraId="5A911430" w14:textId="77777777">
            <w:pPr>
              <w:jc w:val="center"/>
              <w:rPr>
                <w:color w:val="000000"/>
                <w:sz w:val="20"/>
              </w:rPr>
            </w:pPr>
            <w:r w:rsidRPr="00182AF7">
              <w:rPr>
                <w:color w:val="000000"/>
                <w:sz w:val="20"/>
              </w:rPr>
              <w:t>(H)</w:t>
            </w:r>
            <w:r w:rsidRPr="00182AF7">
              <w:rPr>
                <w:color w:val="000000"/>
                <w:sz w:val="20"/>
              </w:rPr>
              <w:br/>
            </w:r>
            <w:r w:rsidRPr="00182AF7">
              <w:rPr>
                <w:color w:val="000000"/>
                <w:sz w:val="20"/>
              </w:rPr>
              <w:t>Cost/ Year</w:t>
            </w:r>
            <w:r w:rsidRPr="00182AF7">
              <w:rPr>
                <w:color w:val="000000"/>
                <w:sz w:val="20"/>
                <w:vertAlign w:val="superscript"/>
              </w:rPr>
              <w:t>b</w:t>
            </w:r>
          </w:p>
        </w:tc>
      </w:tr>
      <w:tr w14:paraId="4647D59D" w14:textId="77777777" w:rsidTr="00182AF7">
        <w:tblPrEx>
          <w:tblW w:w="13640" w:type="dxa"/>
          <w:tblLook w:val="04A0"/>
        </w:tblPrEx>
        <w:trPr>
          <w:trHeight w:val="26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1068D48D" w14:textId="77777777">
            <w:pPr>
              <w:rPr>
                <w:color w:val="000000"/>
                <w:sz w:val="20"/>
              </w:rPr>
            </w:pPr>
            <w:r w:rsidRPr="00182AF7">
              <w:rPr>
                <w:color w:val="000000"/>
                <w:sz w:val="20"/>
              </w:rPr>
              <w:t xml:space="preserve">1. APPLICATIONS </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20AEE9C9" w14:textId="77777777">
            <w:pPr>
              <w:jc w:val="center"/>
              <w:rPr>
                <w:color w:val="000000"/>
                <w:sz w:val="20"/>
              </w:rPr>
            </w:pPr>
            <w:r w:rsidRPr="00182AF7">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714B7F36" w14:textId="77777777">
            <w:pPr>
              <w:jc w:val="right"/>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785C277C" w14:textId="77777777">
            <w:pPr>
              <w:jc w:val="right"/>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182AF7" w:rsidRPr="00182AF7" w:rsidP="00182AF7" w14:paraId="0263BD68" w14:textId="77777777">
            <w:pPr>
              <w:jc w:val="right"/>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4765EDE9" w14:textId="77777777">
            <w:pPr>
              <w:jc w:val="right"/>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2C64E727"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3604960A" w14:textId="77777777">
            <w:pPr>
              <w:jc w:val="right"/>
              <w:rPr>
                <w:color w:val="000000"/>
                <w:sz w:val="20"/>
              </w:rPr>
            </w:pPr>
            <w:r w:rsidRPr="00182AF7">
              <w:rPr>
                <w:color w:val="000000"/>
                <w:sz w:val="20"/>
              </w:rPr>
              <w:t> </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68FCD36C" w14:textId="77777777">
            <w:pPr>
              <w:jc w:val="right"/>
              <w:rPr>
                <w:color w:val="000000"/>
                <w:sz w:val="20"/>
              </w:rPr>
            </w:pPr>
            <w:r w:rsidRPr="00182AF7">
              <w:rPr>
                <w:color w:val="000000"/>
                <w:sz w:val="20"/>
              </w:rPr>
              <w:t> </w:t>
            </w:r>
          </w:p>
        </w:tc>
      </w:tr>
      <w:tr w14:paraId="0F067BDD" w14:textId="77777777" w:rsidTr="00182AF7">
        <w:tblPrEx>
          <w:tblW w:w="13640" w:type="dxa"/>
          <w:tblLook w:val="04A0"/>
        </w:tblPrEx>
        <w:trPr>
          <w:trHeight w:val="53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4CDAB9C8" w14:textId="77777777">
            <w:pPr>
              <w:rPr>
                <w:color w:val="000000"/>
                <w:sz w:val="20"/>
              </w:rPr>
            </w:pPr>
            <w:r w:rsidRPr="00182AF7">
              <w:rPr>
                <w:color w:val="000000"/>
                <w:sz w:val="20"/>
              </w:rPr>
              <w:t xml:space="preserve">2. SURVEY AND STUDIES </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7E160E03" w14:textId="77777777">
            <w:pPr>
              <w:jc w:val="center"/>
              <w:rPr>
                <w:color w:val="000000"/>
                <w:sz w:val="20"/>
              </w:rPr>
            </w:pPr>
            <w:r w:rsidRPr="00182AF7">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2F24798F" w14:textId="77777777">
            <w:pPr>
              <w:jc w:val="right"/>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25582F27" w14:textId="77777777">
            <w:pPr>
              <w:jc w:val="right"/>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182AF7" w:rsidRPr="00182AF7" w:rsidP="00182AF7" w14:paraId="4315BA98" w14:textId="77777777">
            <w:pPr>
              <w:jc w:val="right"/>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33A42160" w14:textId="77777777">
            <w:pPr>
              <w:jc w:val="right"/>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3AA136A5"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55BA1874" w14:textId="77777777">
            <w:pPr>
              <w:jc w:val="right"/>
              <w:rPr>
                <w:color w:val="000000"/>
                <w:sz w:val="20"/>
              </w:rPr>
            </w:pPr>
            <w:r w:rsidRPr="00182AF7">
              <w:rPr>
                <w:color w:val="000000"/>
                <w:sz w:val="20"/>
              </w:rPr>
              <w:t> </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5F49030A" w14:textId="77777777">
            <w:pPr>
              <w:jc w:val="right"/>
              <w:rPr>
                <w:color w:val="000000"/>
                <w:sz w:val="20"/>
              </w:rPr>
            </w:pPr>
            <w:r w:rsidRPr="00182AF7">
              <w:rPr>
                <w:color w:val="000000"/>
                <w:sz w:val="20"/>
              </w:rPr>
              <w:t> </w:t>
            </w:r>
          </w:p>
        </w:tc>
      </w:tr>
      <w:tr w14:paraId="78C5634D" w14:textId="77777777" w:rsidTr="00182AF7">
        <w:tblPrEx>
          <w:tblW w:w="13640" w:type="dxa"/>
          <w:tblLook w:val="04A0"/>
        </w:tblPrEx>
        <w:trPr>
          <w:trHeight w:val="116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06CA8FFA" w14:textId="77777777">
            <w:pPr>
              <w:rPr>
                <w:color w:val="000000"/>
                <w:sz w:val="20"/>
              </w:rPr>
            </w:pPr>
            <w:r w:rsidRPr="00182AF7">
              <w:rPr>
                <w:color w:val="000000"/>
                <w:sz w:val="20"/>
              </w:rPr>
              <w:t>3.ACQUISITION, INSTALLATION, AND UTILIZATION OF TECHNOLOGY AND SYSTEMS</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24021043" w14:textId="77777777">
            <w:pPr>
              <w:jc w:val="center"/>
              <w:rPr>
                <w:color w:val="000000"/>
                <w:sz w:val="20"/>
              </w:rPr>
            </w:pPr>
            <w:r w:rsidRPr="00182AF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7E3694C8"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0EF6B093" w14:textId="77777777">
            <w:pPr>
              <w:jc w:val="center"/>
              <w:rPr>
                <w:color w:val="000000"/>
                <w:sz w:val="20"/>
              </w:rPr>
            </w:pPr>
            <w:r w:rsidRPr="00182AF7">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182AF7" w:rsidRPr="00182AF7" w:rsidP="00182AF7" w14:paraId="28E0AAE1" w14:textId="77777777">
            <w:pPr>
              <w:jc w:val="center"/>
              <w:rPr>
                <w:sz w:val="20"/>
              </w:rPr>
            </w:pPr>
            <w:r w:rsidRPr="00182AF7">
              <w:rPr>
                <w:sz w:val="20"/>
              </w:rPr>
              <w:t>0.00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4E084B69" w14:textId="77777777">
            <w:pPr>
              <w:jc w:val="center"/>
              <w:rPr>
                <w:color w:val="000000"/>
                <w:sz w:val="20"/>
              </w:rPr>
            </w:pPr>
            <w:r w:rsidRPr="00182AF7">
              <w:rPr>
                <w:color w:val="000000"/>
                <w:sz w:val="20"/>
              </w:rPr>
              <w:t>0.00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2F41D489" w14:textId="77777777">
            <w:pPr>
              <w:jc w:val="center"/>
              <w:rPr>
                <w:color w:val="000000"/>
                <w:sz w:val="20"/>
              </w:rPr>
            </w:pPr>
            <w:r w:rsidRPr="00182AF7">
              <w:rPr>
                <w:color w:val="000000"/>
                <w:sz w:val="20"/>
              </w:rPr>
              <w:t>0.00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0B835A00" w14:textId="77777777">
            <w:pPr>
              <w:jc w:val="center"/>
              <w:rPr>
                <w:color w:val="000000"/>
                <w:sz w:val="20"/>
              </w:rPr>
            </w:pPr>
            <w:r w:rsidRPr="00182AF7">
              <w:rPr>
                <w:color w:val="000000"/>
                <w:sz w:val="20"/>
              </w:rPr>
              <w:t>0.00</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49205764" w14:textId="77777777">
            <w:pPr>
              <w:jc w:val="right"/>
              <w:rPr>
                <w:color w:val="000000"/>
                <w:sz w:val="20"/>
              </w:rPr>
            </w:pPr>
            <w:r w:rsidRPr="00182AF7">
              <w:rPr>
                <w:color w:val="000000"/>
                <w:sz w:val="20"/>
              </w:rPr>
              <w:t xml:space="preserve">$0 </w:t>
            </w:r>
          </w:p>
        </w:tc>
      </w:tr>
      <w:tr w14:paraId="557C1627" w14:textId="77777777" w:rsidTr="00182AF7">
        <w:tblPrEx>
          <w:tblW w:w="13640" w:type="dxa"/>
          <w:tblLook w:val="04A0"/>
        </w:tblPrEx>
        <w:trPr>
          <w:trHeight w:val="26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477F8838" w14:textId="77777777">
            <w:pPr>
              <w:rPr>
                <w:color w:val="000000"/>
                <w:sz w:val="20"/>
              </w:rPr>
            </w:pPr>
            <w:r w:rsidRPr="00182AF7">
              <w:rPr>
                <w:color w:val="000000"/>
                <w:sz w:val="20"/>
              </w:rPr>
              <w:t>4. REPORT REQUIREMENTS</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0299A0F1" w14:textId="77777777">
            <w:pPr>
              <w:jc w:val="center"/>
              <w:rPr>
                <w:color w:val="000000"/>
                <w:sz w:val="20"/>
              </w:rPr>
            </w:pPr>
            <w:r w:rsidRPr="00182AF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5ABFF3CC" w14:textId="77777777">
            <w:pPr>
              <w:jc w:val="center"/>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10F8C66F" w14:textId="77777777">
            <w:pPr>
              <w:jc w:val="center"/>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182AF7" w:rsidRPr="00182AF7" w:rsidP="00182AF7" w14:paraId="32E15B54" w14:textId="77777777">
            <w:pPr>
              <w:jc w:val="center"/>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0A79788A" w14:textId="77777777">
            <w:pPr>
              <w:jc w:val="center"/>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7112037F" w14:textId="77777777">
            <w:pPr>
              <w:jc w:val="center"/>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5B1D1645" w14:textId="77777777">
            <w:pPr>
              <w:jc w:val="center"/>
              <w:rPr>
                <w:color w:val="000000"/>
                <w:sz w:val="20"/>
              </w:rPr>
            </w:pPr>
            <w:r w:rsidRPr="00182AF7">
              <w:rPr>
                <w:color w:val="000000"/>
                <w:sz w:val="20"/>
              </w:rPr>
              <w:t> </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05EC4E14" w14:textId="77777777">
            <w:pPr>
              <w:jc w:val="right"/>
              <w:rPr>
                <w:color w:val="000000"/>
                <w:sz w:val="20"/>
              </w:rPr>
            </w:pPr>
            <w:r w:rsidRPr="00182AF7">
              <w:rPr>
                <w:color w:val="000000"/>
                <w:sz w:val="20"/>
              </w:rPr>
              <w:t> </w:t>
            </w:r>
          </w:p>
        </w:tc>
      </w:tr>
      <w:tr w14:paraId="148C36AF" w14:textId="77777777" w:rsidTr="00182AF7">
        <w:tblPrEx>
          <w:tblW w:w="13640" w:type="dxa"/>
          <w:tblLook w:val="04A0"/>
        </w:tblPrEx>
        <w:trPr>
          <w:trHeight w:val="59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146ABB8D" w14:textId="77777777">
            <w:pPr>
              <w:rPr>
                <w:color w:val="000000"/>
                <w:sz w:val="20"/>
              </w:rPr>
            </w:pPr>
            <w:r w:rsidRPr="00182AF7">
              <w:rPr>
                <w:color w:val="000000"/>
                <w:sz w:val="20"/>
              </w:rPr>
              <w:t>A. Familiarize with regulatory requirement</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5DA9BA7B" w14:textId="77777777">
            <w:pPr>
              <w:jc w:val="center"/>
              <w:rPr>
                <w:color w:val="000000"/>
                <w:sz w:val="20"/>
              </w:rPr>
            </w:pPr>
            <w:r w:rsidRPr="00182AF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5363EB9B"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3B527ADE" w14:textId="77777777">
            <w:pPr>
              <w:jc w:val="center"/>
              <w:rPr>
                <w:color w:val="000000"/>
                <w:sz w:val="20"/>
              </w:rPr>
            </w:pPr>
            <w:r w:rsidRPr="00182AF7">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182AF7" w:rsidRPr="00182AF7" w:rsidP="00182AF7" w14:paraId="66405D27" w14:textId="77777777">
            <w:pPr>
              <w:jc w:val="center"/>
              <w:rPr>
                <w:sz w:val="20"/>
              </w:rPr>
            </w:pPr>
            <w:r w:rsidRPr="00182AF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4E429E73"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6CC5703A"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6D6F41BA" w14:textId="77777777">
            <w:pPr>
              <w:jc w:val="center"/>
              <w:rPr>
                <w:color w:val="000000"/>
                <w:sz w:val="20"/>
              </w:rPr>
            </w:pPr>
            <w:r w:rsidRPr="00182AF7">
              <w:rPr>
                <w:color w:val="000000"/>
                <w:sz w:val="20"/>
              </w:rPr>
              <w:t>0</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603962B2" w14:textId="77777777">
            <w:pPr>
              <w:jc w:val="right"/>
              <w:rPr>
                <w:color w:val="000000"/>
                <w:sz w:val="20"/>
              </w:rPr>
            </w:pPr>
            <w:r w:rsidRPr="00182AF7">
              <w:rPr>
                <w:color w:val="000000"/>
                <w:sz w:val="20"/>
              </w:rPr>
              <w:t xml:space="preserve">$0.00 </w:t>
            </w:r>
          </w:p>
        </w:tc>
      </w:tr>
      <w:tr w14:paraId="23F0DC70" w14:textId="77777777" w:rsidTr="00182AF7">
        <w:tblPrEx>
          <w:tblW w:w="13640" w:type="dxa"/>
          <w:tblLook w:val="04A0"/>
        </w:tblPrEx>
        <w:trPr>
          <w:trHeight w:val="315"/>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621AA041" w14:textId="77777777">
            <w:pPr>
              <w:rPr>
                <w:color w:val="000000"/>
                <w:sz w:val="20"/>
              </w:rPr>
            </w:pPr>
            <w:r w:rsidRPr="00182AF7">
              <w:rPr>
                <w:color w:val="000000"/>
                <w:sz w:val="20"/>
              </w:rPr>
              <w:t>B. Required Activities</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3282BECC" w14:textId="77777777">
            <w:pPr>
              <w:jc w:val="center"/>
              <w:rPr>
                <w:color w:val="000000"/>
                <w:sz w:val="20"/>
              </w:rPr>
            </w:pPr>
            <w:r w:rsidRPr="00182AF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5CDE6223" w14:textId="77777777">
            <w:pPr>
              <w:jc w:val="center"/>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5A67C43C" w14:textId="77777777">
            <w:pPr>
              <w:jc w:val="center"/>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182AF7" w:rsidRPr="00182AF7" w:rsidP="00182AF7" w14:paraId="59E024BC" w14:textId="77777777">
            <w:pPr>
              <w:jc w:val="center"/>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06EE3291" w14:textId="77777777">
            <w:pPr>
              <w:jc w:val="center"/>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7B169839" w14:textId="77777777">
            <w:pPr>
              <w:jc w:val="center"/>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2CDAC1B6" w14:textId="77777777">
            <w:pPr>
              <w:jc w:val="center"/>
              <w:rPr>
                <w:color w:val="000000"/>
                <w:sz w:val="20"/>
              </w:rPr>
            </w:pPr>
            <w:r w:rsidRPr="00182AF7">
              <w:rPr>
                <w:color w:val="000000"/>
                <w:sz w:val="20"/>
              </w:rPr>
              <w:t> </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5F463875" w14:textId="77777777">
            <w:pPr>
              <w:jc w:val="right"/>
              <w:rPr>
                <w:color w:val="000000"/>
                <w:sz w:val="20"/>
              </w:rPr>
            </w:pPr>
            <w:r w:rsidRPr="00182AF7">
              <w:rPr>
                <w:color w:val="000000"/>
                <w:sz w:val="20"/>
              </w:rPr>
              <w:t> </w:t>
            </w:r>
          </w:p>
        </w:tc>
      </w:tr>
      <w:tr w14:paraId="420ADC9E" w14:textId="77777777" w:rsidTr="00182AF7">
        <w:tblPrEx>
          <w:tblW w:w="13640" w:type="dxa"/>
          <w:tblLook w:val="04A0"/>
        </w:tblPrEx>
        <w:trPr>
          <w:trHeight w:val="57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6A4578CC" w14:textId="77777777">
            <w:pPr>
              <w:rPr>
                <w:i/>
                <w:iCs/>
                <w:color w:val="000000"/>
                <w:sz w:val="20"/>
              </w:rPr>
            </w:pPr>
            <w:r w:rsidRPr="00182AF7">
              <w:rPr>
                <w:i/>
                <w:iCs/>
                <w:color w:val="000000"/>
                <w:sz w:val="20"/>
              </w:rPr>
              <w:t xml:space="preserve">New Sources - Annual CPMS Performance Evaluation </w:t>
            </w:r>
            <w:r w:rsidRPr="00182AF7">
              <w:rPr>
                <w:color w:val="000000"/>
                <w:sz w:val="20"/>
                <w:vertAlign w:val="superscript"/>
              </w:rPr>
              <w:t>c</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06380839" w14:textId="77777777">
            <w:pPr>
              <w:jc w:val="center"/>
              <w:rPr>
                <w:color w:val="000000"/>
                <w:sz w:val="20"/>
              </w:rPr>
            </w:pPr>
            <w:r w:rsidRPr="00182AF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2EA02B94" w14:textId="77777777">
            <w:pPr>
              <w:jc w:val="center"/>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51B4A16F" w14:textId="77777777">
            <w:pPr>
              <w:jc w:val="center"/>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19A202E8" w14:textId="77777777">
            <w:pPr>
              <w:jc w:val="center"/>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7756411D" w14:textId="77777777">
            <w:pPr>
              <w:jc w:val="center"/>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430CF6A3" w14:textId="77777777">
            <w:pPr>
              <w:jc w:val="center"/>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635EA3DA" w14:textId="77777777">
            <w:pPr>
              <w:jc w:val="center"/>
              <w:rPr>
                <w:color w:val="000000"/>
                <w:sz w:val="20"/>
              </w:rPr>
            </w:pPr>
            <w:r w:rsidRPr="00182AF7">
              <w:rPr>
                <w:color w:val="000000"/>
                <w:sz w:val="20"/>
              </w:rPr>
              <w:t> </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40C0DDD4" w14:textId="77777777">
            <w:pPr>
              <w:jc w:val="right"/>
              <w:rPr>
                <w:color w:val="000000"/>
                <w:sz w:val="20"/>
              </w:rPr>
            </w:pPr>
            <w:r w:rsidRPr="00182AF7">
              <w:rPr>
                <w:color w:val="000000"/>
                <w:sz w:val="20"/>
              </w:rPr>
              <w:t> </w:t>
            </w:r>
          </w:p>
        </w:tc>
      </w:tr>
      <w:tr w14:paraId="0C231DBE" w14:textId="77777777" w:rsidTr="00182AF7">
        <w:tblPrEx>
          <w:tblW w:w="13640" w:type="dxa"/>
          <w:tblLook w:val="04A0"/>
        </w:tblPrEx>
        <w:trPr>
          <w:trHeight w:val="59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35BE61A1" w14:textId="77777777">
            <w:pPr>
              <w:rPr>
                <w:sz w:val="20"/>
              </w:rPr>
            </w:pPr>
            <w:r w:rsidRPr="00182AF7">
              <w:rPr>
                <w:sz w:val="20"/>
              </w:rPr>
              <w:t>Annual CPMS Performance Evaluation</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63B43B39" w14:textId="77777777">
            <w:pPr>
              <w:jc w:val="center"/>
              <w:rPr>
                <w:sz w:val="20"/>
              </w:rPr>
            </w:pPr>
            <w:r w:rsidRPr="00182AF7">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1450DC77"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7D268423" w14:textId="77777777">
            <w:pPr>
              <w:jc w:val="center"/>
              <w:rPr>
                <w:color w:val="000000"/>
                <w:sz w:val="20"/>
              </w:rPr>
            </w:pPr>
            <w:r w:rsidRPr="00182AF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49A83AC9" w14:textId="77777777">
            <w:pPr>
              <w:jc w:val="center"/>
              <w:rPr>
                <w:sz w:val="20"/>
              </w:rPr>
            </w:pPr>
            <w:r w:rsidRPr="00182AF7">
              <w:rPr>
                <w:sz w:val="20"/>
              </w:rPr>
              <w:t>0.00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55E40576"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27B274E8" w14:textId="77777777">
            <w:pPr>
              <w:jc w:val="center"/>
              <w:rPr>
                <w:color w:val="000000"/>
                <w:sz w:val="20"/>
              </w:rPr>
            </w:pPr>
            <w:r w:rsidRPr="00182AF7">
              <w:rPr>
                <w:color w:val="000000"/>
                <w:sz w:val="20"/>
              </w:rPr>
              <w:t>0.00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043BB77C" w14:textId="77777777">
            <w:pPr>
              <w:jc w:val="center"/>
              <w:rPr>
                <w:color w:val="000000"/>
                <w:sz w:val="20"/>
              </w:rPr>
            </w:pPr>
            <w:r w:rsidRPr="00182AF7">
              <w:rPr>
                <w:color w:val="000000"/>
                <w:sz w:val="20"/>
              </w:rPr>
              <w:t>0.00</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01FAC34D" w14:textId="77777777">
            <w:pPr>
              <w:jc w:val="right"/>
              <w:rPr>
                <w:color w:val="000000"/>
                <w:sz w:val="20"/>
              </w:rPr>
            </w:pPr>
            <w:r w:rsidRPr="00182AF7">
              <w:rPr>
                <w:color w:val="000000"/>
                <w:sz w:val="20"/>
              </w:rPr>
              <w:t xml:space="preserve">$0.00 </w:t>
            </w:r>
          </w:p>
        </w:tc>
      </w:tr>
      <w:tr w14:paraId="603E068F" w14:textId="77777777" w:rsidTr="00182AF7">
        <w:tblPrEx>
          <w:tblW w:w="13640" w:type="dxa"/>
          <w:tblLook w:val="04A0"/>
        </w:tblPrEx>
        <w:trPr>
          <w:trHeight w:val="52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3A38C16A" w14:textId="77777777">
            <w:pPr>
              <w:rPr>
                <w:sz w:val="20"/>
              </w:rPr>
            </w:pPr>
            <w:r w:rsidRPr="00182AF7">
              <w:rPr>
                <w:sz w:val="20"/>
              </w:rPr>
              <w:t>Repeat Annual CPMS Performance Evaluation</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2E60E39B" w14:textId="77777777">
            <w:pPr>
              <w:jc w:val="center"/>
              <w:rPr>
                <w:sz w:val="20"/>
              </w:rPr>
            </w:pPr>
            <w:r w:rsidRPr="00182AF7">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56086F46"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1CA1B297" w14:textId="77777777">
            <w:pPr>
              <w:jc w:val="center"/>
              <w:rPr>
                <w:color w:val="000000"/>
                <w:sz w:val="20"/>
              </w:rPr>
            </w:pPr>
            <w:r w:rsidRPr="00182AF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024CFC63" w14:textId="77777777">
            <w:pPr>
              <w:jc w:val="center"/>
              <w:rPr>
                <w:sz w:val="20"/>
              </w:rPr>
            </w:pPr>
            <w:r w:rsidRPr="00182AF7">
              <w:rPr>
                <w:sz w:val="20"/>
              </w:rPr>
              <w:t>0.00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5E7B17E9"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33513D75" w14:textId="77777777">
            <w:pPr>
              <w:jc w:val="center"/>
              <w:rPr>
                <w:color w:val="000000"/>
                <w:sz w:val="20"/>
              </w:rPr>
            </w:pPr>
            <w:r w:rsidRPr="00182AF7">
              <w:rPr>
                <w:color w:val="000000"/>
                <w:sz w:val="20"/>
              </w:rPr>
              <w:t>0.00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4EAF8CFE" w14:textId="77777777">
            <w:pPr>
              <w:jc w:val="center"/>
              <w:rPr>
                <w:color w:val="000000"/>
                <w:sz w:val="20"/>
              </w:rPr>
            </w:pPr>
            <w:r w:rsidRPr="00182AF7">
              <w:rPr>
                <w:color w:val="000000"/>
                <w:sz w:val="20"/>
              </w:rPr>
              <w:t>0.00</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3FC0BDCC" w14:textId="77777777">
            <w:pPr>
              <w:jc w:val="right"/>
              <w:rPr>
                <w:color w:val="000000"/>
                <w:sz w:val="20"/>
              </w:rPr>
            </w:pPr>
            <w:r w:rsidRPr="00182AF7">
              <w:rPr>
                <w:color w:val="000000"/>
                <w:sz w:val="20"/>
              </w:rPr>
              <w:t xml:space="preserve">$0.00 </w:t>
            </w:r>
          </w:p>
        </w:tc>
      </w:tr>
      <w:tr w14:paraId="02C1D8B7" w14:textId="77777777" w:rsidTr="00182AF7">
        <w:tblPrEx>
          <w:tblW w:w="13640" w:type="dxa"/>
          <w:tblLook w:val="04A0"/>
        </w:tblPrEx>
        <w:trPr>
          <w:trHeight w:val="57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468E98C8" w14:textId="77777777">
            <w:pPr>
              <w:rPr>
                <w:i/>
                <w:iCs/>
                <w:color w:val="000000"/>
                <w:sz w:val="20"/>
              </w:rPr>
            </w:pPr>
            <w:r w:rsidRPr="00182AF7">
              <w:rPr>
                <w:i/>
                <w:iCs/>
                <w:color w:val="000000"/>
                <w:sz w:val="20"/>
              </w:rPr>
              <w:t xml:space="preserve">Existing Sources - Annual CPMS Performance Evaluation </w:t>
            </w:r>
            <w:r w:rsidRPr="00182AF7">
              <w:rPr>
                <w:color w:val="000000"/>
                <w:sz w:val="20"/>
                <w:vertAlign w:val="superscript"/>
              </w:rPr>
              <w:t>d</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6787FBA8" w14:textId="77777777">
            <w:pPr>
              <w:jc w:val="center"/>
              <w:rPr>
                <w:color w:val="000000"/>
                <w:sz w:val="20"/>
              </w:rPr>
            </w:pPr>
            <w:r w:rsidRPr="00182AF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66CE556A" w14:textId="77777777">
            <w:pPr>
              <w:jc w:val="center"/>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14AFA73E" w14:textId="77777777">
            <w:pPr>
              <w:jc w:val="center"/>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182AF7" w:rsidRPr="00182AF7" w:rsidP="00182AF7" w14:paraId="31AF9FEF" w14:textId="77777777">
            <w:pPr>
              <w:jc w:val="center"/>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39976652" w14:textId="77777777">
            <w:pPr>
              <w:jc w:val="center"/>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003D311C" w14:textId="77777777">
            <w:pPr>
              <w:jc w:val="center"/>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4691A011" w14:textId="77777777">
            <w:pPr>
              <w:jc w:val="center"/>
              <w:rPr>
                <w:color w:val="000000"/>
                <w:sz w:val="20"/>
              </w:rPr>
            </w:pPr>
            <w:r w:rsidRPr="00182AF7">
              <w:rPr>
                <w:color w:val="000000"/>
                <w:sz w:val="20"/>
              </w:rPr>
              <w:t> </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5BB67C0D" w14:textId="77777777">
            <w:pPr>
              <w:jc w:val="right"/>
              <w:rPr>
                <w:color w:val="000000"/>
                <w:sz w:val="20"/>
              </w:rPr>
            </w:pPr>
            <w:r w:rsidRPr="00182AF7">
              <w:rPr>
                <w:color w:val="000000"/>
                <w:sz w:val="20"/>
              </w:rPr>
              <w:t> </w:t>
            </w:r>
          </w:p>
        </w:tc>
      </w:tr>
      <w:tr w14:paraId="5668DF61" w14:textId="77777777" w:rsidTr="00182AF7">
        <w:tblPrEx>
          <w:tblW w:w="13640" w:type="dxa"/>
          <w:tblLook w:val="04A0"/>
        </w:tblPrEx>
        <w:trPr>
          <w:trHeight w:val="26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61A39DB9" w14:textId="77777777">
            <w:pPr>
              <w:rPr>
                <w:sz w:val="20"/>
              </w:rPr>
            </w:pPr>
            <w:r w:rsidRPr="00182AF7">
              <w:rPr>
                <w:sz w:val="20"/>
              </w:rPr>
              <w:t>Annual CPMS Performance Evaluation</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5CE6B9B8" w14:textId="77777777">
            <w:pPr>
              <w:jc w:val="center"/>
              <w:rPr>
                <w:color w:val="000000"/>
                <w:sz w:val="20"/>
              </w:rPr>
            </w:pPr>
            <w:r w:rsidRPr="00182AF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1A6FADD3"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496C334C" w14:textId="77777777">
            <w:pPr>
              <w:jc w:val="center"/>
              <w:rPr>
                <w:color w:val="000000"/>
                <w:sz w:val="20"/>
              </w:rPr>
            </w:pPr>
            <w:r w:rsidRPr="00182AF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56F8B490" w14:textId="77777777">
            <w:pPr>
              <w:jc w:val="center"/>
              <w:rPr>
                <w:sz w:val="20"/>
              </w:rPr>
            </w:pPr>
            <w:r w:rsidRPr="00182AF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1E33DCDE"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46AD0159"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76197EDB" w14:textId="77777777">
            <w:pPr>
              <w:jc w:val="center"/>
              <w:rPr>
                <w:color w:val="000000"/>
                <w:sz w:val="20"/>
              </w:rPr>
            </w:pPr>
            <w:r w:rsidRPr="00182AF7">
              <w:rPr>
                <w:color w:val="000000"/>
                <w:sz w:val="20"/>
              </w:rPr>
              <w:t>0</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4B249B5B" w14:textId="77777777">
            <w:pPr>
              <w:jc w:val="right"/>
              <w:rPr>
                <w:color w:val="000000"/>
                <w:sz w:val="20"/>
              </w:rPr>
            </w:pPr>
            <w:r w:rsidRPr="00182AF7">
              <w:rPr>
                <w:color w:val="000000"/>
                <w:sz w:val="20"/>
              </w:rPr>
              <w:t xml:space="preserve">$0.00 </w:t>
            </w:r>
          </w:p>
        </w:tc>
      </w:tr>
      <w:tr w14:paraId="11E0A3C6" w14:textId="77777777" w:rsidTr="00182AF7">
        <w:tblPrEx>
          <w:tblW w:w="13640" w:type="dxa"/>
          <w:tblLook w:val="04A0"/>
        </w:tblPrEx>
        <w:trPr>
          <w:trHeight w:val="52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104E669B" w14:textId="77777777">
            <w:pPr>
              <w:rPr>
                <w:sz w:val="20"/>
              </w:rPr>
            </w:pPr>
            <w:r w:rsidRPr="00182AF7">
              <w:rPr>
                <w:sz w:val="20"/>
              </w:rPr>
              <w:t>Repeat Annual CPMS Performance Evaluation</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2AC2FE09" w14:textId="77777777">
            <w:pPr>
              <w:jc w:val="center"/>
              <w:rPr>
                <w:sz w:val="20"/>
              </w:rPr>
            </w:pPr>
            <w:r w:rsidRPr="00182AF7">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15985BD1"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11070B6A" w14:textId="77777777">
            <w:pPr>
              <w:jc w:val="center"/>
              <w:rPr>
                <w:color w:val="000000"/>
                <w:sz w:val="20"/>
              </w:rPr>
            </w:pPr>
            <w:r w:rsidRPr="00182AF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564D949C" w14:textId="77777777">
            <w:pPr>
              <w:jc w:val="center"/>
              <w:rPr>
                <w:sz w:val="20"/>
              </w:rPr>
            </w:pPr>
            <w:r w:rsidRPr="00182AF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794AF9DD"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4C608148"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2D4C7382" w14:textId="77777777">
            <w:pPr>
              <w:jc w:val="center"/>
              <w:rPr>
                <w:color w:val="000000"/>
                <w:sz w:val="20"/>
              </w:rPr>
            </w:pPr>
            <w:r w:rsidRPr="00182AF7">
              <w:rPr>
                <w:color w:val="000000"/>
                <w:sz w:val="20"/>
              </w:rPr>
              <w:t>0</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68F81F96" w14:textId="77777777">
            <w:pPr>
              <w:jc w:val="right"/>
              <w:rPr>
                <w:color w:val="000000"/>
                <w:sz w:val="20"/>
              </w:rPr>
            </w:pPr>
            <w:r w:rsidRPr="00182AF7">
              <w:rPr>
                <w:color w:val="000000"/>
                <w:sz w:val="20"/>
              </w:rPr>
              <w:t xml:space="preserve">$0.00 </w:t>
            </w:r>
          </w:p>
        </w:tc>
      </w:tr>
      <w:tr w14:paraId="347CCDDC" w14:textId="77777777" w:rsidTr="00182AF7">
        <w:tblPrEx>
          <w:tblW w:w="13640" w:type="dxa"/>
          <w:tblLook w:val="04A0"/>
        </w:tblPrEx>
        <w:trPr>
          <w:trHeight w:val="58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71F79414" w14:textId="77777777">
            <w:pPr>
              <w:ind w:firstLine="400" w:firstLineChars="200"/>
              <w:rPr>
                <w:color w:val="000000"/>
                <w:sz w:val="20"/>
              </w:rPr>
            </w:pPr>
            <w:r w:rsidRPr="00182AF7">
              <w:rPr>
                <w:color w:val="000000"/>
                <w:sz w:val="20"/>
              </w:rPr>
              <w:t>Non EPA-Certified Engine NOx Performance Testing</w:t>
            </w:r>
            <w:r w:rsidRPr="00182AF7">
              <w:rPr>
                <w:color w:val="000000"/>
                <w:sz w:val="22"/>
                <w:szCs w:val="22"/>
                <w:vertAlign w:val="superscript"/>
              </w:rPr>
              <w:t>gh</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41F8C976" w14:textId="77777777">
            <w:pPr>
              <w:jc w:val="center"/>
              <w:rPr>
                <w:sz w:val="20"/>
              </w:rPr>
            </w:pPr>
            <w:r w:rsidRPr="00182AF7">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00559A00"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6F019537" w14:textId="77777777">
            <w:pPr>
              <w:jc w:val="center"/>
              <w:rPr>
                <w:color w:val="000000"/>
                <w:sz w:val="20"/>
              </w:rPr>
            </w:pPr>
            <w:r w:rsidRPr="00182AF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2AC6470F" w14:textId="77777777">
            <w:pPr>
              <w:jc w:val="center"/>
              <w:rPr>
                <w:sz w:val="20"/>
              </w:rPr>
            </w:pPr>
            <w:r w:rsidRPr="00182AF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13A0D7DA"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1C859206"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4B3FC320" w14:textId="77777777">
            <w:pPr>
              <w:jc w:val="center"/>
              <w:rPr>
                <w:color w:val="000000"/>
                <w:sz w:val="20"/>
              </w:rPr>
            </w:pPr>
            <w:r w:rsidRPr="00182AF7">
              <w:rPr>
                <w:color w:val="000000"/>
                <w:sz w:val="20"/>
              </w:rPr>
              <w:t>0</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682D7F62" w14:textId="77777777">
            <w:pPr>
              <w:jc w:val="right"/>
              <w:rPr>
                <w:color w:val="000000"/>
                <w:sz w:val="20"/>
              </w:rPr>
            </w:pPr>
            <w:r w:rsidRPr="00182AF7">
              <w:rPr>
                <w:color w:val="000000"/>
                <w:sz w:val="20"/>
              </w:rPr>
              <w:t xml:space="preserve">$0.00 </w:t>
            </w:r>
          </w:p>
        </w:tc>
      </w:tr>
      <w:tr w14:paraId="79689BD4" w14:textId="77777777" w:rsidTr="00182AF7">
        <w:tblPrEx>
          <w:tblW w:w="13640" w:type="dxa"/>
          <w:tblLook w:val="04A0"/>
        </w:tblPrEx>
        <w:trPr>
          <w:trHeight w:val="125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32F2430B" w14:textId="77777777">
            <w:pPr>
              <w:ind w:firstLine="400" w:firstLineChars="200"/>
              <w:rPr>
                <w:color w:val="000000"/>
                <w:sz w:val="20"/>
              </w:rPr>
            </w:pPr>
            <w:r w:rsidRPr="00182AF7">
              <w:rPr>
                <w:color w:val="000000"/>
                <w:sz w:val="20"/>
              </w:rPr>
              <w:t>Repeat Non EPA-Certified Engine NOx Performance Testing</w:t>
            </w:r>
            <w:r w:rsidRPr="00182AF7">
              <w:rPr>
                <w:color w:val="000000"/>
                <w:sz w:val="20"/>
                <w:vertAlign w:val="superscript"/>
              </w:rPr>
              <w:t>gh</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1302D9D6" w14:textId="77777777">
            <w:pPr>
              <w:jc w:val="center"/>
              <w:rPr>
                <w:sz w:val="20"/>
              </w:rPr>
            </w:pPr>
            <w:r w:rsidRPr="00182AF7">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6F6B9C3D"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0E55C487" w14:textId="77777777">
            <w:pPr>
              <w:jc w:val="center"/>
              <w:rPr>
                <w:color w:val="000000"/>
                <w:sz w:val="20"/>
              </w:rPr>
            </w:pPr>
            <w:r w:rsidRPr="00182AF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0B6125F8" w14:textId="77777777">
            <w:pPr>
              <w:jc w:val="center"/>
              <w:rPr>
                <w:sz w:val="20"/>
              </w:rPr>
            </w:pPr>
            <w:r w:rsidRPr="00182AF7">
              <w:rPr>
                <w:sz w:val="20"/>
              </w:rPr>
              <w:t>0.00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28FA540A"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2676DF46"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39603987" w14:textId="77777777">
            <w:pPr>
              <w:jc w:val="center"/>
              <w:rPr>
                <w:color w:val="000000"/>
                <w:sz w:val="20"/>
              </w:rPr>
            </w:pPr>
            <w:r w:rsidRPr="00182AF7">
              <w:rPr>
                <w:color w:val="000000"/>
                <w:sz w:val="20"/>
              </w:rPr>
              <w:t>0</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3B8BB341" w14:textId="77777777">
            <w:pPr>
              <w:jc w:val="right"/>
              <w:rPr>
                <w:color w:val="000000"/>
                <w:sz w:val="20"/>
              </w:rPr>
            </w:pPr>
            <w:r w:rsidRPr="00182AF7">
              <w:rPr>
                <w:color w:val="000000"/>
                <w:sz w:val="20"/>
              </w:rPr>
              <w:t xml:space="preserve">$0.00 </w:t>
            </w:r>
          </w:p>
        </w:tc>
      </w:tr>
      <w:tr w14:paraId="10BBD2A7" w14:textId="77777777" w:rsidTr="00182AF7">
        <w:tblPrEx>
          <w:tblW w:w="13640" w:type="dxa"/>
          <w:tblLook w:val="04A0"/>
        </w:tblPrEx>
        <w:trPr>
          <w:trHeight w:val="125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3D2EFE57" w14:textId="77777777">
            <w:pPr>
              <w:rPr>
                <w:i/>
                <w:iCs/>
                <w:color w:val="000000"/>
                <w:sz w:val="20"/>
              </w:rPr>
            </w:pPr>
            <w:r w:rsidRPr="00182AF7">
              <w:rPr>
                <w:i/>
                <w:iCs/>
                <w:color w:val="000000"/>
                <w:sz w:val="20"/>
              </w:rPr>
              <w:t xml:space="preserve">New and Existing Sources - Monitoring </w:t>
            </w:r>
            <w:r w:rsidRPr="00182AF7">
              <w:rPr>
                <w:color w:val="000000"/>
                <w:sz w:val="20"/>
                <w:vertAlign w:val="superscript"/>
              </w:rPr>
              <w:t>e</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4EE01FDA" w14:textId="77777777">
            <w:pPr>
              <w:jc w:val="center"/>
              <w:rPr>
                <w:color w:val="000000"/>
                <w:sz w:val="20"/>
              </w:rPr>
            </w:pPr>
            <w:r w:rsidRPr="00182AF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0732DCA5" w14:textId="77777777">
            <w:pPr>
              <w:jc w:val="center"/>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45474F60" w14:textId="77777777">
            <w:pPr>
              <w:jc w:val="center"/>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5BBD00DF" w14:textId="77777777">
            <w:pPr>
              <w:jc w:val="center"/>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7CD75389" w14:textId="77777777">
            <w:pPr>
              <w:jc w:val="center"/>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6BAC9784" w14:textId="77777777">
            <w:pPr>
              <w:jc w:val="center"/>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573DA0C2" w14:textId="77777777">
            <w:pPr>
              <w:jc w:val="center"/>
              <w:rPr>
                <w:color w:val="000000"/>
                <w:sz w:val="20"/>
              </w:rPr>
            </w:pPr>
            <w:r w:rsidRPr="00182AF7">
              <w:rPr>
                <w:color w:val="000000"/>
                <w:sz w:val="20"/>
              </w:rPr>
              <w:t> </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724D0B6A" w14:textId="77777777">
            <w:pPr>
              <w:jc w:val="right"/>
              <w:rPr>
                <w:color w:val="000000"/>
                <w:sz w:val="20"/>
              </w:rPr>
            </w:pPr>
            <w:r w:rsidRPr="00182AF7">
              <w:rPr>
                <w:color w:val="000000"/>
                <w:sz w:val="20"/>
              </w:rPr>
              <w:t> </w:t>
            </w:r>
          </w:p>
        </w:tc>
      </w:tr>
      <w:tr w14:paraId="2F695747" w14:textId="77777777" w:rsidTr="00182AF7">
        <w:tblPrEx>
          <w:tblW w:w="13640" w:type="dxa"/>
          <w:tblLook w:val="04A0"/>
        </w:tblPrEx>
        <w:trPr>
          <w:trHeight w:val="52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108D0EF0" w14:textId="77777777">
            <w:pPr>
              <w:rPr>
                <w:color w:val="000000"/>
                <w:sz w:val="20"/>
              </w:rPr>
            </w:pPr>
            <w:r w:rsidRPr="00182AF7">
              <w:rPr>
                <w:color w:val="000000"/>
                <w:sz w:val="20"/>
              </w:rPr>
              <w:t>Daily Calibration Drift Tests - NOx CEMS</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0E82BE7E" w14:textId="77777777">
            <w:pPr>
              <w:jc w:val="center"/>
              <w:rPr>
                <w:color w:val="000000"/>
                <w:sz w:val="20"/>
              </w:rPr>
            </w:pPr>
            <w:r w:rsidRPr="00182AF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48D2AF2E"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55975585" w14:textId="77777777">
            <w:pPr>
              <w:jc w:val="center"/>
              <w:rPr>
                <w:color w:val="000000"/>
                <w:sz w:val="20"/>
              </w:rPr>
            </w:pPr>
            <w:r w:rsidRPr="00182AF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29B8B90B" w14:textId="77777777">
            <w:pPr>
              <w:jc w:val="center"/>
              <w:rPr>
                <w:sz w:val="20"/>
              </w:rPr>
            </w:pPr>
            <w:r w:rsidRPr="00182AF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2E9F99CA"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3BDB961A"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721A345D" w14:textId="77777777">
            <w:pPr>
              <w:jc w:val="center"/>
              <w:rPr>
                <w:color w:val="000000"/>
                <w:sz w:val="20"/>
              </w:rPr>
            </w:pPr>
            <w:r w:rsidRPr="00182AF7">
              <w:rPr>
                <w:color w:val="000000"/>
                <w:sz w:val="20"/>
              </w:rPr>
              <w:t>0</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7257DA94" w14:textId="77777777">
            <w:pPr>
              <w:jc w:val="right"/>
              <w:rPr>
                <w:color w:val="000000"/>
                <w:sz w:val="20"/>
              </w:rPr>
            </w:pPr>
            <w:r w:rsidRPr="00182AF7">
              <w:rPr>
                <w:color w:val="000000"/>
                <w:sz w:val="20"/>
              </w:rPr>
              <w:t xml:space="preserve">$0.00 </w:t>
            </w:r>
          </w:p>
        </w:tc>
      </w:tr>
      <w:tr w14:paraId="07215280" w14:textId="77777777" w:rsidTr="00182AF7">
        <w:tblPrEx>
          <w:tblW w:w="13640" w:type="dxa"/>
          <w:tblLook w:val="04A0"/>
        </w:tblPrEx>
        <w:trPr>
          <w:trHeight w:val="26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77460DD7" w14:textId="77777777">
            <w:pPr>
              <w:rPr>
                <w:color w:val="000000"/>
                <w:sz w:val="20"/>
              </w:rPr>
            </w:pPr>
            <w:r w:rsidRPr="00182AF7">
              <w:rPr>
                <w:color w:val="000000"/>
                <w:sz w:val="20"/>
              </w:rPr>
              <w:t>C. Create Information (Included in 4B)</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558DE325" w14:textId="77777777">
            <w:pPr>
              <w:jc w:val="center"/>
              <w:rPr>
                <w:color w:val="000000"/>
                <w:sz w:val="20"/>
              </w:rPr>
            </w:pPr>
            <w:r w:rsidRPr="00182AF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3F4FEDF7" w14:textId="77777777">
            <w:pPr>
              <w:jc w:val="right"/>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7868E94E" w14:textId="77777777">
            <w:pPr>
              <w:jc w:val="right"/>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6BCB4799" w14:textId="77777777">
            <w:pPr>
              <w:jc w:val="right"/>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7086B8EE" w14:textId="77777777">
            <w:pPr>
              <w:jc w:val="right"/>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7B718881"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4D8EBB6B" w14:textId="77777777">
            <w:pPr>
              <w:jc w:val="right"/>
              <w:rPr>
                <w:color w:val="000000"/>
                <w:sz w:val="20"/>
              </w:rPr>
            </w:pPr>
            <w:r w:rsidRPr="00182AF7">
              <w:rPr>
                <w:color w:val="000000"/>
                <w:sz w:val="20"/>
              </w:rPr>
              <w:t> </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77B8C9C4" w14:textId="77777777">
            <w:pPr>
              <w:jc w:val="right"/>
              <w:rPr>
                <w:color w:val="000000"/>
                <w:sz w:val="20"/>
              </w:rPr>
            </w:pPr>
            <w:r w:rsidRPr="00182AF7">
              <w:rPr>
                <w:color w:val="000000"/>
                <w:sz w:val="20"/>
              </w:rPr>
              <w:t> </w:t>
            </w:r>
          </w:p>
        </w:tc>
      </w:tr>
      <w:tr w14:paraId="58741906" w14:textId="77777777" w:rsidTr="00182AF7">
        <w:tblPrEx>
          <w:tblW w:w="13640" w:type="dxa"/>
          <w:tblLook w:val="04A0"/>
        </w:tblPrEx>
        <w:trPr>
          <w:trHeight w:val="52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2466BA5D" w14:textId="77777777">
            <w:pPr>
              <w:rPr>
                <w:color w:val="000000"/>
                <w:sz w:val="20"/>
              </w:rPr>
            </w:pPr>
            <w:r w:rsidRPr="00182AF7">
              <w:rPr>
                <w:color w:val="000000"/>
                <w:sz w:val="20"/>
              </w:rPr>
              <w:t>D. Gather Existing Information (Included in 4E)</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14084EAA" w14:textId="77777777">
            <w:pPr>
              <w:jc w:val="center"/>
              <w:rPr>
                <w:color w:val="000000"/>
                <w:sz w:val="20"/>
              </w:rPr>
            </w:pPr>
            <w:r w:rsidRPr="00182AF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1DBE912C" w14:textId="77777777">
            <w:pPr>
              <w:jc w:val="right"/>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32D40E6A" w14:textId="77777777">
            <w:pPr>
              <w:jc w:val="right"/>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0C39D2A6" w14:textId="77777777">
            <w:pPr>
              <w:jc w:val="right"/>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2152F17D" w14:textId="77777777">
            <w:pPr>
              <w:jc w:val="right"/>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06071152"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58302026" w14:textId="77777777">
            <w:pPr>
              <w:jc w:val="right"/>
              <w:rPr>
                <w:color w:val="000000"/>
                <w:sz w:val="20"/>
              </w:rPr>
            </w:pPr>
            <w:r w:rsidRPr="00182AF7">
              <w:rPr>
                <w:color w:val="000000"/>
                <w:sz w:val="20"/>
              </w:rPr>
              <w:t> </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494E35D5" w14:textId="77777777">
            <w:pPr>
              <w:jc w:val="right"/>
              <w:rPr>
                <w:color w:val="000000"/>
                <w:sz w:val="20"/>
              </w:rPr>
            </w:pPr>
            <w:r w:rsidRPr="00182AF7">
              <w:rPr>
                <w:color w:val="000000"/>
                <w:sz w:val="20"/>
              </w:rPr>
              <w:t> </w:t>
            </w:r>
          </w:p>
        </w:tc>
      </w:tr>
      <w:tr w14:paraId="6EB94458" w14:textId="77777777" w:rsidTr="00182AF7">
        <w:tblPrEx>
          <w:tblW w:w="13640" w:type="dxa"/>
          <w:tblLook w:val="04A0"/>
        </w:tblPrEx>
        <w:trPr>
          <w:trHeight w:val="26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78F0E38D" w14:textId="77777777">
            <w:pPr>
              <w:rPr>
                <w:color w:val="000000"/>
                <w:sz w:val="20"/>
              </w:rPr>
            </w:pPr>
            <w:r w:rsidRPr="00182AF7">
              <w:rPr>
                <w:color w:val="000000"/>
                <w:sz w:val="20"/>
              </w:rPr>
              <w:t>E. Write Report</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4C569966" w14:textId="77777777">
            <w:pPr>
              <w:jc w:val="right"/>
              <w:rPr>
                <w:color w:val="000000"/>
                <w:sz w:val="20"/>
              </w:rPr>
            </w:pPr>
            <w:r w:rsidRPr="00182AF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3147BD97" w14:textId="77777777">
            <w:pPr>
              <w:jc w:val="right"/>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28411409" w14:textId="77777777">
            <w:pPr>
              <w:jc w:val="right"/>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63AA705D" w14:textId="77777777">
            <w:pPr>
              <w:jc w:val="right"/>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1CA58A7C" w14:textId="77777777">
            <w:pPr>
              <w:jc w:val="right"/>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15BE83B4"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48CF3CE6" w14:textId="77777777">
            <w:pPr>
              <w:jc w:val="right"/>
              <w:rPr>
                <w:color w:val="000000"/>
                <w:sz w:val="20"/>
              </w:rPr>
            </w:pPr>
            <w:r w:rsidRPr="00182AF7">
              <w:rPr>
                <w:color w:val="000000"/>
                <w:sz w:val="20"/>
              </w:rPr>
              <w:t> </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51601959" w14:textId="77777777">
            <w:pPr>
              <w:jc w:val="right"/>
              <w:rPr>
                <w:color w:val="000000"/>
                <w:sz w:val="20"/>
              </w:rPr>
            </w:pPr>
            <w:r w:rsidRPr="00182AF7">
              <w:rPr>
                <w:color w:val="000000"/>
                <w:sz w:val="20"/>
              </w:rPr>
              <w:t> </w:t>
            </w:r>
          </w:p>
        </w:tc>
      </w:tr>
      <w:tr w14:paraId="1291809E" w14:textId="77777777" w:rsidTr="00182AF7">
        <w:tblPrEx>
          <w:tblW w:w="13640" w:type="dxa"/>
          <w:tblLook w:val="04A0"/>
        </w:tblPrEx>
        <w:trPr>
          <w:trHeight w:val="553"/>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547FDC14" w14:textId="77777777">
            <w:pPr>
              <w:rPr>
                <w:i/>
                <w:iCs/>
                <w:color w:val="000000"/>
                <w:sz w:val="20"/>
                <w:u w:val="single"/>
              </w:rPr>
            </w:pPr>
            <w:r w:rsidRPr="00182AF7">
              <w:rPr>
                <w:i/>
                <w:iCs/>
                <w:color w:val="000000"/>
                <w:sz w:val="20"/>
                <w:u w:val="single"/>
              </w:rPr>
              <w:t>New Sources</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482ACBB3" w14:textId="77777777">
            <w:pPr>
              <w:jc w:val="center"/>
              <w:rPr>
                <w:color w:val="000000"/>
                <w:sz w:val="20"/>
              </w:rPr>
            </w:pPr>
            <w:r w:rsidRPr="00182AF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2CD5631A" w14:textId="77777777">
            <w:pPr>
              <w:jc w:val="center"/>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1147A474" w14:textId="77777777">
            <w:pPr>
              <w:jc w:val="center"/>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047CBEFA" w14:textId="77777777">
            <w:pPr>
              <w:jc w:val="center"/>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40B71F36" w14:textId="77777777">
            <w:pPr>
              <w:jc w:val="center"/>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4C3542C4" w14:textId="77777777">
            <w:pPr>
              <w:jc w:val="center"/>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324F457A" w14:textId="77777777">
            <w:pPr>
              <w:jc w:val="center"/>
              <w:rPr>
                <w:color w:val="000000"/>
                <w:sz w:val="20"/>
              </w:rPr>
            </w:pPr>
            <w:r w:rsidRPr="00182AF7">
              <w:rPr>
                <w:color w:val="000000"/>
                <w:sz w:val="20"/>
              </w:rPr>
              <w:t> </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26291EDB" w14:textId="77777777">
            <w:pPr>
              <w:jc w:val="right"/>
              <w:rPr>
                <w:color w:val="000000"/>
                <w:sz w:val="20"/>
              </w:rPr>
            </w:pPr>
            <w:r w:rsidRPr="00182AF7">
              <w:rPr>
                <w:color w:val="000000"/>
                <w:sz w:val="20"/>
              </w:rPr>
              <w:t> </w:t>
            </w:r>
          </w:p>
        </w:tc>
      </w:tr>
      <w:tr w14:paraId="6AAE6296" w14:textId="77777777" w:rsidTr="00182AF7">
        <w:tblPrEx>
          <w:tblW w:w="13640" w:type="dxa"/>
          <w:tblLook w:val="04A0"/>
        </w:tblPrEx>
        <w:trPr>
          <w:trHeight w:val="26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72FFE4B1" w14:textId="77777777">
            <w:pPr>
              <w:rPr>
                <w:color w:val="000000"/>
                <w:sz w:val="20"/>
              </w:rPr>
            </w:pPr>
            <w:r w:rsidRPr="00182AF7">
              <w:rPr>
                <w:color w:val="000000"/>
                <w:sz w:val="20"/>
              </w:rPr>
              <w:t>Notification of Demonstration of CEMS</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5DF55C73" w14:textId="77777777">
            <w:pPr>
              <w:jc w:val="center"/>
              <w:rPr>
                <w:color w:val="000000"/>
                <w:sz w:val="20"/>
              </w:rPr>
            </w:pPr>
            <w:r w:rsidRPr="00182AF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28E89540"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7DB27A2F" w14:textId="77777777">
            <w:pPr>
              <w:jc w:val="center"/>
              <w:rPr>
                <w:color w:val="000000"/>
                <w:sz w:val="20"/>
              </w:rPr>
            </w:pPr>
            <w:r w:rsidRPr="00182AF7">
              <w:rPr>
                <w:color w:val="000000"/>
                <w:sz w:val="20"/>
              </w:rPr>
              <w:t>2</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43065748" w14:textId="77777777">
            <w:pPr>
              <w:jc w:val="center"/>
              <w:rPr>
                <w:sz w:val="20"/>
              </w:rPr>
            </w:pPr>
            <w:r w:rsidRPr="00182AF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654F48E2"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2DABFD3D"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3A1EDFA8" w14:textId="77777777">
            <w:pPr>
              <w:jc w:val="center"/>
              <w:rPr>
                <w:color w:val="000000"/>
                <w:sz w:val="20"/>
              </w:rPr>
            </w:pPr>
            <w:r w:rsidRPr="00182AF7">
              <w:rPr>
                <w:color w:val="000000"/>
                <w:sz w:val="20"/>
              </w:rPr>
              <w:t>0</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4D770958" w14:textId="77777777">
            <w:pPr>
              <w:jc w:val="right"/>
              <w:rPr>
                <w:color w:val="000000"/>
                <w:sz w:val="20"/>
              </w:rPr>
            </w:pPr>
            <w:r w:rsidRPr="00182AF7">
              <w:rPr>
                <w:color w:val="000000"/>
                <w:sz w:val="20"/>
              </w:rPr>
              <w:t xml:space="preserve">$0.00 </w:t>
            </w:r>
          </w:p>
        </w:tc>
      </w:tr>
      <w:tr w14:paraId="47183490" w14:textId="77777777" w:rsidTr="00182AF7">
        <w:tblPrEx>
          <w:tblW w:w="13640" w:type="dxa"/>
          <w:tblLook w:val="04A0"/>
        </w:tblPrEx>
        <w:trPr>
          <w:trHeight w:val="26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3F090ABB" w14:textId="77777777">
            <w:pPr>
              <w:rPr>
                <w:color w:val="000000"/>
                <w:sz w:val="20"/>
              </w:rPr>
            </w:pPr>
            <w:r w:rsidRPr="00182AF7">
              <w:rPr>
                <w:color w:val="000000"/>
                <w:sz w:val="20"/>
              </w:rPr>
              <w:t>Notification of Initial Performance Test</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58ED7389" w14:textId="77777777">
            <w:pPr>
              <w:jc w:val="center"/>
              <w:rPr>
                <w:color w:val="000000"/>
                <w:sz w:val="20"/>
              </w:rPr>
            </w:pPr>
            <w:r w:rsidRPr="00182AF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2876332D"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5996081C" w14:textId="77777777">
            <w:pPr>
              <w:jc w:val="center"/>
              <w:rPr>
                <w:color w:val="000000"/>
                <w:sz w:val="20"/>
              </w:rPr>
            </w:pPr>
            <w:r w:rsidRPr="00182AF7">
              <w:rPr>
                <w:color w:val="000000"/>
                <w:sz w:val="20"/>
              </w:rPr>
              <w:t>2</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6BC1EDF0" w14:textId="77777777">
            <w:pPr>
              <w:jc w:val="center"/>
              <w:rPr>
                <w:sz w:val="20"/>
              </w:rPr>
            </w:pPr>
            <w:r w:rsidRPr="00182AF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09D2133E"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5B38D929"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2EEFD71B" w14:textId="77777777">
            <w:pPr>
              <w:jc w:val="center"/>
              <w:rPr>
                <w:color w:val="000000"/>
                <w:sz w:val="20"/>
              </w:rPr>
            </w:pPr>
            <w:r w:rsidRPr="00182AF7">
              <w:rPr>
                <w:color w:val="000000"/>
                <w:sz w:val="20"/>
              </w:rPr>
              <w:t>0</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421BFF26" w14:textId="77777777">
            <w:pPr>
              <w:jc w:val="right"/>
              <w:rPr>
                <w:color w:val="000000"/>
                <w:sz w:val="20"/>
              </w:rPr>
            </w:pPr>
            <w:r w:rsidRPr="00182AF7">
              <w:rPr>
                <w:color w:val="000000"/>
                <w:sz w:val="20"/>
              </w:rPr>
              <w:t xml:space="preserve">$0.00 </w:t>
            </w:r>
          </w:p>
        </w:tc>
      </w:tr>
      <w:tr w14:paraId="25EBECE4" w14:textId="77777777" w:rsidTr="00182AF7">
        <w:tblPrEx>
          <w:tblW w:w="13640" w:type="dxa"/>
          <w:tblLook w:val="04A0"/>
        </w:tblPrEx>
        <w:trPr>
          <w:trHeight w:val="26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06A55766" w14:textId="77777777">
            <w:pPr>
              <w:rPr>
                <w:color w:val="000000"/>
                <w:sz w:val="20"/>
              </w:rPr>
            </w:pPr>
            <w:r w:rsidRPr="00182AF7">
              <w:rPr>
                <w:color w:val="000000"/>
                <w:sz w:val="20"/>
              </w:rPr>
              <w:t>Report of Performance Test</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1016AACA" w14:textId="77777777">
            <w:pPr>
              <w:jc w:val="center"/>
              <w:rPr>
                <w:color w:val="000000"/>
                <w:sz w:val="20"/>
              </w:rPr>
            </w:pPr>
            <w:r w:rsidRPr="00182AF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50A2CCD7"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10993C8F" w14:textId="77777777">
            <w:pPr>
              <w:jc w:val="center"/>
              <w:rPr>
                <w:color w:val="000000"/>
                <w:sz w:val="20"/>
              </w:rPr>
            </w:pPr>
            <w:r w:rsidRPr="00182AF7">
              <w:rPr>
                <w:color w:val="000000"/>
                <w:sz w:val="20"/>
              </w:rPr>
              <w:t>2</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61B4F55E" w14:textId="77777777">
            <w:pPr>
              <w:jc w:val="center"/>
              <w:rPr>
                <w:sz w:val="20"/>
              </w:rPr>
            </w:pPr>
            <w:r w:rsidRPr="00182AF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7635F28F"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0EA748DF"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42A33C4C" w14:textId="77777777">
            <w:pPr>
              <w:jc w:val="center"/>
              <w:rPr>
                <w:color w:val="000000"/>
                <w:sz w:val="20"/>
              </w:rPr>
            </w:pPr>
            <w:r w:rsidRPr="00182AF7">
              <w:rPr>
                <w:color w:val="000000"/>
                <w:sz w:val="20"/>
              </w:rPr>
              <w:t>0</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0B4D0CAD" w14:textId="77777777">
            <w:pPr>
              <w:jc w:val="right"/>
              <w:rPr>
                <w:color w:val="000000"/>
                <w:sz w:val="20"/>
              </w:rPr>
            </w:pPr>
            <w:r w:rsidRPr="00182AF7">
              <w:rPr>
                <w:color w:val="000000"/>
                <w:sz w:val="20"/>
              </w:rPr>
              <w:t xml:space="preserve">$0.00 </w:t>
            </w:r>
          </w:p>
        </w:tc>
      </w:tr>
      <w:tr w14:paraId="7C1072EB" w14:textId="77777777" w:rsidTr="00182AF7">
        <w:tblPrEx>
          <w:tblW w:w="13640" w:type="dxa"/>
          <w:tblLook w:val="04A0"/>
        </w:tblPrEx>
        <w:trPr>
          <w:trHeight w:val="78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66EBA877" w14:textId="77777777">
            <w:pPr>
              <w:rPr>
                <w:color w:val="000000"/>
                <w:sz w:val="20"/>
              </w:rPr>
            </w:pPr>
            <w:r w:rsidRPr="00182AF7">
              <w:rPr>
                <w:color w:val="000000"/>
                <w:sz w:val="20"/>
              </w:rPr>
              <w:t>Annual Report Submitted to Administrator of Compliance Statement, SubSection 52.41(d) performance test</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79AABB90" w14:textId="77777777">
            <w:pPr>
              <w:jc w:val="center"/>
              <w:rPr>
                <w:color w:val="000000"/>
                <w:sz w:val="20"/>
              </w:rPr>
            </w:pPr>
            <w:r w:rsidRPr="00182AF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25EA7774"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2EF56599" w14:textId="77777777">
            <w:pPr>
              <w:jc w:val="center"/>
              <w:rPr>
                <w:color w:val="000000"/>
                <w:sz w:val="20"/>
              </w:rPr>
            </w:pPr>
            <w:r w:rsidRPr="00182AF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17476ADD" w14:textId="77777777">
            <w:pPr>
              <w:jc w:val="center"/>
              <w:rPr>
                <w:sz w:val="20"/>
              </w:rPr>
            </w:pPr>
            <w:r w:rsidRPr="00182AF7">
              <w:rPr>
                <w:sz w:val="20"/>
              </w:rPr>
              <w:t>0.00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29DB5051" w14:textId="77777777">
            <w:pPr>
              <w:jc w:val="center"/>
              <w:rPr>
                <w:color w:val="000000"/>
                <w:sz w:val="20"/>
              </w:rPr>
            </w:pPr>
            <w:r w:rsidRPr="00182AF7">
              <w:rPr>
                <w:color w:val="000000"/>
                <w:sz w:val="20"/>
              </w:rPr>
              <w:t>0.00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5DA4F776" w14:textId="77777777">
            <w:pPr>
              <w:jc w:val="center"/>
              <w:rPr>
                <w:color w:val="000000"/>
                <w:sz w:val="20"/>
              </w:rPr>
            </w:pPr>
            <w:r w:rsidRPr="00182AF7">
              <w:rPr>
                <w:color w:val="000000"/>
                <w:sz w:val="20"/>
              </w:rPr>
              <w:t>0.00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1CB64103" w14:textId="77777777">
            <w:pPr>
              <w:jc w:val="center"/>
              <w:rPr>
                <w:color w:val="000000"/>
                <w:sz w:val="20"/>
              </w:rPr>
            </w:pPr>
            <w:r w:rsidRPr="00182AF7">
              <w:rPr>
                <w:color w:val="000000"/>
                <w:sz w:val="20"/>
              </w:rPr>
              <w:t>0.00</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16E8CD16" w14:textId="77777777">
            <w:pPr>
              <w:jc w:val="right"/>
              <w:rPr>
                <w:color w:val="000000"/>
                <w:sz w:val="20"/>
              </w:rPr>
            </w:pPr>
            <w:r w:rsidRPr="00182AF7">
              <w:rPr>
                <w:color w:val="000000"/>
                <w:sz w:val="20"/>
              </w:rPr>
              <w:t xml:space="preserve">$0 </w:t>
            </w:r>
          </w:p>
        </w:tc>
      </w:tr>
      <w:tr w14:paraId="5C26E199" w14:textId="77777777" w:rsidTr="00182AF7">
        <w:tblPrEx>
          <w:tblW w:w="13640" w:type="dxa"/>
          <w:tblLook w:val="04A0"/>
        </w:tblPrEx>
        <w:trPr>
          <w:trHeight w:val="26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1E15AED7" w14:textId="77777777">
            <w:pPr>
              <w:rPr>
                <w:i/>
                <w:iCs/>
                <w:color w:val="000000"/>
                <w:sz w:val="20"/>
                <w:u w:val="single"/>
              </w:rPr>
            </w:pPr>
            <w:r w:rsidRPr="00182AF7">
              <w:rPr>
                <w:i/>
                <w:iCs/>
                <w:color w:val="000000"/>
                <w:sz w:val="20"/>
                <w:u w:val="single"/>
              </w:rPr>
              <w:t>Existing Sources</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40E11F2F" w14:textId="77777777">
            <w:pPr>
              <w:jc w:val="right"/>
              <w:rPr>
                <w:color w:val="000000"/>
                <w:sz w:val="20"/>
              </w:rPr>
            </w:pPr>
            <w:r w:rsidRPr="00182AF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177626F1" w14:textId="77777777">
            <w:pPr>
              <w:jc w:val="right"/>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2AC0AF5D" w14:textId="77777777">
            <w:pPr>
              <w:jc w:val="right"/>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3D144506" w14:textId="77777777">
            <w:pPr>
              <w:jc w:val="right"/>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4DA8C089" w14:textId="77777777">
            <w:pPr>
              <w:jc w:val="right"/>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5DEF1AF0"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38E95ADB" w14:textId="77777777">
            <w:pPr>
              <w:jc w:val="right"/>
              <w:rPr>
                <w:color w:val="000000"/>
                <w:sz w:val="20"/>
              </w:rPr>
            </w:pPr>
            <w:r w:rsidRPr="00182AF7">
              <w:rPr>
                <w:color w:val="000000"/>
                <w:sz w:val="20"/>
              </w:rPr>
              <w:t> </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6B4F4C16" w14:textId="77777777">
            <w:pPr>
              <w:jc w:val="right"/>
              <w:rPr>
                <w:color w:val="000000"/>
                <w:sz w:val="20"/>
              </w:rPr>
            </w:pPr>
            <w:r w:rsidRPr="00182AF7">
              <w:rPr>
                <w:color w:val="000000"/>
                <w:sz w:val="20"/>
              </w:rPr>
              <w:t> </w:t>
            </w:r>
          </w:p>
        </w:tc>
      </w:tr>
      <w:tr w14:paraId="5CE53147" w14:textId="77777777" w:rsidTr="00182AF7">
        <w:tblPrEx>
          <w:tblW w:w="13640" w:type="dxa"/>
          <w:tblLook w:val="04A0"/>
        </w:tblPrEx>
        <w:trPr>
          <w:trHeight w:val="26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5AA9A34A" w14:textId="77777777">
            <w:pPr>
              <w:rPr>
                <w:color w:val="000000"/>
                <w:sz w:val="20"/>
              </w:rPr>
            </w:pPr>
            <w:r w:rsidRPr="00182AF7">
              <w:rPr>
                <w:color w:val="000000"/>
                <w:sz w:val="20"/>
              </w:rPr>
              <w:t>Notification of Demonstration of CEMS</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38EA3FA0" w14:textId="77777777">
            <w:pPr>
              <w:jc w:val="center"/>
              <w:rPr>
                <w:color w:val="000000"/>
                <w:sz w:val="20"/>
              </w:rPr>
            </w:pPr>
            <w:r w:rsidRPr="00182AF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0D97ACA1"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0EC64541" w14:textId="77777777">
            <w:pPr>
              <w:jc w:val="center"/>
              <w:rPr>
                <w:color w:val="000000"/>
                <w:sz w:val="20"/>
              </w:rPr>
            </w:pPr>
            <w:r w:rsidRPr="00182AF7">
              <w:rPr>
                <w:color w:val="000000"/>
                <w:sz w:val="20"/>
              </w:rPr>
              <w:t>2</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675B7AE5" w14:textId="77777777">
            <w:pPr>
              <w:jc w:val="center"/>
              <w:rPr>
                <w:sz w:val="20"/>
              </w:rPr>
            </w:pPr>
            <w:r w:rsidRPr="00182AF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3B868A71"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3379F66E"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68EFAA95" w14:textId="77777777">
            <w:pPr>
              <w:jc w:val="center"/>
              <w:rPr>
                <w:color w:val="000000"/>
                <w:sz w:val="20"/>
              </w:rPr>
            </w:pPr>
            <w:r w:rsidRPr="00182AF7">
              <w:rPr>
                <w:color w:val="000000"/>
                <w:sz w:val="20"/>
              </w:rPr>
              <w:t>0</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4D70010D" w14:textId="77777777">
            <w:pPr>
              <w:jc w:val="right"/>
              <w:rPr>
                <w:color w:val="000000"/>
                <w:sz w:val="20"/>
              </w:rPr>
            </w:pPr>
            <w:r w:rsidRPr="00182AF7">
              <w:rPr>
                <w:color w:val="000000"/>
                <w:sz w:val="20"/>
              </w:rPr>
              <w:t xml:space="preserve">$0.00 </w:t>
            </w:r>
          </w:p>
        </w:tc>
      </w:tr>
      <w:tr w14:paraId="603DD688" w14:textId="77777777" w:rsidTr="00182AF7">
        <w:tblPrEx>
          <w:tblW w:w="13640" w:type="dxa"/>
          <w:tblLook w:val="04A0"/>
        </w:tblPrEx>
        <w:trPr>
          <w:trHeight w:val="52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5FA05DAA" w14:textId="77777777">
            <w:pPr>
              <w:rPr>
                <w:color w:val="000000"/>
                <w:sz w:val="20"/>
              </w:rPr>
            </w:pPr>
            <w:r w:rsidRPr="00182AF7">
              <w:rPr>
                <w:color w:val="000000"/>
                <w:sz w:val="20"/>
              </w:rPr>
              <w:t>Notification of Non EPA-Certified Engine Performance Test</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263619AD" w14:textId="77777777">
            <w:pPr>
              <w:jc w:val="center"/>
              <w:rPr>
                <w:color w:val="000000"/>
                <w:sz w:val="20"/>
              </w:rPr>
            </w:pPr>
            <w:r w:rsidRPr="00182AF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0483D04D"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4FDAD444" w14:textId="77777777">
            <w:pPr>
              <w:jc w:val="center"/>
              <w:rPr>
                <w:color w:val="000000"/>
                <w:sz w:val="20"/>
              </w:rPr>
            </w:pPr>
            <w:r w:rsidRPr="00182AF7">
              <w:rPr>
                <w:color w:val="000000"/>
                <w:sz w:val="20"/>
              </w:rPr>
              <w:t>2</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190E1AAF" w14:textId="77777777">
            <w:pPr>
              <w:jc w:val="center"/>
              <w:rPr>
                <w:sz w:val="20"/>
              </w:rPr>
            </w:pPr>
            <w:r w:rsidRPr="00182AF7">
              <w:rPr>
                <w:sz w:val="20"/>
              </w:rPr>
              <w:t>0.00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4D226737" w14:textId="77777777">
            <w:pPr>
              <w:jc w:val="center"/>
              <w:rPr>
                <w:color w:val="000000"/>
                <w:sz w:val="20"/>
              </w:rPr>
            </w:pPr>
            <w:r w:rsidRPr="00182AF7">
              <w:rPr>
                <w:color w:val="000000"/>
                <w:sz w:val="20"/>
              </w:rPr>
              <w:t>0.00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3BDE994C" w14:textId="77777777">
            <w:pPr>
              <w:jc w:val="center"/>
              <w:rPr>
                <w:color w:val="000000"/>
                <w:sz w:val="20"/>
              </w:rPr>
            </w:pPr>
            <w:r w:rsidRPr="00182AF7">
              <w:rPr>
                <w:color w:val="000000"/>
                <w:sz w:val="20"/>
              </w:rPr>
              <w:t>0.00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65ABDD29" w14:textId="77777777">
            <w:pPr>
              <w:jc w:val="center"/>
              <w:rPr>
                <w:color w:val="000000"/>
                <w:sz w:val="20"/>
              </w:rPr>
            </w:pPr>
            <w:r w:rsidRPr="00182AF7">
              <w:rPr>
                <w:color w:val="000000"/>
                <w:sz w:val="20"/>
              </w:rPr>
              <w:t>0.00</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0D5064F6" w14:textId="77777777">
            <w:pPr>
              <w:jc w:val="right"/>
              <w:rPr>
                <w:color w:val="000000"/>
                <w:sz w:val="20"/>
              </w:rPr>
            </w:pPr>
            <w:r w:rsidRPr="00182AF7">
              <w:rPr>
                <w:color w:val="000000"/>
                <w:sz w:val="20"/>
              </w:rPr>
              <w:t xml:space="preserve">$0.00 </w:t>
            </w:r>
          </w:p>
        </w:tc>
      </w:tr>
      <w:tr w14:paraId="25D09EA1" w14:textId="77777777" w:rsidTr="00182AF7">
        <w:tblPrEx>
          <w:tblW w:w="13640" w:type="dxa"/>
          <w:tblLook w:val="04A0"/>
        </w:tblPrEx>
        <w:trPr>
          <w:trHeight w:val="93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3F5BFCD8" w14:textId="77777777">
            <w:pPr>
              <w:rPr>
                <w:color w:val="000000"/>
                <w:sz w:val="20"/>
              </w:rPr>
            </w:pPr>
            <w:r w:rsidRPr="00182AF7">
              <w:rPr>
                <w:color w:val="000000"/>
                <w:sz w:val="20"/>
              </w:rPr>
              <w:t>Report of Non EPA-Certified Engine Performance Test Results via CEDRI or analogous electronic reporting</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46FFB15A" w14:textId="77777777">
            <w:pPr>
              <w:jc w:val="center"/>
              <w:rPr>
                <w:color w:val="000000"/>
                <w:sz w:val="20"/>
              </w:rPr>
            </w:pPr>
            <w:r w:rsidRPr="00182AF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5A439D17"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6EEE5B90" w14:textId="77777777">
            <w:pPr>
              <w:jc w:val="center"/>
              <w:rPr>
                <w:color w:val="000000"/>
                <w:sz w:val="20"/>
              </w:rPr>
            </w:pPr>
            <w:r w:rsidRPr="00182AF7">
              <w:rPr>
                <w:color w:val="000000"/>
                <w:sz w:val="20"/>
              </w:rPr>
              <w:t>2</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493B85D8" w14:textId="77777777">
            <w:pPr>
              <w:jc w:val="center"/>
              <w:rPr>
                <w:sz w:val="20"/>
              </w:rPr>
            </w:pPr>
            <w:r w:rsidRPr="00182AF7">
              <w:rPr>
                <w:sz w:val="20"/>
              </w:rPr>
              <w:t>0.00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0B8A83EB" w14:textId="77777777">
            <w:pPr>
              <w:jc w:val="center"/>
              <w:rPr>
                <w:color w:val="000000"/>
                <w:sz w:val="20"/>
              </w:rPr>
            </w:pPr>
            <w:r w:rsidRPr="00182AF7">
              <w:rPr>
                <w:color w:val="000000"/>
                <w:sz w:val="20"/>
              </w:rPr>
              <w:t>0.00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5BF376AE" w14:textId="77777777">
            <w:pPr>
              <w:jc w:val="center"/>
              <w:rPr>
                <w:color w:val="000000"/>
                <w:sz w:val="20"/>
              </w:rPr>
            </w:pPr>
            <w:r w:rsidRPr="00182AF7">
              <w:rPr>
                <w:color w:val="000000"/>
                <w:sz w:val="20"/>
              </w:rPr>
              <w:t>0.00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261CE6C6" w14:textId="77777777">
            <w:pPr>
              <w:jc w:val="center"/>
              <w:rPr>
                <w:color w:val="000000"/>
                <w:sz w:val="20"/>
              </w:rPr>
            </w:pPr>
            <w:r w:rsidRPr="00182AF7">
              <w:rPr>
                <w:color w:val="000000"/>
                <w:sz w:val="20"/>
              </w:rPr>
              <w:t>0.00</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3DCE138B" w14:textId="77777777">
            <w:pPr>
              <w:jc w:val="right"/>
              <w:rPr>
                <w:color w:val="000000"/>
                <w:sz w:val="20"/>
              </w:rPr>
            </w:pPr>
            <w:r w:rsidRPr="00182AF7">
              <w:rPr>
                <w:color w:val="000000"/>
                <w:sz w:val="20"/>
              </w:rPr>
              <w:t xml:space="preserve">$0.00 </w:t>
            </w:r>
          </w:p>
        </w:tc>
      </w:tr>
      <w:tr w14:paraId="022C9A14" w14:textId="77777777" w:rsidTr="00182AF7">
        <w:tblPrEx>
          <w:tblW w:w="13640" w:type="dxa"/>
          <w:tblLook w:val="04A0"/>
        </w:tblPrEx>
        <w:trPr>
          <w:trHeight w:val="66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4F6245E1" w14:textId="77777777">
            <w:pPr>
              <w:rPr>
                <w:color w:val="000000"/>
                <w:sz w:val="20"/>
              </w:rPr>
            </w:pPr>
            <w:r w:rsidRPr="00182AF7">
              <w:rPr>
                <w:color w:val="000000"/>
                <w:sz w:val="20"/>
              </w:rPr>
              <w:t>Annual Report submitted via CEDRI or analogous electronic reporting</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081F95D8" w14:textId="77777777">
            <w:pPr>
              <w:jc w:val="center"/>
              <w:rPr>
                <w:color w:val="000000"/>
                <w:sz w:val="20"/>
              </w:rPr>
            </w:pPr>
            <w:r w:rsidRPr="00182AF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3EC42F6C"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075C25AB" w14:textId="77777777">
            <w:pPr>
              <w:jc w:val="center"/>
              <w:rPr>
                <w:color w:val="000000"/>
                <w:sz w:val="20"/>
              </w:rPr>
            </w:pPr>
            <w:r w:rsidRPr="00182AF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751DC604" w14:textId="77777777">
            <w:pPr>
              <w:jc w:val="center"/>
              <w:rPr>
                <w:sz w:val="20"/>
              </w:rPr>
            </w:pPr>
            <w:r w:rsidRPr="00182AF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124290CD"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1EB9BA01"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56216E50" w14:textId="77777777">
            <w:pPr>
              <w:jc w:val="center"/>
              <w:rPr>
                <w:color w:val="000000"/>
                <w:sz w:val="20"/>
              </w:rPr>
            </w:pPr>
            <w:r w:rsidRPr="00182AF7">
              <w:rPr>
                <w:color w:val="000000"/>
                <w:sz w:val="20"/>
              </w:rPr>
              <w:t>0</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5B91C482" w14:textId="77777777">
            <w:pPr>
              <w:jc w:val="right"/>
              <w:rPr>
                <w:color w:val="000000"/>
                <w:sz w:val="20"/>
              </w:rPr>
            </w:pPr>
            <w:r w:rsidRPr="00182AF7">
              <w:rPr>
                <w:color w:val="000000"/>
                <w:sz w:val="20"/>
              </w:rPr>
              <w:t xml:space="preserve">$0 </w:t>
            </w:r>
          </w:p>
        </w:tc>
      </w:tr>
      <w:tr w14:paraId="6077EE04" w14:textId="77777777" w:rsidTr="00182AF7">
        <w:tblPrEx>
          <w:tblW w:w="13640" w:type="dxa"/>
          <w:tblLook w:val="04A0"/>
        </w:tblPrEx>
        <w:trPr>
          <w:trHeight w:val="27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041FA57F" w14:textId="77777777">
            <w:pPr>
              <w:rPr>
                <w:b/>
                <w:bCs/>
                <w:i/>
                <w:iCs/>
                <w:color w:val="000000"/>
                <w:sz w:val="20"/>
              </w:rPr>
            </w:pPr>
            <w:r w:rsidRPr="00182AF7">
              <w:rPr>
                <w:b/>
                <w:bCs/>
                <w:i/>
                <w:iCs/>
                <w:color w:val="000000"/>
                <w:sz w:val="20"/>
              </w:rPr>
              <w:t>Subtotal for Reporting Requirements</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4D1C9D67" w14:textId="77777777">
            <w:pPr>
              <w:jc w:val="right"/>
              <w:rPr>
                <w:b/>
                <w:bCs/>
                <w:i/>
                <w:iCs/>
                <w:color w:val="000000"/>
                <w:sz w:val="20"/>
              </w:rPr>
            </w:pPr>
            <w:r w:rsidRPr="00182AF7">
              <w:rPr>
                <w:b/>
                <w:bCs/>
                <w:i/>
                <w:i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5DCF65F4" w14:textId="77777777">
            <w:pPr>
              <w:jc w:val="right"/>
              <w:rPr>
                <w:b/>
                <w:bCs/>
                <w:i/>
                <w:iCs/>
                <w:sz w:val="20"/>
              </w:rPr>
            </w:pPr>
            <w:r w:rsidRPr="00182AF7">
              <w:rPr>
                <w:b/>
                <w:bCs/>
                <w:i/>
                <w:i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7887219F" w14:textId="77777777">
            <w:pPr>
              <w:jc w:val="right"/>
              <w:rPr>
                <w:b/>
                <w:bCs/>
                <w:i/>
                <w:iCs/>
                <w:color w:val="000000"/>
                <w:sz w:val="20"/>
              </w:rPr>
            </w:pPr>
            <w:r w:rsidRPr="00182AF7">
              <w:rPr>
                <w:b/>
                <w:bCs/>
                <w:i/>
                <w:iCs/>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7321C4BF" w14:textId="77777777">
            <w:pPr>
              <w:jc w:val="right"/>
              <w:rPr>
                <w:b/>
                <w:bCs/>
                <w:i/>
                <w:iCs/>
                <w:sz w:val="20"/>
              </w:rPr>
            </w:pPr>
            <w:r w:rsidRPr="00182AF7">
              <w:rPr>
                <w:b/>
                <w:bCs/>
                <w:i/>
                <w:iCs/>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7185DA7B" w14:textId="77777777">
            <w:pPr>
              <w:jc w:val="center"/>
              <w:rPr>
                <w:b/>
                <w:bCs/>
                <w:i/>
                <w:iCs/>
                <w:color w:val="000000"/>
                <w:sz w:val="20"/>
              </w:rPr>
            </w:pPr>
            <w:r w:rsidRPr="00182AF7">
              <w:rPr>
                <w:b/>
                <w:bCs/>
                <w:i/>
                <w:iCs/>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371B8DB5" w14:textId="77777777">
            <w:pPr>
              <w:jc w:val="center"/>
              <w:rPr>
                <w:b/>
                <w:bCs/>
                <w:i/>
                <w:iCs/>
                <w:color w:val="000000"/>
                <w:sz w:val="20"/>
              </w:rPr>
            </w:pPr>
            <w:r w:rsidRPr="00182AF7">
              <w:rPr>
                <w:b/>
                <w:bCs/>
                <w:i/>
                <w:iCs/>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37181752" w14:textId="77777777">
            <w:pPr>
              <w:jc w:val="center"/>
              <w:rPr>
                <w:b/>
                <w:bCs/>
                <w:i/>
                <w:iCs/>
                <w:color w:val="000000"/>
                <w:sz w:val="20"/>
              </w:rPr>
            </w:pPr>
            <w:r w:rsidRPr="00182AF7">
              <w:rPr>
                <w:b/>
                <w:bCs/>
                <w:i/>
                <w:iCs/>
                <w:color w:val="000000"/>
                <w:sz w:val="20"/>
              </w:rPr>
              <w:t> </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324371F7" w14:textId="77777777">
            <w:pPr>
              <w:jc w:val="right"/>
              <w:rPr>
                <w:b/>
                <w:bCs/>
                <w:i/>
                <w:iCs/>
                <w:color w:val="000000"/>
                <w:sz w:val="20"/>
              </w:rPr>
            </w:pPr>
            <w:r w:rsidRPr="00182AF7">
              <w:rPr>
                <w:b/>
                <w:bCs/>
                <w:i/>
                <w:iCs/>
                <w:color w:val="000000"/>
                <w:sz w:val="20"/>
              </w:rPr>
              <w:t xml:space="preserve">$0 </w:t>
            </w:r>
          </w:p>
        </w:tc>
      </w:tr>
      <w:tr w14:paraId="3C7A81AB" w14:textId="77777777" w:rsidTr="00182AF7">
        <w:tblPrEx>
          <w:tblW w:w="13640" w:type="dxa"/>
          <w:tblLook w:val="04A0"/>
        </w:tblPrEx>
        <w:trPr>
          <w:trHeight w:val="52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73F2EEC2" w14:textId="77777777">
            <w:pPr>
              <w:rPr>
                <w:color w:val="000000"/>
                <w:sz w:val="20"/>
              </w:rPr>
            </w:pPr>
            <w:r w:rsidRPr="00182AF7">
              <w:rPr>
                <w:color w:val="000000"/>
                <w:sz w:val="20"/>
              </w:rPr>
              <w:t>5. RECORDKEEPING REQUIREMENTS</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49BE8A7A" w14:textId="77777777">
            <w:pPr>
              <w:jc w:val="right"/>
              <w:rPr>
                <w:color w:val="000000"/>
                <w:sz w:val="20"/>
              </w:rPr>
            </w:pPr>
            <w:r w:rsidRPr="00182AF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2DD349DB" w14:textId="77777777">
            <w:pPr>
              <w:jc w:val="right"/>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1DC520BD" w14:textId="77777777">
            <w:pPr>
              <w:jc w:val="right"/>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2E85C5C2" w14:textId="77777777">
            <w:pPr>
              <w:jc w:val="right"/>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5D0067CF" w14:textId="77777777">
            <w:pPr>
              <w:jc w:val="right"/>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739B6336"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2B3A07DA" w14:textId="77777777">
            <w:pPr>
              <w:jc w:val="right"/>
              <w:rPr>
                <w:color w:val="000000"/>
                <w:sz w:val="20"/>
              </w:rPr>
            </w:pPr>
            <w:r w:rsidRPr="00182AF7">
              <w:rPr>
                <w:color w:val="000000"/>
                <w:sz w:val="20"/>
              </w:rPr>
              <w:t> </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6C4C0C23" w14:textId="77777777">
            <w:pPr>
              <w:jc w:val="right"/>
              <w:rPr>
                <w:color w:val="000000"/>
                <w:sz w:val="20"/>
              </w:rPr>
            </w:pPr>
            <w:r w:rsidRPr="00182AF7">
              <w:rPr>
                <w:color w:val="000000"/>
                <w:sz w:val="20"/>
              </w:rPr>
              <w:t> </w:t>
            </w:r>
          </w:p>
        </w:tc>
      </w:tr>
      <w:tr w14:paraId="14CEFF42" w14:textId="77777777" w:rsidTr="00182AF7">
        <w:tblPrEx>
          <w:tblW w:w="13640" w:type="dxa"/>
          <w:tblLook w:val="04A0"/>
        </w:tblPrEx>
        <w:trPr>
          <w:trHeight w:val="52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42CD46C7" w14:textId="77777777">
            <w:pPr>
              <w:rPr>
                <w:color w:val="000000"/>
                <w:sz w:val="20"/>
              </w:rPr>
            </w:pPr>
            <w:r w:rsidRPr="00182AF7">
              <w:rPr>
                <w:color w:val="000000"/>
                <w:sz w:val="20"/>
              </w:rPr>
              <w:t>A. Familiarize with regulatory requirement</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582108F9" w14:textId="77777777">
            <w:pPr>
              <w:jc w:val="center"/>
              <w:rPr>
                <w:color w:val="000000"/>
                <w:sz w:val="20"/>
              </w:rPr>
            </w:pPr>
            <w:r w:rsidRPr="00182AF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066219A5" w14:textId="77777777">
            <w:pPr>
              <w:jc w:val="right"/>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7C7E729B" w14:textId="77777777">
            <w:pPr>
              <w:jc w:val="right"/>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182AF7" w:rsidRPr="00182AF7" w:rsidP="00182AF7" w14:paraId="19FF8FD5" w14:textId="77777777">
            <w:pPr>
              <w:jc w:val="right"/>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7C3DAB07" w14:textId="77777777">
            <w:pPr>
              <w:jc w:val="right"/>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64D724C6"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2CAABC3D" w14:textId="77777777">
            <w:pPr>
              <w:jc w:val="right"/>
              <w:rPr>
                <w:color w:val="000000"/>
                <w:sz w:val="20"/>
              </w:rPr>
            </w:pPr>
            <w:r w:rsidRPr="00182AF7">
              <w:rPr>
                <w:color w:val="000000"/>
                <w:sz w:val="20"/>
              </w:rPr>
              <w:t> </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2D0430C0" w14:textId="77777777">
            <w:pPr>
              <w:jc w:val="right"/>
              <w:rPr>
                <w:color w:val="000000"/>
                <w:sz w:val="20"/>
              </w:rPr>
            </w:pPr>
            <w:r w:rsidRPr="00182AF7">
              <w:rPr>
                <w:color w:val="000000"/>
                <w:sz w:val="20"/>
              </w:rPr>
              <w:t> </w:t>
            </w:r>
          </w:p>
        </w:tc>
      </w:tr>
      <w:tr w14:paraId="459789A2" w14:textId="77777777" w:rsidTr="00182AF7">
        <w:tblPrEx>
          <w:tblW w:w="13640" w:type="dxa"/>
          <w:tblLook w:val="04A0"/>
        </w:tblPrEx>
        <w:trPr>
          <w:trHeight w:val="26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642341B8" w14:textId="77777777">
            <w:pPr>
              <w:rPr>
                <w:color w:val="000000"/>
                <w:sz w:val="20"/>
              </w:rPr>
            </w:pPr>
            <w:r w:rsidRPr="00182AF7">
              <w:rPr>
                <w:color w:val="000000"/>
                <w:sz w:val="20"/>
              </w:rPr>
              <w:t xml:space="preserve">B. Plan Activities </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379D1945" w14:textId="77777777">
            <w:pPr>
              <w:jc w:val="center"/>
              <w:rPr>
                <w:color w:val="000000"/>
                <w:sz w:val="20"/>
              </w:rPr>
            </w:pPr>
            <w:r w:rsidRPr="00182AF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20DF3559" w14:textId="77777777">
            <w:pPr>
              <w:jc w:val="right"/>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2E0E6389" w14:textId="77777777">
            <w:pPr>
              <w:jc w:val="right"/>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182AF7" w:rsidRPr="00182AF7" w:rsidP="00182AF7" w14:paraId="790D4E31" w14:textId="77777777">
            <w:pPr>
              <w:jc w:val="right"/>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0E7D9C53" w14:textId="77777777">
            <w:pPr>
              <w:jc w:val="right"/>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03E2CCA3"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2ED12A56" w14:textId="77777777">
            <w:pPr>
              <w:jc w:val="right"/>
              <w:rPr>
                <w:color w:val="000000"/>
                <w:sz w:val="20"/>
              </w:rPr>
            </w:pPr>
            <w:r w:rsidRPr="00182AF7">
              <w:rPr>
                <w:color w:val="000000"/>
                <w:sz w:val="20"/>
              </w:rPr>
              <w:t> </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2951E3A9" w14:textId="77777777">
            <w:pPr>
              <w:jc w:val="right"/>
              <w:rPr>
                <w:color w:val="000000"/>
                <w:sz w:val="20"/>
              </w:rPr>
            </w:pPr>
            <w:r w:rsidRPr="00182AF7">
              <w:rPr>
                <w:color w:val="000000"/>
                <w:sz w:val="20"/>
              </w:rPr>
              <w:t> </w:t>
            </w:r>
          </w:p>
        </w:tc>
      </w:tr>
      <w:tr w14:paraId="64262E44" w14:textId="77777777" w:rsidTr="00182AF7">
        <w:tblPrEx>
          <w:tblW w:w="13640" w:type="dxa"/>
          <w:tblLook w:val="04A0"/>
        </w:tblPrEx>
        <w:trPr>
          <w:trHeight w:val="26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6187F161" w14:textId="77777777">
            <w:pPr>
              <w:rPr>
                <w:color w:val="000000"/>
                <w:sz w:val="20"/>
              </w:rPr>
            </w:pPr>
            <w:r w:rsidRPr="00182AF7">
              <w:rPr>
                <w:color w:val="000000"/>
                <w:sz w:val="20"/>
              </w:rPr>
              <w:t xml:space="preserve">C. Implement Activities </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3743F4CC" w14:textId="77777777">
            <w:pPr>
              <w:jc w:val="center"/>
              <w:rPr>
                <w:color w:val="000000"/>
                <w:sz w:val="20"/>
              </w:rPr>
            </w:pPr>
            <w:r w:rsidRPr="00182AF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451318CA" w14:textId="77777777">
            <w:pPr>
              <w:jc w:val="right"/>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08AADFB1" w14:textId="77777777">
            <w:pPr>
              <w:jc w:val="right"/>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182AF7" w:rsidRPr="00182AF7" w:rsidP="00182AF7" w14:paraId="1E5448C4" w14:textId="77777777">
            <w:pPr>
              <w:jc w:val="right"/>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22785B46" w14:textId="77777777">
            <w:pPr>
              <w:jc w:val="right"/>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7E525E9F"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390503EE" w14:textId="77777777">
            <w:pPr>
              <w:jc w:val="right"/>
              <w:rPr>
                <w:color w:val="000000"/>
                <w:sz w:val="20"/>
              </w:rPr>
            </w:pPr>
            <w:r w:rsidRPr="00182AF7">
              <w:rPr>
                <w:color w:val="000000"/>
                <w:sz w:val="20"/>
              </w:rPr>
              <w:t> </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10749935" w14:textId="77777777">
            <w:pPr>
              <w:jc w:val="right"/>
              <w:rPr>
                <w:color w:val="000000"/>
                <w:sz w:val="20"/>
              </w:rPr>
            </w:pPr>
            <w:r w:rsidRPr="00182AF7">
              <w:rPr>
                <w:color w:val="000000"/>
                <w:sz w:val="20"/>
              </w:rPr>
              <w:t> </w:t>
            </w:r>
          </w:p>
        </w:tc>
      </w:tr>
      <w:tr w14:paraId="53D0307D" w14:textId="77777777" w:rsidTr="00182AF7">
        <w:tblPrEx>
          <w:tblW w:w="13640" w:type="dxa"/>
          <w:tblLook w:val="04A0"/>
        </w:tblPrEx>
        <w:trPr>
          <w:trHeight w:val="26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27C9C065" w14:textId="77777777">
            <w:pPr>
              <w:rPr>
                <w:color w:val="000000"/>
                <w:sz w:val="20"/>
              </w:rPr>
            </w:pPr>
            <w:r w:rsidRPr="00182AF7">
              <w:rPr>
                <w:color w:val="000000"/>
                <w:sz w:val="20"/>
              </w:rPr>
              <w:t xml:space="preserve">D. Record Data </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01E6A66E" w14:textId="77777777">
            <w:pPr>
              <w:jc w:val="center"/>
              <w:rPr>
                <w:color w:val="000000"/>
                <w:sz w:val="20"/>
              </w:rPr>
            </w:pPr>
            <w:r w:rsidRPr="00182AF7">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088B853C" w14:textId="77777777">
            <w:pPr>
              <w:jc w:val="right"/>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6B82F5E9" w14:textId="77777777">
            <w:pPr>
              <w:jc w:val="right"/>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182AF7" w:rsidRPr="00182AF7" w:rsidP="00182AF7" w14:paraId="1A20D570" w14:textId="77777777">
            <w:pPr>
              <w:jc w:val="right"/>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78A8E04F" w14:textId="77777777">
            <w:pPr>
              <w:jc w:val="right"/>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01B22081"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29959443" w14:textId="77777777">
            <w:pPr>
              <w:jc w:val="right"/>
              <w:rPr>
                <w:color w:val="000000"/>
                <w:sz w:val="20"/>
              </w:rPr>
            </w:pPr>
            <w:r w:rsidRPr="00182AF7">
              <w:rPr>
                <w:color w:val="000000"/>
                <w:sz w:val="20"/>
              </w:rPr>
              <w:t> </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6A6585F0" w14:textId="77777777">
            <w:pPr>
              <w:jc w:val="right"/>
              <w:rPr>
                <w:color w:val="000000"/>
                <w:sz w:val="20"/>
              </w:rPr>
            </w:pPr>
            <w:r w:rsidRPr="00182AF7">
              <w:rPr>
                <w:color w:val="000000"/>
                <w:sz w:val="20"/>
              </w:rPr>
              <w:t> </w:t>
            </w:r>
          </w:p>
        </w:tc>
      </w:tr>
      <w:tr w14:paraId="580CC5B1" w14:textId="77777777" w:rsidTr="00182AF7">
        <w:tblPrEx>
          <w:tblW w:w="13640" w:type="dxa"/>
          <w:tblLook w:val="04A0"/>
        </w:tblPrEx>
        <w:trPr>
          <w:trHeight w:val="52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74E0FF41" w14:textId="77777777">
            <w:pPr>
              <w:rPr>
                <w:color w:val="000000"/>
                <w:sz w:val="20"/>
              </w:rPr>
            </w:pPr>
            <w:r w:rsidRPr="00182AF7">
              <w:rPr>
                <w:color w:val="000000"/>
                <w:sz w:val="20"/>
              </w:rPr>
              <w:t>E. Time to Transmit or Disclose Information</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76AD4444" w14:textId="77777777">
            <w:pPr>
              <w:jc w:val="right"/>
              <w:rPr>
                <w:color w:val="000000"/>
                <w:sz w:val="20"/>
              </w:rPr>
            </w:pPr>
            <w:r w:rsidRPr="00182AF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7020D505" w14:textId="77777777">
            <w:pPr>
              <w:jc w:val="right"/>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36990572" w14:textId="77777777">
            <w:pPr>
              <w:jc w:val="right"/>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182AF7" w:rsidRPr="00182AF7" w:rsidP="00182AF7" w14:paraId="2772BE28" w14:textId="77777777">
            <w:pPr>
              <w:jc w:val="right"/>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77F5D2E7" w14:textId="77777777">
            <w:pPr>
              <w:jc w:val="right"/>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2CA8E7F9"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66D7FF44" w14:textId="77777777">
            <w:pPr>
              <w:jc w:val="right"/>
              <w:rPr>
                <w:color w:val="000000"/>
                <w:sz w:val="20"/>
              </w:rPr>
            </w:pPr>
            <w:r w:rsidRPr="00182AF7">
              <w:rPr>
                <w:color w:val="000000"/>
                <w:sz w:val="20"/>
              </w:rPr>
              <w:t> </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0768BC4F" w14:textId="77777777">
            <w:pPr>
              <w:jc w:val="right"/>
              <w:rPr>
                <w:color w:val="000000"/>
                <w:sz w:val="20"/>
              </w:rPr>
            </w:pPr>
            <w:r w:rsidRPr="00182AF7">
              <w:rPr>
                <w:color w:val="000000"/>
                <w:sz w:val="20"/>
              </w:rPr>
              <w:t> </w:t>
            </w:r>
          </w:p>
        </w:tc>
      </w:tr>
      <w:tr w14:paraId="19DB09DE" w14:textId="77777777" w:rsidTr="00182AF7">
        <w:tblPrEx>
          <w:tblW w:w="13640" w:type="dxa"/>
          <w:tblLook w:val="04A0"/>
        </w:tblPrEx>
        <w:trPr>
          <w:trHeight w:val="26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7D08EA78" w14:textId="77777777">
            <w:pPr>
              <w:rPr>
                <w:i/>
                <w:iCs/>
                <w:color w:val="000000"/>
                <w:sz w:val="20"/>
                <w:u w:val="single"/>
              </w:rPr>
            </w:pPr>
            <w:r w:rsidRPr="00182AF7">
              <w:rPr>
                <w:i/>
                <w:iCs/>
                <w:color w:val="000000"/>
                <w:sz w:val="20"/>
                <w:u w:val="single"/>
              </w:rPr>
              <w:t>Existing Sources</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5A17EF42" w14:textId="77777777">
            <w:pPr>
              <w:jc w:val="right"/>
              <w:rPr>
                <w:color w:val="000000"/>
                <w:sz w:val="20"/>
              </w:rPr>
            </w:pPr>
            <w:r w:rsidRPr="00182AF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6342A5F2" w14:textId="77777777">
            <w:pPr>
              <w:jc w:val="right"/>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0EE50F22" w14:textId="77777777">
            <w:pPr>
              <w:jc w:val="right"/>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182AF7" w:rsidRPr="00182AF7" w:rsidP="00182AF7" w14:paraId="04823324" w14:textId="77777777">
            <w:pPr>
              <w:jc w:val="right"/>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11F0B0DE" w14:textId="77777777">
            <w:pPr>
              <w:jc w:val="right"/>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59BDDE62"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6409361B" w14:textId="77777777">
            <w:pPr>
              <w:jc w:val="right"/>
              <w:rPr>
                <w:color w:val="000000"/>
                <w:sz w:val="20"/>
              </w:rPr>
            </w:pPr>
            <w:r w:rsidRPr="00182AF7">
              <w:rPr>
                <w:color w:val="000000"/>
                <w:sz w:val="20"/>
              </w:rPr>
              <w:t> </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506DA836" w14:textId="77777777">
            <w:pPr>
              <w:jc w:val="right"/>
              <w:rPr>
                <w:color w:val="000000"/>
                <w:sz w:val="20"/>
              </w:rPr>
            </w:pPr>
            <w:r w:rsidRPr="00182AF7">
              <w:rPr>
                <w:color w:val="000000"/>
                <w:sz w:val="20"/>
              </w:rPr>
              <w:t> </w:t>
            </w:r>
          </w:p>
        </w:tc>
      </w:tr>
      <w:tr w14:paraId="47892143" w14:textId="77777777" w:rsidTr="00182AF7">
        <w:tblPrEx>
          <w:tblW w:w="13640" w:type="dxa"/>
          <w:tblLook w:val="04A0"/>
        </w:tblPrEx>
        <w:trPr>
          <w:trHeight w:val="26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031652DC" w14:textId="77777777">
            <w:pPr>
              <w:rPr>
                <w:color w:val="000000"/>
                <w:sz w:val="20"/>
              </w:rPr>
            </w:pPr>
            <w:r w:rsidRPr="00182AF7">
              <w:rPr>
                <w:color w:val="000000"/>
                <w:sz w:val="20"/>
              </w:rPr>
              <w:t>Data Collection</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0A7560CC" w14:textId="77777777">
            <w:pPr>
              <w:jc w:val="center"/>
              <w:rPr>
                <w:color w:val="000000"/>
                <w:sz w:val="20"/>
              </w:rPr>
            </w:pPr>
            <w:r w:rsidRPr="00182AF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540F1F4B"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63305F05" w14:textId="77777777">
            <w:pPr>
              <w:jc w:val="center"/>
              <w:rPr>
                <w:color w:val="000000"/>
                <w:sz w:val="20"/>
              </w:rPr>
            </w:pPr>
            <w:r w:rsidRPr="00182AF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51BA2B1E" w14:textId="77777777">
            <w:pPr>
              <w:jc w:val="center"/>
              <w:rPr>
                <w:sz w:val="20"/>
              </w:rPr>
            </w:pPr>
            <w:r w:rsidRPr="00182AF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6E14F1BE"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348AE9AE"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5033822A" w14:textId="77777777">
            <w:pPr>
              <w:jc w:val="center"/>
              <w:rPr>
                <w:color w:val="000000"/>
                <w:sz w:val="20"/>
              </w:rPr>
            </w:pPr>
            <w:r w:rsidRPr="00182AF7">
              <w:rPr>
                <w:color w:val="000000"/>
                <w:sz w:val="20"/>
              </w:rPr>
              <w:t>0</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631569CF" w14:textId="77777777">
            <w:pPr>
              <w:jc w:val="right"/>
              <w:rPr>
                <w:color w:val="000000"/>
                <w:sz w:val="20"/>
              </w:rPr>
            </w:pPr>
            <w:r w:rsidRPr="00182AF7">
              <w:rPr>
                <w:color w:val="000000"/>
                <w:sz w:val="20"/>
              </w:rPr>
              <w:t xml:space="preserve">$0.00 </w:t>
            </w:r>
          </w:p>
        </w:tc>
      </w:tr>
      <w:tr w14:paraId="51EA75FF" w14:textId="77777777" w:rsidTr="00182AF7">
        <w:tblPrEx>
          <w:tblW w:w="13640" w:type="dxa"/>
          <w:tblLook w:val="04A0"/>
        </w:tblPrEx>
        <w:trPr>
          <w:trHeight w:val="59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72CDD2DD" w14:textId="77777777">
            <w:pPr>
              <w:rPr>
                <w:color w:val="000000"/>
                <w:sz w:val="20"/>
              </w:rPr>
            </w:pPr>
            <w:r w:rsidRPr="00182AF7">
              <w:rPr>
                <w:color w:val="000000"/>
                <w:sz w:val="20"/>
              </w:rPr>
              <w:t>Create and Store Engine Maintenance Plan</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5D1F6C15" w14:textId="77777777">
            <w:pPr>
              <w:jc w:val="center"/>
              <w:rPr>
                <w:color w:val="000000"/>
                <w:sz w:val="20"/>
              </w:rPr>
            </w:pPr>
            <w:r w:rsidRPr="00182AF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19824EF4"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371B9AA4" w14:textId="77777777">
            <w:pPr>
              <w:jc w:val="center"/>
              <w:rPr>
                <w:color w:val="000000"/>
                <w:sz w:val="20"/>
              </w:rPr>
            </w:pPr>
            <w:r w:rsidRPr="00182AF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390861AA" w14:textId="77777777">
            <w:pPr>
              <w:jc w:val="center"/>
              <w:rPr>
                <w:sz w:val="20"/>
              </w:rPr>
            </w:pPr>
            <w:r w:rsidRPr="00182AF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119799AB"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7FEEDF9A"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0A0516C7" w14:textId="77777777">
            <w:pPr>
              <w:jc w:val="center"/>
              <w:rPr>
                <w:color w:val="000000"/>
                <w:sz w:val="20"/>
              </w:rPr>
            </w:pPr>
            <w:r w:rsidRPr="00182AF7">
              <w:rPr>
                <w:color w:val="000000"/>
                <w:sz w:val="20"/>
              </w:rPr>
              <w:t>0</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00477F47" w14:textId="77777777">
            <w:pPr>
              <w:jc w:val="right"/>
              <w:rPr>
                <w:color w:val="000000"/>
                <w:sz w:val="20"/>
              </w:rPr>
            </w:pPr>
            <w:r w:rsidRPr="00182AF7">
              <w:rPr>
                <w:color w:val="000000"/>
                <w:sz w:val="20"/>
              </w:rPr>
              <w:t xml:space="preserve">$0.00 </w:t>
            </w:r>
          </w:p>
        </w:tc>
      </w:tr>
      <w:tr w14:paraId="05B54F7E" w14:textId="77777777" w:rsidTr="00182AF7">
        <w:tblPrEx>
          <w:tblW w:w="13640" w:type="dxa"/>
          <w:tblLook w:val="04A0"/>
        </w:tblPrEx>
        <w:trPr>
          <w:trHeight w:val="35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2ABDA21D" w14:textId="77777777">
            <w:pPr>
              <w:rPr>
                <w:color w:val="000000"/>
                <w:sz w:val="20"/>
              </w:rPr>
            </w:pPr>
            <w:r w:rsidRPr="00182AF7">
              <w:rPr>
                <w:color w:val="000000"/>
                <w:sz w:val="20"/>
              </w:rPr>
              <w:t>Records of Hours of Operation</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4800F8AB" w14:textId="77777777">
            <w:pPr>
              <w:jc w:val="center"/>
              <w:rPr>
                <w:color w:val="000000"/>
                <w:sz w:val="20"/>
              </w:rPr>
            </w:pPr>
            <w:r w:rsidRPr="00182AF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6850928F"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76135B00" w14:textId="77777777">
            <w:pPr>
              <w:jc w:val="center"/>
              <w:rPr>
                <w:color w:val="000000"/>
                <w:sz w:val="20"/>
              </w:rPr>
            </w:pPr>
            <w:r w:rsidRPr="00182AF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5F971425" w14:textId="77777777">
            <w:pPr>
              <w:jc w:val="center"/>
              <w:rPr>
                <w:sz w:val="20"/>
              </w:rPr>
            </w:pPr>
            <w:r w:rsidRPr="00182AF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41ECC71A"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339F0D5C"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77D03EE3" w14:textId="77777777">
            <w:pPr>
              <w:jc w:val="center"/>
              <w:rPr>
                <w:color w:val="000000"/>
                <w:sz w:val="20"/>
              </w:rPr>
            </w:pPr>
            <w:r w:rsidRPr="00182AF7">
              <w:rPr>
                <w:color w:val="000000"/>
                <w:sz w:val="20"/>
              </w:rPr>
              <w:t>0</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0B097AB6" w14:textId="77777777">
            <w:pPr>
              <w:jc w:val="right"/>
              <w:rPr>
                <w:color w:val="000000"/>
                <w:sz w:val="20"/>
              </w:rPr>
            </w:pPr>
            <w:r w:rsidRPr="00182AF7">
              <w:rPr>
                <w:color w:val="000000"/>
                <w:sz w:val="20"/>
              </w:rPr>
              <w:t xml:space="preserve">$0.00 </w:t>
            </w:r>
          </w:p>
        </w:tc>
      </w:tr>
      <w:tr w14:paraId="3D016298" w14:textId="77777777" w:rsidTr="00182AF7">
        <w:tblPrEx>
          <w:tblW w:w="13640" w:type="dxa"/>
          <w:tblLook w:val="04A0"/>
        </w:tblPrEx>
        <w:trPr>
          <w:trHeight w:val="53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17B7512B" w14:textId="77777777">
            <w:pPr>
              <w:rPr>
                <w:color w:val="000000"/>
                <w:sz w:val="20"/>
              </w:rPr>
            </w:pPr>
            <w:r w:rsidRPr="00182AF7">
              <w:rPr>
                <w:color w:val="000000"/>
                <w:sz w:val="20"/>
              </w:rPr>
              <w:t>Records of Engine Maintenance Conducted</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6EB1A188" w14:textId="77777777">
            <w:pPr>
              <w:jc w:val="center"/>
              <w:rPr>
                <w:color w:val="000000"/>
                <w:sz w:val="20"/>
              </w:rPr>
            </w:pPr>
            <w:r w:rsidRPr="00182AF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2F8EC01D"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126CECFC" w14:textId="77777777">
            <w:pPr>
              <w:jc w:val="center"/>
              <w:rPr>
                <w:color w:val="000000"/>
                <w:sz w:val="20"/>
              </w:rPr>
            </w:pPr>
            <w:r w:rsidRPr="00182AF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77CC27DB" w14:textId="77777777">
            <w:pPr>
              <w:jc w:val="center"/>
              <w:rPr>
                <w:sz w:val="20"/>
              </w:rPr>
            </w:pPr>
            <w:r w:rsidRPr="00182AF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6E21F21E"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275268F4"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1F911C74" w14:textId="77777777">
            <w:pPr>
              <w:jc w:val="center"/>
              <w:rPr>
                <w:color w:val="000000"/>
                <w:sz w:val="20"/>
              </w:rPr>
            </w:pPr>
            <w:r w:rsidRPr="00182AF7">
              <w:rPr>
                <w:color w:val="000000"/>
                <w:sz w:val="20"/>
              </w:rPr>
              <w:t>0</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1CFD5061" w14:textId="77777777">
            <w:pPr>
              <w:jc w:val="right"/>
              <w:rPr>
                <w:color w:val="000000"/>
                <w:sz w:val="20"/>
              </w:rPr>
            </w:pPr>
            <w:r w:rsidRPr="00182AF7">
              <w:rPr>
                <w:color w:val="000000"/>
                <w:sz w:val="20"/>
              </w:rPr>
              <w:t xml:space="preserve">$0.00 </w:t>
            </w:r>
          </w:p>
        </w:tc>
      </w:tr>
      <w:tr w14:paraId="7D46A99C" w14:textId="77777777" w:rsidTr="00182AF7">
        <w:tblPrEx>
          <w:tblW w:w="13640" w:type="dxa"/>
          <w:tblLook w:val="04A0"/>
        </w:tblPrEx>
        <w:trPr>
          <w:trHeight w:val="53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79303463" w14:textId="77777777">
            <w:pPr>
              <w:rPr>
                <w:i/>
                <w:iCs/>
                <w:color w:val="000000"/>
                <w:sz w:val="20"/>
              </w:rPr>
            </w:pPr>
            <w:r w:rsidRPr="00182AF7">
              <w:rPr>
                <w:i/>
                <w:iCs/>
                <w:color w:val="000000"/>
                <w:sz w:val="20"/>
              </w:rPr>
              <w:t xml:space="preserve">      Engines Anticipated with SCR or NSCR</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4956ABA1" w14:textId="77777777">
            <w:pPr>
              <w:jc w:val="center"/>
              <w:rPr>
                <w:color w:val="000000"/>
                <w:sz w:val="20"/>
              </w:rPr>
            </w:pPr>
            <w:r w:rsidRPr="00182AF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1D032E76" w14:textId="77777777">
            <w:pPr>
              <w:jc w:val="center"/>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1E1A18B8" w14:textId="77777777">
            <w:pPr>
              <w:jc w:val="center"/>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6A3318FE" w14:textId="77777777">
            <w:pPr>
              <w:jc w:val="center"/>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4552B36C" w14:textId="77777777">
            <w:pPr>
              <w:jc w:val="center"/>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10BA0656" w14:textId="77777777">
            <w:pPr>
              <w:jc w:val="center"/>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4B91CB63" w14:textId="77777777">
            <w:pPr>
              <w:jc w:val="center"/>
              <w:rPr>
                <w:color w:val="000000"/>
                <w:sz w:val="20"/>
              </w:rPr>
            </w:pPr>
            <w:r w:rsidRPr="00182AF7">
              <w:rPr>
                <w:color w:val="000000"/>
                <w:sz w:val="20"/>
              </w:rPr>
              <w:t> </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33346D02" w14:textId="77777777">
            <w:pPr>
              <w:jc w:val="right"/>
              <w:rPr>
                <w:color w:val="000000"/>
                <w:sz w:val="20"/>
              </w:rPr>
            </w:pPr>
            <w:r w:rsidRPr="00182AF7">
              <w:rPr>
                <w:color w:val="000000"/>
                <w:sz w:val="20"/>
              </w:rPr>
              <w:t> </w:t>
            </w:r>
          </w:p>
        </w:tc>
      </w:tr>
      <w:tr w14:paraId="552D6A9E" w14:textId="77777777" w:rsidTr="00182AF7">
        <w:tblPrEx>
          <w:tblW w:w="13640" w:type="dxa"/>
          <w:tblLook w:val="04A0"/>
        </w:tblPrEx>
        <w:trPr>
          <w:trHeight w:val="53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1AE5B53E" w14:textId="77777777">
            <w:pPr>
              <w:rPr>
                <w:color w:val="000000"/>
                <w:sz w:val="20"/>
              </w:rPr>
            </w:pPr>
            <w:r w:rsidRPr="00182AF7">
              <w:rPr>
                <w:color w:val="000000"/>
                <w:sz w:val="20"/>
              </w:rPr>
              <w:t xml:space="preserve">    Daily monitoring of catalyst inlet temperature</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7966D0D4" w14:textId="77777777">
            <w:pPr>
              <w:jc w:val="center"/>
              <w:rPr>
                <w:color w:val="000000"/>
                <w:sz w:val="20"/>
              </w:rPr>
            </w:pPr>
            <w:r w:rsidRPr="00182AF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786655E4"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08F9F5DB" w14:textId="77777777">
            <w:pPr>
              <w:jc w:val="center"/>
              <w:rPr>
                <w:color w:val="000000"/>
                <w:sz w:val="20"/>
              </w:rPr>
            </w:pPr>
            <w:r w:rsidRPr="00182AF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785986EE" w14:textId="77777777">
            <w:pPr>
              <w:jc w:val="center"/>
              <w:rPr>
                <w:sz w:val="20"/>
              </w:rPr>
            </w:pPr>
            <w:r w:rsidRPr="00182AF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1D9A5764"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451765C7"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2DA863F4" w14:textId="77777777">
            <w:pPr>
              <w:jc w:val="center"/>
              <w:rPr>
                <w:color w:val="000000"/>
                <w:sz w:val="20"/>
              </w:rPr>
            </w:pPr>
            <w:r w:rsidRPr="00182AF7">
              <w:rPr>
                <w:color w:val="000000"/>
                <w:sz w:val="20"/>
              </w:rPr>
              <w:t>0</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300F4742" w14:textId="77777777">
            <w:pPr>
              <w:jc w:val="right"/>
              <w:rPr>
                <w:color w:val="000000"/>
                <w:sz w:val="20"/>
              </w:rPr>
            </w:pPr>
            <w:r w:rsidRPr="00182AF7">
              <w:rPr>
                <w:color w:val="000000"/>
                <w:sz w:val="20"/>
              </w:rPr>
              <w:t xml:space="preserve">$0.00 </w:t>
            </w:r>
          </w:p>
        </w:tc>
      </w:tr>
      <w:tr w14:paraId="7271AE28" w14:textId="77777777" w:rsidTr="00182AF7">
        <w:tblPrEx>
          <w:tblW w:w="13640" w:type="dxa"/>
          <w:tblLook w:val="04A0"/>
        </w:tblPrEx>
        <w:trPr>
          <w:trHeight w:val="53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4A601FB7" w14:textId="77777777">
            <w:pPr>
              <w:rPr>
                <w:color w:val="000000"/>
                <w:sz w:val="20"/>
              </w:rPr>
            </w:pPr>
            <w:r w:rsidRPr="00182AF7">
              <w:rPr>
                <w:color w:val="000000"/>
                <w:sz w:val="20"/>
              </w:rPr>
              <w:t xml:space="preserve">    Monthly monitoring of pressure drop across catalyst</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64AD9408" w14:textId="77777777">
            <w:pPr>
              <w:jc w:val="center"/>
              <w:rPr>
                <w:color w:val="000000"/>
                <w:sz w:val="20"/>
              </w:rPr>
            </w:pPr>
            <w:r w:rsidRPr="00182AF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7214EDF7"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27FA0EA0" w14:textId="77777777">
            <w:pPr>
              <w:jc w:val="center"/>
              <w:rPr>
                <w:color w:val="000000"/>
                <w:sz w:val="20"/>
              </w:rPr>
            </w:pPr>
            <w:r w:rsidRPr="00182AF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3F0FC733" w14:textId="77777777">
            <w:pPr>
              <w:jc w:val="center"/>
              <w:rPr>
                <w:sz w:val="20"/>
              </w:rPr>
            </w:pPr>
            <w:r w:rsidRPr="00182AF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5B59B668"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1BB7AD8B"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70896757" w14:textId="77777777">
            <w:pPr>
              <w:jc w:val="center"/>
              <w:rPr>
                <w:color w:val="000000"/>
                <w:sz w:val="20"/>
              </w:rPr>
            </w:pPr>
            <w:r w:rsidRPr="00182AF7">
              <w:rPr>
                <w:color w:val="000000"/>
                <w:sz w:val="20"/>
              </w:rPr>
              <w:t>0</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624E5722" w14:textId="77777777">
            <w:pPr>
              <w:jc w:val="right"/>
              <w:rPr>
                <w:color w:val="000000"/>
                <w:sz w:val="20"/>
              </w:rPr>
            </w:pPr>
            <w:r w:rsidRPr="00182AF7">
              <w:rPr>
                <w:color w:val="000000"/>
                <w:sz w:val="20"/>
              </w:rPr>
              <w:t xml:space="preserve">$0.00 </w:t>
            </w:r>
          </w:p>
        </w:tc>
      </w:tr>
      <w:tr w14:paraId="034E7D3C" w14:textId="77777777" w:rsidTr="00182AF7">
        <w:tblPrEx>
          <w:tblW w:w="13640" w:type="dxa"/>
          <w:tblLook w:val="04A0"/>
        </w:tblPrEx>
        <w:trPr>
          <w:trHeight w:val="53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0E332993" w14:textId="77777777">
            <w:pPr>
              <w:rPr>
                <w:i/>
                <w:iCs/>
                <w:color w:val="000000"/>
                <w:sz w:val="20"/>
              </w:rPr>
            </w:pPr>
            <w:r w:rsidRPr="00182AF7">
              <w:rPr>
                <w:i/>
                <w:iCs/>
                <w:color w:val="000000"/>
                <w:sz w:val="20"/>
              </w:rPr>
              <w:t xml:space="preserve">      Engines Anticipated with no SCR or NSCR</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5BCE9563" w14:textId="77777777">
            <w:pPr>
              <w:jc w:val="center"/>
              <w:rPr>
                <w:color w:val="000000"/>
                <w:sz w:val="20"/>
              </w:rPr>
            </w:pPr>
            <w:r w:rsidRPr="00182AF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1F45DE85" w14:textId="77777777">
            <w:pPr>
              <w:jc w:val="center"/>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567648D7" w14:textId="77777777">
            <w:pPr>
              <w:jc w:val="center"/>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12D5469C" w14:textId="77777777">
            <w:pPr>
              <w:jc w:val="center"/>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1B0294BB" w14:textId="77777777">
            <w:pPr>
              <w:jc w:val="center"/>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4D109D67" w14:textId="77777777">
            <w:pPr>
              <w:jc w:val="center"/>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11735F99" w14:textId="77777777">
            <w:pPr>
              <w:jc w:val="center"/>
              <w:rPr>
                <w:color w:val="000000"/>
                <w:sz w:val="20"/>
              </w:rPr>
            </w:pPr>
            <w:r w:rsidRPr="00182AF7">
              <w:rPr>
                <w:color w:val="000000"/>
                <w:sz w:val="20"/>
              </w:rPr>
              <w:t> </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122728A2" w14:textId="77777777">
            <w:pPr>
              <w:jc w:val="right"/>
              <w:rPr>
                <w:color w:val="000000"/>
                <w:sz w:val="20"/>
              </w:rPr>
            </w:pPr>
            <w:r w:rsidRPr="00182AF7">
              <w:rPr>
                <w:color w:val="000000"/>
                <w:sz w:val="20"/>
              </w:rPr>
              <w:t> </w:t>
            </w:r>
          </w:p>
        </w:tc>
      </w:tr>
      <w:tr w14:paraId="6D287341" w14:textId="77777777" w:rsidTr="00182AF7">
        <w:tblPrEx>
          <w:tblW w:w="13640" w:type="dxa"/>
          <w:tblLook w:val="04A0"/>
        </w:tblPrEx>
        <w:trPr>
          <w:trHeight w:val="53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75272AFB" w14:textId="77777777">
            <w:pPr>
              <w:rPr>
                <w:color w:val="000000"/>
                <w:sz w:val="20"/>
              </w:rPr>
            </w:pPr>
            <w:r w:rsidRPr="00182AF7">
              <w:rPr>
                <w:color w:val="000000"/>
                <w:sz w:val="20"/>
              </w:rPr>
              <w:t xml:space="preserve">    Prepare CPMS site-specific monitoring plan to address monitoring system design, data collection, and QA/QC.</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7AA8C443" w14:textId="77777777">
            <w:pPr>
              <w:jc w:val="center"/>
              <w:rPr>
                <w:color w:val="000000"/>
                <w:sz w:val="20"/>
              </w:rPr>
            </w:pPr>
            <w:r w:rsidRPr="00182AF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377E3075"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7F15C48D" w14:textId="77777777">
            <w:pPr>
              <w:jc w:val="center"/>
              <w:rPr>
                <w:color w:val="000000"/>
                <w:sz w:val="20"/>
              </w:rPr>
            </w:pPr>
            <w:r w:rsidRPr="00182AF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01226371" w14:textId="77777777">
            <w:pPr>
              <w:jc w:val="center"/>
              <w:rPr>
                <w:sz w:val="20"/>
              </w:rPr>
            </w:pPr>
            <w:r w:rsidRPr="00182AF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1F4D903D"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7DA331C0"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78B883ED" w14:textId="77777777">
            <w:pPr>
              <w:jc w:val="center"/>
              <w:rPr>
                <w:color w:val="000000"/>
                <w:sz w:val="20"/>
              </w:rPr>
            </w:pPr>
            <w:r w:rsidRPr="00182AF7">
              <w:rPr>
                <w:color w:val="000000"/>
                <w:sz w:val="20"/>
              </w:rPr>
              <w:t>0</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59AA165A" w14:textId="77777777">
            <w:pPr>
              <w:jc w:val="right"/>
              <w:rPr>
                <w:color w:val="000000"/>
                <w:sz w:val="20"/>
              </w:rPr>
            </w:pPr>
            <w:r w:rsidRPr="00182AF7">
              <w:rPr>
                <w:color w:val="000000"/>
                <w:sz w:val="20"/>
              </w:rPr>
              <w:t xml:space="preserve">$0.00 </w:t>
            </w:r>
          </w:p>
        </w:tc>
      </w:tr>
      <w:tr w14:paraId="53008E8C" w14:textId="77777777" w:rsidTr="00182AF7">
        <w:tblPrEx>
          <w:tblW w:w="13640" w:type="dxa"/>
          <w:tblLook w:val="04A0"/>
        </w:tblPrEx>
        <w:trPr>
          <w:trHeight w:val="52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43DA686B" w14:textId="77777777">
            <w:pPr>
              <w:rPr>
                <w:color w:val="000000"/>
                <w:sz w:val="20"/>
              </w:rPr>
            </w:pPr>
            <w:r w:rsidRPr="00182AF7">
              <w:rPr>
                <w:color w:val="000000"/>
                <w:sz w:val="20"/>
              </w:rPr>
              <w:t xml:space="preserve">    Records of Annual CPMS Performance Evaluation</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2CE4A89D" w14:textId="77777777">
            <w:pPr>
              <w:jc w:val="center"/>
              <w:rPr>
                <w:color w:val="000000"/>
                <w:sz w:val="20"/>
              </w:rPr>
            </w:pPr>
            <w:r w:rsidRPr="00182AF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5B255D69"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437D5ED5" w14:textId="77777777">
            <w:pPr>
              <w:jc w:val="center"/>
              <w:rPr>
                <w:color w:val="000000"/>
                <w:sz w:val="20"/>
              </w:rPr>
            </w:pPr>
            <w:r w:rsidRPr="00182AF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3BABFB7A" w14:textId="77777777">
            <w:pPr>
              <w:jc w:val="center"/>
              <w:rPr>
                <w:sz w:val="20"/>
              </w:rPr>
            </w:pPr>
            <w:r w:rsidRPr="00182AF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4FDB58F4"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2CF0561E"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1B248FB2" w14:textId="77777777">
            <w:pPr>
              <w:jc w:val="center"/>
              <w:rPr>
                <w:color w:val="000000"/>
                <w:sz w:val="20"/>
              </w:rPr>
            </w:pPr>
            <w:r w:rsidRPr="00182AF7">
              <w:rPr>
                <w:color w:val="000000"/>
                <w:sz w:val="20"/>
              </w:rPr>
              <w:t>0</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64A96E7D" w14:textId="77777777">
            <w:pPr>
              <w:jc w:val="right"/>
              <w:rPr>
                <w:color w:val="000000"/>
                <w:sz w:val="20"/>
              </w:rPr>
            </w:pPr>
            <w:r w:rsidRPr="00182AF7">
              <w:rPr>
                <w:color w:val="000000"/>
                <w:sz w:val="20"/>
              </w:rPr>
              <w:t xml:space="preserve">$0.00 </w:t>
            </w:r>
          </w:p>
        </w:tc>
      </w:tr>
      <w:tr w14:paraId="62942873" w14:textId="77777777" w:rsidTr="00182AF7">
        <w:tblPrEx>
          <w:tblW w:w="13640" w:type="dxa"/>
          <w:tblLook w:val="04A0"/>
        </w:tblPrEx>
        <w:trPr>
          <w:trHeight w:val="52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5769623B" w14:textId="77777777">
            <w:pPr>
              <w:rPr>
                <w:color w:val="000000"/>
                <w:sz w:val="20"/>
              </w:rPr>
            </w:pPr>
            <w:r w:rsidRPr="00182AF7">
              <w:rPr>
                <w:color w:val="000000"/>
                <w:sz w:val="20"/>
              </w:rPr>
              <w:t xml:space="preserve">    Collect and record the CPMS monitoring parameters</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00EA5551" w14:textId="77777777">
            <w:pPr>
              <w:jc w:val="center"/>
              <w:rPr>
                <w:color w:val="000000"/>
                <w:sz w:val="20"/>
              </w:rPr>
            </w:pPr>
            <w:r w:rsidRPr="00182AF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38D7BCC6"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4771C22F" w14:textId="77777777">
            <w:pPr>
              <w:jc w:val="center"/>
              <w:rPr>
                <w:color w:val="000000"/>
                <w:sz w:val="20"/>
              </w:rPr>
            </w:pPr>
            <w:r w:rsidRPr="00182AF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72336A99" w14:textId="77777777">
            <w:pPr>
              <w:jc w:val="center"/>
              <w:rPr>
                <w:sz w:val="20"/>
              </w:rPr>
            </w:pPr>
            <w:r w:rsidRPr="00182AF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398D7481"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02BB5BB3"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68B9858B" w14:textId="77777777">
            <w:pPr>
              <w:jc w:val="center"/>
              <w:rPr>
                <w:color w:val="000000"/>
                <w:sz w:val="20"/>
              </w:rPr>
            </w:pPr>
            <w:r w:rsidRPr="00182AF7">
              <w:rPr>
                <w:color w:val="000000"/>
                <w:sz w:val="20"/>
              </w:rPr>
              <w:t>0</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30450316" w14:textId="77777777">
            <w:pPr>
              <w:jc w:val="right"/>
              <w:rPr>
                <w:color w:val="000000"/>
                <w:sz w:val="20"/>
              </w:rPr>
            </w:pPr>
            <w:r w:rsidRPr="00182AF7">
              <w:rPr>
                <w:color w:val="000000"/>
                <w:sz w:val="20"/>
              </w:rPr>
              <w:t xml:space="preserve">$0.00 </w:t>
            </w:r>
          </w:p>
        </w:tc>
      </w:tr>
      <w:tr w14:paraId="3F642BBB" w14:textId="77777777" w:rsidTr="00182AF7">
        <w:tblPrEx>
          <w:tblW w:w="13640" w:type="dxa"/>
          <w:tblLook w:val="04A0"/>
        </w:tblPrEx>
        <w:trPr>
          <w:trHeight w:val="26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68E0AC3A" w14:textId="77777777">
            <w:pPr>
              <w:rPr>
                <w:i/>
                <w:iCs/>
                <w:color w:val="000000"/>
                <w:sz w:val="20"/>
                <w:u w:val="single"/>
              </w:rPr>
            </w:pPr>
            <w:r w:rsidRPr="00182AF7">
              <w:rPr>
                <w:i/>
                <w:iCs/>
                <w:color w:val="000000"/>
                <w:sz w:val="20"/>
                <w:u w:val="single"/>
              </w:rPr>
              <w:t>New Sources</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0E3C0EDB" w14:textId="77777777">
            <w:pPr>
              <w:jc w:val="center"/>
              <w:rPr>
                <w:color w:val="000000"/>
                <w:sz w:val="20"/>
              </w:rPr>
            </w:pPr>
            <w:r w:rsidRPr="00182AF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31129C9C" w14:textId="77777777">
            <w:pPr>
              <w:jc w:val="center"/>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320ED73A" w14:textId="77777777">
            <w:pPr>
              <w:jc w:val="center"/>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7E639BA4" w14:textId="77777777">
            <w:pPr>
              <w:jc w:val="center"/>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4E56DF09" w14:textId="77777777">
            <w:pPr>
              <w:jc w:val="center"/>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75B72ADE" w14:textId="77777777">
            <w:pPr>
              <w:jc w:val="center"/>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0EF4753F" w14:textId="77777777">
            <w:pPr>
              <w:jc w:val="center"/>
              <w:rPr>
                <w:color w:val="000000"/>
                <w:sz w:val="20"/>
              </w:rPr>
            </w:pPr>
            <w:r w:rsidRPr="00182AF7">
              <w:rPr>
                <w:color w:val="000000"/>
                <w:sz w:val="20"/>
              </w:rPr>
              <w:t> </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5342A942" w14:textId="77777777">
            <w:pPr>
              <w:jc w:val="right"/>
              <w:rPr>
                <w:color w:val="000000"/>
                <w:sz w:val="20"/>
              </w:rPr>
            </w:pPr>
            <w:r w:rsidRPr="00182AF7">
              <w:rPr>
                <w:color w:val="000000"/>
                <w:sz w:val="20"/>
              </w:rPr>
              <w:t> </w:t>
            </w:r>
          </w:p>
        </w:tc>
      </w:tr>
      <w:tr w14:paraId="36B1E704" w14:textId="77777777" w:rsidTr="00182AF7">
        <w:tblPrEx>
          <w:tblW w:w="13640" w:type="dxa"/>
          <w:tblLook w:val="04A0"/>
        </w:tblPrEx>
        <w:trPr>
          <w:trHeight w:val="26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00EE8E36" w14:textId="77777777">
            <w:pPr>
              <w:rPr>
                <w:color w:val="000000"/>
                <w:sz w:val="20"/>
              </w:rPr>
            </w:pPr>
            <w:r w:rsidRPr="00182AF7">
              <w:rPr>
                <w:color w:val="000000"/>
                <w:sz w:val="20"/>
              </w:rPr>
              <w:t>Data Collection</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5AD268F6" w14:textId="77777777">
            <w:pPr>
              <w:jc w:val="center"/>
              <w:rPr>
                <w:color w:val="000000"/>
                <w:sz w:val="20"/>
              </w:rPr>
            </w:pPr>
            <w:r w:rsidRPr="00182AF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551179D0"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1A7AFAB4" w14:textId="77777777">
            <w:pPr>
              <w:jc w:val="center"/>
              <w:rPr>
                <w:color w:val="000000"/>
                <w:sz w:val="20"/>
              </w:rPr>
            </w:pPr>
            <w:r w:rsidRPr="00182AF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7AF09292" w14:textId="77777777">
            <w:pPr>
              <w:jc w:val="center"/>
              <w:rPr>
                <w:sz w:val="20"/>
              </w:rPr>
            </w:pPr>
            <w:r w:rsidRPr="00182AF7">
              <w:rPr>
                <w:sz w:val="20"/>
              </w:rPr>
              <w:t>0.00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7A33DA4E"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324AD880"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7C606B35" w14:textId="77777777">
            <w:pPr>
              <w:jc w:val="center"/>
              <w:rPr>
                <w:color w:val="000000"/>
                <w:sz w:val="20"/>
              </w:rPr>
            </w:pPr>
            <w:r w:rsidRPr="00182AF7">
              <w:rPr>
                <w:color w:val="000000"/>
                <w:sz w:val="20"/>
              </w:rPr>
              <w:t>0</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19FDBFC0" w14:textId="77777777">
            <w:pPr>
              <w:jc w:val="right"/>
              <w:rPr>
                <w:color w:val="000000"/>
                <w:sz w:val="20"/>
              </w:rPr>
            </w:pPr>
            <w:r w:rsidRPr="00182AF7">
              <w:rPr>
                <w:color w:val="000000"/>
                <w:sz w:val="20"/>
              </w:rPr>
              <w:t xml:space="preserve">$0 </w:t>
            </w:r>
          </w:p>
        </w:tc>
      </w:tr>
      <w:tr w14:paraId="2D5A006B" w14:textId="77777777" w:rsidTr="00182AF7">
        <w:tblPrEx>
          <w:tblW w:w="13640" w:type="dxa"/>
          <w:tblLook w:val="04A0"/>
        </w:tblPrEx>
        <w:trPr>
          <w:trHeight w:val="343"/>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61F85C1E" w14:textId="77777777">
            <w:pPr>
              <w:rPr>
                <w:color w:val="000000"/>
                <w:sz w:val="20"/>
              </w:rPr>
            </w:pPr>
            <w:r w:rsidRPr="00182AF7">
              <w:rPr>
                <w:color w:val="000000"/>
                <w:sz w:val="20"/>
              </w:rPr>
              <w:t>Create and Store Maintenance Plan</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0FF2D8AC" w14:textId="77777777">
            <w:pPr>
              <w:jc w:val="center"/>
              <w:rPr>
                <w:color w:val="000000"/>
                <w:sz w:val="20"/>
              </w:rPr>
            </w:pPr>
            <w:r w:rsidRPr="00182AF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726EF5EE"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25DD9530" w14:textId="77777777">
            <w:pPr>
              <w:jc w:val="center"/>
              <w:rPr>
                <w:color w:val="000000"/>
                <w:sz w:val="20"/>
              </w:rPr>
            </w:pPr>
            <w:r w:rsidRPr="00182AF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40B1114D" w14:textId="77777777">
            <w:pPr>
              <w:jc w:val="center"/>
              <w:rPr>
                <w:sz w:val="20"/>
              </w:rPr>
            </w:pPr>
            <w:r w:rsidRPr="00182AF7">
              <w:rPr>
                <w:sz w:val="20"/>
              </w:rPr>
              <w:t>0.00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63F1A005"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4794D2FB"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336EC7FE" w14:textId="77777777">
            <w:pPr>
              <w:jc w:val="center"/>
              <w:rPr>
                <w:color w:val="000000"/>
                <w:sz w:val="20"/>
              </w:rPr>
            </w:pPr>
            <w:r w:rsidRPr="00182AF7">
              <w:rPr>
                <w:color w:val="000000"/>
                <w:sz w:val="20"/>
              </w:rPr>
              <w:t>0</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3BFB28D3" w14:textId="77777777">
            <w:pPr>
              <w:jc w:val="right"/>
              <w:rPr>
                <w:color w:val="000000"/>
                <w:sz w:val="20"/>
              </w:rPr>
            </w:pPr>
            <w:r w:rsidRPr="00182AF7">
              <w:rPr>
                <w:color w:val="000000"/>
                <w:sz w:val="20"/>
              </w:rPr>
              <w:t xml:space="preserve">$0 </w:t>
            </w:r>
          </w:p>
        </w:tc>
      </w:tr>
      <w:tr w14:paraId="248EE715" w14:textId="77777777" w:rsidTr="00182AF7">
        <w:tblPrEx>
          <w:tblW w:w="13640" w:type="dxa"/>
          <w:tblLook w:val="04A0"/>
        </w:tblPrEx>
        <w:trPr>
          <w:trHeight w:val="48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70CED392" w14:textId="77777777">
            <w:pPr>
              <w:rPr>
                <w:color w:val="000000"/>
                <w:sz w:val="20"/>
              </w:rPr>
            </w:pPr>
            <w:r w:rsidRPr="00182AF7">
              <w:rPr>
                <w:color w:val="000000"/>
                <w:sz w:val="20"/>
              </w:rPr>
              <w:t>F. Time to Train Personnel of New Sources</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49978BEA" w14:textId="77777777">
            <w:pPr>
              <w:jc w:val="center"/>
              <w:rPr>
                <w:color w:val="000000"/>
                <w:sz w:val="20"/>
              </w:rPr>
            </w:pPr>
            <w:r w:rsidRPr="00182AF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55DF5DDB"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75209031" w14:textId="77777777">
            <w:pPr>
              <w:jc w:val="center"/>
              <w:rPr>
                <w:color w:val="000000"/>
                <w:sz w:val="20"/>
              </w:rPr>
            </w:pPr>
            <w:r w:rsidRPr="00182AF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7D48AEBE" w14:textId="77777777">
            <w:pPr>
              <w:jc w:val="center"/>
              <w:rPr>
                <w:sz w:val="20"/>
              </w:rPr>
            </w:pPr>
            <w:r w:rsidRPr="00182AF7">
              <w:rPr>
                <w:sz w:val="20"/>
              </w:rPr>
              <w:t>0.00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6864B478"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7A6C4CC3" w14:textId="77777777">
            <w:pPr>
              <w:jc w:val="center"/>
              <w:rPr>
                <w:color w:val="000000"/>
                <w:sz w:val="20"/>
              </w:rPr>
            </w:pPr>
            <w:r w:rsidRPr="00182AF7">
              <w:rPr>
                <w:color w:val="000000"/>
                <w:sz w:val="20"/>
              </w:rPr>
              <w:t>0.000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27C9C7A2" w14:textId="77777777">
            <w:pPr>
              <w:jc w:val="center"/>
              <w:rPr>
                <w:color w:val="000000"/>
                <w:sz w:val="20"/>
              </w:rPr>
            </w:pPr>
            <w:r w:rsidRPr="00182AF7">
              <w:rPr>
                <w:color w:val="000000"/>
                <w:sz w:val="20"/>
              </w:rPr>
              <w:t>0.000</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02FC4FD2" w14:textId="77777777">
            <w:pPr>
              <w:jc w:val="right"/>
              <w:rPr>
                <w:color w:val="000000"/>
                <w:sz w:val="20"/>
              </w:rPr>
            </w:pPr>
            <w:r w:rsidRPr="00182AF7">
              <w:rPr>
                <w:color w:val="000000"/>
                <w:sz w:val="20"/>
              </w:rPr>
              <w:t xml:space="preserve">$0 </w:t>
            </w:r>
          </w:p>
        </w:tc>
      </w:tr>
      <w:tr w14:paraId="0FBBE0D8" w14:textId="77777777" w:rsidTr="00182AF7">
        <w:tblPrEx>
          <w:tblW w:w="13640" w:type="dxa"/>
          <w:tblLook w:val="04A0"/>
        </w:tblPrEx>
        <w:trPr>
          <w:trHeight w:val="41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1943E886" w14:textId="77777777">
            <w:pPr>
              <w:rPr>
                <w:color w:val="000000"/>
                <w:sz w:val="20"/>
              </w:rPr>
            </w:pPr>
            <w:r w:rsidRPr="00182AF7">
              <w:rPr>
                <w:color w:val="000000"/>
                <w:sz w:val="20"/>
              </w:rPr>
              <w:t xml:space="preserve">G. Time for Audits </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5D3C29A1" w14:textId="77777777">
            <w:pPr>
              <w:jc w:val="center"/>
              <w:rPr>
                <w:color w:val="000000"/>
                <w:sz w:val="20"/>
              </w:rPr>
            </w:pPr>
            <w:r w:rsidRPr="00182AF7">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6815F43B" w14:textId="77777777">
            <w:pPr>
              <w:jc w:val="right"/>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2D47671B" w14:textId="77777777">
            <w:pPr>
              <w:jc w:val="right"/>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182AF7" w:rsidRPr="00182AF7" w:rsidP="00182AF7" w14:paraId="274B5153" w14:textId="77777777">
            <w:pPr>
              <w:jc w:val="right"/>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0F7BA0D1" w14:textId="77777777">
            <w:pPr>
              <w:jc w:val="right"/>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14D5263B"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502850AB" w14:textId="77777777">
            <w:pPr>
              <w:jc w:val="right"/>
              <w:rPr>
                <w:color w:val="000000"/>
                <w:sz w:val="20"/>
              </w:rPr>
            </w:pPr>
            <w:r w:rsidRPr="00182AF7">
              <w:rPr>
                <w:color w:val="000000"/>
                <w:sz w:val="20"/>
              </w:rPr>
              <w:t> </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35AB828B" w14:textId="77777777">
            <w:pPr>
              <w:jc w:val="right"/>
              <w:rPr>
                <w:color w:val="000000"/>
                <w:sz w:val="20"/>
              </w:rPr>
            </w:pPr>
            <w:r w:rsidRPr="00182AF7">
              <w:rPr>
                <w:color w:val="000000"/>
                <w:sz w:val="20"/>
              </w:rPr>
              <w:t> </w:t>
            </w:r>
          </w:p>
        </w:tc>
      </w:tr>
      <w:tr w14:paraId="4B40737F" w14:textId="77777777" w:rsidTr="00182AF7">
        <w:tblPrEx>
          <w:tblW w:w="13640" w:type="dxa"/>
          <w:tblLook w:val="04A0"/>
        </w:tblPrEx>
        <w:trPr>
          <w:trHeight w:val="54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35AD89D9" w14:textId="77777777">
            <w:pPr>
              <w:rPr>
                <w:b/>
                <w:bCs/>
                <w:i/>
                <w:iCs/>
                <w:color w:val="000000"/>
                <w:sz w:val="20"/>
              </w:rPr>
            </w:pPr>
            <w:r w:rsidRPr="00182AF7">
              <w:rPr>
                <w:b/>
                <w:bCs/>
                <w:i/>
                <w:iCs/>
                <w:color w:val="000000"/>
                <w:sz w:val="20"/>
              </w:rPr>
              <w:t>Subtotal for Recordkeeping Requirements</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5D8E1954" w14:textId="77777777">
            <w:pPr>
              <w:jc w:val="right"/>
              <w:rPr>
                <w:b/>
                <w:bCs/>
                <w:i/>
                <w:iCs/>
                <w:color w:val="000000"/>
                <w:sz w:val="20"/>
              </w:rPr>
            </w:pPr>
            <w:r w:rsidRPr="00182AF7">
              <w:rPr>
                <w:b/>
                <w:bCs/>
                <w:i/>
                <w:i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2F6EA101" w14:textId="77777777">
            <w:pPr>
              <w:jc w:val="right"/>
              <w:rPr>
                <w:b/>
                <w:bCs/>
                <w:i/>
                <w:iCs/>
                <w:sz w:val="20"/>
              </w:rPr>
            </w:pPr>
            <w:r w:rsidRPr="00182AF7">
              <w:rPr>
                <w:b/>
                <w:bCs/>
                <w:i/>
                <w:i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42237602" w14:textId="77777777">
            <w:pPr>
              <w:jc w:val="right"/>
              <w:rPr>
                <w:b/>
                <w:bCs/>
                <w:i/>
                <w:iCs/>
                <w:color w:val="000000"/>
                <w:sz w:val="20"/>
              </w:rPr>
            </w:pPr>
            <w:r w:rsidRPr="00182AF7">
              <w:rPr>
                <w:b/>
                <w:bCs/>
                <w:i/>
                <w:iCs/>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657311FA" w14:textId="77777777">
            <w:pPr>
              <w:jc w:val="right"/>
              <w:rPr>
                <w:b/>
                <w:bCs/>
                <w:i/>
                <w:iCs/>
                <w:sz w:val="20"/>
              </w:rPr>
            </w:pPr>
            <w:r w:rsidRPr="00182AF7">
              <w:rPr>
                <w:b/>
                <w:bCs/>
                <w:i/>
                <w:iCs/>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0A858934" w14:textId="77777777">
            <w:pPr>
              <w:jc w:val="center"/>
              <w:rPr>
                <w:b/>
                <w:bCs/>
                <w:i/>
                <w:iCs/>
                <w:color w:val="000000"/>
                <w:sz w:val="20"/>
              </w:rPr>
            </w:pPr>
            <w:r w:rsidRPr="00182AF7">
              <w:rPr>
                <w:b/>
                <w:bCs/>
                <w:i/>
                <w:iCs/>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3FED3A27" w14:textId="77777777">
            <w:pPr>
              <w:jc w:val="center"/>
              <w:rPr>
                <w:b/>
                <w:bCs/>
                <w:i/>
                <w:iCs/>
                <w:color w:val="000000"/>
                <w:sz w:val="20"/>
              </w:rPr>
            </w:pPr>
            <w:r w:rsidRPr="00182AF7">
              <w:rPr>
                <w:b/>
                <w:bCs/>
                <w:i/>
                <w:iCs/>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0ADCAEBB" w14:textId="77777777">
            <w:pPr>
              <w:jc w:val="center"/>
              <w:rPr>
                <w:b/>
                <w:bCs/>
                <w:i/>
                <w:iCs/>
                <w:color w:val="000000"/>
                <w:sz w:val="20"/>
              </w:rPr>
            </w:pPr>
            <w:r w:rsidRPr="00182AF7">
              <w:rPr>
                <w:b/>
                <w:bCs/>
                <w:i/>
                <w:iCs/>
                <w:color w:val="000000"/>
                <w:sz w:val="20"/>
              </w:rPr>
              <w:t> </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4F27F720" w14:textId="77777777">
            <w:pPr>
              <w:jc w:val="right"/>
              <w:rPr>
                <w:b/>
                <w:bCs/>
                <w:i/>
                <w:iCs/>
                <w:color w:val="000000"/>
                <w:sz w:val="20"/>
              </w:rPr>
            </w:pPr>
            <w:r w:rsidRPr="00182AF7">
              <w:rPr>
                <w:b/>
                <w:bCs/>
                <w:i/>
                <w:iCs/>
                <w:color w:val="000000"/>
                <w:sz w:val="20"/>
              </w:rPr>
              <w:t xml:space="preserve">$0 </w:t>
            </w:r>
          </w:p>
        </w:tc>
      </w:tr>
      <w:tr w14:paraId="12A267F5" w14:textId="77777777" w:rsidTr="00182AF7">
        <w:tblPrEx>
          <w:tblW w:w="13640" w:type="dxa"/>
          <w:tblLook w:val="04A0"/>
        </w:tblPrEx>
        <w:trPr>
          <w:trHeight w:val="56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029BA60F" w14:textId="77777777">
            <w:pPr>
              <w:rPr>
                <w:b/>
                <w:bCs/>
                <w:color w:val="000000"/>
                <w:sz w:val="20"/>
              </w:rPr>
            </w:pPr>
            <w:r w:rsidRPr="00182AF7">
              <w:rPr>
                <w:b/>
                <w:bCs/>
                <w:color w:val="000000"/>
                <w:sz w:val="20"/>
              </w:rPr>
              <w:t xml:space="preserve">Total Labor Burden and Cost (rounded) </w:t>
            </w:r>
            <w:r w:rsidRPr="00182AF7">
              <w:rPr>
                <w:b/>
                <w:bCs/>
                <w:color w:val="000000"/>
                <w:sz w:val="20"/>
                <w:vertAlign w:val="superscript"/>
              </w:rPr>
              <w:t>f</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283E358A" w14:textId="77777777">
            <w:pPr>
              <w:jc w:val="right"/>
              <w:rPr>
                <w:b/>
                <w:bCs/>
                <w:color w:val="000000"/>
                <w:sz w:val="20"/>
              </w:rPr>
            </w:pPr>
            <w:r w:rsidRPr="00182AF7">
              <w:rPr>
                <w:b/>
                <w:b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7598A96D" w14:textId="77777777">
            <w:pPr>
              <w:jc w:val="center"/>
              <w:rPr>
                <w:b/>
                <w:bCs/>
                <w:sz w:val="20"/>
              </w:rPr>
            </w:pPr>
            <w:r w:rsidRPr="00182AF7">
              <w:rPr>
                <w:b/>
                <w:b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7CA8B793" w14:textId="77777777">
            <w:pPr>
              <w:jc w:val="right"/>
              <w:rPr>
                <w:b/>
                <w:bCs/>
                <w:color w:val="000000"/>
                <w:sz w:val="20"/>
              </w:rPr>
            </w:pPr>
            <w:r w:rsidRPr="00182AF7">
              <w:rPr>
                <w:b/>
                <w:bCs/>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182AF7" w:rsidRPr="00182AF7" w:rsidP="00182AF7" w14:paraId="6F9781B4" w14:textId="77777777">
            <w:pPr>
              <w:jc w:val="right"/>
              <w:rPr>
                <w:b/>
                <w:bCs/>
                <w:sz w:val="20"/>
              </w:rPr>
            </w:pPr>
            <w:r w:rsidRPr="00182AF7">
              <w:rPr>
                <w:b/>
                <w:bCs/>
                <w:sz w:val="20"/>
              </w:rPr>
              <w:t> </w:t>
            </w:r>
          </w:p>
        </w:tc>
        <w:tc>
          <w:tcPr>
            <w:tcW w:w="3700" w:type="dxa"/>
            <w:gridSpan w:val="3"/>
            <w:tcBorders>
              <w:top w:val="single" w:sz="4" w:space="0" w:color="auto"/>
              <w:left w:val="nil"/>
              <w:bottom w:val="single" w:sz="4" w:space="0" w:color="auto"/>
              <w:right w:val="single" w:sz="4" w:space="0" w:color="auto"/>
            </w:tcBorders>
            <w:shd w:val="clear" w:color="auto" w:fill="auto"/>
            <w:vAlign w:val="center"/>
            <w:hideMark/>
          </w:tcPr>
          <w:p w:rsidR="00182AF7" w:rsidRPr="00182AF7" w:rsidP="00182AF7" w14:paraId="2257C79C" w14:textId="77777777">
            <w:pPr>
              <w:jc w:val="center"/>
              <w:rPr>
                <w:b/>
                <w:bCs/>
                <w:color w:val="000000"/>
                <w:sz w:val="20"/>
              </w:rPr>
            </w:pPr>
            <w:r w:rsidRPr="00182AF7">
              <w:rPr>
                <w:b/>
                <w:bCs/>
                <w:color w:val="000000"/>
                <w:sz w:val="20"/>
              </w:rPr>
              <w:t>0</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1C9170D5" w14:textId="77777777">
            <w:pPr>
              <w:jc w:val="right"/>
              <w:rPr>
                <w:b/>
                <w:bCs/>
                <w:color w:val="000000"/>
                <w:sz w:val="20"/>
              </w:rPr>
            </w:pPr>
            <w:r w:rsidRPr="00182AF7">
              <w:rPr>
                <w:b/>
                <w:bCs/>
                <w:color w:val="000000"/>
                <w:sz w:val="20"/>
              </w:rPr>
              <w:t xml:space="preserve">$0 </w:t>
            </w:r>
          </w:p>
        </w:tc>
      </w:tr>
      <w:tr w14:paraId="3D48FCB8" w14:textId="77777777" w:rsidTr="00182AF7">
        <w:tblPrEx>
          <w:tblW w:w="13640" w:type="dxa"/>
          <w:tblLook w:val="04A0"/>
        </w:tblPrEx>
        <w:trPr>
          <w:trHeight w:val="56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7B7AEDE7" w14:textId="77777777">
            <w:pPr>
              <w:rPr>
                <w:b/>
                <w:bCs/>
                <w:sz w:val="20"/>
              </w:rPr>
            </w:pPr>
            <w:r w:rsidRPr="00182AF7">
              <w:rPr>
                <w:b/>
                <w:bCs/>
                <w:sz w:val="20"/>
              </w:rPr>
              <w:t xml:space="preserve">Total Capital and O&amp;M Cost (rounded) </w:t>
            </w:r>
            <w:r w:rsidRPr="00182AF7">
              <w:rPr>
                <w:b/>
                <w:bCs/>
                <w:sz w:val="20"/>
                <w:vertAlign w:val="superscript"/>
              </w:rPr>
              <w:t>f</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3605B732" w14:textId="77777777">
            <w:pPr>
              <w:jc w:val="right"/>
              <w:rPr>
                <w:color w:val="000000"/>
                <w:sz w:val="20"/>
              </w:rPr>
            </w:pPr>
            <w:r w:rsidRPr="00182AF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1451D1CF" w14:textId="77777777">
            <w:pPr>
              <w:jc w:val="right"/>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21EAA11B" w14:textId="77777777">
            <w:pPr>
              <w:jc w:val="right"/>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182AF7" w:rsidRPr="00182AF7" w:rsidP="00182AF7" w14:paraId="41335769" w14:textId="77777777">
            <w:pPr>
              <w:jc w:val="right"/>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69AD1F60" w14:textId="77777777">
            <w:pPr>
              <w:jc w:val="right"/>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3199839D"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695ADA6D" w14:textId="77777777">
            <w:pPr>
              <w:jc w:val="right"/>
              <w:rPr>
                <w:color w:val="000000"/>
                <w:sz w:val="20"/>
              </w:rPr>
            </w:pPr>
            <w:r w:rsidRPr="00182AF7">
              <w:rPr>
                <w:color w:val="000000"/>
                <w:sz w:val="20"/>
              </w:rPr>
              <w:t> </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5D7A70DF" w14:textId="77777777">
            <w:pPr>
              <w:jc w:val="right"/>
              <w:rPr>
                <w:b/>
                <w:bCs/>
                <w:color w:val="000000"/>
                <w:sz w:val="20"/>
              </w:rPr>
            </w:pPr>
            <w:r w:rsidRPr="00182AF7">
              <w:rPr>
                <w:b/>
                <w:bCs/>
                <w:color w:val="000000"/>
                <w:sz w:val="20"/>
              </w:rPr>
              <w:t xml:space="preserve">$0 </w:t>
            </w:r>
          </w:p>
        </w:tc>
      </w:tr>
      <w:tr w14:paraId="068EE80E" w14:textId="77777777" w:rsidTr="00182AF7">
        <w:tblPrEx>
          <w:tblW w:w="13640" w:type="dxa"/>
          <w:tblLook w:val="04A0"/>
        </w:tblPrEx>
        <w:trPr>
          <w:trHeight w:val="300"/>
        </w:trPr>
        <w:tc>
          <w:tcPr>
            <w:tcW w:w="332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3413F34A" w14:textId="77777777">
            <w:pPr>
              <w:rPr>
                <w:b/>
                <w:bCs/>
                <w:sz w:val="20"/>
              </w:rPr>
            </w:pPr>
            <w:r w:rsidRPr="00182AF7">
              <w:rPr>
                <w:b/>
                <w:bCs/>
                <w:sz w:val="20"/>
              </w:rPr>
              <w:t xml:space="preserve">Grand TOTAL (rounded) </w:t>
            </w:r>
            <w:r w:rsidRPr="00182AF7">
              <w:rPr>
                <w:b/>
                <w:bCs/>
                <w:sz w:val="20"/>
                <w:vertAlign w:val="superscript"/>
              </w:rPr>
              <w:t>f</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7C692C8E" w14:textId="77777777">
            <w:pPr>
              <w:jc w:val="right"/>
              <w:rPr>
                <w:color w:val="000000"/>
                <w:sz w:val="20"/>
              </w:rPr>
            </w:pPr>
            <w:r w:rsidRPr="00182AF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69DF3925" w14:textId="77777777">
            <w:pPr>
              <w:jc w:val="right"/>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33A0407F" w14:textId="77777777">
            <w:pPr>
              <w:jc w:val="right"/>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182AF7" w:rsidRPr="00182AF7" w:rsidP="00182AF7" w14:paraId="25D70BE0" w14:textId="77777777">
            <w:pPr>
              <w:jc w:val="right"/>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45EF4BA5" w14:textId="77777777">
            <w:pPr>
              <w:jc w:val="right"/>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0835C66C"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1209C9AC" w14:textId="77777777">
            <w:pPr>
              <w:jc w:val="right"/>
              <w:rPr>
                <w:color w:val="000000"/>
                <w:sz w:val="20"/>
              </w:rPr>
            </w:pPr>
            <w:r w:rsidRPr="00182AF7">
              <w:rPr>
                <w:color w:val="000000"/>
                <w:sz w:val="20"/>
              </w:rPr>
              <w:t> </w:t>
            </w:r>
          </w:p>
        </w:tc>
        <w:tc>
          <w:tcPr>
            <w:tcW w:w="1600" w:type="dxa"/>
            <w:tcBorders>
              <w:top w:val="nil"/>
              <w:left w:val="nil"/>
              <w:bottom w:val="single" w:sz="4" w:space="0" w:color="auto"/>
              <w:right w:val="single" w:sz="4" w:space="0" w:color="auto"/>
            </w:tcBorders>
            <w:shd w:val="clear" w:color="auto" w:fill="auto"/>
            <w:vAlign w:val="center"/>
            <w:hideMark/>
          </w:tcPr>
          <w:p w:rsidR="00182AF7" w:rsidRPr="00182AF7" w:rsidP="00182AF7" w14:paraId="1C8A73F3" w14:textId="77777777">
            <w:pPr>
              <w:jc w:val="right"/>
              <w:rPr>
                <w:b/>
                <w:bCs/>
                <w:color w:val="000000"/>
                <w:sz w:val="20"/>
              </w:rPr>
            </w:pPr>
            <w:r w:rsidRPr="00182AF7">
              <w:rPr>
                <w:b/>
                <w:bCs/>
                <w:color w:val="000000"/>
                <w:sz w:val="20"/>
              </w:rPr>
              <w:t xml:space="preserve">$0 </w:t>
            </w:r>
          </w:p>
        </w:tc>
      </w:tr>
      <w:tr w14:paraId="36CD9D45" w14:textId="77777777" w:rsidTr="00182AF7">
        <w:tblPrEx>
          <w:tblW w:w="13640" w:type="dxa"/>
          <w:tblLook w:val="04A0"/>
        </w:tblPrEx>
        <w:trPr>
          <w:trHeight w:val="180"/>
        </w:trPr>
        <w:tc>
          <w:tcPr>
            <w:tcW w:w="3320" w:type="dxa"/>
            <w:tcBorders>
              <w:top w:val="nil"/>
              <w:left w:val="nil"/>
              <w:bottom w:val="nil"/>
              <w:right w:val="nil"/>
            </w:tcBorders>
            <w:shd w:val="clear" w:color="auto" w:fill="auto"/>
            <w:noWrap/>
            <w:vAlign w:val="bottom"/>
            <w:hideMark/>
          </w:tcPr>
          <w:p w:rsidR="00182AF7" w:rsidRPr="00182AF7" w:rsidP="00182AF7" w14:paraId="33690C19" w14:textId="77777777">
            <w:pPr>
              <w:jc w:val="right"/>
              <w:rPr>
                <w:b/>
                <w:bCs/>
                <w:color w:val="000000"/>
                <w:sz w:val="20"/>
              </w:rPr>
            </w:pPr>
          </w:p>
        </w:tc>
        <w:tc>
          <w:tcPr>
            <w:tcW w:w="1120" w:type="dxa"/>
            <w:tcBorders>
              <w:top w:val="nil"/>
              <w:left w:val="nil"/>
              <w:bottom w:val="nil"/>
              <w:right w:val="nil"/>
            </w:tcBorders>
            <w:shd w:val="clear" w:color="auto" w:fill="auto"/>
            <w:noWrap/>
            <w:vAlign w:val="bottom"/>
            <w:hideMark/>
          </w:tcPr>
          <w:p w:rsidR="00182AF7" w:rsidRPr="00182AF7" w:rsidP="00182AF7" w14:paraId="6001D899" w14:textId="77777777">
            <w:pPr>
              <w:rPr>
                <w:sz w:val="20"/>
              </w:rPr>
            </w:pPr>
          </w:p>
        </w:tc>
        <w:tc>
          <w:tcPr>
            <w:tcW w:w="1320" w:type="dxa"/>
            <w:tcBorders>
              <w:top w:val="nil"/>
              <w:left w:val="nil"/>
              <w:bottom w:val="nil"/>
              <w:right w:val="nil"/>
            </w:tcBorders>
            <w:shd w:val="clear" w:color="auto" w:fill="auto"/>
            <w:noWrap/>
            <w:vAlign w:val="bottom"/>
            <w:hideMark/>
          </w:tcPr>
          <w:p w:rsidR="00182AF7" w:rsidRPr="00182AF7" w:rsidP="00182AF7" w14:paraId="41DF444B" w14:textId="77777777">
            <w:pPr>
              <w:rPr>
                <w:sz w:val="20"/>
              </w:rPr>
            </w:pPr>
          </w:p>
        </w:tc>
        <w:tc>
          <w:tcPr>
            <w:tcW w:w="1240" w:type="dxa"/>
            <w:tcBorders>
              <w:top w:val="nil"/>
              <w:left w:val="nil"/>
              <w:bottom w:val="nil"/>
              <w:right w:val="nil"/>
            </w:tcBorders>
            <w:shd w:val="clear" w:color="auto" w:fill="auto"/>
            <w:noWrap/>
            <w:vAlign w:val="bottom"/>
            <w:hideMark/>
          </w:tcPr>
          <w:p w:rsidR="00182AF7" w:rsidRPr="00182AF7" w:rsidP="00182AF7" w14:paraId="2D4BBB80" w14:textId="77777777">
            <w:pPr>
              <w:rPr>
                <w:sz w:val="20"/>
              </w:rPr>
            </w:pPr>
          </w:p>
        </w:tc>
        <w:tc>
          <w:tcPr>
            <w:tcW w:w="1340" w:type="dxa"/>
            <w:tcBorders>
              <w:top w:val="nil"/>
              <w:left w:val="nil"/>
              <w:bottom w:val="nil"/>
              <w:right w:val="nil"/>
            </w:tcBorders>
            <w:shd w:val="clear" w:color="auto" w:fill="auto"/>
            <w:noWrap/>
            <w:vAlign w:val="bottom"/>
            <w:hideMark/>
          </w:tcPr>
          <w:p w:rsidR="00182AF7" w:rsidRPr="00182AF7" w:rsidP="00182AF7" w14:paraId="4D64F790" w14:textId="77777777">
            <w:pPr>
              <w:rPr>
                <w:sz w:val="20"/>
              </w:rPr>
            </w:pPr>
          </w:p>
        </w:tc>
        <w:tc>
          <w:tcPr>
            <w:tcW w:w="1160" w:type="dxa"/>
            <w:tcBorders>
              <w:top w:val="nil"/>
              <w:left w:val="nil"/>
              <w:bottom w:val="nil"/>
              <w:right w:val="nil"/>
            </w:tcBorders>
            <w:shd w:val="clear" w:color="auto" w:fill="auto"/>
            <w:noWrap/>
            <w:vAlign w:val="bottom"/>
            <w:hideMark/>
          </w:tcPr>
          <w:p w:rsidR="00182AF7" w:rsidRPr="00182AF7" w:rsidP="00182AF7" w14:paraId="357A35E4" w14:textId="77777777">
            <w:pPr>
              <w:rPr>
                <w:sz w:val="20"/>
              </w:rPr>
            </w:pPr>
          </w:p>
        </w:tc>
        <w:tc>
          <w:tcPr>
            <w:tcW w:w="1280" w:type="dxa"/>
            <w:tcBorders>
              <w:top w:val="nil"/>
              <w:left w:val="nil"/>
              <w:bottom w:val="nil"/>
              <w:right w:val="nil"/>
            </w:tcBorders>
            <w:shd w:val="clear" w:color="auto" w:fill="auto"/>
            <w:noWrap/>
            <w:vAlign w:val="bottom"/>
            <w:hideMark/>
          </w:tcPr>
          <w:p w:rsidR="00182AF7" w:rsidRPr="00182AF7" w:rsidP="00182AF7" w14:paraId="2C7238DB" w14:textId="77777777">
            <w:pPr>
              <w:rPr>
                <w:sz w:val="20"/>
              </w:rPr>
            </w:pPr>
          </w:p>
        </w:tc>
        <w:tc>
          <w:tcPr>
            <w:tcW w:w="1260" w:type="dxa"/>
            <w:tcBorders>
              <w:top w:val="nil"/>
              <w:left w:val="nil"/>
              <w:bottom w:val="nil"/>
              <w:right w:val="nil"/>
            </w:tcBorders>
            <w:shd w:val="clear" w:color="auto" w:fill="auto"/>
            <w:noWrap/>
            <w:vAlign w:val="bottom"/>
            <w:hideMark/>
          </w:tcPr>
          <w:p w:rsidR="00182AF7" w:rsidRPr="00182AF7" w:rsidP="00182AF7" w14:paraId="34FBF8E9" w14:textId="77777777">
            <w:pPr>
              <w:rPr>
                <w:sz w:val="20"/>
              </w:rPr>
            </w:pPr>
          </w:p>
        </w:tc>
        <w:tc>
          <w:tcPr>
            <w:tcW w:w="1600" w:type="dxa"/>
            <w:tcBorders>
              <w:top w:val="nil"/>
              <w:left w:val="nil"/>
              <w:bottom w:val="nil"/>
              <w:right w:val="nil"/>
            </w:tcBorders>
            <w:shd w:val="clear" w:color="auto" w:fill="auto"/>
            <w:noWrap/>
            <w:vAlign w:val="bottom"/>
            <w:hideMark/>
          </w:tcPr>
          <w:p w:rsidR="00182AF7" w:rsidRPr="00182AF7" w:rsidP="00182AF7" w14:paraId="4188C3D5" w14:textId="77777777">
            <w:pPr>
              <w:rPr>
                <w:sz w:val="20"/>
              </w:rPr>
            </w:pPr>
          </w:p>
        </w:tc>
      </w:tr>
      <w:tr w14:paraId="573B5750" w14:textId="77777777" w:rsidTr="00182AF7">
        <w:tblPrEx>
          <w:tblW w:w="13640" w:type="dxa"/>
          <w:tblLook w:val="04A0"/>
        </w:tblPrEx>
        <w:trPr>
          <w:trHeight w:val="380"/>
        </w:trPr>
        <w:tc>
          <w:tcPr>
            <w:tcW w:w="13640" w:type="dxa"/>
            <w:gridSpan w:val="9"/>
            <w:tcBorders>
              <w:top w:val="nil"/>
              <w:left w:val="nil"/>
              <w:bottom w:val="nil"/>
              <w:right w:val="nil"/>
            </w:tcBorders>
            <w:shd w:val="clear" w:color="auto" w:fill="auto"/>
            <w:vAlign w:val="center"/>
            <w:hideMark/>
          </w:tcPr>
          <w:p w:rsidR="00182AF7" w:rsidRPr="00182AF7" w:rsidP="00182AF7" w14:paraId="09172035" w14:textId="77777777">
            <w:pPr>
              <w:rPr>
                <w:color w:val="000000"/>
                <w:sz w:val="20"/>
              </w:rPr>
            </w:pPr>
            <w:r w:rsidRPr="00182AF7">
              <w:rPr>
                <w:color w:val="000000"/>
                <w:sz w:val="20"/>
                <w:vertAlign w:val="superscript"/>
              </w:rPr>
              <w:t>a</w:t>
            </w:r>
            <w:r w:rsidRPr="00182AF7">
              <w:rPr>
                <w:color w:val="000000"/>
                <w:sz w:val="20"/>
              </w:rPr>
              <w:t xml:space="preserve">  We have assumed that there are approximately 2847 RICE units and that 10% of the existing units will have new construction/reconstruction.</w:t>
            </w:r>
          </w:p>
        </w:tc>
      </w:tr>
      <w:tr w14:paraId="57D72795" w14:textId="77777777" w:rsidTr="00182AF7">
        <w:tblPrEx>
          <w:tblW w:w="13640" w:type="dxa"/>
          <w:tblLook w:val="04A0"/>
        </w:tblPrEx>
        <w:trPr>
          <w:trHeight w:val="1440"/>
        </w:trPr>
        <w:tc>
          <w:tcPr>
            <w:tcW w:w="13640" w:type="dxa"/>
            <w:gridSpan w:val="9"/>
            <w:tcBorders>
              <w:top w:val="nil"/>
              <w:left w:val="nil"/>
              <w:bottom w:val="nil"/>
              <w:right w:val="nil"/>
            </w:tcBorders>
            <w:shd w:val="clear" w:color="auto" w:fill="auto"/>
            <w:vAlign w:val="bottom"/>
            <w:hideMark/>
          </w:tcPr>
          <w:p w:rsidR="00182AF7" w:rsidRPr="00182AF7" w:rsidP="00182AF7" w14:paraId="1A916B89" w14:textId="77777777">
            <w:pPr>
              <w:rPr>
                <w:color w:val="000000"/>
                <w:sz w:val="20"/>
              </w:rPr>
            </w:pPr>
            <w:r w:rsidRPr="00182AF7">
              <w:rPr>
                <w:color w:val="000000"/>
                <w:sz w:val="20"/>
                <w:vertAlign w:val="superscript"/>
              </w:rPr>
              <w:t>b</w:t>
            </w:r>
            <w:r w:rsidRPr="00182AF7">
              <w:rPr>
                <w:color w:val="000000"/>
                <w:sz w:val="20"/>
              </w:rPr>
              <w:t xml:space="preserve">  This ICR uses the following labor rates: $161.62 per hour for Executive, Administrative, and Managerial labor; $127.68 per hour for Technical labor, and $64.22 per hour for Clerical labor.  These rates are from the United States Department of Labor, Bureau of Labor Statistics, June 2022, “Table 2. Civilian Workers, by Occupational and Industry group.”  The rates are from column 1, “Total Compensation.”  The rates have been increased by 110 percent to account for the benefit packages available to those employed by private industry.  Archived report releases can be accessed from https://www.bls.gov/bls/news-release/ecec.htm#2021;  from homepage, select Economic Releases, Archived News Releases, Employer Costs for Employee Compensation, Select a past year, Select a published report.</w:t>
            </w:r>
          </w:p>
        </w:tc>
      </w:tr>
      <w:tr w14:paraId="190F4BE1" w14:textId="77777777" w:rsidTr="00182AF7">
        <w:tblPrEx>
          <w:tblW w:w="13640" w:type="dxa"/>
          <w:tblLook w:val="04A0"/>
        </w:tblPrEx>
        <w:trPr>
          <w:trHeight w:val="310"/>
        </w:trPr>
        <w:tc>
          <w:tcPr>
            <w:tcW w:w="13640" w:type="dxa"/>
            <w:gridSpan w:val="9"/>
            <w:tcBorders>
              <w:top w:val="nil"/>
              <w:left w:val="nil"/>
              <w:bottom w:val="nil"/>
              <w:right w:val="nil"/>
            </w:tcBorders>
            <w:shd w:val="clear" w:color="auto" w:fill="auto"/>
            <w:vAlign w:val="center"/>
            <w:hideMark/>
          </w:tcPr>
          <w:p w:rsidR="00182AF7" w:rsidRPr="00182AF7" w:rsidP="00182AF7" w14:paraId="74165D89" w14:textId="77777777">
            <w:pPr>
              <w:rPr>
                <w:color w:val="000000"/>
                <w:sz w:val="20"/>
              </w:rPr>
            </w:pPr>
            <w:r w:rsidRPr="00182AF7">
              <w:rPr>
                <w:color w:val="000000"/>
                <w:sz w:val="20"/>
                <w:vertAlign w:val="superscript"/>
              </w:rPr>
              <w:t>c</w:t>
            </w:r>
            <w:r w:rsidRPr="00182AF7">
              <w:rPr>
                <w:color w:val="000000"/>
                <w:sz w:val="20"/>
              </w:rPr>
              <w:t xml:space="preserve">  New RICE CPMS performance evaluation conducted annually. We have assumed that 5 percent of respondents would repeat annual CPMS performance evaluation due to failure.</w:t>
            </w:r>
          </w:p>
        </w:tc>
      </w:tr>
      <w:tr w14:paraId="4DB8B4AF" w14:textId="77777777" w:rsidTr="00182AF7">
        <w:tblPrEx>
          <w:tblW w:w="13640" w:type="dxa"/>
          <w:tblLook w:val="04A0"/>
        </w:tblPrEx>
        <w:trPr>
          <w:trHeight w:val="375"/>
        </w:trPr>
        <w:tc>
          <w:tcPr>
            <w:tcW w:w="13640" w:type="dxa"/>
            <w:gridSpan w:val="9"/>
            <w:tcBorders>
              <w:top w:val="nil"/>
              <w:left w:val="nil"/>
              <w:bottom w:val="nil"/>
              <w:right w:val="nil"/>
            </w:tcBorders>
            <w:shd w:val="clear" w:color="auto" w:fill="auto"/>
            <w:vAlign w:val="center"/>
            <w:hideMark/>
          </w:tcPr>
          <w:p w:rsidR="00182AF7" w:rsidRPr="00182AF7" w:rsidP="00182AF7" w14:paraId="7ADEBAFF" w14:textId="77777777">
            <w:pPr>
              <w:rPr>
                <w:sz w:val="20"/>
              </w:rPr>
            </w:pPr>
            <w:r w:rsidRPr="00182AF7">
              <w:rPr>
                <w:sz w:val="20"/>
                <w:vertAlign w:val="superscript"/>
              </w:rPr>
              <w:t>d</w:t>
            </w:r>
            <w:r w:rsidRPr="00182AF7">
              <w:rPr>
                <w:sz w:val="20"/>
              </w:rPr>
              <w:t xml:space="preserve">  We have assumed that 5 percent of respondents would repeat annual CPMS performance evaluation due to failure.</w:t>
            </w:r>
          </w:p>
        </w:tc>
      </w:tr>
      <w:tr w14:paraId="73A273D5" w14:textId="77777777" w:rsidTr="00182AF7">
        <w:tblPrEx>
          <w:tblW w:w="13640" w:type="dxa"/>
          <w:tblLook w:val="04A0"/>
        </w:tblPrEx>
        <w:trPr>
          <w:trHeight w:val="310"/>
        </w:trPr>
        <w:tc>
          <w:tcPr>
            <w:tcW w:w="13640" w:type="dxa"/>
            <w:gridSpan w:val="9"/>
            <w:tcBorders>
              <w:top w:val="nil"/>
              <w:left w:val="nil"/>
              <w:bottom w:val="nil"/>
              <w:right w:val="nil"/>
            </w:tcBorders>
            <w:shd w:val="clear" w:color="auto" w:fill="auto"/>
            <w:noWrap/>
            <w:vAlign w:val="center"/>
            <w:hideMark/>
          </w:tcPr>
          <w:p w:rsidR="00182AF7" w:rsidRPr="00182AF7" w:rsidP="00182AF7" w14:paraId="41F874B7" w14:textId="77777777">
            <w:pPr>
              <w:rPr>
                <w:color w:val="000000"/>
                <w:sz w:val="20"/>
              </w:rPr>
            </w:pPr>
            <w:r w:rsidRPr="00182AF7">
              <w:rPr>
                <w:color w:val="000000"/>
                <w:sz w:val="20"/>
                <w:vertAlign w:val="superscript"/>
              </w:rPr>
              <w:t>e</w:t>
            </w:r>
            <w:r w:rsidRPr="00182AF7">
              <w:rPr>
                <w:color w:val="000000"/>
                <w:sz w:val="20"/>
              </w:rPr>
              <w:t xml:space="preserve">  Calibration drift checks on the air flow sensor on the NOx CEMS are performed daily. </w:t>
            </w:r>
          </w:p>
        </w:tc>
      </w:tr>
      <w:tr w14:paraId="2AF51973" w14:textId="77777777" w:rsidTr="00182AF7">
        <w:tblPrEx>
          <w:tblW w:w="13640" w:type="dxa"/>
          <w:tblLook w:val="04A0"/>
        </w:tblPrEx>
        <w:trPr>
          <w:trHeight w:val="343"/>
        </w:trPr>
        <w:tc>
          <w:tcPr>
            <w:tcW w:w="13640" w:type="dxa"/>
            <w:gridSpan w:val="9"/>
            <w:tcBorders>
              <w:top w:val="nil"/>
              <w:left w:val="nil"/>
              <w:bottom w:val="nil"/>
              <w:right w:val="nil"/>
            </w:tcBorders>
            <w:shd w:val="clear" w:color="auto" w:fill="auto"/>
            <w:hideMark/>
          </w:tcPr>
          <w:p w:rsidR="00182AF7" w:rsidRPr="00182AF7" w:rsidP="00182AF7" w14:paraId="3A42AD0A" w14:textId="77777777">
            <w:pPr>
              <w:rPr>
                <w:color w:val="000000"/>
                <w:sz w:val="20"/>
              </w:rPr>
            </w:pPr>
            <w:r w:rsidRPr="00182AF7">
              <w:rPr>
                <w:color w:val="000000"/>
                <w:sz w:val="20"/>
                <w:vertAlign w:val="superscript"/>
              </w:rPr>
              <w:t>f</w:t>
            </w:r>
            <w:r w:rsidRPr="00182AF7">
              <w:rPr>
                <w:color w:val="000000"/>
                <w:sz w:val="20"/>
              </w:rPr>
              <w:t xml:space="preserve">  Totals have been rounded to 3 significant figures.  Figures may not add exactly due to rounding.</w:t>
            </w:r>
          </w:p>
        </w:tc>
      </w:tr>
      <w:tr w14:paraId="3C055B66" w14:textId="77777777" w:rsidTr="00182AF7">
        <w:tblPrEx>
          <w:tblW w:w="13640" w:type="dxa"/>
          <w:tblLook w:val="04A0"/>
        </w:tblPrEx>
        <w:trPr>
          <w:trHeight w:val="350"/>
        </w:trPr>
        <w:tc>
          <w:tcPr>
            <w:tcW w:w="13640" w:type="dxa"/>
            <w:gridSpan w:val="9"/>
            <w:tcBorders>
              <w:top w:val="nil"/>
              <w:left w:val="nil"/>
              <w:bottom w:val="nil"/>
              <w:right w:val="nil"/>
            </w:tcBorders>
            <w:shd w:val="clear" w:color="auto" w:fill="auto"/>
            <w:hideMark/>
          </w:tcPr>
          <w:p w:rsidR="00182AF7" w:rsidRPr="00182AF7" w:rsidP="00182AF7" w14:paraId="17DE08D4" w14:textId="77777777">
            <w:pPr>
              <w:rPr>
                <w:color w:val="000000"/>
                <w:sz w:val="20"/>
              </w:rPr>
            </w:pPr>
            <w:r w:rsidRPr="00182AF7">
              <w:rPr>
                <w:color w:val="000000"/>
                <w:sz w:val="20"/>
                <w:vertAlign w:val="superscript"/>
              </w:rPr>
              <w:t>g</w:t>
            </w:r>
            <w:r w:rsidRPr="00182AF7">
              <w:rPr>
                <w:color w:val="000000"/>
                <w:sz w:val="20"/>
              </w:rPr>
              <w:t xml:space="preserve">  "Hours per Occurrence" based on RICE MACT uploaded to regulations.gov on February 25, 2020.</w:t>
            </w:r>
          </w:p>
        </w:tc>
      </w:tr>
      <w:tr w14:paraId="1798353E" w14:textId="77777777" w:rsidTr="00182AF7">
        <w:tblPrEx>
          <w:tblW w:w="13640" w:type="dxa"/>
          <w:tblLook w:val="04A0"/>
        </w:tblPrEx>
        <w:trPr>
          <w:trHeight w:val="2010"/>
        </w:trPr>
        <w:tc>
          <w:tcPr>
            <w:tcW w:w="13640" w:type="dxa"/>
            <w:gridSpan w:val="9"/>
            <w:tcBorders>
              <w:top w:val="nil"/>
              <w:left w:val="nil"/>
              <w:bottom w:val="nil"/>
              <w:right w:val="nil"/>
            </w:tcBorders>
            <w:shd w:val="clear" w:color="auto" w:fill="auto"/>
            <w:hideMark/>
          </w:tcPr>
          <w:p w:rsidR="00182AF7" w:rsidRPr="00182AF7" w:rsidP="00182AF7" w14:paraId="34901C3E" w14:textId="77777777">
            <w:pPr>
              <w:rPr>
                <w:color w:val="000000"/>
                <w:sz w:val="20"/>
              </w:rPr>
            </w:pPr>
            <w:r w:rsidRPr="00182AF7">
              <w:rPr>
                <w:color w:val="000000"/>
                <w:sz w:val="20"/>
                <w:vertAlign w:val="superscript"/>
              </w:rPr>
              <w:t>h</w:t>
            </w:r>
            <w:r w:rsidRPr="00182AF7">
              <w:rPr>
                <w:color w:val="000000"/>
                <w:sz w:val="20"/>
              </w:rPr>
              <w:t xml:space="preserve">  RICE engines required to conduct initial and annual NOx performance testing is based upon an estimated count of non-EPA-Certified Engines per 40 CFR part 60, subpart JJJJ.  An estimated count of EPA-Certified Engines of 1,594 (56% of affected engines) was determined from 2019 NEI data using the criteria of certification requirements referenced in 40 CFR part 60, subpart JJJJ, § 60.4243(a).  An estimated count of non-certified engines of 1,253 (44% of affected engines) was based upon the stated Unit Status Year data available from 2019 NEI dataset for units expecting to be controlled.  The estimated 1,253 non-certified engines was found to be in alignment with EPA's estimated number of engines (2,100) which were determined to be below the 21 tpy threshold of the facility-wide averaging plan's engine analysis as described in EPA's final non-EGU TSD.  This estimate is expected for engines subject to NSPS subpart JJJJ operating at a lower g/hp-hr emissions thresholds.</w:t>
            </w:r>
          </w:p>
        </w:tc>
      </w:tr>
    </w:tbl>
    <w:p w:rsidR="000405A7" w:rsidRPr="00D304E5" w:rsidP="007A5A52" w14:paraId="7C0F8BE2" w14:textId="77777777">
      <w:pPr>
        <w:rPr>
          <w:b/>
          <w:bCs/>
          <w:szCs w:val="24"/>
        </w:rPr>
      </w:pPr>
    </w:p>
    <w:tbl>
      <w:tblPr>
        <w:tblW w:w="4941" w:type="pct"/>
        <w:tblInd w:w="5" w:type="dxa"/>
        <w:tblLayout w:type="fixed"/>
        <w:tblLook w:val="04A0"/>
      </w:tblPr>
      <w:tblGrid>
        <w:gridCol w:w="13625"/>
        <w:gridCol w:w="36"/>
      </w:tblGrid>
      <w:tr w14:paraId="687E9AAE" w14:textId="77777777" w:rsidTr="007A5A52">
        <w:tblPrEx>
          <w:tblW w:w="4941" w:type="pct"/>
          <w:tblInd w:w="5" w:type="dxa"/>
          <w:tblLayout w:type="fixed"/>
          <w:tblLook w:val="04A0"/>
        </w:tblPrEx>
        <w:trPr>
          <w:gridAfter w:val="1"/>
          <w:wAfter w:w="13" w:type="dxa"/>
          <w:trHeight w:val="340"/>
        </w:trPr>
        <w:tc>
          <w:tcPr>
            <w:tcW w:w="4987" w:type="pct"/>
            <w:tcBorders>
              <w:top w:val="nil"/>
              <w:left w:val="nil"/>
              <w:bottom w:val="nil"/>
              <w:right w:val="nil"/>
            </w:tcBorders>
            <w:shd w:val="clear" w:color="auto" w:fill="auto"/>
            <w:hideMark/>
          </w:tcPr>
          <w:p w:rsidR="004E6FDE" w:rsidP="007A5A52" w14:paraId="4907348F" w14:textId="3A794326">
            <w:pPr>
              <w:ind w:firstLine="159"/>
              <w:rPr>
                <w:b/>
                <w:bCs/>
                <w:szCs w:val="24"/>
              </w:rPr>
            </w:pPr>
            <w:r w:rsidRPr="00D17F6A">
              <w:rPr>
                <w:b/>
                <w:bCs/>
                <w:szCs w:val="24"/>
              </w:rPr>
              <w:t xml:space="preserve">Table </w:t>
            </w:r>
            <w:r>
              <w:rPr>
                <w:b/>
                <w:bCs/>
                <w:szCs w:val="24"/>
              </w:rPr>
              <w:t>3</w:t>
            </w:r>
            <w:r w:rsidRPr="00D17F6A">
              <w:rPr>
                <w:b/>
                <w:bCs/>
                <w:szCs w:val="24"/>
              </w:rPr>
              <w:t xml:space="preserve">: </w:t>
            </w:r>
            <w:r>
              <w:rPr>
                <w:b/>
                <w:bCs/>
                <w:szCs w:val="24"/>
              </w:rPr>
              <w:t xml:space="preserve">Annual </w:t>
            </w:r>
            <w:r w:rsidRPr="00D17F6A">
              <w:rPr>
                <w:b/>
                <w:bCs/>
                <w:szCs w:val="24"/>
              </w:rPr>
              <w:t xml:space="preserve">Respondent Burden and Cost – Pipeline Transportation of Natural Gas, </w:t>
            </w:r>
            <w:r>
              <w:rPr>
                <w:b/>
                <w:bCs/>
                <w:szCs w:val="24"/>
              </w:rPr>
              <w:t>Year 3</w:t>
            </w:r>
          </w:p>
          <w:p w:rsidR="000405A7" w:rsidP="00036248" w14:paraId="5911D47B" w14:textId="6CE11370">
            <w:pPr>
              <w:ind w:firstLine="153"/>
              <w:rPr>
                <w:b/>
                <w:bCs/>
                <w:szCs w:val="24"/>
              </w:rPr>
            </w:pPr>
          </w:p>
          <w:tbl>
            <w:tblPr>
              <w:tblW w:w="12960" w:type="dxa"/>
              <w:tblLayout w:type="fixed"/>
              <w:tblLook w:val="04A0"/>
            </w:tblPr>
            <w:tblGrid>
              <w:gridCol w:w="2980"/>
              <w:gridCol w:w="1120"/>
              <w:gridCol w:w="1320"/>
              <w:gridCol w:w="1240"/>
              <w:gridCol w:w="1340"/>
              <w:gridCol w:w="1160"/>
              <w:gridCol w:w="1280"/>
              <w:gridCol w:w="1260"/>
              <w:gridCol w:w="1260"/>
            </w:tblGrid>
            <w:tr w14:paraId="5AB43FF0" w14:textId="77777777" w:rsidTr="00182AF7">
              <w:tblPrEx>
                <w:tblW w:w="12960" w:type="dxa"/>
                <w:tblLayout w:type="fixed"/>
                <w:tblLook w:val="04A0"/>
              </w:tblPrEx>
              <w:trPr>
                <w:trHeight w:val="130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2AF7" w:rsidRPr="00182AF7" w:rsidP="00182AF7" w14:paraId="57D3A1E5" w14:textId="77777777">
                  <w:pPr>
                    <w:jc w:val="center"/>
                    <w:rPr>
                      <w:b/>
                      <w:bCs/>
                      <w:color w:val="000000"/>
                      <w:sz w:val="20"/>
                    </w:rPr>
                  </w:pPr>
                  <w:r w:rsidRPr="00182AF7">
                    <w:rPr>
                      <w:b/>
                      <w:bCs/>
                      <w:color w:val="000000"/>
                      <w:sz w:val="20"/>
                    </w:rPr>
                    <w:t>Burden Item</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182AF7" w:rsidRPr="00182AF7" w:rsidP="00182AF7" w14:paraId="6CF6B2F8" w14:textId="77777777">
                  <w:pPr>
                    <w:jc w:val="center"/>
                    <w:rPr>
                      <w:color w:val="000000"/>
                      <w:sz w:val="20"/>
                    </w:rPr>
                  </w:pPr>
                  <w:r w:rsidRPr="00182AF7">
                    <w:rPr>
                      <w:color w:val="000000"/>
                      <w:sz w:val="20"/>
                    </w:rPr>
                    <w:t>(A)</w:t>
                  </w:r>
                  <w:r w:rsidRPr="00182AF7">
                    <w:rPr>
                      <w:color w:val="000000"/>
                      <w:sz w:val="20"/>
                    </w:rPr>
                    <w:br/>
                  </w:r>
                  <w:r w:rsidRPr="00182AF7">
                    <w:rPr>
                      <w:color w:val="000000"/>
                      <w:sz w:val="20"/>
                    </w:rPr>
                    <w:t>Hours per Occurrence</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182AF7" w:rsidRPr="00182AF7" w:rsidP="00182AF7" w14:paraId="4F3CB9B2" w14:textId="77777777">
                  <w:pPr>
                    <w:jc w:val="center"/>
                    <w:rPr>
                      <w:sz w:val="20"/>
                    </w:rPr>
                  </w:pPr>
                  <w:r w:rsidRPr="00182AF7">
                    <w:rPr>
                      <w:sz w:val="20"/>
                    </w:rPr>
                    <w:t>(B)</w:t>
                  </w:r>
                  <w:r w:rsidRPr="00182AF7">
                    <w:rPr>
                      <w:sz w:val="20"/>
                    </w:rPr>
                    <w:br/>
                  </w:r>
                  <w:r w:rsidRPr="00182AF7">
                    <w:rPr>
                      <w:sz w:val="20"/>
                    </w:rPr>
                    <w:t>Occurrences/ Respondent/ Year</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182AF7" w:rsidRPr="00182AF7" w:rsidP="00182AF7" w14:paraId="67ACC731" w14:textId="77777777">
                  <w:pPr>
                    <w:jc w:val="center"/>
                    <w:rPr>
                      <w:color w:val="000000"/>
                      <w:sz w:val="20"/>
                    </w:rPr>
                  </w:pPr>
                  <w:r w:rsidRPr="00182AF7">
                    <w:rPr>
                      <w:color w:val="000000"/>
                      <w:sz w:val="20"/>
                    </w:rPr>
                    <w:t>(C)</w:t>
                  </w:r>
                  <w:r w:rsidRPr="00182AF7">
                    <w:rPr>
                      <w:color w:val="000000"/>
                      <w:sz w:val="20"/>
                    </w:rPr>
                    <w:br/>
                  </w:r>
                  <w:r w:rsidRPr="00182AF7">
                    <w:rPr>
                      <w:color w:val="000000"/>
                      <w:sz w:val="20"/>
                    </w:rPr>
                    <w:t xml:space="preserve">Hours/ Respondent/ Year </w:t>
                  </w:r>
                  <w:r w:rsidRPr="00182AF7">
                    <w:rPr>
                      <w:color w:val="000000"/>
                      <w:sz w:val="20"/>
                    </w:rPr>
                    <w:br/>
                  </w:r>
                  <w:r w:rsidRPr="00182AF7">
                    <w:rPr>
                      <w:color w:val="000000"/>
                      <w:sz w:val="20"/>
                    </w:rPr>
                    <w:t>(A x B)</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182AF7" w:rsidRPr="00182AF7" w:rsidP="00182AF7" w14:paraId="6A62815C" w14:textId="77777777">
                  <w:pPr>
                    <w:jc w:val="center"/>
                    <w:rPr>
                      <w:sz w:val="20"/>
                    </w:rPr>
                  </w:pPr>
                  <w:r w:rsidRPr="00182AF7">
                    <w:rPr>
                      <w:sz w:val="20"/>
                    </w:rPr>
                    <w:t>(D)</w:t>
                  </w:r>
                  <w:r w:rsidRPr="00182AF7">
                    <w:rPr>
                      <w:sz w:val="20"/>
                    </w:rPr>
                    <w:br/>
                  </w:r>
                  <w:r w:rsidRPr="00182AF7">
                    <w:rPr>
                      <w:sz w:val="20"/>
                    </w:rPr>
                    <w:t>Respondents/</w:t>
                  </w:r>
                  <w:r w:rsidRPr="00182AF7">
                    <w:rPr>
                      <w:sz w:val="20"/>
                    </w:rPr>
                    <w:br/>
                  </w:r>
                  <w:r w:rsidRPr="00182AF7">
                    <w:rPr>
                      <w:sz w:val="20"/>
                    </w:rPr>
                    <w:t>Year</w:t>
                  </w:r>
                  <w:r w:rsidRPr="00182AF7">
                    <w:rPr>
                      <w:sz w:val="20"/>
                      <w:vertAlign w:val="superscript"/>
                    </w:rPr>
                    <w:t>a</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182AF7" w:rsidRPr="00182AF7" w:rsidP="00182AF7" w14:paraId="6009891A" w14:textId="77777777">
                  <w:pPr>
                    <w:jc w:val="center"/>
                    <w:rPr>
                      <w:color w:val="000000"/>
                      <w:sz w:val="20"/>
                    </w:rPr>
                  </w:pPr>
                  <w:r w:rsidRPr="00182AF7">
                    <w:rPr>
                      <w:color w:val="000000"/>
                      <w:sz w:val="20"/>
                    </w:rPr>
                    <w:t>(E)</w:t>
                  </w:r>
                  <w:r w:rsidRPr="00182AF7">
                    <w:rPr>
                      <w:color w:val="000000"/>
                      <w:sz w:val="20"/>
                    </w:rPr>
                    <w:br/>
                  </w:r>
                  <w:r w:rsidRPr="00182AF7">
                    <w:rPr>
                      <w:color w:val="000000"/>
                      <w:sz w:val="20"/>
                    </w:rPr>
                    <w:t xml:space="preserve">Technical Hours/Year </w:t>
                  </w:r>
                  <w:r w:rsidRPr="00182AF7">
                    <w:rPr>
                      <w:color w:val="000000"/>
                      <w:sz w:val="20"/>
                    </w:rPr>
                    <w:br/>
                  </w:r>
                  <w:r w:rsidRPr="00182AF7">
                    <w:rPr>
                      <w:color w:val="000000"/>
                      <w:sz w:val="20"/>
                    </w:rPr>
                    <w:t>(C x D)</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182AF7" w:rsidRPr="00182AF7" w:rsidP="00182AF7" w14:paraId="68DD8CC0" w14:textId="77777777">
                  <w:pPr>
                    <w:jc w:val="center"/>
                    <w:rPr>
                      <w:color w:val="000000"/>
                      <w:sz w:val="20"/>
                    </w:rPr>
                  </w:pPr>
                  <w:r w:rsidRPr="00182AF7">
                    <w:rPr>
                      <w:color w:val="000000"/>
                      <w:sz w:val="20"/>
                    </w:rPr>
                    <w:t xml:space="preserve">(F) Managerial Hours/Year </w:t>
                  </w:r>
                  <w:r w:rsidRPr="00182AF7">
                    <w:rPr>
                      <w:color w:val="000000"/>
                      <w:sz w:val="20"/>
                    </w:rPr>
                    <w:br/>
                  </w:r>
                  <w:r w:rsidRPr="00182AF7">
                    <w:rPr>
                      <w:color w:val="000000"/>
                      <w:sz w:val="20"/>
                    </w:rPr>
                    <w:t>(E x 0.05)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182AF7" w:rsidRPr="00182AF7" w:rsidP="00182AF7" w14:paraId="166D8795" w14:textId="77777777">
                  <w:pPr>
                    <w:jc w:val="center"/>
                    <w:rPr>
                      <w:color w:val="000000"/>
                      <w:sz w:val="20"/>
                    </w:rPr>
                  </w:pPr>
                  <w:r w:rsidRPr="00182AF7">
                    <w:rPr>
                      <w:color w:val="000000"/>
                      <w:sz w:val="20"/>
                    </w:rPr>
                    <w:t xml:space="preserve">(G) </w:t>
                  </w:r>
                  <w:r w:rsidRPr="00182AF7">
                    <w:rPr>
                      <w:color w:val="000000"/>
                      <w:sz w:val="20"/>
                    </w:rPr>
                    <w:br/>
                  </w:r>
                  <w:r w:rsidRPr="00182AF7">
                    <w:rPr>
                      <w:color w:val="000000"/>
                      <w:sz w:val="20"/>
                    </w:rPr>
                    <w:t xml:space="preserve">Clerical Hours/Year </w:t>
                  </w:r>
                  <w:r w:rsidRPr="00182AF7">
                    <w:rPr>
                      <w:color w:val="000000"/>
                      <w:sz w:val="20"/>
                    </w:rPr>
                    <w:br/>
                  </w:r>
                  <w:r w:rsidRPr="00182AF7">
                    <w:rPr>
                      <w:color w:val="000000"/>
                      <w:sz w:val="20"/>
                    </w:rPr>
                    <w:t>(E x 0.10)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182AF7" w:rsidRPr="00182AF7" w:rsidP="00182AF7" w14:paraId="02F70CD7" w14:textId="77777777">
                  <w:pPr>
                    <w:jc w:val="center"/>
                    <w:rPr>
                      <w:color w:val="000000"/>
                      <w:sz w:val="20"/>
                    </w:rPr>
                  </w:pPr>
                  <w:r w:rsidRPr="00182AF7">
                    <w:rPr>
                      <w:color w:val="000000"/>
                      <w:sz w:val="20"/>
                    </w:rPr>
                    <w:t>(H)</w:t>
                  </w:r>
                  <w:r w:rsidRPr="00182AF7">
                    <w:rPr>
                      <w:color w:val="000000"/>
                      <w:sz w:val="20"/>
                    </w:rPr>
                    <w:br/>
                  </w:r>
                  <w:r w:rsidRPr="00182AF7">
                    <w:rPr>
                      <w:color w:val="000000"/>
                      <w:sz w:val="20"/>
                    </w:rPr>
                    <w:t>Cost/ Year</w:t>
                  </w:r>
                  <w:r w:rsidRPr="00182AF7">
                    <w:rPr>
                      <w:color w:val="000000"/>
                      <w:sz w:val="20"/>
                      <w:vertAlign w:val="superscript"/>
                    </w:rPr>
                    <w:t>b</w:t>
                  </w:r>
                </w:p>
              </w:tc>
            </w:tr>
            <w:tr w14:paraId="4CF13342" w14:textId="77777777" w:rsidTr="00182AF7">
              <w:tblPrEx>
                <w:tblW w:w="12960" w:type="dxa"/>
                <w:tblLayout w:type="fixed"/>
                <w:tblLook w:val="04A0"/>
              </w:tblPrEx>
              <w:trPr>
                <w:trHeight w:val="26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5005BDFE" w14:textId="77777777">
                  <w:pPr>
                    <w:rPr>
                      <w:color w:val="000000"/>
                      <w:sz w:val="20"/>
                    </w:rPr>
                  </w:pPr>
                  <w:r w:rsidRPr="00182AF7">
                    <w:rPr>
                      <w:color w:val="000000"/>
                      <w:sz w:val="20"/>
                    </w:rPr>
                    <w:t xml:space="preserve">1. APPLICATIONS </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0756A805" w14:textId="77777777">
                  <w:pPr>
                    <w:jc w:val="center"/>
                    <w:rPr>
                      <w:color w:val="000000"/>
                      <w:sz w:val="20"/>
                    </w:rPr>
                  </w:pPr>
                  <w:r w:rsidRPr="00182AF7">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22788D21" w14:textId="77777777">
                  <w:pPr>
                    <w:jc w:val="right"/>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05CADF24" w14:textId="77777777">
                  <w:pPr>
                    <w:jc w:val="right"/>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182AF7" w:rsidRPr="00182AF7" w:rsidP="00182AF7" w14:paraId="52DF2BBD" w14:textId="77777777">
                  <w:pPr>
                    <w:jc w:val="right"/>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569DCC53" w14:textId="77777777">
                  <w:pPr>
                    <w:jc w:val="right"/>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7EB45DBF"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687D612B"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2D05A755" w14:textId="77777777">
                  <w:pPr>
                    <w:jc w:val="right"/>
                    <w:rPr>
                      <w:color w:val="000000"/>
                      <w:sz w:val="20"/>
                    </w:rPr>
                  </w:pPr>
                  <w:r w:rsidRPr="00182AF7">
                    <w:rPr>
                      <w:color w:val="000000"/>
                      <w:sz w:val="20"/>
                    </w:rPr>
                    <w:t> </w:t>
                  </w:r>
                </w:p>
              </w:tc>
            </w:tr>
            <w:tr w14:paraId="6C82CD1E" w14:textId="77777777" w:rsidTr="00182AF7">
              <w:tblPrEx>
                <w:tblW w:w="12960" w:type="dxa"/>
                <w:tblLayout w:type="fixed"/>
                <w:tblLook w:val="04A0"/>
              </w:tblPrEx>
              <w:trPr>
                <w:trHeight w:val="553"/>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5C483A79" w14:textId="77777777">
                  <w:pPr>
                    <w:rPr>
                      <w:color w:val="000000"/>
                      <w:sz w:val="20"/>
                    </w:rPr>
                  </w:pPr>
                  <w:r w:rsidRPr="00182AF7">
                    <w:rPr>
                      <w:color w:val="000000"/>
                      <w:sz w:val="20"/>
                    </w:rPr>
                    <w:t xml:space="preserve">2. SURVEY AND STUDIES </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59F82971" w14:textId="77777777">
                  <w:pPr>
                    <w:jc w:val="center"/>
                    <w:rPr>
                      <w:color w:val="000000"/>
                      <w:sz w:val="20"/>
                    </w:rPr>
                  </w:pPr>
                  <w:r w:rsidRPr="00182AF7">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205ACD10" w14:textId="77777777">
                  <w:pPr>
                    <w:jc w:val="right"/>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56799FB3" w14:textId="77777777">
                  <w:pPr>
                    <w:jc w:val="right"/>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182AF7" w:rsidRPr="00182AF7" w:rsidP="00182AF7" w14:paraId="12F07B69" w14:textId="77777777">
                  <w:pPr>
                    <w:jc w:val="right"/>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2EBB1568" w14:textId="77777777">
                  <w:pPr>
                    <w:jc w:val="right"/>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5A30FB57"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24271A2A"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0B2383C5" w14:textId="77777777">
                  <w:pPr>
                    <w:jc w:val="right"/>
                    <w:rPr>
                      <w:color w:val="000000"/>
                      <w:sz w:val="20"/>
                    </w:rPr>
                  </w:pPr>
                  <w:r w:rsidRPr="00182AF7">
                    <w:rPr>
                      <w:color w:val="000000"/>
                      <w:sz w:val="20"/>
                    </w:rPr>
                    <w:t> </w:t>
                  </w:r>
                </w:p>
              </w:tc>
            </w:tr>
            <w:tr w14:paraId="57E713D4" w14:textId="77777777" w:rsidTr="00182AF7">
              <w:tblPrEx>
                <w:tblW w:w="12960" w:type="dxa"/>
                <w:tblLayout w:type="fixed"/>
                <w:tblLook w:val="04A0"/>
              </w:tblPrEx>
              <w:trPr>
                <w:trHeight w:val="83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7103ECB5" w14:textId="77777777">
                  <w:pPr>
                    <w:rPr>
                      <w:color w:val="000000"/>
                      <w:sz w:val="20"/>
                    </w:rPr>
                  </w:pPr>
                  <w:r w:rsidRPr="00182AF7">
                    <w:rPr>
                      <w:color w:val="000000"/>
                      <w:sz w:val="20"/>
                    </w:rPr>
                    <w:t>3.ACQUISITION, INSTALLATION, AND UTILIZATION OF TECHNOLOGY AND SYSTEMS</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3E9CE2DA" w14:textId="77777777">
                  <w:pPr>
                    <w:jc w:val="center"/>
                    <w:rPr>
                      <w:color w:val="000000"/>
                      <w:sz w:val="20"/>
                    </w:rPr>
                  </w:pPr>
                  <w:r w:rsidRPr="00182AF7">
                    <w:rPr>
                      <w:color w:val="000000"/>
                      <w:sz w:val="20"/>
                    </w:rPr>
                    <w:t>24</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23B78BDB" w14:textId="77777777">
                  <w:pPr>
                    <w:jc w:val="center"/>
                    <w:rPr>
                      <w:sz w:val="20"/>
                    </w:rPr>
                  </w:pPr>
                  <w:r w:rsidRPr="00182AF7">
                    <w:rPr>
                      <w:sz w:val="20"/>
                    </w:rPr>
                    <w:t>1</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537D0F0C" w14:textId="77777777">
                  <w:pPr>
                    <w:jc w:val="center"/>
                    <w:rPr>
                      <w:color w:val="000000"/>
                      <w:sz w:val="20"/>
                    </w:rPr>
                  </w:pPr>
                  <w:r w:rsidRPr="00182AF7">
                    <w:rPr>
                      <w:color w:val="000000"/>
                      <w:sz w:val="20"/>
                    </w:rPr>
                    <w:t>24</w:t>
                  </w:r>
                </w:p>
              </w:tc>
              <w:tc>
                <w:tcPr>
                  <w:tcW w:w="1340" w:type="dxa"/>
                  <w:tcBorders>
                    <w:top w:val="nil"/>
                    <w:left w:val="nil"/>
                    <w:bottom w:val="single" w:sz="4" w:space="0" w:color="auto"/>
                    <w:right w:val="single" w:sz="4" w:space="0" w:color="auto"/>
                  </w:tcBorders>
                  <w:shd w:val="clear" w:color="auto" w:fill="auto"/>
                  <w:vAlign w:val="center"/>
                  <w:hideMark/>
                </w:tcPr>
                <w:p w:rsidR="00182AF7" w:rsidRPr="00182AF7" w:rsidP="00182AF7" w14:paraId="7FB72BED" w14:textId="77777777">
                  <w:pPr>
                    <w:jc w:val="center"/>
                    <w:rPr>
                      <w:sz w:val="20"/>
                    </w:rPr>
                  </w:pPr>
                  <w:r w:rsidRPr="00182AF7">
                    <w:rPr>
                      <w:sz w:val="20"/>
                    </w:rPr>
                    <w:t>23.91</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311D2ADE" w14:textId="77777777">
                  <w:pPr>
                    <w:jc w:val="center"/>
                    <w:rPr>
                      <w:sz w:val="20"/>
                    </w:rPr>
                  </w:pPr>
                  <w:r w:rsidRPr="00182AF7">
                    <w:rPr>
                      <w:sz w:val="20"/>
                    </w:rPr>
                    <w:t>573.96</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47026595" w14:textId="77777777">
                  <w:pPr>
                    <w:jc w:val="center"/>
                    <w:rPr>
                      <w:sz w:val="20"/>
                    </w:rPr>
                  </w:pPr>
                  <w:r w:rsidRPr="00182AF7">
                    <w:rPr>
                      <w:sz w:val="20"/>
                    </w:rPr>
                    <w:t>28.70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41FFE44A" w14:textId="77777777">
                  <w:pPr>
                    <w:jc w:val="center"/>
                    <w:rPr>
                      <w:sz w:val="20"/>
                    </w:rPr>
                  </w:pPr>
                  <w:r w:rsidRPr="00182AF7">
                    <w:rPr>
                      <w:sz w:val="20"/>
                    </w:rPr>
                    <w:t>57.40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10E5B896" w14:textId="77777777">
                  <w:pPr>
                    <w:jc w:val="right"/>
                    <w:rPr>
                      <w:color w:val="000000"/>
                      <w:sz w:val="20"/>
                    </w:rPr>
                  </w:pPr>
                  <w:r w:rsidRPr="00182AF7">
                    <w:rPr>
                      <w:color w:val="000000"/>
                      <w:sz w:val="20"/>
                    </w:rPr>
                    <w:t xml:space="preserve">$81,606 </w:t>
                  </w:r>
                </w:p>
              </w:tc>
            </w:tr>
            <w:tr w14:paraId="5C6A77B1" w14:textId="77777777" w:rsidTr="00182AF7">
              <w:tblPrEx>
                <w:tblW w:w="12960" w:type="dxa"/>
                <w:tblLayout w:type="fixed"/>
                <w:tblLook w:val="04A0"/>
              </w:tblPrEx>
              <w:trPr>
                <w:trHeight w:val="26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56F094D7" w14:textId="77777777">
                  <w:pPr>
                    <w:rPr>
                      <w:color w:val="000000"/>
                      <w:sz w:val="20"/>
                    </w:rPr>
                  </w:pPr>
                  <w:r w:rsidRPr="00182AF7">
                    <w:rPr>
                      <w:color w:val="000000"/>
                      <w:sz w:val="20"/>
                    </w:rPr>
                    <w:t>4. REPORT REQUIREMENTS</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668ADA5D" w14:textId="77777777">
                  <w:pPr>
                    <w:jc w:val="center"/>
                    <w:rPr>
                      <w:color w:val="000000"/>
                      <w:sz w:val="20"/>
                    </w:rPr>
                  </w:pPr>
                  <w:r w:rsidRPr="00182AF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77E80EF4" w14:textId="77777777">
                  <w:pPr>
                    <w:jc w:val="center"/>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1C92996F" w14:textId="77777777">
                  <w:pPr>
                    <w:jc w:val="center"/>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182AF7" w:rsidRPr="00182AF7" w:rsidP="00182AF7" w14:paraId="3F14F54A" w14:textId="77777777">
                  <w:pPr>
                    <w:jc w:val="center"/>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2212FA0B" w14:textId="77777777">
                  <w:pPr>
                    <w:jc w:val="center"/>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4D0F2986" w14:textId="77777777">
                  <w:pPr>
                    <w:jc w:val="center"/>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59B8D5FD" w14:textId="77777777">
                  <w:pPr>
                    <w:jc w:val="center"/>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22F642B9" w14:textId="77777777">
                  <w:pPr>
                    <w:jc w:val="right"/>
                    <w:rPr>
                      <w:color w:val="000000"/>
                      <w:sz w:val="20"/>
                    </w:rPr>
                  </w:pPr>
                  <w:r w:rsidRPr="00182AF7">
                    <w:rPr>
                      <w:color w:val="000000"/>
                      <w:sz w:val="20"/>
                    </w:rPr>
                    <w:t> </w:t>
                  </w:r>
                </w:p>
              </w:tc>
            </w:tr>
            <w:tr w14:paraId="172F7203" w14:textId="77777777" w:rsidTr="00182AF7">
              <w:tblPrEx>
                <w:tblW w:w="12960" w:type="dxa"/>
                <w:tblLayout w:type="fixed"/>
                <w:tblLook w:val="04A0"/>
              </w:tblPrEx>
              <w:trPr>
                <w:trHeight w:val="105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7B7E9BE3" w14:textId="77777777">
                  <w:pPr>
                    <w:rPr>
                      <w:color w:val="000000"/>
                      <w:sz w:val="20"/>
                    </w:rPr>
                  </w:pPr>
                  <w:r w:rsidRPr="00182AF7">
                    <w:rPr>
                      <w:color w:val="000000"/>
                      <w:sz w:val="20"/>
                    </w:rPr>
                    <w:t xml:space="preserve">REQUEST FOR EXTENSION OF COMPLIANCE - Per 52.40(d);  (based on BACT analysis of 2020 NSR ICR) </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432F4475" w14:textId="77777777">
                  <w:pPr>
                    <w:jc w:val="center"/>
                    <w:rPr>
                      <w:color w:val="000000"/>
                      <w:sz w:val="20"/>
                    </w:rPr>
                  </w:pPr>
                  <w:r w:rsidRPr="00182AF7">
                    <w:rPr>
                      <w:color w:val="000000"/>
                      <w:sz w:val="20"/>
                    </w:rPr>
                    <w:t>156</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0762130D" w14:textId="77777777">
                  <w:pPr>
                    <w:jc w:val="center"/>
                    <w:rPr>
                      <w:sz w:val="20"/>
                    </w:rPr>
                  </w:pPr>
                  <w:r w:rsidRPr="00182AF7">
                    <w:rPr>
                      <w:sz w:val="20"/>
                    </w:rPr>
                    <w:t>1</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58818554" w14:textId="77777777">
                  <w:pPr>
                    <w:jc w:val="center"/>
                    <w:rPr>
                      <w:color w:val="000000"/>
                      <w:sz w:val="20"/>
                    </w:rPr>
                  </w:pPr>
                  <w:r w:rsidRPr="00182AF7">
                    <w:rPr>
                      <w:color w:val="000000"/>
                      <w:sz w:val="20"/>
                    </w:rPr>
                    <w:t>156</w:t>
                  </w:r>
                </w:p>
              </w:tc>
              <w:tc>
                <w:tcPr>
                  <w:tcW w:w="1340" w:type="dxa"/>
                  <w:tcBorders>
                    <w:top w:val="nil"/>
                    <w:left w:val="nil"/>
                    <w:bottom w:val="single" w:sz="4" w:space="0" w:color="auto"/>
                    <w:right w:val="single" w:sz="4" w:space="0" w:color="auto"/>
                  </w:tcBorders>
                  <w:shd w:val="clear" w:color="auto" w:fill="auto"/>
                  <w:vAlign w:val="center"/>
                  <w:hideMark/>
                </w:tcPr>
                <w:p w:rsidR="00182AF7" w:rsidRPr="00182AF7" w:rsidP="00182AF7" w14:paraId="7BE4DCC6" w14:textId="77777777">
                  <w:pPr>
                    <w:jc w:val="center"/>
                    <w:rPr>
                      <w:sz w:val="20"/>
                    </w:rPr>
                  </w:pPr>
                  <w:r w:rsidRPr="00182AF7">
                    <w:rPr>
                      <w:sz w:val="20"/>
                    </w:rPr>
                    <w:t>28.47</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15F6A266" w14:textId="77777777">
                  <w:pPr>
                    <w:jc w:val="center"/>
                    <w:rPr>
                      <w:color w:val="000000"/>
                      <w:sz w:val="20"/>
                    </w:rPr>
                  </w:pPr>
                  <w:r w:rsidRPr="00182AF7">
                    <w:rPr>
                      <w:color w:val="000000"/>
                      <w:sz w:val="20"/>
                    </w:rPr>
                    <w:t>4441.32</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31C0F04F" w14:textId="77777777">
                  <w:pPr>
                    <w:jc w:val="center"/>
                    <w:rPr>
                      <w:color w:val="000000"/>
                      <w:sz w:val="20"/>
                    </w:rPr>
                  </w:pPr>
                  <w:r w:rsidRPr="00182AF7">
                    <w:rPr>
                      <w:color w:val="000000"/>
                      <w:sz w:val="20"/>
                    </w:rPr>
                    <w:t>222.066</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51CFC497" w14:textId="77777777">
                  <w:pPr>
                    <w:jc w:val="center"/>
                    <w:rPr>
                      <w:color w:val="000000"/>
                      <w:sz w:val="20"/>
                    </w:rPr>
                  </w:pPr>
                  <w:r w:rsidRPr="00182AF7">
                    <w:rPr>
                      <w:color w:val="000000"/>
                      <w:sz w:val="20"/>
                    </w:rPr>
                    <w:t>444.132</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2AB5B00B" w14:textId="1A8C9B6F">
                  <w:pPr>
                    <w:jc w:val="right"/>
                    <w:rPr>
                      <w:color w:val="000000"/>
                      <w:sz w:val="20"/>
                    </w:rPr>
                  </w:pPr>
                  <w:r w:rsidRPr="00182AF7">
                    <w:rPr>
                      <w:color w:val="000000"/>
                      <w:sz w:val="20"/>
                    </w:rPr>
                    <w:t xml:space="preserve">$631,478 </w:t>
                  </w:r>
                </w:p>
              </w:tc>
            </w:tr>
            <w:tr w14:paraId="382160CA" w14:textId="77777777" w:rsidTr="00182AF7">
              <w:tblPrEx>
                <w:tblW w:w="12960" w:type="dxa"/>
                <w:tblLayout w:type="fixed"/>
                <w:tblLook w:val="04A0"/>
              </w:tblPrEx>
              <w:trPr>
                <w:trHeight w:val="52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123592AB" w14:textId="77777777">
                  <w:pPr>
                    <w:rPr>
                      <w:color w:val="000000"/>
                      <w:sz w:val="20"/>
                    </w:rPr>
                  </w:pPr>
                  <w:r w:rsidRPr="00182AF7">
                    <w:rPr>
                      <w:color w:val="000000"/>
                      <w:sz w:val="20"/>
                    </w:rPr>
                    <w:t>A. Familiarize with regulatory requirement</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2C4858BA" w14:textId="77777777">
                  <w:pPr>
                    <w:jc w:val="center"/>
                    <w:rPr>
                      <w:color w:val="000000"/>
                      <w:sz w:val="20"/>
                    </w:rPr>
                  </w:pPr>
                  <w:r w:rsidRPr="00182AF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6E80B0A8"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5A061C1C" w14:textId="77777777">
                  <w:pPr>
                    <w:jc w:val="center"/>
                    <w:rPr>
                      <w:color w:val="000000"/>
                      <w:sz w:val="20"/>
                    </w:rPr>
                  </w:pPr>
                  <w:r w:rsidRPr="00182AF7">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182AF7" w:rsidRPr="00182AF7" w:rsidP="00182AF7" w14:paraId="37713A69" w14:textId="77777777">
                  <w:pPr>
                    <w:jc w:val="center"/>
                    <w:rPr>
                      <w:sz w:val="20"/>
                    </w:rPr>
                  </w:pPr>
                  <w:r w:rsidRPr="00182AF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0DDA98A0"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161DFABC"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1728B226"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0F4729F5" w14:textId="77777777">
                  <w:pPr>
                    <w:jc w:val="right"/>
                    <w:rPr>
                      <w:color w:val="000000"/>
                      <w:sz w:val="20"/>
                    </w:rPr>
                  </w:pPr>
                  <w:r w:rsidRPr="00182AF7">
                    <w:rPr>
                      <w:color w:val="000000"/>
                      <w:sz w:val="20"/>
                    </w:rPr>
                    <w:t xml:space="preserve">$0.00 </w:t>
                  </w:r>
                </w:p>
              </w:tc>
            </w:tr>
            <w:tr w14:paraId="7E1BF5B3" w14:textId="77777777" w:rsidTr="00182AF7">
              <w:tblPrEx>
                <w:tblW w:w="12960" w:type="dxa"/>
                <w:tblLayout w:type="fixed"/>
                <w:tblLook w:val="04A0"/>
              </w:tblPrEx>
              <w:trPr>
                <w:trHeight w:val="315"/>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738AF57A" w14:textId="77777777">
                  <w:pPr>
                    <w:rPr>
                      <w:color w:val="000000"/>
                      <w:sz w:val="20"/>
                    </w:rPr>
                  </w:pPr>
                  <w:r w:rsidRPr="00182AF7">
                    <w:rPr>
                      <w:color w:val="000000"/>
                      <w:sz w:val="20"/>
                    </w:rPr>
                    <w:t>B. Required Activities</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34F85031" w14:textId="77777777">
                  <w:pPr>
                    <w:jc w:val="center"/>
                    <w:rPr>
                      <w:color w:val="000000"/>
                      <w:sz w:val="20"/>
                    </w:rPr>
                  </w:pPr>
                  <w:r w:rsidRPr="00182AF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35293FD8" w14:textId="77777777">
                  <w:pPr>
                    <w:jc w:val="center"/>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0A83055B" w14:textId="77777777">
                  <w:pPr>
                    <w:jc w:val="center"/>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182AF7" w:rsidRPr="00182AF7" w:rsidP="00182AF7" w14:paraId="5F713D43" w14:textId="77777777">
                  <w:pPr>
                    <w:jc w:val="center"/>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16481EF1" w14:textId="77777777">
                  <w:pPr>
                    <w:jc w:val="center"/>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67D7B0BB" w14:textId="77777777">
                  <w:pPr>
                    <w:jc w:val="center"/>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58A3E414" w14:textId="77777777">
                  <w:pPr>
                    <w:jc w:val="center"/>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2271AD8E" w14:textId="77777777">
                  <w:pPr>
                    <w:jc w:val="right"/>
                    <w:rPr>
                      <w:color w:val="000000"/>
                      <w:sz w:val="20"/>
                    </w:rPr>
                  </w:pPr>
                  <w:r w:rsidRPr="00182AF7">
                    <w:rPr>
                      <w:color w:val="000000"/>
                      <w:sz w:val="20"/>
                    </w:rPr>
                    <w:t> </w:t>
                  </w:r>
                </w:p>
              </w:tc>
            </w:tr>
            <w:tr w14:paraId="0FD14ABD" w14:textId="77777777" w:rsidTr="00182AF7">
              <w:tblPrEx>
                <w:tblW w:w="12960" w:type="dxa"/>
                <w:tblLayout w:type="fixed"/>
                <w:tblLook w:val="04A0"/>
              </w:tblPrEx>
              <w:trPr>
                <w:trHeight w:val="57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11ADE16C" w14:textId="77777777">
                  <w:pPr>
                    <w:rPr>
                      <w:i/>
                      <w:iCs/>
                      <w:color w:val="000000"/>
                      <w:sz w:val="20"/>
                    </w:rPr>
                  </w:pPr>
                  <w:r w:rsidRPr="00182AF7">
                    <w:rPr>
                      <w:i/>
                      <w:iCs/>
                      <w:color w:val="000000"/>
                      <w:sz w:val="20"/>
                    </w:rPr>
                    <w:t xml:space="preserve">New Sources - Annual CPMS Performance Evaluation </w:t>
                  </w:r>
                  <w:r w:rsidRPr="00182AF7">
                    <w:rPr>
                      <w:color w:val="000000"/>
                      <w:sz w:val="20"/>
                      <w:vertAlign w:val="superscript"/>
                    </w:rPr>
                    <w:t>c</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56AD966B" w14:textId="77777777">
                  <w:pPr>
                    <w:jc w:val="center"/>
                    <w:rPr>
                      <w:color w:val="000000"/>
                      <w:sz w:val="20"/>
                    </w:rPr>
                  </w:pPr>
                  <w:r w:rsidRPr="00182AF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5C706AD3" w14:textId="77777777">
                  <w:pPr>
                    <w:jc w:val="center"/>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5FBF0654" w14:textId="77777777">
                  <w:pPr>
                    <w:jc w:val="center"/>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3E62B103" w14:textId="77777777">
                  <w:pPr>
                    <w:jc w:val="center"/>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6B2D9A87" w14:textId="77777777">
                  <w:pPr>
                    <w:jc w:val="center"/>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4F8E1019" w14:textId="77777777">
                  <w:pPr>
                    <w:jc w:val="center"/>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180C6E05" w14:textId="77777777">
                  <w:pPr>
                    <w:jc w:val="center"/>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2FE56E9D" w14:textId="77777777">
                  <w:pPr>
                    <w:jc w:val="right"/>
                    <w:rPr>
                      <w:color w:val="000000"/>
                      <w:sz w:val="20"/>
                    </w:rPr>
                  </w:pPr>
                  <w:r w:rsidRPr="00182AF7">
                    <w:rPr>
                      <w:color w:val="000000"/>
                      <w:sz w:val="20"/>
                    </w:rPr>
                    <w:t> </w:t>
                  </w:r>
                </w:p>
              </w:tc>
            </w:tr>
            <w:tr w14:paraId="4087E6A4" w14:textId="77777777" w:rsidTr="00182AF7">
              <w:tblPrEx>
                <w:tblW w:w="12960" w:type="dxa"/>
                <w:tblLayout w:type="fixed"/>
                <w:tblLook w:val="04A0"/>
              </w:tblPrEx>
              <w:trPr>
                <w:trHeight w:val="53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6B2CF5FF" w14:textId="77777777">
                  <w:pPr>
                    <w:rPr>
                      <w:sz w:val="20"/>
                    </w:rPr>
                  </w:pPr>
                  <w:r w:rsidRPr="00182AF7">
                    <w:rPr>
                      <w:sz w:val="20"/>
                    </w:rPr>
                    <w:t>Annual CPMS Performance Evaluation</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36E62076" w14:textId="77777777">
                  <w:pPr>
                    <w:jc w:val="center"/>
                    <w:rPr>
                      <w:sz w:val="20"/>
                    </w:rPr>
                  </w:pPr>
                  <w:r w:rsidRPr="00182AF7">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35782D34"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5E6AF1AA" w14:textId="77777777">
                  <w:pPr>
                    <w:jc w:val="center"/>
                    <w:rPr>
                      <w:color w:val="000000"/>
                      <w:sz w:val="20"/>
                    </w:rPr>
                  </w:pPr>
                  <w:r w:rsidRPr="00182AF7">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182AF7" w:rsidRPr="00182AF7" w:rsidP="00182AF7" w14:paraId="47C5F56D" w14:textId="77777777">
                  <w:pPr>
                    <w:jc w:val="center"/>
                    <w:rPr>
                      <w:sz w:val="20"/>
                    </w:rPr>
                  </w:pPr>
                  <w:r w:rsidRPr="00182AF7">
                    <w:rPr>
                      <w:sz w:val="20"/>
                    </w:rPr>
                    <w:t>0.00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10653B4E"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16A0D79C" w14:textId="77777777">
                  <w:pPr>
                    <w:jc w:val="center"/>
                    <w:rPr>
                      <w:sz w:val="20"/>
                    </w:rPr>
                  </w:pPr>
                  <w:r w:rsidRPr="00182AF7">
                    <w:rPr>
                      <w:sz w:val="20"/>
                    </w:rPr>
                    <w:t>0.00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337C3EF5" w14:textId="77777777">
                  <w:pPr>
                    <w:jc w:val="center"/>
                    <w:rPr>
                      <w:sz w:val="20"/>
                    </w:rPr>
                  </w:pPr>
                  <w:r w:rsidRPr="00182AF7">
                    <w:rPr>
                      <w:sz w:val="20"/>
                    </w:rPr>
                    <w:t>0.00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40881B30" w14:textId="77777777">
                  <w:pPr>
                    <w:jc w:val="right"/>
                    <w:rPr>
                      <w:color w:val="000000"/>
                      <w:sz w:val="20"/>
                    </w:rPr>
                  </w:pPr>
                  <w:r w:rsidRPr="00182AF7">
                    <w:rPr>
                      <w:color w:val="000000"/>
                      <w:sz w:val="20"/>
                    </w:rPr>
                    <w:t xml:space="preserve">$0.00 </w:t>
                  </w:r>
                </w:p>
              </w:tc>
            </w:tr>
            <w:tr w14:paraId="6E6BF51E" w14:textId="77777777" w:rsidTr="00182AF7">
              <w:tblPrEx>
                <w:tblW w:w="12960" w:type="dxa"/>
                <w:tblLayout w:type="fixed"/>
                <w:tblLook w:val="04A0"/>
              </w:tblPrEx>
              <w:trPr>
                <w:trHeight w:val="52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38A7F220" w14:textId="77777777">
                  <w:pPr>
                    <w:rPr>
                      <w:sz w:val="20"/>
                    </w:rPr>
                  </w:pPr>
                  <w:r w:rsidRPr="00182AF7">
                    <w:rPr>
                      <w:sz w:val="20"/>
                    </w:rPr>
                    <w:t>Repeat Annual CPMS Performance Evaluation</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1E009995" w14:textId="77777777">
                  <w:pPr>
                    <w:jc w:val="center"/>
                    <w:rPr>
                      <w:sz w:val="20"/>
                    </w:rPr>
                  </w:pPr>
                  <w:r w:rsidRPr="00182AF7">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1810A872"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521AE38C" w14:textId="77777777">
                  <w:pPr>
                    <w:jc w:val="center"/>
                    <w:rPr>
                      <w:color w:val="000000"/>
                      <w:sz w:val="20"/>
                    </w:rPr>
                  </w:pPr>
                  <w:r w:rsidRPr="00182AF7">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182AF7" w:rsidRPr="00182AF7" w:rsidP="00182AF7" w14:paraId="6C984C4C" w14:textId="77777777">
                  <w:pPr>
                    <w:jc w:val="center"/>
                    <w:rPr>
                      <w:sz w:val="20"/>
                    </w:rPr>
                  </w:pPr>
                  <w:r w:rsidRPr="00182AF7">
                    <w:rPr>
                      <w:sz w:val="20"/>
                    </w:rPr>
                    <w:t>0.00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29B3E2AB"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750B72B0" w14:textId="77777777">
                  <w:pPr>
                    <w:jc w:val="center"/>
                    <w:rPr>
                      <w:sz w:val="20"/>
                    </w:rPr>
                  </w:pPr>
                  <w:r w:rsidRPr="00182AF7">
                    <w:rPr>
                      <w:sz w:val="20"/>
                    </w:rPr>
                    <w:t>0.00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533BCF75" w14:textId="77777777">
                  <w:pPr>
                    <w:jc w:val="center"/>
                    <w:rPr>
                      <w:sz w:val="20"/>
                    </w:rPr>
                  </w:pPr>
                  <w:r w:rsidRPr="00182AF7">
                    <w:rPr>
                      <w:sz w:val="20"/>
                    </w:rPr>
                    <w:t>0.00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3892AFB8" w14:textId="77777777">
                  <w:pPr>
                    <w:jc w:val="right"/>
                    <w:rPr>
                      <w:color w:val="000000"/>
                      <w:sz w:val="20"/>
                    </w:rPr>
                  </w:pPr>
                  <w:r w:rsidRPr="00182AF7">
                    <w:rPr>
                      <w:color w:val="000000"/>
                      <w:sz w:val="20"/>
                    </w:rPr>
                    <w:t xml:space="preserve">$0.00 </w:t>
                  </w:r>
                </w:p>
              </w:tc>
            </w:tr>
            <w:tr w14:paraId="5D056973" w14:textId="77777777" w:rsidTr="00182AF7">
              <w:tblPrEx>
                <w:tblW w:w="12960" w:type="dxa"/>
                <w:tblLayout w:type="fixed"/>
                <w:tblLook w:val="04A0"/>
              </w:tblPrEx>
              <w:trPr>
                <w:trHeight w:val="57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3EA7607B" w14:textId="77777777">
                  <w:pPr>
                    <w:rPr>
                      <w:i/>
                      <w:iCs/>
                      <w:color w:val="000000"/>
                      <w:sz w:val="20"/>
                    </w:rPr>
                  </w:pPr>
                  <w:r w:rsidRPr="00182AF7">
                    <w:rPr>
                      <w:i/>
                      <w:iCs/>
                      <w:color w:val="000000"/>
                      <w:sz w:val="20"/>
                    </w:rPr>
                    <w:t xml:space="preserve">Existing Sources - Annual CPMS Performance Evaluation </w:t>
                  </w:r>
                  <w:r w:rsidRPr="00182AF7">
                    <w:rPr>
                      <w:color w:val="000000"/>
                      <w:sz w:val="20"/>
                      <w:vertAlign w:val="superscript"/>
                    </w:rPr>
                    <w:t>d</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362D2DC5" w14:textId="77777777">
                  <w:pPr>
                    <w:jc w:val="center"/>
                    <w:rPr>
                      <w:color w:val="000000"/>
                      <w:sz w:val="20"/>
                    </w:rPr>
                  </w:pPr>
                  <w:r w:rsidRPr="00182AF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7E41A54C" w14:textId="77777777">
                  <w:pPr>
                    <w:jc w:val="center"/>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376F406F" w14:textId="77777777">
                  <w:pPr>
                    <w:jc w:val="center"/>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182AF7" w:rsidRPr="00182AF7" w:rsidP="00182AF7" w14:paraId="4207A47C" w14:textId="77777777">
                  <w:pPr>
                    <w:jc w:val="center"/>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3A3E11CC" w14:textId="77777777">
                  <w:pPr>
                    <w:jc w:val="center"/>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7A3D9666" w14:textId="77777777">
                  <w:pPr>
                    <w:jc w:val="center"/>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27BFB859" w14:textId="77777777">
                  <w:pPr>
                    <w:jc w:val="center"/>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010FFA63" w14:textId="77777777">
                  <w:pPr>
                    <w:jc w:val="right"/>
                    <w:rPr>
                      <w:color w:val="000000"/>
                      <w:sz w:val="20"/>
                    </w:rPr>
                  </w:pPr>
                  <w:r w:rsidRPr="00182AF7">
                    <w:rPr>
                      <w:color w:val="000000"/>
                      <w:sz w:val="20"/>
                    </w:rPr>
                    <w:t> </w:t>
                  </w:r>
                </w:p>
              </w:tc>
            </w:tr>
            <w:tr w14:paraId="2627AD4F" w14:textId="77777777" w:rsidTr="00182AF7">
              <w:tblPrEx>
                <w:tblW w:w="12960" w:type="dxa"/>
                <w:tblLayout w:type="fixed"/>
                <w:tblLook w:val="04A0"/>
              </w:tblPrEx>
              <w:trPr>
                <w:trHeight w:val="52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33AB578A" w14:textId="77777777">
                  <w:pPr>
                    <w:rPr>
                      <w:sz w:val="20"/>
                    </w:rPr>
                  </w:pPr>
                  <w:r w:rsidRPr="00182AF7">
                    <w:rPr>
                      <w:sz w:val="20"/>
                    </w:rPr>
                    <w:t>Annual CPMS Performance Evaluation</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4F4A2A9D" w14:textId="77777777">
                  <w:pPr>
                    <w:jc w:val="center"/>
                    <w:rPr>
                      <w:color w:val="000000"/>
                      <w:sz w:val="20"/>
                    </w:rPr>
                  </w:pPr>
                  <w:r w:rsidRPr="00182AF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6B51AEEF"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37B1083A" w14:textId="77777777">
                  <w:pPr>
                    <w:jc w:val="center"/>
                    <w:rPr>
                      <w:color w:val="000000"/>
                      <w:sz w:val="20"/>
                    </w:rPr>
                  </w:pPr>
                  <w:r w:rsidRPr="00182AF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1D956739" w14:textId="77777777">
                  <w:pPr>
                    <w:jc w:val="center"/>
                    <w:rPr>
                      <w:sz w:val="20"/>
                    </w:rPr>
                  </w:pPr>
                  <w:r w:rsidRPr="00182AF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07A5BA7F"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7BF043DE"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4B68A285"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082FA05C" w14:textId="77777777">
                  <w:pPr>
                    <w:jc w:val="right"/>
                    <w:rPr>
                      <w:color w:val="000000"/>
                      <w:sz w:val="20"/>
                    </w:rPr>
                  </w:pPr>
                  <w:r w:rsidRPr="00182AF7">
                    <w:rPr>
                      <w:color w:val="000000"/>
                      <w:sz w:val="20"/>
                    </w:rPr>
                    <w:t xml:space="preserve">$0.00 </w:t>
                  </w:r>
                </w:p>
              </w:tc>
            </w:tr>
            <w:tr w14:paraId="704D4CD3" w14:textId="77777777" w:rsidTr="00182AF7">
              <w:tblPrEx>
                <w:tblW w:w="12960" w:type="dxa"/>
                <w:tblLayout w:type="fixed"/>
                <w:tblLook w:val="04A0"/>
              </w:tblPrEx>
              <w:trPr>
                <w:trHeight w:val="52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5B3078E7" w14:textId="77777777">
                  <w:pPr>
                    <w:rPr>
                      <w:sz w:val="20"/>
                    </w:rPr>
                  </w:pPr>
                  <w:r w:rsidRPr="00182AF7">
                    <w:rPr>
                      <w:sz w:val="20"/>
                    </w:rPr>
                    <w:t>Repeat Annual CPMS Performance Evaluation</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6D9B2183" w14:textId="77777777">
                  <w:pPr>
                    <w:jc w:val="center"/>
                    <w:rPr>
                      <w:sz w:val="20"/>
                    </w:rPr>
                  </w:pPr>
                  <w:r w:rsidRPr="00182AF7">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7361987F"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02242E5C" w14:textId="77777777">
                  <w:pPr>
                    <w:jc w:val="center"/>
                    <w:rPr>
                      <w:color w:val="000000"/>
                      <w:sz w:val="20"/>
                    </w:rPr>
                  </w:pPr>
                  <w:r w:rsidRPr="00182AF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41133A64" w14:textId="77777777">
                  <w:pPr>
                    <w:jc w:val="center"/>
                    <w:rPr>
                      <w:sz w:val="20"/>
                    </w:rPr>
                  </w:pPr>
                  <w:r w:rsidRPr="00182AF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19B3E64D"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2596C588"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2424B6AB"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2F8083CE" w14:textId="77777777">
                  <w:pPr>
                    <w:jc w:val="right"/>
                    <w:rPr>
                      <w:color w:val="000000"/>
                      <w:sz w:val="20"/>
                    </w:rPr>
                  </w:pPr>
                  <w:r w:rsidRPr="00182AF7">
                    <w:rPr>
                      <w:color w:val="000000"/>
                      <w:sz w:val="20"/>
                    </w:rPr>
                    <w:t xml:space="preserve">$0.00 </w:t>
                  </w:r>
                </w:p>
              </w:tc>
            </w:tr>
            <w:tr w14:paraId="68A5B3A7" w14:textId="77777777" w:rsidTr="00182AF7">
              <w:tblPrEx>
                <w:tblW w:w="12960" w:type="dxa"/>
                <w:tblLayout w:type="fixed"/>
                <w:tblLook w:val="04A0"/>
              </w:tblPrEx>
              <w:trPr>
                <w:trHeight w:val="58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6089366F" w14:textId="77777777">
                  <w:pPr>
                    <w:ind w:firstLine="400" w:firstLineChars="200"/>
                    <w:rPr>
                      <w:color w:val="000000"/>
                      <w:sz w:val="20"/>
                    </w:rPr>
                  </w:pPr>
                  <w:r w:rsidRPr="00182AF7">
                    <w:rPr>
                      <w:color w:val="000000"/>
                      <w:sz w:val="20"/>
                    </w:rPr>
                    <w:t>Non EPA-Certified Engine NOx Performance Testing</w:t>
                  </w:r>
                  <w:r w:rsidRPr="00182AF7">
                    <w:rPr>
                      <w:color w:val="000000"/>
                      <w:sz w:val="22"/>
                      <w:szCs w:val="22"/>
                      <w:vertAlign w:val="superscript"/>
                    </w:rPr>
                    <w:t>gh</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0AFA1CDD" w14:textId="77777777">
                  <w:pPr>
                    <w:jc w:val="center"/>
                    <w:rPr>
                      <w:sz w:val="20"/>
                    </w:rPr>
                  </w:pPr>
                  <w:r w:rsidRPr="00182AF7">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38320A46"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72C0FDE9" w14:textId="77777777">
                  <w:pPr>
                    <w:jc w:val="center"/>
                    <w:rPr>
                      <w:color w:val="000000"/>
                      <w:sz w:val="20"/>
                    </w:rPr>
                  </w:pPr>
                  <w:r w:rsidRPr="00182AF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70D9D5B8" w14:textId="77777777">
                  <w:pPr>
                    <w:jc w:val="center"/>
                    <w:rPr>
                      <w:sz w:val="20"/>
                    </w:rPr>
                  </w:pPr>
                  <w:r w:rsidRPr="00182AF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6FE8DA45"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530A6E98"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52419BDA"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3A04E3D8" w14:textId="77777777">
                  <w:pPr>
                    <w:jc w:val="right"/>
                    <w:rPr>
                      <w:color w:val="000000"/>
                      <w:sz w:val="20"/>
                    </w:rPr>
                  </w:pPr>
                  <w:r w:rsidRPr="00182AF7">
                    <w:rPr>
                      <w:color w:val="000000"/>
                      <w:sz w:val="20"/>
                    </w:rPr>
                    <w:t xml:space="preserve">$0.00 </w:t>
                  </w:r>
                </w:p>
              </w:tc>
            </w:tr>
            <w:tr w14:paraId="5C172D60" w14:textId="77777777" w:rsidTr="00182AF7">
              <w:tblPrEx>
                <w:tblW w:w="12960" w:type="dxa"/>
                <w:tblLayout w:type="fixed"/>
                <w:tblLook w:val="04A0"/>
              </w:tblPrEx>
              <w:trPr>
                <w:trHeight w:val="98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37E9F3DF" w14:textId="77777777">
                  <w:pPr>
                    <w:ind w:firstLine="400" w:firstLineChars="200"/>
                    <w:rPr>
                      <w:color w:val="000000"/>
                      <w:sz w:val="20"/>
                    </w:rPr>
                  </w:pPr>
                  <w:r w:rsidRPr="00182AF7">
                    <w:rPr>
                      <w:color w:val="000000"/>
                      <w:sz w:val="20"/>
                    </w:rPr>
                    <w:t>Repeat Non EPA-Certified Engine NOx Performance Testing</w:t>
                  </w:r>
                  <w:r w:rsidRPr="00182AF7">
                    <w:rPr>
                      <w:color w:val="000000"/>
                      <w:sz w:val="20"/>
                      <w:vertAlign w:val="superscript"/>
                    </w:rPr>
                    <w:t>gh</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253D8290" w14:textId="77777777">
                  <w:pPr>
                    <w:jc w:val="center"/>
                    <w:rPr>
                      <w:sz w:val="20"/>
                    </w:rPr>
                  </w:pPr>
                  <w:r w:rsidRPr="00182AF7">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43C68BE7"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32F20299" w14:textId="77777777">
                  <w:pPr>
                    <w:jc w:val="center"/>
                    <w:rPr>
                      <w:color w:val="000000"/>
                      <w:sz w:val="20"/>
                    </w:rPr>
                  </w:pPr>
                  <w:r w:rsidRPr="00182AF7">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182AF7" w:rsidRPr="00182AF7" w:rsidP="00182AF7" w14:paraId="095A6DB8" w14:textId="77777777">
                  <w:pPr>
                    <w:jc w:val="center"/>
                    <w:rPr>
                      <w:sz w:val="20"/>
                    </w:rPr>
                  </w:pPr>
                  <w:r w:rsidRPr="00182AF7">
                    <w:rPr>
                      <w:sz w:val="20"/>
                    </w:rPr>
                    <w:t>0.00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6D2FDFEB"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60AE1D6D"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12ABBD89"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6192E990" w14:textId="77777777">
                  <w:pPr>
                    <w:jc w:val="right"/>
                    <w:rPr>
                      <w:color w:val="000000"/>
                      <w:sz w:val="20"/>
                    </w:rPr>
                  </w:pPr>
                  <w:r w:rsidRPr="00182AF7">
                    <w:rPr>
                      <w:color w:val="000000"/>
                      <w:sz w:val="20"/>
                    </w:rPr>
                    <w:t xml:space="preserve">$0.00 </w:t>
                  </w:r>
                </w:p>
              </w:tc>
            </w:tr>
            <w:tr w14:paraId="22C992AE" w14:textId="77777777" w:rsidTr="00182AF7">
              <w:tblPrEx>
                <w:tblW w:w="12960" w:type="dxa"/>
                <w:tblLayout w:type="fixed"/>
                <w:tblLook w:val="04A0"/>
              </w:tblPrEx>
              <w:trPr>
                <w:trHeight w:val="75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0034A394" w14:textId="77777777">
                  <w:pPr>
                    <w:rPr>
                      <w:i/>
                      <w:iCs/>
                      <w:color w:val="000000"/>
                      <w:sz w:val="20"/>
                    </w:rPr>
                  </w:pPr>
                  <w:r w:rsidRPr="00182AF7">
                    <w:rPr>
                      <w:i/>
                      <w:iCs/>
                      <w:color w:val="000000"/>
                      <w:sz w:val="20"/>
                    </w:rPr>
                    <w:t xml:space="preserve">New and Existing Sources - Monitoring </w:t>
                  </w:r>
                  <w:r w:rsidRPr="00182AF7">
                    <w:rPr>
                      <w:color w:val="000000"/>
                      <w:sz w:val="20"/>
                      <w:vertAlign w:val="superscript"/>
                    </w:rPr>
                    <w:t>e</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7E742739" w14:textId="77777777">
                  <w:pPr>
                    <w:jc w:val="center"/>
                    <w:rPr>
                      <w:color w:val="000000"/>
                      <w:sz w:val="20"/>
                    </w:rPr>
                  </w:pPr>
                  <w:r w:rsidRPr="00182AF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4911BA55" w14:textId="77777777">
                  <w:pPr>
                    <w:jc w:val="center"/>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48262412" w14:textId="77777777">
                  <w:pPr>
                    <w:jc w:val="center"/>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7A42B488" w14:textId="77777777">
                  <w:pPr>
                    <w:jc w:val="center"/>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6C14B81E" w14:textId="77777777">
                  <w:pPr>
                    <w:jc w:val="center"/>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71E85AB2" w14:textId="77777777">
                  <w:pPr>
                    <w:jc w:val="center"/>
                    <w:rPr>
                      <w:sz w:val="20"/>
                    </w:rPr>
                  </w:pPr>
                  <w:r w:rsidRPr="00182AF7">
                    <w:rPr>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79EC4BFB" w14:textId="77777777">
                  <w:pPr>
                    <w:jc w:val="center"/>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792BDCFB" w14:textId="77777777">
                  <w:pPr>
                    <w:jc w:val="right"/>
                    <w:rPr>
                      <w:color w:val="000000"/>
                      <w:sz w:val="20"/>
                    </w:rPr>
                  </w:pPr>
                  <w:r w:rsidRPr="00182AF7">
                    <w:rPr>
                      <w:color w:val="000000"/>
                      <w:sz w:val="20"/>
                    </w:rPr>
                    <w:t> </w:t>
                  </w:r>
                </w:p>
              </w:tc>
            </w:tr>
            <w:tr w14:paraId="4A6631D4" w14:textId="77777777" w:rsidTr="00182AF7">
              <w:tblPrEx>
                <w:tblW w:w="12960" w:type="dxa"/>
                <w:tblLayout w:type="fixed"/>
                <w:tblLook w:val="04A0"/>
              </w:tblPrEx>
              <w:trPr>
                <w:trHeight w:val="52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2A0CDCAD" w14:textId="77777777">
                  <w:pPr>
                    <w:rPr>
                      <w:color w:val="000000"/>
                      <w:sz w:val="20"/>
                    </w:rPr>
                  </w:pPr>
                  <w:r w:rsidRPr="00182AF7">
                    <w:rPr>
                      <w:color w:val="000000"/>
                      <w:sz w:val="20"/>
                    </w:rPr>
                    <w:t>Daily Calibration Drift Tests - NOx CEMS</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4A7AACEB" w14:textId="77777777">
                  <w:pPr>
                    <w:jc w:val="center"/>
                    <w:rPr>
                      <w:color w:val="000000"/>
                      <w:sz w:val="20"/>
                    </w:rPr>
                  </w:pPr>
                  <w:r w:rsidRPr="00182AF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5F488591"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7C38EF7A" w14:textId="77777777">
                  <w:pPr>
                    <w:jc w:val="center"/>
                    <w:rPr>
                      <w:color w:val="000000"/>
                      <w:sz w:val="20"/>
                    </w:rPr>
                  </w:pPr>
                  <w:r w:rsidRPr="00182AF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2F48196D" w14:textId="77777777">
                  <w:pPr>
                    <w:jc w:val="center"/>
                    <w:rPr>
                      <w:sz w:val="20"/>
                    </w:rPr>
                  </w:pPr>
                  <w:r w:rsidRPr="00182AF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7C04390B"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490D6204"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21761995"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4AC032B5" w14:textId="77777777">
                  <w:pPr>
                    <w:jc w:val="right"/>
                    <w:rPr>
                      <w:color w:val="000000"/>
                      <w:sz w:val="20"/>
                    </w:rPr>
                  </w:pPr>
                  <w:r w:rsidRPr="00182AF7">
                    <w:rPr>
                      <w:color w:val="000000"/>
                      <w:sz w:val="20"/>
                    </w:rPr>
                    <w:t xml:space="preserve">$0.00 </w:t>
                  </w:r>
                </w:p>
              </w:tc>
            </w:tr>
            <w:tr w14:paraId="7F137E40" w14:textId="77777777" w:rsidTr="00182AF7">
              <w:tblPrEx>
                <w:tblW w:w="12960" w:type="dxa"/>
                <w:tblLayout w:type="fixed"/>
                <w:tblLook w:val="04A0"/>
              </w:tblPrEx>
              <w:trPr>
                <w:trHeight w:val="52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4D927751" w14:textId="77777777">
                  <w:pPr>
                    <w:rPr>
                      <w:color w:val="000000"/>
                      <w:sz w:val="20"/>
                    </w:rPr>
                  </w:pPr>
                  <w:r w:rsidRPr="00182AF7">
                    <w:rPr>
                      <w:color w:val="000000"/>
                      <w:sz w:val="20"/>
                    </w:rPr>
                    <w:t>C. Create Information (Included in 4B)</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06F84E73" w14:textId="77777777">
                  <w:pPr>
                    <w:jc w:val="center"/>
                    <w:rPr>
                      <w:color w:val="000000"/>
                      <w:sz w:val="20"/>
                    </w:rPr>
                  </w:pPr>
                  <w:r w:rsidRPr="00182AF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7EE63417" w14:textId="77777777">
                  <w:pPr>
                    <w:jc w:val="right"/>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60695DE6" w14:textId="77777777">
                  <w:pPr>
                    <w:jc w:val="right"/>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45443106" w14:textId="77777777">
                  <w:pPr>
                    <w:jc w:val="right"/>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64197F4E" w14:textId="77777777">
                  <w:pPr>
                    <w:jc w:val="right"/>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4135C228"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466644CF"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5C6A8F97" w14:textId="77777777">
                  <w:pPr>
                    <w:jc w:val="right"/>
                    <w:rPr>
                      <w:color w:val="000000"/>
                      <w:sz w:val="20"/>
                    </w:rPr>
                  </w:pPr>
                  <w:r w:rsidRPr="00182AF7">
                    <w:rPr>
                      <w:color w:val="000000"/>
                      <w:sz w:val="20"/>
                    </w:rPr>
                    <w:t> </w:t>
                  </w:r>
                </w:p>
              </w:tc>
            </w:tr>
            <w:tr w14:paraId="32457B76" w14:textId="77777777" w:rsidTr="00182AF7">
              <w:tblPrEx>
                <w:tblW w:w="12960" w:type="dxa"/>
                <w:tblLayout w:type="fixed"/>
                <w:tblLook w:val="04A0"/>
              </w:tblPrEx>
              <w:trPr>
                <w:trHeight w:val="52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29DF5AC2" w14:textId="77777777">
                  <w:pPr>
                    <w:rPr>
                      <w:color w:val="000000"/>
                      <w:sz w:val="20"/>
                    </w:rPr>
                  </w:pPr>
                  <w:r w:rsidRPr="00182AF7">
                    <w:rPr>
                      <w:color w:val="000000"/>
                      <w:sz w:val="20"/>
                    </w:rPr>
                    <w:t>D. Gather Existing Information (Included in 4E)</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78A9818A" w14:textId="77777777">
                  <w:pPr>
                    <w:jc w:val="center"/>
                    <w:rPr>
                      <w:color w:val="000000"/>
                      <w:sz w:val="20"/>
                    </w:rPr>
                  </w:pPr>
                  <w:r w:rsidRPr="00182AF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19DB8CC3" w14:textId="77777777">
                  <w:pPr>
                    <w:jc w:val="right"/>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16B3D19C" w14:textId="77777777">
                  <w:pPr>
                    <w:jc w:val="right"/>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0B7D0D11" w14:textId="77777777">
                  <w:pPr>
                    <w:jc w:val="right"/>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576AEBEA" w14:textId="77777777">
                  <w:pPr>
                    <w:jc w:val="right"/>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3BE94653"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7F3BC194"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327E4C65" w14:textId="77777777">
                  <w:pPr>
                    <w:jc w:val="right"/>
                    <w:rPr>
                      <w:color w:val="000000"/>
                      <w:sz w:val="20"/>
                    </w:rPr>
                  </w:pPr>
                  <w:r w:rsidRPr="00182AF7">
                    <w:rPr>
                      <w:color w:val="000000"/>
                      <w:sz w:val="20"/>
                    </w:rPr>
                    <w:t> </w:t>
                  </w:r>
                </w:p>
              </w:tc>
            </w:tr>
            <w:tr w14:paraId="3C8D0841" w14:textId="77777777" w:rsidTr="00182AF7">
              <w:tblPrEx>
                <w:tblW w:w="12960" w:type="dxa"/>
                <w:tblLayout w:type="fixed"/>
                <w:tblLook w:val="04A0"/>
              </w:tblPrEx>
              <w:trPr>
                <w:trHeight w:val="26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2E9E1D42" w14:textId="77777777">
                  <w:pPr>
                    <w:rPr>
                      <w:color w:val="000000"/>
                      <w:sz w:val="20"/>
                    </w:rPr>
                  </w:pPr>
                  <w:r w:rsidRPr="00182AF7">
                    <w:rPr>
                      <w:color w:val="000000"/>
                      <w:sz w:val="20"/>
                    </w:rPr>
                    <w:t>E. Write Report</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02D53A15" w14:textId="77777777">
                  <w:pPr>
                    <w:jc w:val="right"/>
                    <w:rPr>
                      <w:color w:val="000000"/>
                      <w:sz w:val="20"/>
                    </w:rPr>
                  </w:pPr>
                  <w:r w:rsidRPr="00182AF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4921E795" w14:textId="77777777">
                  <w:pPr>
                    <w:jc w:val="right"/>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34BE2290" w14:textId="77777777">
                  <w:pPr>
                    <w:jc w:val="right"/>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7D40BA36" w14:textId="77777777">
                  <w:pPr>
                    <w:jc w:val="right"/>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3734A9E5" w14:textId="77777777">
                  <w:pPr>
                    <w:jc w:val="right"/>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7A668ED4"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4B8256A6"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6242ED0D" w14:textId="77777777">
                  <w:pPr>
                    <w:jc w:val="right"/>
                    <w:rPr>
                      <w:color w:val="000000"/>
                      <w:sz w:val="20"/>
                    </w:rPr>
                  </w:pPr>
                  <w:r w:rsidRPr="00182AF7">
                    <w:rPr>
                      <w:color w:val="000000"/>
                      <w:sz w:val="20"/>
                    </w:rPr>
                    <w:t> </w:t>
                  </w:r>
                </w:p>
              </w:tc>
            </w:tr>
            <w:tr w14:paraId="12142D1A" w14:textId="77777777" w:rsidTr="00182AF7">
              <w:tblPrEx>
                <w:tblW w:w="12960" w:type="dxa"/>
                <w:tblLayout w:type="fixed"/>
                <w:tblLook w:val="04A0"/>
              </w:tblPrEx>
              <w:trPr>
                <w:trHeight w:val="54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09827B1C" w14:textId="77777777">
                  <w:pPr>
                    <w:rPr>
                      <w:i/>
                      <w:iCs/>
                      <w:color w:val="000000"/>
                      <w:sz w:val="20"/>
                      <w:u w:val="single"/>
                    </w:rPr>
                  </w:pPr>
                  <w:r w:rsidRPr="00182AF7">
                    <w:rPr>
                      <w:i/>
                      <w:iCs/>
                      <w:color w:val="000000"/>
                      <w:sz w:val="20"/>
                      <w:u w:val="single"/>
                    </w:rPr>
                    <w:t>New Sources</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6DB99E50" w14:textId="77777777">
                  <w:pPr>
                    <w:jc w:val="center"/>
                    <w:rPr>
                      <w:color w:val="000000"/>
                      <w:sz w:val="20"/>
                    </w:rPr>
                  </w:pPr>
                  <w:r w:rsidRPr="00182AF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04FB454C" w14:textId="77777777">
                  <w:pPr>
                    <w:jc w:val="center"/>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369E2D2E" w14:textId="77777777">
                  <w:pPr>
                    <w:jc w:val="center"/>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6D381CDE" w14:textId="77777777">
                  <w:pPr>
                    <w:jc w:val="center"/>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1CB864B7" w14:textId="77777777">
                  <w:pPr>
                    <w:jc w:val="center"/>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68FC81E4" w14:textId="77777777">
                  <w:pPr>
                    <w:jc w:val="center"/>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3A0FF79F" w14:textId="77777777">
                  <w:pPr>
                    <w:jc w:val="center"/>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119B68E7" w14:textId="77777777">
                  <w:pPr>
                    <w:jc w:val="right"/>
                    <w:rPr>
                      <w:color w:val="000000"/>
                      <w:sz w:val="20"/>
                    </w:rPr>
                  </w:pPr>
                  <w:r w:rsidRPr="00182AF7">
                    <w:rPr>
                      <w:color w:val="000000"/>
                      <w:sz w:val="20"/>
                    </w:rPr>
                    <w:t> </w:t>
                  </w:r>
                </w:p>
              </w:tc>
            </w:tr>
            <w:tr w14:paraId="78818AB0" w14:textId="77777777" w:rsidTr="00182AF7">
              <w:tblPrEx>
                <w:tblW w:w="12960" w:type="dxa"/>
                <w:tblLayout w:type="fixed"/>
                <w:tblLook w:val="04A0"/>
              </w:tblPrEx>
              <w:trPr>
                <w:trHeight w:val="52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2B13075A" w14:textId="77777777">
                  <w:pPr>
                    <w:rPr>
                      <w:color w:val="000000"/>
                      <w:sz w:val="20"/>
                    </w:rPr>
                  </w:pPr>
                  <w:r w:rsidRPr="00182AF7">
                    <w:rPr>
                      <w:color w:val="000000"/>
                      <w:sz w:val="20"/>
                    </w:rPr>
                    <w:t>Notification of Demonstration of CEMS</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140DD76C" w14:textId="77777777">
                  <w:pPr>
                    <w:jc w:val="center"/>
                    <w:rPr>
                      <w:color w:val="000000"/>
                      <w:sz w:val="20"/>
                    </w:rPr>
                  </w:pPr>
                  <w:r w:rsidRPr="00182AF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720E07E6"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1F51EF34" w14:textId="77777777">
                  <w:pPr>
                    <w:jc w:val="center"/>
                    <w:rPr>
                      <w:color w:val="000000"/>
                      <w:sz w:val="20"/>
                    </w:rPr>
                  </w:pPr>
                  <w:r w:rsidRPr="00182AF7">
                    <w:rPr>
                      <w:color w:val="000000"/>
                      <w:sz w:val="20"/>
                    </w:rPr>
                    <w:t>2</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2552600E" w14:textId="77777777">
                  <w:pPr>
                    <w:jc w:val="center"/>
                    <w:rPr>
                      <w:sz w:val="20"/>
                    </w:rPr>
                  </w:pPr>
                  <w:r w:rsidRPr="00182AF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643BBB78"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6293E83F"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5F41AA2D"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752A72C3" w14:textId="77777777">
                  <w:pPr>
                    <w:jc w:val="right"/>
                    <w:rPr>
                      <w:color w:val="000000"/>
                      <w:sz w:val="20"/>
                    </w:rPr>
                  </w:pPr>
                  <w:r w:rsidRPr="00182AF7">
                    <w:rPr>
                      <w:color w:val="000000"/>
                      <w:sz w:val="20"/>
                    </w:rPr>
                    <w:t xml:space="preserve">$0.00 </w:t>
                  </w:r>
                </w:p>
              </w:tc>
            </w:tr>
            <w:tr w14:paraId="1F01FAF9" w14:textId="77777777" w:rsidTr="00182AF7">
              <w:tblPrEx>
                <w:tblW w:w="12960" w:type="dxa"/>
                <w:tblLayout w:type="fixed"/>
                <w:tblLook w:val="04A0"/>
              </w:tblPrEx>
              <w:trPr>
                <w:trHeight w:val="52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1CB278DA" w14:textId="77777777">
                  <w:pPr>
                    <w:rPr>
                      <w:color w:val="000000"/>
                      <w:sz w:val="20"/>
                    </w:rPr>
                  </w:pPr>
                  <w:r w:rsidRPr="00182AF7">
                    <w:rPr>
                      <w:color w:val="000000"/>
                      <w:sz w:val="20"/>
                    </w:rPr>
                    <w:t>Notification of Initial Performance Test</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05D300DD" w14:textId="77777777">
                  <w:pPr>
                    <w:jc w:val="center"/>
                    <w:rPr>
                      <w:color w:val="000000"/>
                      <w:sz w:val="20"/>
                    </w:rPr>
                  </w:pPr>
                  <w:r w:rsidRPr="00182AF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0AD4E492"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2451770E" w14:textId="77777777">
                  <w:pPr>
                    <w:jc w:val="center"/>
                    <w:rPr>
                      <w:color w:val="000000"/>
                      <w:sz w:val="20"/>
                    </w:rPr>
                  </w:pPr>
                  <w:r w:rsidRPr="00182AF7">
                    <w:rPr>
                      <w:color w:val="000000"/>
                      <w:sz w:val="20"/>
                    </w:rPr>
                    <w:t>2</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64510889" w14:textId="77777777">
                  <w:pPr>
                    <w:jc w:val="center"/>
                    <w:rPr>
                      <w:sz w:val="20"/>
                    </w:rPr>
                  </w:pPr>
                  <w:r w:rsidRPr="00182AF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13C14F4E"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7A0C2D83"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403AF40D"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30B15B22" w14:textId="77777777">
                  <w:pPr>
                    <w:jc w:val="right"/>
                    <w:rPr>
                      <w:color w:val="000000"/>
                      <w:sz w:val="20"/>
                    </w:rPr>
                  </w:pPr>
                  <w:r w:rsidRPr="00182AF7">
                    <w:rPr>
                      <w:color w:val="000000"/>
                      <w:sz w:val="20"/>
                    </w:rPr>
                    <w:t xml:space="preserve">$0.00 </w:t>
                  </w:r>
                </w:p>
              </w:tc>
            </w:tr>
            <w:tr w14:paraId="08AA46CC" w14:textId="77777777" w:rsidTr="00182AF7">
              <w:tblPrEx>
                <w:tblW w:w="12960" w:type="dxa"/>
                <w:tblLayout w:type="fixed"/>
                <w:tblLook w:val="04A0"/>
              </w:tblPrEx>
              <w:trPr>
                <w:trHeight w:val="33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2A05F135" w14:textId="77777777">
                  <w:pPr>
                    <w:rPr>
                      <w:color w:val="000000"/>
                      <w:sz w:val="20"/>
                    </w:rPr>
                  </w:pPr>
                  <w:r w:rsidRPr="00182AF7">
                    <w:rPr>
                      <w:color w:val="000000"/>
                      <w:sz w:val="20"/>
                    </w:rPr>
                    <w:t>Report of Performance Test</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4103546C" w14:textId="77777777">
                  <w:pPr>
                    <w:jc w:val="center"/>
                    <w:rPr>
                      <w:color w:val="000000"/>
                      <w:sz w:val="20"/>
                    </w:rPr>
                  </w:pPr>
                  <w:r w:rsidRPr="00182AF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37CA88BA"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6FEC2B13" w14:textId="77777777">
                  <w:pPr>
                    <w:jc w:val="center"/>
                    <w:rPr>
                      <w:color w:val="000000"/>
                      <w:sz w:val="20"/>
                    </w:rPr>
                  </w:pPr>
                  <w:r w:rsidRPr="00182AF7">
                    <w:rPr>
                      <w:color w:val="000000"/>
                      <w:sz w:val="20"/>
                    </w:rPr>
                    <w:t>2</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523D5A22" w14:textId="77777777">
                  <w:pPr>
                    <w:jc w:val="center"/>
                    <w:rPr>
                      <w:sz w:val="20"/>
                    </w:rPr>
                  </w:pPr>
                  <w:r w:rsidRPr="00182AF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16B7A94A"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1EE634AE"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007FC4EA"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40B20658" w14:textId="77777777">
                  <w:pPr>
                    <w:jc w:val="right"/>
                    <w:rPr>
                      <w:color w:val="000000"/>
                      <w:sz w:val="20"/>
                    </w:rPr>
                  </w:pPr>
                  <w:r w:rsidRPr="00182AF7">
                    <w:rPr>
                      <w:color w:val="000000"/>
                      <w:sz w:val="20"/>
                    </w:rPr>
                    <w:t xml:space="preserve">$0.00 </w:t>
                  </w:r>
                </w:p>
              </w:tc>
            </w:tr>
            <w:tr w14:paraId="27D069B5" w14:textId="77777777" w:rsidTr="00182AF7">
              <w:tblPrEx>
                <w:tblW w:w="12960" w:type="dxa"/>
                <w:tblLayout w:type="fixed"/>
                <w:tblLook w:val="04A0"/>
              </w:tblPrEx>
              <w:trPr>
                <w:trHeight w:val="104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076AC379" w14:textId="77777777">
                  <w:pPr>
                    <w:rPr>
                      <w:color w:val="000000"/>
                      <w:sz w:val="20"/>
                    </w:rPr>
                  </w:pPr>
                  <w:r w:rsidRPr="00182AF7">
                    <w:rPr>
                      <w:color w:val="000000"/>
                      <w:sz w:val="20"/>
                    </w:rPr>
                    <w:t>Annual Report Submitted to Administrator of Compliance Statement, SubSection 52.41(d) performance test</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25D9B7C0" w14:textId="77777777">
                  <w:pPr>
                    <w:jc w:val="center"/>
                    <w:rPr>
                      <w:color w:val="000000"/>
                      <w:sz w:val="20"/>
                    </w:rPr>
                  </w:pPr>
                  <w:r w:rsidRPr="00182AF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2C6AFC78"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1F645885" w14:textId="77777777">
                  <w:pPr>
                    <w:jc w:val="center"/>
                    <w:rPr>
                      <w:color w:val="000000"/>
                      <w:sz w:val="20"/>
                    </w:rPr>
                  </w:pPr>
                  <w:r w:rsidRPr="00182AF7">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182AF7" w:rsidRPr="00182AF7" w:rsidP="00182AF7" w14:paraId="67A4A062" w14:textId="77777777">
                  <w:pPr>
                    <w:jc w:val="center"/>
                    <w:rPr>
                      <w:sz w:val="20"/>
                    </w:rPr>
                  </w:pPr>
                  <w:r w:rsidRPr="00182AF7">
                    <w:rPr>
                      <w:sz w:val="20"/>
                    </w:rPr>
                    <w:t>0.00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31A9C70A" w14:textId="77777777">
                  <w:pPr>
                    <w:jc w:val="center"/>
                    <w:rPr>
                      <w:sz w:val="20"/>
                    </w:rPr>
                  </w:pPr>
                  <w:r w:rsidRPr="00182AF7">
                    <w:rPr>
                      <w:sz w:val="20"/>
                    </w:rPr>
                    <w:t>0.00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594592A3" w14:textId="77777777">
                  <w:pPr>
                    <w:jc w:val="center"/>
                    <w:rPr>
                      <w:sz w:val="20"/>
                    </w:rPr>
                  </w:pPr>
                  <w:r w:rsidRPr="00182AF7">
                    <w:rPr>
                      <w:sz w:val="20"/>
                    </w:rPr>
                    <w:t>0.00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5D176668" w14:textId="77777777">
                  <w:pPr>
                    <w:jc w:val="center"/>
                    <w:rPr>
                      <w:sz w:val="20"/>
                    </w:rPr>
                  </w:pPr>
                  <w:r w:rsidRPr="00182AF7">
                    <w:rPr>
                      <w:sz w:val="20"/>
                    </w:rPr>
                    <w:t>0.00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65C092E6" w14:textId="77777777">
                  <w:pPr>
                    <w:jc w:val="right"/>
                    <w:rPr>
                      <w:color w:val="000000"/>
                      <w:sz w:val="20"/>
                    </w:rPr>
                  </w:pPr>
                  <w:r w:rsidRPr="00182AF7">
                    <w:rPr>
                      <w:color w:val="000000"/>
                      <w:sz w:val="20"/>
                    </w:rPr>
                    <w:t xml:space="preserve">$0 </w:t>
                  </w:r>
                </w:p>
              </w:tc>
            </w:tr>
            <w:tr w14:paraId="0C8F0059" w14:textId="77777777" w:rsidTr="00182AF7">
              <w:tblPrEx>
                <w:tblW w:w="12960" w:type="dxa"/>
                <w:tblLayout w:type="fixed"/>
                <w:tblLook w:val="04A0"/>
              </w:tblPrEx>
              <w:trPr>
                <w:trHeight w:val="403"/>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01740AAB" w14:textId="77777777">
                  <w:pPr>
                    <w:rPr>
                      <w:i/>
                      <w:iCs/>
                      <w:color w:val="000000"/>
                      <w:sz w:val="20"/>
                      <w:u w:val="single"/>
                    </w:rPr>
                  </w:pPr>
                  <w:r w:rsidRPr="00182AF7">
                    <w:rPr>
                      <w:i/>
                      <w:iCs/>
                      <w:color w:val="000000"/>
                      <w:sz w:val="20"/>
                      <w:u w:val="single"/>
                    </w:rPr>
                    <w:t>Existing Sources</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5BC9E14A" w14:textId="77777777">
                  <w:pPr>
                    <w:jc w:val="right"/>
                    <w:rPr>
                      <w:color w:val="000000"/>
                      <w:sz w:val="20"/>
                    </w:rPr>
                  </w:pPr>
                  <w:r w:rsidRPr="00182AF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6AD4C34D" w14:textId="77777777">
                  <w:pPr>
                    <w:jc w:val="right"/>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7F554A18" w14:textId="77777777">
                  <w:pPr>
                    <w:jc w:val="right"/>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060874EE" w14:textId="77777777">
                  <w:pPr>
                    <w:jc w:val="right"/>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0D7A8BD5" w14:textId="77777777">
                  <w:pPr>
                    <w:jc w:val="right"/>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315314CA"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5B515BE1"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5B3EA00D" w14:textId="77777777">
                  <w:pPr>
                    <w:jc w:val="right"/>
                    <w:rPr>
                      <w:color w:val="000000"/>
                      <w:sz w:val="20"/>
                    </w:rPr>
                  </w:pPr>
                  <w:r w:rsidRPr="00182AF7">
                    <w:rPr>
                      <w:color w:val="000000"/>
                      <w:sz w:val="20"/>
                    </w:rPr>
                    <w:t> </w:t>
                  </w:r>
                </w:p>
              </w:tc>
            </w:tr>
            <w:tr w14:paraId="038F1BBA" w14:textId="77777777" w:rsidTr="00182AF7">
              <w:tblPrEx>
                <w:tblW w:w="12960" w:type="dxa"/>
                <w:tblLayout w:type="fixed"/>
                <w:tblLook w:val="04A0"/>
              </w:tblPrEx>
              <w:trPr>
                <w:trHeight w:val="65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650CFFD7" w14:textId="77777777">
                  <w:pPr>
                    <w:rPr>
                      <w:color w:val="000000"/>
                      <w:sz w:val="20"/>
                    </w:rPr>
                  </w:pPr>
                  <w:r w:rsidRPr="00182AF7">
                    <w:rPr>
                      <w:color w:val="000000"/>
                      <w:sz w:val="20"/>
                    </w:rPr>
                    <w:t>Notification of Demonstration of CPMS</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3EBFCD12" w14:textId="77777777">
                  <w:pPr>
                    <w:jc w:val="center"/>
                    <w:rPr>
                      <w:color w:val="000000"/>
                      <w:sz w:val="20"/>
                    </w:rPr>
                  </w:pPr>
                  <w:r w:rsidRPr="00182AF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5F2B0FF1"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120F79AE" w14:textId="77777777">
                  <w:pPr>
                    <w:jc w:val="center"/>
                    <w:rPr>
                      <w:color w:val="000000"/>
                      <w:sz w:val="20"/>
                    </w:rPr>
                  </w:pPr>
                  <w:r w:rsidRPr="00182AF7">
                    <w:rPr>
                      <w:color w:val="000000"/>
                      <w:sz w:val="20"/>
                    </w:rPr>
                    <w:t>2</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76BBB59D" w14:textId="77777777">
                  <w:pPr>
                    <w:jc w:val="center"/>
                    <w:rPr>
                      <w:sz w:val="20"/>
                    </w:rPr>
                  </w:pPr>
                  <w:r w:rsidRPr="00182AF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1A334B16"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3CD458FE"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3966E57C"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3B7E9E63" w14:textId="77777777">
                  <w:pPr>
                    <w:jc w:val="right"/>
                    <w:rPr>
                      <w:color w:val="000000"/>
                      <w:sz w:val="20"/>
                    </w:rPr>
                  </w:pPr>
                  <w:r w:rsidRPr="00182AF7">
                    <w:rPr>
                      <w:color w:val="000000"/>
                      <w:sz w:val="20"/>
                    </w:rPr>
                    <w:t xml:space="preserve">$0.00 </w:t>
                  </w:r>
                </w:p>
              </w:tc>
            </w:tr>
            <w:tr w14:paraId="712E3DE3" w14:textId="77777777" w:rsidTr="00182AF7">
              <w:tblPrEx>
                <w:tblW w:w="12960" w:type="dxa"/>
                <w:tblLayout w:type="fixed"/>
                <w:tblLook w:val="04A0"/>
              </w:tblPrEx>
              <w:trPr>
                <w:trHeight w:val="643"/>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2427674B" w14:textId="77777777">
                  <w:pPr>
                    <w:rPr>
                      <w:color w:val="000000"/>
                      <w:sz w:val="20"/>
                    </w:rPr>
                  </w:pPr>
                  <w:r w:rsidRPr="00182AF7">
                    <w:rPr>
                      <w:color w:val="000000"/>
                      <w:sz w:val="20"/>
                    </w:rPr>
                    <w:t>Notification of Non EPA-Certified Engine Performance Test</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16B26EFB" w14:textId="77777777">
                  <w:pPr>
                    <w:jc w:val="center"/>
                    <w:rPr>
                      <w:color w:val="000000"/>
                      <w:sz w:val="20"/>
                    </w:rPr>
                  </w:pPr>
                  <w:r w:rsidRPr="00182AF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565858A4"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164D7408" w14:textId="77777777">
                  <w:pPr>
                    <w:jc w:val="center"/>
                    <w:rPr>
                      <w:color w:val="000000"/>
                      <w:sz w:val="20"/>
                    </w:rPr>
                  </w:pPr>
                  <w:r w:rsidRPr="00182AF7">
                    <w:rPr>
                      <w:color w:val="000000"/>
                      <w:sz w:val="20"/>
                    </w:rPr>
                    <w:t>2</w:t>
                  </w:r>
                </w:p>
              </w:tc>
              <w:tc>
                <w:tcPr>
                  <w:tcW w:w="1340" w:type="dxa"/>
                  <w:tcBorders>
                    <w:top w:val="nil"/>
                    <w:left w:val="nil"/>
                    <w:bottom w:val="single" w:sz="4" w:space="0" w:color="auto"/>
                    <w:right w:val="single" w:sz="4" w:space="0" w:color="auto"/>
                  </w:tcBorders>
                  <w:shd w:val="clear" w:color="auto" w:fill="auto"/>
                  <w:vAlign w:val="center"/>
                  <w:hideMark/>
                </w:tcPr>
                <w:p w:rsidR="00182AF7" w:rsidRPr="00182AF7" w:rsidP="00182AF7" w14:paraId="34691253" w14:textId="77777777">
                  <w:pPr>
                    <w:jc w:val="center"/>
                    <w:rPr>
                      <w:sz w:val="20"/>
                    </w:rPr>
                  </w:pPr>
                  <w:r w:rsidRPr="00182AF7">
                    <w:rPr>
                      <w:sz w:val="20"/>
                    </w:rPr>
                    <w:t>0.00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3DF0D591" w14:textId="77777777">
                  <w:pPr>
                    <w:jc w:val="center"/>
                    <w:rPr>
                      <w:sz w:val="20"/>
                    </w:rPr>
                  </w:pPr>
                  <w:r w:rsidRPr="00182AF7">
                    <w:rPr>
                      <w:sz w:val="20"/>
                    </w:rPr>
                    <w:t>0.00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5B3DE63A" w14:textId="77777777">
                  <w:pPr>
                    <w:jc w:val="center"/>
                    <w:rPr>
                      <w:sz w:val="20"/>
                    </w:rPr>
                  </w:pPr>
                  <w:r w:rsidRPr="00182AF7">
                    <w:rPr>
                      <w:sz w:val="20"/>
                    </w:rPr>
                    <w:t>0.00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70B63501" w14:textId="77777777">
                  <w:pPr>
                    <w:jc w:val="center"/>
                    <w:rPr>
                      <w:sz w:val="20"/>
                    </w:rPr>
                  </w:pPr>
                  <w:r w:rsidRPr="00182AF7">
                    <w:rPr>
                      <w:sz w:val="20"/>
                    </w:rPr>
                    <w:t>0.00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191C63D2" w14:textId="77777777">
                  <w:pPr>
                    <w:jc w:val="right"/>
                    <w:rPr>
                      <w:color w:val="000000"/>
                      <w:sz w:val="20"/>
                    </w:rPr>
                  </w:pPr>
                  <w:r w:rsidRPr="00182AF7">
                    <w:rPr>
                      <w:color w:val="000000"/>
                      <w:sz w:val="20"/>
                    </w:rPr>
                    <w:t xml:space="preserve">$0.00 </w:t>
                  </w:r>
                </w:p>
              </w:tc>
            </w:tr>
            <w:tr w14:paraId="38B4F5C3" w14:textId="77777777" w:rsidTr="00182AF7">
              <w:tblPrEx>
                <w:tblW w:w="12960" w:type="dxa"/>
                <w:tblLayout w:type="fixed"/>
                <w:tblLook w:val="04A0"/>
              </w:tblPrEx>
              <w:trPr>
                <w:trHeight w:val="1093"/>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16091C10" w14:textId="77777777">
                  <w:pPr>
                    <w:rPr>
                      <w:color w:val="000000"/>
                      <w:sz w:val="20"/>
                    </w:rPr>
                  </w:pPr>
                  <w:r w:rsidRPr="00182AF7">
                    <w:rPr>
                      <w:color w:val="000000"/>
                      <w:sz w:val="20"/>
                    </w:rPr>
                    <w:t>Report of Non EPA-Certified Engine Performance Test Results via CEDRI or analogous electronic reporting</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7686492E" w14:textId="77777777">
                  <w:pPr>
                    <w:jc w:val="center"/>
                    <w:rPr>
                      <w:color w:val="000000"/>
                      <w:sz w:val="20"/>
                    </w:rPr>
                  </w:pPr>
                  <w:r w:rsidRPr="00182AF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18B272D5"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10EC1871" w14:textId="77777777">
                  <w:pPr>
                    <w:jc w:val="center"/>
                    <w:rPr>
                      <w:color w:val="000000"/>
                      <w:sz w:val="20"/>
                    </w:rPr>
                  </w:pPr>
                  <w:r w:rsidRPr="00182AF7">
                    <w:rPr>
                      <w:color w:val="000000"/>
                      <w:sz w:val="20"/>
                    </w:rPr>
                    <w:t>2</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4C727055" w14:textId="77777777">
                  <w:pPr>
                    <w:jc w:val="center"/>
                    <w:rPr>
                      <w:sz w:val="20"/>
                    </w:rPr>
                  </w:pPr>
                  <w:r w:rsidRPr="00182AF7">
                    <w:rPr>
                      <w:sz w:val="20"/>
                    </w:rPr>
                    <w:t>0.0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5D4C3914" w14:textId="77777777">
                  <w:pPr>
                    <w:jc w:val="center"/>
                    <w:rPr>
                      <w:sz w:val="20"/>
                    </w:rPr>
                  </w:pPr>
                  <w:r w:rsidRPr="00182AF7">
                    <w:rPr>
                      <w:sz w:val="20"/>
                    </w:rPr>
                    <w:t>0.00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5036AA0D" w14:textId="77777777">
                  <w:pPr>
                    <w:jc w:val="center"/>
                    <w:rPr>
                      <w:sz w:val="20"/>
                    </w:rPr>
                  </w:pPr>
                  <w:r w:rsidRPr="00182AF7">
                    <w:rPr>
                      <w:sz w:val="20"/>
                    </w:rPr>
                    <w:t>0.00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5C26A33E" w14:textId="77777777">
                  <w:pPr>
                    <w:jc w:val="center"/>
                    <w:rPr>
                      <w:sz w:val="20"/>
                    </w:rPr>
                  </w:pPr>
                  <w:r w:rsidRPr="00182AF7">
                    <w:rPr>
                      <w:sz w:val="20"/>
                    </w:rPr>
                    <w:t>0.00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5151584A" w14:textId="77777777">
                  <w:pPr>
                    <w:jc w:val="right"/>
                    <w:rPr>
                      <w:color w:val="000000"/>
                      <w:sz w:val="20"/>
                    </w:rPr>
                  </w:pPr>
                  <w:r w:rsidRPr="00182AF7">
                    <w:rPr>
                      <w:color w:val="000000"/>
                      <w:sz w:val="20"/>
                    </w:rPr>
                    <w:t xml:space="preserve">$0.00 </w:t>
                  </w:r>
                </w:p>
              </w:tc>
            </w:tr>
            <w:tr w14:paraId="78983C24" w14:textId="77777777" w:rsidTr="00182AF7">
              <w:tblPrEx>
                <w:tblW w:w="12960" w:type="dxa"/>
                <w:tblLayout w:type="fixed"/>
                <w:tblLook w:val="04A0"/>
              </w:tblPrEx>
              <w:trPr>
                <w:trHeight w:val="78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1144FC61" w14:textId="77777777">
                  <w:pPr>
                    <w:rPr>
                      <w:color w:val="000000"/>
                      <w:sz w:val="20"/>
                    </w:rPr>
                  </w:pPr>
                  <w:r w:rsidRPr="00182AF7">
                    <w:rPr>
                      <w:color w:val="000000"/>
                      <w:sz w:val="20"/>
                    </w:rPr>
                    <w:t>Annual Report submitted via CEDRI or analogous electronic reporting</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1E92D41B" w14:textId="77777777">
                  <w:pPr>
                    <w:jc w:val="center"/>
                    <w:rPr>
                      <w:color w:val="000000"/>
                      <w:sz w:val="20"/>
                    </w:rPr>
                  </w:pPr>
                  <w:r w:rsidRPr="00182AF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01DFD280"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029B1EF1" w14:textId="77777777">
                  <w:pPr>
                    <w:jc w:val="center"/>
                    <w:rPr>
                      <w:color w:val="000000"/>
                      <w:sz w:val="20"/>
                    </w:rPr>
                  </w:pPr>
                  <w:r w:rsidRPr="00182AF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13FEBE00" w14:textId="77777777">
                  <w:pPr>
                    <w:jc w:val="center"/>
                    <w:rPr>
                      <w:sz w:val="20"/>
                    </w:rPr>
                  </w:pPr>
                  <w:r w:rsidRPr="00182AF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2ECBC430"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5A322E83"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522F2D62"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76ECE19D" w14:textId="77777777">
                  <w:pPr>
                    <w:jc w:val="right"/>
                    <w:rPr>
                      <w:color w:val="000000"/>
                      <w:sz w:val="20"/>
                    </w:rPr>
                  </w:pPr>
                  <w:r w:rsidRPr="00182AF7">
                    <w:rPr>
                      <w:color w:val="000000"/>
                      <w:sz w:val="20"/>
                    </w:rPr>
                    <w:t xml:space="preserve">$0 </w:t>
                  </w:r>
                </w:p>
              </w:tc>
            </w:tr>
            <w:tr w14:paraId="7CFDD2D9" w14:textId="77777777" w:rsidTr="00182AF7">
              <w:tblPrEx>
                <w:tblW w:w="12960" w:type="dxa"/>
                <w:tblLayout w:type="fixed"/>
                <w:tblLook w:val="04A0"/>
              </w:tblPrEx>
              <w:trPr>
                <w:trHeight w:val="48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034837E1" w14:textId="77777777">
                  <w:pPr>
                    <w:rPr>
                      <w:b/>
                      <w:bCs/>
                      <w:i/>
                      <w:iCs/>
                      <w:color w:val="000000"/>
                      <w:sz w:val="20"/>
                    </w:rPr>
                  </w:pPr>
                  <w:r w:rsidRPr="00182AF7">
                    <w:rPr>
                      <w:b/>
                      <w:bCs/>
                      <w:i/>
                      <w:iCs/>
                      <w:color w:val="000000"/>
                      <w:sz w:val="20"/>
                    </w:rPr>
                    <w:t>Subtotal for Reporting Requirements</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04945D87" w14:textId="77777777">
                  <w:pPr>
                    <w:jc w:val="right"/>
                    <w:rPr>
                      <w:b/>
                      <w:bCs/>
                      <w:i/>
                      <w:iCs/>
                      <w:color w:val="000000"/>
                      <w:sz w:val="20"/>
                    </w:rPr>
                  </w:pPr>
                  <w:r w:rsidRPr="00182AF7">
                    <w:rPr>
                      <w:b/>
                      <w:bCs/>
                      <w:i/>
                      <w:i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4AD4ACA8" w14:textId="77777777">
                  <w:pPr>
                    <w:jc w:val="right"/>
                    <w:rPr>
                      <w:b/>
                      <w:bCs/>
                      <w:i/>
                      <w:iCs/>
                      <w:sz w:val="20"/>
                    </w:rPr>
                  </w:pPr>
                  <w:r w:rsidRPr="00182AF7">
                    <w:rPr>
                      <w:b/>
                      <w:bCs/>
                      <w:i/>
                      <w:i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5BF084BC" w14:textId="77777777">
                  <w:pPr>
                    <w:jc w:val="right"/>
                    <w:rPr>
                      <w:b/>
                      <w:bCs/>
                      <w:i/>
                      <w:iCs/>
                      <w:color w:val="000000"/>
                      <w:sz w:val="20"/>
                    </w:rPr>
                  </w:pPr>
                  <w:r w:rsidRPr="00182AF7">
                    <w:rPr>
                      <w:b/>
                      <w:bCs/>
                      <w:i/>
                      <w:iCs/>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3520F771" w14:textId="77777777">
                  <w:pPr>
                    <w:jc w:val="right"/>
                    <w:rPr>
                      <w:b/>
                      <w:bCs/>
                      <w:i/>
                      <w:iCs/>
                      <w:sz w:val="20"/>
                    </w:rPr>
                  </w:pPr>
                  <w:r w:rsidRPr="00182AF7">
                    <w:rPr>
                      <w:b/>
                      <w:bCs/>
                      <w:i/>
                      <w:iCs/>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4CC1670B" w14:textId="77777777">
                  <w:pPr>
                    <w:jc w:val="center"/>
                    <w:rPr>
                      <w:b/>
                      <w:bCs/>
                      <w:i/>
                      <w:iCs/>
                      <w:color w:val="000000"/>
                      <w:sz w:val="20"/>
                    </w:rPr>
                  </w:pPr>
                  <w:r w:rsidRPr="00182AF7">
                    <w:rPr>
                      <w:b/>
                      <w:bCs/>
                      <w:i/>
                      <w:iCs/>
                      <w:color w:val="000000"/>
                      <w:sz w:val="20"/>
                    </w:rPr>
                    <w:t>5,768</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329AE54B" w14:textId="77777777">
                  <w:pPr>
                    <w:jc w:val="center"/>
                    <w:rPr>
                      <w:b/>
                      <w:bCs/>
                      <w:i/>
                      <w:iCs/>
                      <w:color w:val="000000"/>
                      <w:sz w:val="20"/>
                    </w:rPr>
                  </w:pPr>
                  <w:r w:rsidRPr="00182AF7">
                    <w:rPr>
                      <w:b/>
                      <w:bCs/>
                      <w:i/>
                      <w:iCs/>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7B5B2EFB" w14:textId="77777777">
                  <w:pPr>
                    <w:jc w:val="center"/>
                    <w:rPr>
                      <w:b/>
                      <w:bCs/>
                      <w:i/>
                      <w:iCs/>
                      <w:color w:val="000000"/>
                      <w:sz w:val="20"/>
                    </w:rPr>
                  </w:pPr>
                  <w:r w:rsidRPr="00182AF7">
                    <w:rPr>
                      <w:b/>
                      <w:bCs/>
                      <w:i/>
                      <w:iCs/>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742650FC" w14:textId="77777777">
                  <w:pPr>
                    <w:jc w:val="right"/>
                    <w:rPr>
                      <w:b/>
                      <w:bCs/>
                      <w:i/>
                      <w:iCs/>
                      <w:color w:val="000000"/>
                      <w:sz w:val="20"/>
                    </w:rPr>
                  </w:pPr>
                  <w:r w:rsidRPr="00182AF7">
                    <w:rPr>
                      <w:b/>
                      <w:bCs/>
                      <w:i/>
                      <w:iCs/>
                      <w:color w:val="000000"/>
                      <w:sz w:val="20"/>
                    </w:rPr>
                    <w:t xml:space="preserve">$713,085 </w:t>
                  </w:r>
                </w:p>
              </w:tc>
            </w:tr>
            <w:tr w14:paraId="66B86B18" w14:textId="77777777" w:rsidTr="00182AF7">
              <w:tblPrEx>
                <w:tblW w:w="12960" w:type="dxa"/>
                <w:tblLayout w:type="fixed"/>
                <w:tblLook w:val="04A0"/>
              </w:tblPrEx>
              <w:trPr>
                <w:trHeight w:val="52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308EC00D" w14:textId="77777777">
                  <w:pPr>
                    <w:rPr>
                      <w:color w:val="000000"/>
                      <w:sz w:val="20"/>
                    </w:rPr>
                  </w:pPr>
                  <w:r w:rsidRPr="00182AF7">
                    <w:rPr>
                      <w:color w:val="000000"/>
                      <w:sz w:val="20"/>
                    </w:rPr>
                    <w:t>5. RECORDKEEPING REQUIREMENTS</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6F6A77E1" w14:textId="77777777">
                  <w:pPr>
                    <w:jc w:val="right"/>
                    <w:rPr>
                      <w:color w:val="000000"/>
                      <w:sz w:val="20"/>
                    </w:rPr>
                  </w:pPr>
                  <w:r w:rsidRPr="00182AF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6285E5AD" w14:textId="77777777">
                  <w:pPr>
                    <w:jc w:val="right"/>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45C91043" w14:textId="77777777">
                  <w:pPr>
                    <w:jc w:val="right"/>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4D81C231" w14:textId="77777777">
                  <w:pPr>
                    <w:jc w:val="right"/>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0603A234" w14:textId="77777777">
                  <w:pPr>
                    <w:jc w:val="right"/>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5472548B"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4122466B"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5AF43C41" w14:textId="77777777">
                  <w:pPr>
                    <w:jc w:val="right"/>
                    <w:rPr>
                      <w:color w:val="000000"/>
                      <w:sz w:val="20"/>
                    </w:rPr>
                  </w:pPr>
                  <w:r w:rsidRPr="00182AF7">
                    <w:rPr>
                      <w:color w:val="000000"/>
                      <w:sz w:val="20"/>
                    </w:rPr>
                    <w:t> </w:t>
                  </w:r>
                </w:p>
              </w:tc>
            </w:tr>
            <w:tr w14:paraId="1C00A80B" w14:textId="77777777" w:rsidTr="00182AF7">
              <w:tblPrEx>
                <w:tblW w:w="12960" w:type="dxa"/>
                <w:tblLayout w:type="fixed"/>
                <w:tblLook w:val="04A0"/>
              </w:tblPrEx>
              <w:trPr>
                <w:trHeight w:val="52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4BF15D9F" w14:textId="77777777">
                  <w:pPr>
                    <w:rPr>
                      <w:color w:val="000000"/>
                      <w:sz w:val="20"/>
                    </w:rPr>
                  </w:pPr>
                  <w:r w:rsidRPr="00182AF7">
                    <w:rPr>
                      <w:color w:val="000000"/>
                      <w:sz w:val="20"/>
                    </w:rPr>
                    <w:t>A. Familiarize with regulatory requirement</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05A177CE" w14:textId="77777777">
                  <w:pPr>
                    <w:jc w:val="center"/>
                    <w:rPr>
                      <w:color w:val="000000"/>
                      <w:sz w:val="20"/>
                    </w:rPr>
                  </w:pPr>
                  <w:r w:rsidRPr="00182AF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1E7DC18D" w14:textId="77777777">
                  <w:pPr>
                    <w:jc w:val="right"/>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5976FC0A" w14:textId="77777777">
                  <w:pPr>
                    <w:jc w:val="right"/>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182AF7" w:rsidRPr="00182AF7" w:rsidP="00182AF7" w14:paraId="44AFDFDA" w14:textId="77777777">
                  <w:pPr>
                    <w:jc w:val="right"/>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2A2B8E54" w14:textId="77777777">
                  <w:pPr>
                    <w:jc w:val="right"/>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64000813"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7042BFC1"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4BC33CCF" w14:textId="77777777">
                  <w:pPr>
                    <w:jc w:val="right"/>
                    <w:rPr>
                      <w:color w:val="000000"/>
                      <w:sz w:val="20"/>
                    </w:rPr>
                  </w:pPr>
                  <w:r w:rsidRPr="00182AF7">
                    <w:rPr>
                      <w:color w:val="000000"/>
                      <w:sz w:val="20"/>
                    </w:rPr>
                    <w:t> </w:t>
                  </w:r>
                </w:p>
              </w:tc>
            </w:tr>
            <w:tr w14:paraId="0F2E07D8" w14:textId="77777777" w:rsidTr="00182AF7">
              <w:tblPrEx>
                <w:tblW w:w="12960" w:type="dxa"/>
                <w:tblLayout w:type="fixed"/>
                <w:tblLook w:val="04A0"/>
              </w:tblPrEx>
              <w:trPr>
                <w:trHeight w:val="26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603B757A" w14:textId="77777777">
                  <w:pPr>
                    <w:rPr>
                      <w:color w:val="000000"/>
                      <w:sz w:val="20"/>
                    </w:rPr>
                  </w:pPr>
                  <w:r w:rsidRPr="00182AF7">
                    <w:rPr>
                      <w:color w:val="000000"/>
                      <w:sz w:val="20"/>
                    </w:rPr>
                    <w:t xml:space="preserve">B. Plan Activities </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6416AE19" w14:textId="77777777">
                  <w:pPr>
                    <w:jc w:val="center"/>
                    <w:rPr>
                      <w:color w:val="000000"/>
                      <w:sz w:val="20"/>
                    </w:rPr>
                  </w:pPr>
                  <w:r w:rsidRPr="00182AF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5521DAAF" w14:textId="77777777">
                  <w:pPr>
                    <w:jc w:val="right"/>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0ECF511B" w14:textId="77777777">
                  <w:pPr>
                    <w:jc w:val="right"/>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182AF7" w:rsidRPr="00182AF7" w:rsidP="00182AF7" w14:paraId="42673101" w14:textId="77777777">
                  <w:pPr>
                    <w:jc w:val="right"/>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0BCFD60C" w14:textId="77777777">
                  <w:pPr>
                    <w:jc w:val="right"/>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3F53464D"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78BCDDCC"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0095D58C" w14:textId="77777777">
                  <w:pPr>
                    <w:jc w:val="right"/>
                    <w:rPr>
                      <w:color w:val="000000"/>
                      <w:sz w:val="20"/>
                    </w:rPr>
                  </w:pPr>
                  <w:r w:rsidRPr="00182AF7">
                    <w:rPr>
                      <w:color w:val="000000"/>
                      <w:sz w:val="20"/>
                    </w:rPr>
                    <w:t> </w:t>
                  </w:r>
                </w:p>
              </w:tc>
            </w:tr>
            <w:tr w14:paraId="53450621" w14:textId="77777777" w:rsidTr="00182AF7">
              <w:tblPrEx>
                <w:tblW w:w="12960" w:type="dxa"/>
                <w:tblLayout w:type="fixed"/>
                <w:tblLook w:val="04A0"/>
              </w:tblPrEx>
              <w:trPr>
                <w:trHeight w:val="26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73EFB4D8" w14:textId="77777777">
                  <w:pPr>
                    <w:rPr>
                      <w:color w:val="000000"/>
                      <w:sz w:val="20"/>
                    </w:rPr>
                  </w:pPr>
                  <w:r w:rsidRPr="00182AF7">
                    <w:rPr>
                      <w:color w:val="000000"/>
                      <w:sz w:val="20"/>
                    </w:rPr>
                    <w:t xml:space="preserve">C. Implement Activities </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4DF9C3D5" w14:textId="77777777">
                  <w:pPr>
                    <w:jc w:val="center"/>
                    <w:rPr>
                      <w:color w:val="000000"/>
                      <w:sz w:val="20"/>
                    </w:rPr>
                  </w:pPr>
                  <w:r w:rsidRPr="00182AF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01DAA045" w14:textId="77777777">
                  <w:pPr>
                    <w:jc w:val="right"/>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3B431B08" w14:textId="77777777">
                  <w:pPr>
                    <w:jc w:val="right"/>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182AF7" w:rsidRPr="00182AF7" w:rsidP="00182AF7" w14:paraId="1870E2F2" w14:textId="77777777">
                  <w:pPr>
                    <w:jc w:val="right"/>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3DBF0AA6" w14:textId="77777777">
                  <w:pPr>
                    <w:jc w:val="right"/>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650846A3"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098ACE3C"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2D16804E" w14:textId="77777777">
                  <w:pPr>
                    <w:jc w:val="right"/>
                    <w:rPr>
                      <w:color w:val="000000"/>
                      <w:sz w:val="20"/>
                    </w:rPr>
                  </w:pPr>
                  <w:r w:rsidRPr="00182AF7">
                    <w:rPr>
                      <w:color w:val="000000"/>
                      <w:sz w:val="20"/>
                    </w:rPr>
                    <w:t> </w:t>
                  </w:r>
                </w:p>
              </w:tc>
            </w:tr>
            <w:tr w14:paraId="7D8347D4" w14:textId="77777777" w:rsidTr="00182AF7">
              <w:tblPrEx>
                <w:tblW w:w="12960" w:type="dxa"/>
                <w:tblLayout w:type="fixed"/>
                <w:tblLook w:val="04A0"/>
              </w:tblPrEx>
              <w:trPr>
                <w:trHeight w:val="26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1A08F901" w14:textId="77777777">
                  <w:pPr>
                    <w:rPr>
                      <w:color w:val="000000"/>
                      <w:sz w:val="20"/>
                    </w:rPr>
                  </w:pPr>
                  <w:r w:rsidRPr="00182AF7">
                    <w:rPr>
                      <w:color w:val="000000"/>
                      <w:sz w:val="20"/>
                    </w:rPr>
                    <w:t xml:space="preserve">D. Record Data </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65456D1C" w14:textId="77777777">
                  <w:pPr>
                    <w:jc w:val="center"/>
                    <w:rPr>
                      <w:color w:val="000000"/>
                      <w:sz w:val="20"/>
                    </w:rPr>
                  </w:pPr>
                  <w:r w:rsidRPr="00182AF7">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3377AB88" w14:textId="77777777">
                  <w:pPr>
                    <w:jc w:val="right"/>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10FC4A83" w14:textId="77777777">
                  <w:pPr>
                    <w:jc w:val="right"/>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182AF7" w:rsidRPr="00182AF7" w:rsidP="00182AF7" w14:paraId="39C34FB8" w14:textId="77777777">
                  <w:pPr>
                    <w:jc w:val="right"/>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14D60E4D" w14:textId="77777777">
                  <w:pPr>
                    <w:jc w:val="right"/>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72EF6C3F"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6618A9A4"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5B30E30D" w14:textId="77777777">
                  <w:pPr>
                    <w:jc w:val="right"/>
                    <w:rPr>
                      <w:color w:val="000000"/>
                      <w:sz w:val="20"/>
                    </w:rPr>
                  </w:pPr>
                  <w:r w:rsidRPr="00182AF7">
                    <w:rPr>
                      <w:color w:val="000000"/>
                      <w:sz w:val="20"/>
                    </w:rPr>
                    <w:t> </w:t>
                  </w:r>
                </w:p>
              </w:tc>
            </w:tr>
            <w:tr w14:paraId="7C3BFF7D" w14:textId="77777777" w:rsidTr="00182AF7">
              <w:tblPrEx>
                <w:tblW w:w="12960" w:type="dxa"/>
                <w:tblLayout w:type="fixed"/>
                <w:tblLook w:val="04A0"/>
              </w:tblPrEx>
              <w:trPr>
                <w:trHeight w:val="52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3067959D" w14:textId="77777777">
                  <w:pPr>
                    <w:rPr>
                      <w:color w:val="000000"/>
                      <w:sz w:val="20"/>
                    </w:rPr>
                  </w:pPr>
                  <w:r w:rsidRPr="00182AF7">
                    <w:rPr>
                      <w:color w:val="000000"/>
                      <w:sz w:val="20"/>
                    </w:rPr>
                    <w:t>E. Time to Transmit or Disclose Information</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10E37CC8" w14:textId="77777777">
                  <w:pPr>
                    <w:jc w:val="right"/>
                    <w:rPr>
                      <w:color w:val="000000"/>
                      <w:sz w:val="20"/>
                    </w:rPr>
                  </w:pPr>
                  <w:r w:rsidRPr="00182AF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0236C8D8" w14:textId="77777777">
                  <w:pPr>
                    <w:jc w:val="right"/>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0AC3C530" w14:textId="77777777">
                  <w:pPr>
                    <w:jc w:val="right"/>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182AF7" w:rsidRPr="00182AF7" w:rsidP="00182AF7" w14:paraId="13707731" w14:textId="77777777">
                  <w:pPr>
                    <w:jc w:val="right"/>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5C995879" w14:textId="77777777">
                  <w:pPr>
                    <w:jc w:val="right"/>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01E40811"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241637C3"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0366078B" w14:textId="77777777">
                  <w:pPr>
                    <w:jc w:val="right"/>
                    <w:rPr>
                      <w:color w:val="000000"/>
                      <w:sz w:val="20"/>
                    </w:rPr>
                  </w:pPr>
                  <w:r w:rsidRPr="00182AF7">
                    <w:rPr>
                      <w:color w:val="000000"/>
                      <w:sz w:val="20"/>
                    </w:rPr>
                    <w:t> </w:t>
                  </w:r>
                </w:p>
              </w:tc>
            </w:tr>
            <w:tr w14:paraId="5741A7BF" w14:textId="77777777" w:rsidTr="00182AF7">
              <w:tblPrEx>
                <w:tblW w:w="12960" w:type="dxa"/>
                <w:tblLayout w:type="fixed"/>
                <w:tblLook w:val="04A0"/>
              </w:tblPrEx>
              <w:trPr>
                <w:trHeight w:val="26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24C54DC1" w14:textId="77777777">
                  <w:pPr>
                    <w:rPr>
                      <w:i/>
                      <w:iCs/>
                      <w:color w:val="000000"/>
                      <w:sz w:val="20"/>
                      <w:u w:val="single"/>
                    </w:rPr>
                  </w:pPr>
                  <w:r w:rsidRPr="00182AF7">
                    <w:rPr>
                      <w:i/>
                      <w:iCs/>
                      <w:color w:val="000000"/>
                      <w:sz w:val="20"/>
                      <w:u w:val="single"/>
                    </w:rPr>
                    <w:t>Existing Sources</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4044BBF5" w14:textId="77777777">
                  <w:pPr>
                    <w:jc w:val="right"/>
                    <w:rPr>
                      <w:color w:val="000000"/>
                      <w:sz w:val="20"/>
                    </w:rPr>
                  </w:pPr>
                  <w:r w:rsidRPr="00182AF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27EB6D7D" w14:textId="77777777">
                  <w:pPr>
                    <w:jc w:val="right"/>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0DD412D4" w14:textId="77777777">
                  <w:pPr>
                    <w:jc w:val="right"/>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182AF7" w:rsidRPr="00182AF7" w:rsidP="00182AF7" w14:paraId="1BE30E42" w14:textId="77777777">
                  <w:pPr>
                    <w:jc w:val="right"/>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70A6B923" w14:textId="77777777">
                  <w:pPr>
                    <w:jc w:val="right"/>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471978A3"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3735E80C"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2A13DE3E" w14:textId="77777777">
                  <w:pPr>
                    <w:jc w:val="right"/>
                    <w:rPr>
                      <w:color w:val="000000"/>
                      <w:sz w:val="20"/>
                    </w:rPr>
                  </w:pPr>
                  <w:r w:rsidRPr="00182AF7">
                    <w:rPr>
                      <w:color w:val="000000"/>
                      <w:sz w:val="20"/>
                    </w:rPr>
                    <w:t> </w:t>
                  </w:r>
                </w:p>
              </w:tc>
            </w:tr>
            <w:tr w14:paraId="0095012B" w14:textId="77777777" w:rsidTr="00182AF7">
              <w:tblPrEx>
                <w:tblW w:w="12960" w:type="dxa"/>
                <w:tblLayout w:type="fixed"/>
                <w:tblLook w:val="04A0"/>
              </w:tblPrEx>
              <w:trPr>
                <w:trHeight w:val="32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0CCD1F36" w14:textId="77777777">
                  <w:pPr>
                    <w:rPr>
                      <w:color w:val="000000"/>
                      <w:sz w:val="20"/>
                    </w:rPr>
                  </w:pPr>
                  <w:r w:rsidRPr="00182AF7">
                    <w:rPr>
                      <w:color w:val="000000"/>
                      <w:sz w:val="20"/>
                    </w:rPr>
                    <w:t>Data Collection</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3432FF68" w14:textId="77777777">
                  <w:pPr>
                    <w:jc w:val="center"/>
                    <w:rPr>
                      <w:color w:val="000000"/>
                      <w:sz w:val="20"/>
                    </w:rPr>
                  </w:pPr>
                  <w:r w:rsidRPr="00182AF7">
                    <w:rPr>
                      <w:color w:val="000000"/>
                      <w:sz w:val="20"/>
                    </w:rPr>
                    <w:t>0.1</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237D19BE" w14:textId="77777777">
                  <w:pPr>
                    <w:jc w:val="center"/>
                    <w:rPr>
                      <w:sz w:val="20"/>
                    </w:rPr>
                  </w:pPr>
                  <w:r w:rsidRPr="00182AF7">
                    <w:rPr>
                      <w:sz w:val="20"/>
                    </w:rPr>
                    <w:t>12</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11514327" w14:textId="77777777">
                  <w:pPr>
                    <w:jc w:val="center"/>
                    <w:rPr>
                      <w:color w:val="000000"/>
                      <w:sz w:val="20"/>
                    </w:rPr>
                  </w:pPr>
                  <w:r w:rsidRPr="00182AF7">
                    <w:rPr>
                      <w:color w:val="000000"/>
                      <w:sz w:val="20"/>
                    </w:rPr>
                    <w:t>1.2</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7589DA53" w14:textId="77777777">
                  <w:pPr>
                    <w:jc w:val="center"/>
                    <w:rPr>
                      <w:sz w:val="20"/>
                    </w:rPr>
                  </w:pPr>
                  <w:r w:rsidRPr="00182AF7">
                    <w:rPr>
                      <w:sz w:val="20"/>
                    </w:rPr>
                    <w:t>2847</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448993F8" w14:textId="77777777">
                  <w:pPr>
                    <w:jc w:val="center"/>
                    <w:rPr>
                      <w:color w:val="000000"/>
                      <w:sz w:val="20"/>
                    </w:rPr>
                  </w:pPr>
                  <w:r w:rsidRPr="00182AF7">
                    <w:rPr>
                      <w:color w:val="000000"/>
                      <w:sz w:val="20"/>
                    </w:rPr>
                    <w:t>3,416</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6CFE67A2" w14:textId="77777777">
                  <w:pPr>
                    <w:jc w:val="center"/>
                    <w:rPr>
                      <w:color w:val="000000"/>
                      <w:sz w:val="20"/>
                    </w:rPr>
                  </w:pPr>
                  <w:r w:rsidRPr="00182AF7">
                    <w:rPr>
                      <w:color w:val="000000"/>
                      <w:sz w:val="20"/>
                    </w:rPr>
                    <w:t>170.82</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76DAAA2F" w14:textId="77777777">
                  <w:pPr>
                    <w:jc w:val="center"/>
                    <w:rPr>
                      <w:color w:val="000000"/>
                      <w:sz w:val="20"/>
                    </w:rPr>
                  </w:pPr>
                  <w:r w:rsidRPr="00182AF7">
                    <w:rPr>
                      <w:color w:val="000000"/>
                      <w:sz w:val="20"/>
                    </w:rPr>
                    <w:t>341.64</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3DBFC27D" w14:textId="64D24EEE">
                  <w:pPr>
                    <w:jc w:val="right"/>
                    <w:rPr>
                      <w:color w:val="000000"/>
                      <w:sz w:val="20"/>
                    </w:rPr>
                  </w:pPr>
                  <w:r w:rsidRPr="00182AF7">
                    <w:rPr>
                      <w:color w:val="000000"/>
                      <w:sz w:val="20"/>
                    </w:rPr>
                    <w:t>$485,75</w:t>
                  </w:r>
                  <w:r w:rsidR="00F108BF">
                    <w:rPr>
                      <w:color w:val="000000"/>
                      <w:sz w:val="20"/>
                    </w:rPr>
                    <w:t>3</w:t>
                  </w:r>
                  <w:r w:rsidRPr="00182AF7">
                    <w:rPr>
                      <w:color w:val="000000"/>
                      <w:sz w:val="20"/>
                    </w:rPr>
                    <w:t xml:space="preserve"> </w:t>
                  </w:r>
                </w:p>
              </w:tc>
            </w:tr>
            <w:tr w14:paraId="5183A513" w14:textId="77777777" w:rsidTr="00182AF7">
              <w:tblPrEx>
                <w:tblW w:w="12960" w:type="dxa"/>
                <w:tblLayout w:type="fixed"/>
                <w:tblLook w:val="04A0"/>
              </w:tblPrEx>
              <w:trPr>
                <w:trHeight w:val="493"/>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6F5A743C" w14:textId="77777777">
                  <w:pPr>
                    <w:rPr>
                      <w:color w:val="000000"/>
                      <w:sz w:val="20"/>
                    </w:rPr>
                  </w:pPr>
                  <w:r w:rsidRPr="00182AF7">
                    <w:rPr>
                      <w:color w:val="000000"/>
                      <w:sz w:val="20"/>
                    </w:rPr>
                    <w:t>Create and Store Engine Maintenance Plan</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7C2A02AD" w14:textId="77777777">
                  <w:pPr>
                    <w:jc w:val="center"/>
                    <w:rPr>
                      <w:color w:val="000000"/>
                      <w:sz w:val="20"/>
                    </w:rPr>
                  </w:pPr>
                  <w:r w:rsidRPr="00182AF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72B5AD57"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3EC7E49B" w14:textId="77777777">
                  <w:pPr>
                    <w:jc w:val="center"/>
                    <w:rPr>
                      <w:color w:val="000000"/>
                      <w:sz w:val="20"/>
                    </w:rPr>
                  </w:pPr>
                  <w:r w:rsidRPr="00182AF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1599EDD8" w14:textId="77777777">
                  <w:pPr>
                    <w:jc w:val="center"/>
                    <w:rPr>
                      <w:sz w:val="20"/>
                    </w:rPr>
                  </w:pPr>
                  <w:r w:rsidRPr="00182AF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4D4641A6"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1B515067"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198643C1"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4EE20FC4" w14:textId="77777777">
                  <w:pPr>
                    <w:jc w:val="right"/>
                    <w:rPr>
                      <w:color w:val="000000"/>
                      <w:sz w:val="20"/>
                    </w:rPr>
                  </w:pPr>
                  <w:r w:rsidRPr="00182AF7">
                    <w:rPr>
                      <w:color w:val="000000"/>
                      <w:sz w:val="20"/>
                    </w:rPr>
                    <w:t xml:space="preserve">$0.00 </w:t>
                  </w:r>
                </w:p>
              </w:tc>
            </w:tr>
            <w:tr w14:paraId="0DD3F6C8" w14:textId="77777777" w:rsidTr="00182AF7">
              <w:tblPrEx>
                <w:tblW w:w="12960" w:type="dxa"/>
                <w:tblLayout w:type="fixed"/>
                <w:tblLook w:val="04A0"/>
              </w:tblPrEx>
              <w:trPr>
                <w:trHeight w:val="35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42609FB2" w14:textId="77777777">
                  <w:pPr>
                    <w:rPr>
                      <w:color w:val="000000"/>
                      <w:sz w:val="20"/>
                    </w:rPr>
                  </w:pPr>
                  <w:r w:rsidRPr="00182AF7">
                    <w:rPr>
                      <w:color w:val="000000"/>
                      <w:sz w:val="20"/>
                    </w:rPr>
                    <w:t>Records of Hours of Operation</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0FDB48AF" w14:textId="77777777">
                  <w:pPr>
                    <w:jc w:val="center"/>
                    <w:rPr>
                      <w:color w:val="000000"/>
                      <w:sz w:val="20"/>
                    </w:rPr>
                  </w:pPr>
                  <w:r w:rsidRPr="00182AF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6A800CF5"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4D7DF35C" w14:textId="77777777">
                  <w:pPr>
                    <w:jc w:val="center"/>
                    <w:rPr>
                      <w:color w:val="000000"/>
                      <w:sz w:val="20"/>
                    </w:rPr>
                  </w:pPr>
                  <w:r w:rsidRPr="00182AF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73EE00E3" w14:textId="77777777">
                  <w:pPr>
                    <w:jc w:val="center"/>
                    <w:rPr>
                      <w:sz w:val="20"/>
                    </w:rPr>
                  </w:pPr>
                  <w:r w:rsidRPr="00182AF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0CA4F6F5"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2FA2DD76"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1616C426"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026F95D6" w14:textId="77777777">
                  <w:pPr>
                    <w:jc w:val="right"/>
                    <w:rPr>
                      <w:color w:val="000000"/>
                      <w:sz w:val="20"/>
                    </w:rPr>
                  </w:pPr>
                  <w:r w:rsidRPr="00182AF7">
                    <w:rPr>
                      <w:color w:val="000000"/>
                      <w:sz w:val="20"/>
                    </w:rPr>
                    <w:t xml:space="preserve">$0.00 </w:t>
                  </w:r>
                </w:p>
              </w:tc>
            </w:tr>
            <w:tr w14:paraId="775B9A4C" w14:textId="77777777" w:rsidTr="00182AF7">
              <w:tblPrEx>
                <w:tblW w:w="12960" w:type="dxa"/>
                <w:tblLayout w:type="fixed"/>
                <w:tblLook w:val="04A0"/>
              </w:tblPrEx>
              <w:trPr>
                <w:trHeight w:val="53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17AF0771" w14:textId="77777777">
                  <w:pPr>
                    <w:rPr>
                      <w:color w:val="000000"/>
                      <w:sz w:val="20"/>
                    </w:rPr>
                  </w:pPr>
                  <w:r w:rsidRPr="00182AF7">
                    <w:rPr>
                      <w:color w:val="000000"/>
                      <w:sz w:val="20"/>
                    </w:rPr>
                    <w:t>Records of Engine Maintenance Conducted</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30BD27AF" w14:textId="77777777">
                  <w:pPr>
                    <w:jc w:val="center"/>
                    <w:rPr>
                      <w:color w:val="000000"/>
                      <w:sz w:val="20"/>
                    </w:rPr>
                  </w:pPr>
                  <w:r w:rsidRPr="00182AF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63A82FCD"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463EB366" w14:textId="77777777">
                  <w:pPr>
                    <w:jc w:val="center"/>
                    <w:rPr>
                      <w:color w:val="000000"/>
                      <w:sz w:val="20"/>
                    </w:rPr>
                  </w:pPr>
                  <w:r w:rsidRPr="00182AF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6E75276B" w14:textId="77777777">
                  <w:pPr>
                    <w:jc w:val="center"/>
                    <w:rPr>
                      <w:sz w:val="20"/>
                    </w:rPr>
                  </w:pPr>
                  <w:r w:rsidRPr="00182AF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1F762C22"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1387DC5C"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5E1D7E40"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2C814C5F" w14:textId="77777777">
                  <w:pPr>
                    <w:jc w:val="right"/>
                    <w:rPr>
                      <w:color w:val="000000"/>
                      <w:sz w:val="20"/>
                    </w:rPr>
                  </w:pPr>
                  <w:r w:rsidRPr="00182AF7">
                    <w:rPr>
                      <w:color w:val="000000"/>
                      <w:sz w:val="20"/>
                    </w:rPr>
                    <w:t xml:space="preserve">$0.00 </w:t>
                  </w:r>
                </w:p>
              </w:tc>
            </w:tr>
            <w:tr w14:paraId="53A7D5BF" w14:textId="77777777" w:rsidTr="00182AF7">
              <w:tblPrEx>
                <w:tblW w:w="12960" w:type="dxa"/>
                <w:tblLayout w:type="fixed"/>
                <w:tblLook w:val="04A0"/>
              </w:tblPrEx>
              <w:trPr>
                <w:trHeight w:val="53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103B41E2" w14:textId="77777777">
                  <w:pPr>
                    <w:rPr>
                      <w:i/>
                      <w:iCs/>
                      <w:color w:val="000000"/>
                      <w:sz w:val="20"/>
                    </w:rPr>
                  </w:pPr>
                  <w:r w:rsidRPr="00182AF7">
                    <w:rPr>
                      <w:i/>
                      <w:iCs/>
                      <w:color w:val="000000"/>
                      <w:sz w:val="20"/>
                    </w:rPr>
                    <w:t xml:space="preserve">      Engines Anticipated with SCR or NSCR</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4C5B40B6" w14:textId="77777777">
                  <w:pPr>
                    <w:jc w:val="center"/>
                    <w:rPr>
                      <w:color w:val="000000"/>
                      <w:sz w:val="20"/>
                    </w:rPr>
                  </w:pPr>
                  <w:r w:rsidRPr="00182AF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63CE5624" w14:textId="77777777">
                  <w:pPr>
                    <w:jc w:val="center"/>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7DCB7C9D" w14:textId="77777777">
                  <w:pPr>
                    <w:jc w:val="center"/>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02789590" w14:textId="77777777">
                  <w:pPr>
                    <w:jc w:val="center"/>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670E78F8" w14:textId="77777777">
                  <w:pPr>
                    <w:jc w:val="center"/>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3143C320" w14:textId="77777777">
                  <w:pPr>
                    <w:jc w:val="center"/>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0FA164DD" w14:textId="77777777">
                  <w:pPr>
                    <w:jc w:val="center"/>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3DA73BA4" w14:textId="77777777">
                  <w:pPr>
                    <w:jc w:val="right"/>
                    <w:rPr>
                      <w:color w:val="000000"/>
                      <w:sz w:val="20"/>
                    </w:rPr>
                  </w:pPr>
                  <w:r w:rsidRPr="00182AF7">
                    <w:rPr>
                      <w:color w:val="000000"/>
                      <w:sz w:val="20"/>
                    </w:rPr>
                    <w:t> </w:t>
                  </w:r>
                </w:p>
              </w:tc>
            </w:tr>
            <w:tr w14:paraId="4505298C" w14:textId="77777777" w:rsidTr="00182AF7">
              <w:tblPrEx>
                <w:tblW w:w="12960" w:type="dxa"/>
                <w:tblLayout w:type="fixed"/>
                <w:tblLook w:val="04A0"/>
              </w:tblPrEx>
              <w:trPr>
                <w:trHeight w:val="53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68BFF20D" w14:textId="77777777">
                  <w:pPr>
                    <w:rPr>
                      <w:color w:val="000000"/>
                      <w:sz w:val="20"/>
                    </w:rPr>
                  </w:pPr>
                  <w:r w:rsidRPr="00182AF7">
                    <w:rPr>
                      <w:color w:val="000000"/>
                      <w:sz w:val="20"/>
                    </w:rPr>
                    <w:t xml:space="preserve">    Daily monitoring of catalyst inlet temperature</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26B5CB9E" w14:textId="77777777">
                  <w:pPr>
                    <w:jc w:val="center"/>
                    <w:rPr>
                      <w:color w:val="000000"/>
                      <w:sz w:val="20"/>
                    </w:rPr>
                  </w:pPr>
                  <w:r w:rsidRPr="00182AF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27513FA5"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73036F36" w14:textId="77777777">
                  <w:pPr>
                    <w:jc w:val="center"/>
                    <w:rPr>
                      <w:sz w:val="20"/>
                    </w:rPr>
                  </w:pPr>
                  <w:r w:rsidRPr="00182AF7">
                    <w:rPr>
                      <w:sz w:val="20"/>
                    </w:rPr>
                    <w:t>0.00</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65CE5563" w14:textId="77777777">
                  <w:pPr>
                    <w:jc w:val="center"/>
                    <w:rPr>
                      <w:sz w:val="20"/>
                    </w:rPr>
                  </w:pPr>
                  <w:r w:rsidRPr="00182AF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37AEB106"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43CA08E6" w14:textId="77777777">
                  <w:pPr>
                    <w:jc w:val="center"/>
                    <w:rPr>
                      <w:sz w:val="20"/>
                    </w:rPr>
                  </w:pPr>
                  <w:r w:rsidRPr="00182AF7">
                    <w:rPr>
                      <w:sz w:val="20"/>
                    </w:rPr>
                    <w:t>0.00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38C4319A" w14:textId="77777777">
                  <w:pPr>
                    <w:jc w:val="center"/>
                    <w:rPr>
                      <w:sz w:val="20"/>
                    </w:rPr>
                  </w:pPr>
                  <w:r w:rsidRPr="00182AF7">
                    <w:rPr>
                      <w:sz w:val="20"/>
                    </w:rPr>
                    <w:t>0.00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59AFB6D0" w14:textId="77777777">
                  <w:pPr>
                    <w:jc w:val="right"/>
                    <w:rPr>
                      <w:color w:val="000000"/>
                      <w:sz w:val="20"/>
                    </w:rPr>
                  </w:pPr>
                  <w:r w:rsidRPr="00182AF7">
                    <w:rPr>
                      <w:color w:val="000000"/>
                      <w:sz w:val="20"/>
                    </w:rPr>
                    <w:t xml:space="preserve">$0.00 </w:t>
                  </w:r>
                </w:p>
              </w:tc>
            </w:tr>
            <w:tr w14:paraId="12A49C08" w14:textId="77777777" w:rsidTr="00182AF7">
              <w:tblPrEx>
                <w:tblW w:w="12960" w:type="dxa"/>
                <w:tblLayout w:type="fixed"/>
                <w:tblLook w:val="04A0"/>
              </w:tblPrEx>
              <w:trPr>
                <w:trHeight w:val="53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7217AD7B" w14:textId="77777777">
                  <w:pPr>
                    <w:rPr>
                      <w:color w:val="000000"/>
                      <w:sz w:val="20"/>
                    </w:rPr>
                  </w:pPr>
                  <w:r w:rsidRPr="00182AF7">
                    <w:rPr>
                      <w:color w:val="000000"/>
                      <w:sz w:val="20"/>
                    </w:rPr>
                    <w:t xml:space="preserve">    Monthly monitoring of pressure drop across catalyst</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11674EC8" w14:textId="77777777">
                  <w:pPr>
                    <w:jc w:val="center"/>
                    <w:rPr>
                      <w:color w:val="000000"/>
                      <w:sz w:val="20"/>
                    </w:rPr>
                  </w:pPr>
                  <w:r w:rsidRPr="00182AF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43461550"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72AC82EA" w14:textId="77777777">
                  <w:pPr>
                    <w:jc w:val="center"/>
                    <w:rPr>
                      <w:color w:val="000000"/>
                      <w:sz w:val="20"/>
                    </w:rPr>
                  </w:pPr>
                  <w:r w:rsidRPr="00182AF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5F273794" w14:textId="77777777">
                  <w:pPr>
                    <w:jc w:val="center"/>
                    <w:rPr>
                      <w:sz w:val="20"/>
                    </w:rPr>
                  </w:pPr>
                  <w:r w:rsidRPr="00182AF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7E8C0A3E"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5D71F8CA"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7862386B"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6B1B554F" w14:textId="77777777">
                  <w:pPr>
                    <w:jc w:val="right"/>
                    <w:rPr>
                      <w:color w:val="000000"/>
                      <w:sz w:val="20"/>
                    </w:rPr>
                  </w:pPr>
                  <w:r w:rsidRPr="00182AF7">
                    <w:rPr>
                      <w:color w:val="000000"/>
                      <w:sz w:val="20"/>
                    </w:rPr>
                    <w:t xml:space="preserve">$0.00 </w:t>
                  </w:r>
                </w:p>
              </w:tc>
            </w:tr>
            <w:tr w14:paraId="5C2973D9" w14:textId="77777777" w:rsidTr="00182AF7">
              <w:tblPrEx>
                <w:tblW w:w="12960" w:type="dxa"/>
                <w:tblLayout w:type="fixed"/>
                <w:tblLook w:val="04A0"/>
              </w:tblPrEx>
              <w:trPr>
                <w:trHeight w:val="53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50029AC6" w14:textId="77777777">
                  <w:pPr>
                    <w:rPr>
                      <w:i/>
                      <w:iCs/>
                      <w:color w:val="000000"/>
                      <w:sz w:val="20"/>
                    </w:rPr>
                  </w:pPr>
                  <w:r w:rsidRPr="00182AF7">
                    <w:rPr>
                      <w:i/>
                      <w:iCs/>
                      <w:color w:val="000000"/>
                      <w:sz w:val="20"/>
                    </w:rPr>
                    <w:t xml:space="preserve">      Engines Anticipated with no SCR or NSCR</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0EF87CCB" w14:textId="77777777">
                  <w:pPr>
                    <w:jc w:val="center"/>
                    <w:rPr>
                      <w:color w:val="000000"/>
                      <w:sz w:val="20"/>
                    </w:rPr>
                  </w:pPr>
                  <w:r w:rsidRPr="00182AF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6DD82992" w14:textId="77777777">
                  <w:pPr>
                    <w:jc w:val="center"/>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18BFBE3A" w14:textId="77777777">
                  <w:pPr>
                    <w:jc w:val="center"/>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0EF17809" w14:textId="77777777">
                  <w:pPr>
                    <w:jc w:val="center"/>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6096B740" w14:textId="77777777">
                  <w:pPr>
                    <w:jc w:val="center"/>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1101051E" w14:textId="77777777">
                  <w:pPr>
                    <w:jc w:val="center"/>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6F2E14D4" w14:textId="77777777">
                  <w:pPr>
                    <w:jc w:val="center"/>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55E20D6A" w14:textId="77777777">
                  <w:pPr>
                    <w:jc w:val="right"/>
                    <w:rPr>
                      <w:color w:val="000000"/>
                      <w:sz w:val="20"/>
                    </w:rPr>
                  </w:pPr>
                  <w:r w:rsidRPr="00182AF7">
                    <w:rPr>
                      <w:color w:val="000000"/>
                      <w:sz w:val="20"/>
                    </w:rPr>
                    <w:t> </w:t>
                  </w:r>
                </w:p>
              </w:tc>
            </w:tr>
            <w:tr w14:paraId="3FDCF338" w14:textId="77777777" w:rsidTr="00182AF7">
              <w:tblPrEx>
                <w:tblW w:w="12960" w:type="dxa"/>
                <w:tblLayout w:type="fixed"/>
                <w:tblLook w:val="04A0"/>
              </w:tblPrEx>
              <w:trPr>
                <w:trHeight w:val="53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3D4E2B97" w14:textId="77777777">
                  <w:pPr>
                    <w:rPr>
                      <w:color w:val="000000"/>
                      <w:sz w:val="20"/>
                    </w:rPr>
                  </w:pPr>
                  <w:r w:rsidRPr="00182AF7">
                    <w:rPr>
                      <w:color w:val="000000"/>
                      <w:sz w:val="20"/>
                    </w:rPr>
                    <w:t xml:space="preserve">    Prepare CPMS site-specific monitoring plan to address monitoring system design, data collection, and QA/QC.</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7AEB1EF0" w14:textId="77777777">
                  <w:pPr>
                    <w:jc w:val="center"/>
                    <w:rPr>
                      <w:color w:val="000000"/>
                      <w:sz w:val="20"/>
                    </w:rPr>
                  </w:pPr>
                  <w:r w:rsidRPr="00182AF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290ECA49"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377317FB" w14:textId="77777777">
                  <w:pPr>
                    <w:jc w:val="center"/>
                    <w:rPr>
                      <w:color w:val="000000"/>
                      <w:sz w:val="20"/>
                    </w:rPr>
                  </w:pPr>
                  <w:r w:rsidRPr="00182AF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556BBA45" w14:textId="77777777">
                  <w:pPr>
                    <w:jc w:val="center"/>
                    <w:rPr>
                      <w:sz w:val="20"/>
                    </w:rPr>
                  </w:pPr>
                  <w:r w:rsidRPr="00182AF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20D5CADA"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44D3C23F"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0ACFB572"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5D707FA0" w14:textId="77777777">
                  <w:pPr>
                    <w:jc w:val="right"/>
                    <w:rPr>
                      <w:color w:val="000000"/>
                      <w:sz w:val="20"/>
                    </w:rPr>
                  </w:pPr>
                  <w:r w:rsidRPr="00182AF7">
                    <w:rPr>
                      <w:color w:val="000000"/>
                      <w:sz w:val="20"/>
                    </w:rPr>
                    <w:t xml:space="preserve">$0.00 </w:t>
                  </w:r>
                </w:p>
              </w:tc>
            </w:tr>
            <w:tr w14:paraId="5851A8D6" w14:textId="77777777" w:rsidTr="00182AF7">
              <w:tblPrEx>
                <w:tblW w:w="12960" w:type="dxa"/>
                <w:tblLayout w:type="fixed"/>
                <w:tblLook w:val="04A0"/>
              </w:tblPrEx>
              <w:trPr>
                <w:trHeight w:val="52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1A6B79DF" w14:textId="77777777">
                  <w:pPr>
                    <w:rPr>
                      <w:color w:val="000000"/>
                      <w:sz w:val="20"/>
                    </w:rPr>
                  </w:pPr>
                  <w:r w:rsidRPr="00182AF7">
                    <w:rPr>
                      <w:color w:val="000000"/>
                      <w:sz w:val="20"/>
                    </w:rPr>
                    <w:t xml:space="preserve">    Records of Annual CPMS Performance Evaluation</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282F2147" w14:textId="77777777">
                  <w:pPr>
                    <w:jc w:val="center"/>
                    <w:rPr>
                      <w:color w:val="000000"/>
                      <w:sz w:val="20"/>
                    </w:rPr>
                  </w:pPr>
                  <w:r w:rsidRPr="00182AF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331C5C4A"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620D3EE6" w14:textId="77777777">
                  <w:pPr>
                    <w:jc w:val="center"/>
                    <w:rPr>
                      <w:color w:val="000000"/>
                      <w:sz w:val="20"/>
                    </w:rPr>
                  </w:pPr>
                  <w:r w:rsidRPr="00182AF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3132EA5A" w14:textId="77777777">
                  <w:pPr>
                    <w:jc w:val="center"/>
                    <w:rPr>
                      <w:sz w:val="20"/>
                    </w:rPr>
                  </w:pPr>
                  <w:r w:rsidRPr="00182AF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09554EA6"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28B6E284"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0B1C9BE0"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6394A382" w14:textId="77777777">
                  <w:pPr>
                    <w:jc w:val="right"/>
                    <w:rPr>
                      <w:color w:val="000000"/>
                      <w:sz w:val="20"/>
                    </w:rPr>
                  </w:pPr>
                  <w:r w:rsidRPr="00182AF7">
                    <w:rPr>
                      <w:color w:val="000000"/>
                      <w:sz w:val="20"/>
                    </w:rPr>
                    <w:t xml:space="preserve">$0.00 </w:t>
                  </w:r>
                </w:p>
              </w:tc>
            </w:tr>
            <w:tr w14:paraId="52D40FF7" w14:textId="77777777" w:rsidTr="00182AF7">
              <w:tblPrEx>
                <w:tblW w:w="12960" w:type="dxa"/>
                <w:tblLayout w:type="fixed"/>
                <w:tblLook w:val="04A0"/>
              </w:tblPrEx>
              <w:trPr>
                <w:trHeight w:val="52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4FC70830" w14:textId="77777777">
                  <w:pPr>
                    <w:rPr>
                      <w:color w:val="000000"/>
                      <w:sz w:val="20"/>
                    </w:rPr>
                  </w:pPr>
                  <w:r w:rsidRPr="00182AF7">
                    <w:rPr>
                      <w:color w:val="000000"/>
                      <w:sz w:val="20"/>
                    </w:rPr>
                    <w:t xml:space="preserve">    Collect and record the CPMS monitoring parameters</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2191E93D" w14:textId="77777777">
                  <w:pPr>
                    <w:jc w:val="center"/>
                    <w:rPr>
                      <w:color w:val="000000"/>
                      <w:sz w:val="20"/>
                    </w:rPr>
                  </w:pPr>
                  <w:r w:rsidRPr="00182AF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75AD8DCB"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1E258D46" w14:textId="77777777">
                  <w:pPr>
                    <w:jc w:val="center"/>
                    <w:rPr>
                      <w:color w:val="000000"/>
                      <w:sz w:val="20"/>
                    </w:rPr>
                  </w:pPr>
                  <w:r w:rsidRPr="00182AF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21A978E5" w14:textId="77777777">
                  <w:pPr>
                    <w:jc w:val="center"/>
                    <w:rPr>
                      <w:sz w:val="20"/>
                    </w:rPr>
                  </w:pPr>
                  <w:r w:rsidRPr="00182AF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7D8FA116"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0A23B62B"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171035C3"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63EB3EC6" w14:textId="77777777">
                  <w:pPr>
                    <w:jc w:val="right"/>
                    <w:rPr>
                      <w:color w:val="000000"/>
                      <w:sz w:val="20"/>
                    </w:rPr>
                  </w:pPr>
                  <w:r w:rsidRPr="00182AF7">
                    <w:rPr>
                      <w:color w:val="000000"/>
                      <w:sz w:val="20"/>
                    </w:rPr>
                    <w:t xml:space="preserve">$0.00 </w:t>
                  </w:r>
                </w:p>
              </w:tc>
            </w:tr>
            <w:tr w14:paraId="7FFE75D9" w14:textId="77777777" w:rsidTr="00182AF7">
              <w:tblPrEx>
                <w:tblW w:w="12960" w:type="dxa"/>
                <w:tblLayout w:type="fixed"/>
                <w:tblLook w:val="04A0"/>
              </w:tblPrEx>
              <w:trPr>
                <w:trHeight w:val="26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2C754EFF" w14:textId="77777777">
                  <w:pPr>
                    <w:rPr>
                      <w:i/>
                      <w:iCs/>
                      <w:color w:val="000000"/>
                      <w:sz w:val="20"/>
                      <w:u w:val="single"/>
                    </w:rPr>
                  </w:pPr>
                  <w:r w:rsidRPr="00182AF7">
                    <w:rPr>
                      <w:i/>
                      <w:iCs/>
                      <w:color w:val="000000"/>
                      <w:sz w:val="20"/>
                      <w:u w:val="single"/>
                    </w:rPr>
                    <w:t>New Sources</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2B64656E" w14:textId="77777777">
                  <w:pPr>
                    <w:jc w:val="center"/>
                    <w:rPr>
                      <w:color w:val="000000"/>
                      <w:sz w:val="20"/>
                    </w:rPr>
                  </w:pPr>
                  <w:r w:rsidRPr="00182AF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4593E9CD" w14:textId="77777777">
                  <w:pPr>
                    <w:jc w:val="center"/>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567D4A31" w14:textId="77777777">
                  <w:pPr>
                    <w:jc w:val="center"/>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182AF7" w:rsidRPr="00182AF7" w:rsidP="00182AF7" w14:paraId="1F942926" w14:textId="77777777">
                  <w:pPr>
                    <w:jc w:val="center"/>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11FB4723" w14:textId="77777777">
                  <w:pPr>
                    <w:jc w:val="center"/>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6FE4C342" w14:textId="77777777">
                  <w:pPr>
                    <w:jc w:val="center"/>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3623A800" w14:textId="77777777">
                  <w:pPr>
                    <w:jc w:val="center"/>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10F0C691" w14:textId="77777777">
                  <w:pPr>
                    <w:jc w:val="right"/>
                    <w:rPr>
                      <w:color w:val="000000"/>
                      <w:sz w:val="20"/>
                    </w:rPr>
                  </w:pPr>
                  <w:r w:rsidRPr="00182AF7">
                    <w:rPr>
                      <w:color w:val="000000"/>
                      <w:sz w:val="20"/>
                    </w:rPr>
                    <w:t> </w:t>
                  </w:r>
                </w:p>
              </w:tc>
            </w:tr>
            <w:tr w14:paraId="03C142E4" w14:textId="77777777" w:rsidTr="00182AF7">
              <w:tblPrEx>
                <w:tblW w:w="12960" w:type="dxa"/>
                <w:tblLayout w:type="fixed"/>
                <w:tblLook w:val="04A0"/>
              </w:tblPrEx>
              <w:trPr>
                <w:trHeight w:val="26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5FFC097B" w14:textId="77777777">
                  <w:pPr>
                    <w:rPr>
                      <w:color w:val="000000"/>
                      <w:sz w:val="20"/>
                    </w:rPr>
                  </w:pPr>
                  <w:r w:rsidRPr="00182AF7">
                    <w:rPr>
                      <w:color w:val="000000"/>
                      <w:sz w:val="20"/>
                    </w:rPr>
                    <w:t>Data Collection</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63049311" w14:textId="77777777">
                  <w:pPr>
                    <w:jc w:val="center"/>
                    <w:rPr>
                      <w:color w:val="000000"/>
                      <w:sz w:val="20"/>
                    </w:rPr>
                  </w:pPr>
                  <w:r w:rsidRPr="00182AF7">
                    <w:rPr>
                      <w:color w:val="000000"/>
                      <w:sz w:val="20"/>
                    </w:rPr>
                    <w:t>1.5</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418AD5C8" w14:textId="77777777">
                  <w:pPr>
                    <w:jc w:val="center"/>
                    <w:rPr>
                      <w:sz w:val="20"/>
                    </w:rPr>
                  </w:pPr>
                  <w:r w:rsidRPr="00182AF7">
                    <w:rPr>
                      <w:sz w:val="20"/>
                    </w:rPr>
                    <w:t>1</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063834FF" w14:textId="77777777">
                  <w:pPr>
                    <w:jc w:val="center"/>
                    <w:rPr>
                      <w:color w:val="000000"/>
                      <w:sz w:val="20"/>
                    </w:rPr>
                  </w:pPr>
                  <w:r w:rsidRPr="00182AF7">
                    <w:rPr>
                      <w:color w:val="000000"/>
                      <w:sz w:val="20"/>
                    </w:rPr>
                    <w:t>1.5</w:t>
                  </w:r>
                </w:p>
              </w:tc>
              <w:tc>
                <w:tcPr>
                  <w:tcW w:w="1340" w:type="dxa"/>
                  <w:tcBorders>
                    <w:top w:val="nil"/>
                    <w:left w:val="nil"/>
                    <w:bottom w:val="single" w:sz="4" w:space="0" w:color="auto"/>
                    <w:right w:val="single" w:sz="4" w:space="0" w:color="auto"/>
                  </w:tcBorders>
                  <w:shd w:val="clear" w:color="auto" w:fill="auto"/>
                  <w:vAlign w:val="center"/>
                  <w:hideMark/>
                </w:tcPr>
                <w:p w:rsidR="00182AF7" w:rsidRPr="00182AF7" w:rsidP="00182AF7" w14:paraId="3555DE39" w14:textId="77777777">
                  <w:pPr>
                    <w:jc w:val="center"/>
                    <w:rPr>
                      <w:sz w:val="20"/>
                    </w:rPr>
                  </w:pPr>
                  <w:r w:rsidRPr="00182AF7">
                    <w:rPr>
                      <w:sz w:val="20"/>
                    </w:rPr>
                    <w:t>23.91</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3A3B0467" w14:textId="77777777">
                  <w:pPr>
                    <w:jc w:val="center"/>
                    <w:rPr>
                      <w:color w:val="000000"/>
                      <w:sz w:val="20"/>
                    </w:rPr>
                  </w:pPr>
                  <w:r w:rsidRPr="00182AF7">
                    <w:rPr>
                      <w:color w:val="000000"/>
                      <w:sz w:val="20"/>
                    </w:rPr>
                    <w:t>36</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0524B924" w14:textId="77777777">
                  <w:pPr>
                    <w:jc w:val="center"/>
                    <w:rPr>
                      <w:color w:val="000000"/>
                      <w:sz w:val="20"/>
                    </w:rPr>
                  </w:pPr>
                  <w:r w:rsidRPr="00182AF7">
                    <w:rPr>
                      <w:color w:val="000000"/>
                      <w:sz w:val="20"/>
                    </w:rPr>
                    <w:t>1.79361</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6CDF45C2" w14:textId="77777777">
                  <w:pPr>
                    <w:jc w:val="center"/>
                    <w:rPr>
                      <w:color w:val="000000"/>
                      <w:sz w:val="20"/>
                    </w:rPr>
                  </w:pPr>
                  <w:r w:rsidRPr="00182AF7">
                    <w:rPr>
                      <w:color w:val="000000"/>
                      <w:sz w:val="20"/>
                    </w:rPr>
                    <w:t>3.58722</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4C841FB5" w14:textId="77777777">
                  <w:pPr>
                    <w:jc w:val="right"/>
                    <w:rPr>
                      <w:color w:val="000000"/>
                      <w:sz w:val="20"/>
                    </w:rPr>
                  </w:pPr>
                  <w:r w:rsidRPr="00182AF7">
                    <w:rPr>
                      <w:color w:val="000000"/>
                      <w:sz w:val="20"/>
                    </w:rPr>
                    <w:t xml:space="preserve">$5,100 </w:t>
                  </w:r>
                </w:p>
              </w:tc>
            </w:tr>
            <w:tr w14:paraId="5282A1B2" w14:textId="77777777" w:rsidTr="00182AF7">
              <w:tblPrEx>
                <w:tblW w:w="12960" w:type="dxa"/>
                <w:tblLayout w:type="fixed"/>
                <w:tblLook w:val="04A0"/>
              </w:tblPrEx>
              <w:trPr>
                <w:trHeight w:val="26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282FDA07" w14:textId="77777777">
                  <w:pPr>
                    <w:rPr>
                      <w:color w:val="000000"/>
                      <w:sz w:val="20"/>
                    </w:rPr>
                  </w:pPr>
                  <w:r w:rsidRPr="00182AF7">
                    <w:rPr>
                      <w:color w:val="000000"/>
                      <w:sz w:val="20"/>
                    </w:rPr>
                    <w:t>Create and Store Maintenance Plan</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4ECC1708" w14:textId="77777777">
                  <w:pPr>
                    <w:jc w:val="center"/>
                    <w:rPr>
                      <w:color w:val="000000"/>
                      <w:sz w:val="20"/>
                    </w:rPr>
                  </w:pPr>
                  <w:r w:rsidRPr="00182AF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069C7B9B" w14:textId="77777777">
                  <w:pPr>
                    <w:jc w:val="center"/>
                    <w:rPr>
                      <w:sz w:val="20"/>
                    </w:rPr>
                  </w:pPr>
                  <w:r w:rsidRPr="00182AF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3C3E99CA" w14:textId="77777777">
                  <w:pPr>
                    <w:jc w:val="center"/>
                    <w:rPr>
                      <w:color w:val="000000"/>
                      <w:sz w:val="20"/>
                    </w:rPr>
                  </w:pPr>
                  <w:r w:rsidRPr="00182AF7">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182AF7" w:rsidRPr="00182AF7" w:rsidP="00182AF7" w14:paraId="489EA1DD" w14:textId="77777777">
                  <w:pPr>
                    <w:jc w:val="center"/>
                    <w:rPr>
                      <w:sz w:val="20"/>
                    </w:rPr>
                  </w:pPr>
                  <w:r w:rsidRPr="00182AF7">
                    <w:rPr>
                      <w:sz w:val="20"/>
                    </w:rPr>
                    <w:t>0.00</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08B48011" w14:textId="77777777">
                  <w:pPr>
                    <w:jc w:val="center"/>
                    <w:rPr>
                      <w:color w:val="000000"/>
                      <w:sz w:val="20"/>
                    </w:rPr>
                  </w:pPr>
                  <w:r w:rsidRPr="00182AF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0FA1CB6B"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4D058709" w14:textId="77777777">
                  <w:pPr>
                    <w:jc w:val="center"/>
                    <w:rPr>
                      <w:color w:val="000000"/>
                      <w:sz w:val="20"/>
                    </w:rPr>
                  </w:pPr>
                  <w:r w:rsidRPr="00182AF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681A42D4" w14:textId="77777777">
                  <w:pPr>
                    <w:jc w:val="right"/>
                    <w:rPr>
                      <w:color w:val="000000"/>
                      <w:sz w:val="20"/>
                    </w:rPr>
                  </w:pPr>
                  <w:r w:rsidRPr="00182AF7">
                    <w:rPr>
                      <w:color w:val="000000"/>
                      <w:sz w:val="20"/>
                    </w:rPr>
                    <w:t xml:space="preserve">$0 </w:t>
                  </w:r>
                </w:p>
              </w:tc>
            </w:tr>
            <w:tr w14:paraId="570E914F" w14:textId="77777777" w:rsidTr="00182AF7">
              <w:tblPrEx>
                <w:tblW w:w="12960" w:type="dxa"/>
                <w:tblLayout w:type="fixed"/>
                <w:tblLook w:val="04A0"/>
              </w:tblPrEx>
              <w:trPr>
                <w:trHeight w:val="54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78820BF8" w14:textId="77777777">
                  <w:pPr>
                    <w:rPr>
                      <w:color w:val="000000"/>
                      <w:sz w:val="20"/>
                    </w:rPr>
                  </w:pPr>
                  <w:r w:rsidRPr="00182AF7">
                    <w:rPr>
                      <w:color w:val="000000"/>
                      <w:sz w:val="20"/>
                    </w:rPr>
                    <w:t>F. Time to Train Personnel of New Sources</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30120EEC" w14:textId="77777777">
                  <w:pPr>
                    <w:jc w:val="center"/>
                    <w:rPr>
                      <w:color w:val="000000"/>
                      <w:sz w:val="20"/>
                    </w:rPr>
                  </w:pPr>
                  <w:r w:rsidRPr="00182AF7">
                    <w:rPr>
                      <w:color w:val="000000"/>
                      <w:sz w:val="20"/>
                    </w:rPr>
                    <w:t>16</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3FD347E1" w14:textId="77777777">
                  <w:pPr>
                    <w:jc w:val="center"/>
                    <w:rPr>
                      <w:sz w:val="20"/>
                    </w:rPr>
                  </w:pPr>
                  <w:r w:rsidRPr="00182AF7">
                    <w:rPr>
                      <w:sz w:val="20"/>
                    </w:rPr>
                    <w:t>1</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27795BE8" w14:textId="77777777">
                  <w:pPr>
                    <w:jc w:val="center"/>
                    <w:rPr>
                      <w:color w:val="000000"/>
                      <w:sz w:val="20"/>
                    </w:rPr>
                  </w:pPr>
                  <w:r w:rsidRPr="00182AF7">
                    <w:rPr>
                      <w:color w:val="000000"/>
                      <w:sz w:val="20"/>
                    </w:rPr>
                    <w:t>16</w:t>
                  </w:r>
                </w:p>
              </w:tc>
              <w:tc>
                <w:tcPr>
                  <w:tcW w:w="1340" w:type="dxa"/>
                  <w:tcBorders>
                    <w:top w:val="nil"/>
                    <w:left w:val="nil"/>
                    <w:bottom w:val="single" w:sz="4" w:space="0" w:color="auto"/>
                    <w:right w:val="single" w:sz="4" w:space="0" w:color="auto"/>
                  </w:tcBorders>
                  <w:shd w:val="clear" w:color="auto" w:fill="auto"/>
                  <w:vAlign w:val="center"/>
                  <w:hideMark/>
                </w:tcPr>
                <w:p w:rsidR="00182AF7" w:rsidRPr="00182AF7" w:rsidP="00182AF7" w14:paraId="75C78C99" w14:textId="77777777">
                  <w:pPr>
                    <w:jc w:val="center"/>
                    <w:rPr>
                      <w:sz w:val="20"/>
                    </w:rPr>
                  </w:pPr>
                  <w:r w:rsidRPr="00182AF7">
                    <w:rPr>
                      <w:sz w:val="20"/>
                    </w:rPr>
                    <w:t>23.91</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0369C811" w14:textId="77777777">
                  <w:pPr>
                    <w:jc w:val="center"/>
                    <w:rPr>
                      <w:color w:val="000000"/>
                      <w:sz w:val="20"/>
                    </w:rPr>
                  </w:pPr>
                  <w:r w:rsidRPr="00182AF7">
                    <w:rPr>
                      <w:color w:val="000000"/>
                      <w:sz w:val="20"/>
                    </w:rPr>
                    <w:t>383</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0C2CD8AB" w14:textId="77777777">
                  <w:pPr>
                    <w:jc w:val="center"/>
                    <w:rPr>
                      <w:sz w:val="20"/>
                    </w:rPr>
                  </w:pPr>
                  <w:r w:rsidRPr="00182AF7">
                    <w:rPr>
                      <w:sz w:val="20"/>
                    </w:rPr>
                    <w:t>19.13</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2F80DD35" w14:textId="77777777">
                  <w:pPr>
                    <w:jc w:val="center"/>
                    <w:rPr>
                      <w:sz w:val="20"/>
                    </w:rPr>
                  </w:pPr>
                  <w:r w:rsidRPr="00182AF7">
                    <w:rPr>
                      <w:sz w:val="20"/>
                    </w:rPr>
                    <w:t>38.26</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7DB2FFDC" w14:textId="77777777">
                  <w:pPr>
                    <w:jc w:val="right"/>
                    <w:rPr>
                      <w:color w:val="000000"/>
                      <w:sz w:val="20"/>
                    </w:rPr>
                  </w:pPr>
                  <w:r w:rsidRPr="00182AF7">
                    <w:rPr>
                      <w:color w:val="000000"/>
                      <w:sz w:val="20"/>
                    </w:rPr>
                    <w:t xml:space="preserve">$54,404 </w:t>
                  </w:r>
                </w:p>
              </w:tc>
            </w:tr>
            <w:tr w14:paraId="5A99BF28" w14:textId="77777777" w:rsidTr="00182AF7">
              <w:tblPrEx>
                <w:tblW w:w="12960" w:type="dxa"/>
                <w:tblLayout w:type="fixed"/>
                <w:tblLook w:val="04A0"/>
              </w:tblPrEx>
              <w:trPr>
                <w:trHeight w:val="26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64E95D3D" w14:textId="77777777">
                  <w:pPr>
                    <w:rPr>
                      <w:color w:val="000000"/>
                      <w:sz w:val="20"/>
                    </w:rPr>
                  </w:pPr>
                  <w:r w:rsidRPr="00182AF7">
                    <w:rPr>
                      <w:color w:val="000000"/>
                      <w:sz w:val="20"/>
                    </w:rPr>
                    <w:t xml:space="preserve">G. Time for Audits </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67AAC952" w14:textId="77777777">
                  <w:pPr>
                    <w:jc w:val="center"/>
                    <w:rPr>
                      <w:color w:val="000000"/>
                      <w:sz w:val="20"/>
                    </w:rPr>
                  </w:pPr>
                  <w:r w:rsidRPr="00182AF7">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1DFA38AA" w14:textId="77777777">
                  <w:pPr>
                    <w:jc w:val="right"/>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235C9E7D" w14:textId="77777777">
                  <w:pPr>
                    <w:jc w:val="right"/>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182AF7" w:rsidRPr="00182AF7" w:rsidP="00182AF7" w14:paraId="3338D4E3" w14:textId="77777777">
                  <w:pPr>
                    <w:jc w:val="right"/>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264BDA23" w14:textId="77777777">
                  <w:pPr>
                    <w:jc w:val="right"/>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46FC4A1B"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57B3BC08"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25417106" w14:textId="77777777">
                  <w:pPr>
                    <w:jc w:val="right"/>
                    <w:rPr>
                      <w:color w:val="000000"/>
                      <w:sz w:val="20"/>
                    </w:rPr>
                  </w:pPr>
                  <w:r w:rsidRPr="00182AF7">
                    <w:rPr>
                      <w:color w:val="000000"/>
                      <w:sz w:val="20"/>
                    </w:rPr>
                    <w:t> </w:t>
                  </w:r>
                </w:p>
              </w:tc>
            </w:tr>
            <w:tr w14:paraId="7D30CED3" w14:textId="77777777" w:rsidTr="00182AF7">
              <w:tblPrEx>
                <w:tblW w:w="12960" w:type="dxa"/>
                <w:tblLayout w:type="fixed"/>
                <w:tblLook w:val="04A0"/>
              </w:tblPrEx>
              <w:trPr>
                <w:trHeight w:val="54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5747426A" w14:textId="77777777">
                  <w:pPr>
                    <w:rPr>
                      <w:b/>
                      <w:bCs/>
                      <w:i/>
                      <w:iCs/>
                      <w:color w:val="000000"/>
                      <w:sz w:val="20"/>
                    </w:rPr>
                  </w:pPr>
                  <w:r w:rsidRPr="00182AF7">
                    <w:rPr>
                      <w:b/>
                      <w:bCs/>
                      <w:i/>
                      <w:iCs/>
                      <w:color w:val="000000"/>
                      <w:sz w:val="20"/>
                    </w:rPr>
                    <w:t>Subtotal for Recordkeeping Requirements</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63CBB106" w14:textId="77777777">
                  <w:pPr>
                    <w:jc w:val="right"/>
                    <w:rPr>
                      <w:b/>
                      <w:bCs/>
                      <w:i/>
                      <w:iCs/>
                      <w:color w:val="000000"/>
                      <w:sz w:val="20"/>
                    </w:rPr>
                  </w:pPr>
                  <w:r w:rsidRPr="00182AF7">
                    <w:rPr>
                      <w:b/>
                      <w:bCs/>
                      <w:i/>
                      <w:i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18532F30" w14:textId="77777777">
                  <w:pPr>
                    <w:jc w:val="right"/>
                    <w:rPr>
                      <w:b/>
                      <w:bCs/>
                      <w:i/>
                      <w:iCs/>
                      <w:sz w:val="20"/>
                    </w:rPr>
                  </w:pPr>
                  <w:r w:rsidRPr="00182AF7">
                    <w:rPr>
                      <w:b/>
                      <w:bCs/>
                      <w:i/>
                      <w:i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4A460F84" w14:textId="77777777">
                  <w:pPr>
                    <w:jc w:val="right"/>
                    <w:rPr>
                      <w:b/>
                      <w:bCs/>
                      <w:i/>
                      <w:iCs/>
                      <w:color w:val="000000"/>
                      <w:sz w:val="20"/>
                    </w:rPr>
                  </w:pPr>
                  <w:r w:rsidRPr="00182AF7">
                    <w:rPr>
                      <w:b/>
                      <w:bCs/>
                      <w:i/>
                      <w:iCs/>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182AF7" w:rsidRPr="00182AF7" w:rsidP="00182AF7" w14:paraId="7CCE14F0" w14:textId="77777777">
                  <w:pPr>
                    <w:jc w:val="center"/>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0906412A" w14:textId="77777777">
                  <w:pPr>
                    <w:jc w:val="center"/>
                    <w:rPr>
                      <w:b/>
                      <w:bCs/>
                      <w:i/>
                      <w:iCs/>
                      <w:color w:val="000000"/>
                      <w:sz w:val="20"/>
                    </w:rPr>
                  </w:pPr>
                  <w:r w:rsidRPr="00182AF7">
                    <w:rPr>
                      <w:b/>
                      <w:bCs/>
                      <w:i/>
                      <w:iCs/>
                      <w:color w:val="000000"/>
                      <w:sz w:val="20"/>
                    </w:rPr>
                    <w:t>4,410</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4FFE930B" w14:textId="77777777">
                  <w:pPr>
                    <w:jc w:val="center"/>
                    <w:rPr>
                      <w:b/>
                      <w:bCs/>
                      <w:i/>
                      <w:iCs/>
                      <w:color w:val="000000"/>
                      <w:sz w:val="20"/>
                    </w:rPr>
                  </w:pPr>
                  <w:r w:rsidRPr="00182AF7">
                    <w:rPr>
                      <w:b/>
                      <w:bCs/>
                      <w:i/>
                      <w:iCs/>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745BDBF8" w14:textId="77777777">
                  <w:pPr>
                    <w:jc w:val="center"/>
                    <w:rPr>
                      <w:b/>
                      <w:bCs/>
                      <w:i/>
                      <w:iCs/>
                      <w:color w:val="000000"/>
                      <w:sz w:val="20"/>
                    </w:rPr>
                  </w:pPr>
                  <w:r w:rsidRPr="00182AF7">
                    <w:rPr>
                      <w:b/>
                      <w:bCs/>
                      <w:i/>
                      <w:iCs/>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0312A42C" w14:textId="77777777">
                  <w:pPr>
                    <w:jc w:val="right"/>
                    <w:rPr>
                      <w:b/>
                      <w:bCs/>
                      <w:i/>
                      <w:iCs/>
                      <w:color w:val="000000"/>
                      <w:sz w:val="20"/>
                    </w:rPr>
                  </w:pPr>
                  <w:r w:rsidRPr="00182AF7">
                    <w:rPr>
                      <w:b/>
                      <w:bCs/>
                      <w:i/>
                      <w:iCs/>
                      <w:color w:val="000000"/>
                      <w:sz w:val="20"/>
                    </w:rPr>
                    <w:t xml:space="preserve">$545,257 </w:t>
                  </w:r>
                </w:p>
              </w:tc>
            </w:tr>
            <w:tr w14:paraId="54C0C63D" w14:textId="77777777" w:rsidTr="00182AF7">
              <w:tblPrEx>
                <w:tblW w:w="12960" w:type="dxa"/>
                <w:tblLayout w:type="fixed"/>
                <w:tblLook w:val="04A0"/>
              </w:tblPrEx>
              <w:trPr>
                <w:trHeight w:val="56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547B6040" w14:textId="77777777">
                  <w:pPr>
                    <w:rPr>
                      <w:b/>
                      <w:bCs/>
                      <w:color w:val="000000"/>
                      <w:sz w:val="20"/>
                    </w:rPr>
                  </w:pPr>
                  <w:r w:rsidRPr="00182AF7">
                    <w:rPr>
                      <w:b/>
                      <w:bCs/>
                      <w:color w:val="000000"/>
                      <w:sz w:val="20"/>
                    </w:rPr>
                    <w:t xml:space="preserve">Total Labor Burden and Cost (rounded) </w:t>
                  </w:r>
                  <w:r w:rsidRPr="00182AF7">
                    <w:rPr>
                      <w:b/>
                      <w:bCs/>
                      <w:color w:val="000000"/>
                      <w:sz w:val="20"/>
                      <w:vertAlign w:val="superscript"/>
                    </w:rPr>
                    <w:t>f</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1C2861E0" w14:textId="77777777">
                  <w:pPr>
                    <w:jc w:val="right"/>
                    <w:rPr>
                      <w:b/>
                      <w:bCs/>
                      <w:color w:val="000000"/>
                      <w:sz w:val="20"/>
                    </w:rPr>
                  </w:pPr>
                  <w:r w:rsidRPr="00182AF7">
                    <w:rPr>
                      <w:b/>
                      <w:b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543F940F" w14:textId="77777777">
                  <w:pPr>
                    <w:jc w:val="center"/>
                    <w:rPr>
                      <w:b/>
                      <w:bCs/>
                      <w:sz w:val="20"/>
                    </w:rPr>
                  </w:pPr>
                  <w:r w:rsidRPr="00182AF7">
                    <w:rPr>
                      <w:b/>
                      <w:b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261FDA71" w14:textId="77777777">
                  <w:pPr>
                    <w:jc w:val="right"/>
                    <w:rPr>
                      <w:b/>
                      <w:bCs/>
                      <w:color w:val="000000"/>
                      <w:sz w:val="20"/>
                    </w:rPr>
                  </w:pPr>
                  <w:r w:rsidRPr="00182AF7">
                    <w:rPr>
                      <w:b/>
                      <w:bCs/>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182AF7" w:rsidRPr="00182AF7" w:rsidP="00182AF7" w14:paraId="2F0BF678" w14:textId="77777777">
                  <w:pPr>
                    <w:jc w:val="right"/>
                    <w:rPr>
                      <w:b/>
                      <w:bCs/>
                      <w:sz w:val="20"/>
                    </w:rPr>
                  </w:pPr>
                  <w:r w:rsidRPr="00182AF7">
                    <w:rPr>
                      <w:b/>
                      <w:bCs/>
                      <w:sz w:val="20"/>
                    </w:rPr>
                    <w:t> </w:t>
                  </w:r>
                </w:p>
              </w:tc>
              <w:tc>
                <w:tcPr>
                  <w:tcW w:w="3700" w:type="dxa"/>
                  <w:gridSpan w:val="3"/>
                  <w:tcBorders>
                    <w:top w:val="single" w:sz="4" w:space="0" w:color="auto"/>
                    <w:left w:val="nil"/>
                    <w:bottom w:val="single" w:sz="4" w:space="0" w:color="auto"/>
                    <w:right w:val="single" w:sz="4" w:space="0" w:color="auto"/>
                  </w:tcBorders>
                  <w:shd w:val="clear" w:color="auto" w:fill="auto"/>
                  <w:vAlign w:val="center"/>
                  <w:hideMark/>
                </w:tcPr>
                <w:p w:rsidR="00182AF7" w:rsidRPr="00182AF7" w:rsidP="00182AF7" w14:paraId="78FB3621" w14:textId="77777777">
                  <w:pPr>
                    <w:jc w:val="center"/>
                    <w:rPr>
                      <w:b/>
                      <w:bCs/>
                      <w:color w:val="000000"/>
                      <w:sz w:val="20"/>
                    </w:rPr>
                  </w:pPr>
                  <w:r w:rsidRPr="00182AF7">
                    <w:rPr>
                      <w:b/>
                      <w:bCs/>
                      <w:color w:val="000000"/>
                      <w:sz w:val="20"/>
                    </w:rPr>
                    <w:t>10,200</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58587657" w14:textId="77777777">
                  <w:pPr>
                    <w:jc w:val="right"/>
                    <w:rPr>
                      <w:b/>
                      <w:bCs/>
                      <w:color w:val="000000"/>
                      <w:sz w:val="20"/>
                    </w:rPr>
                  </w:pPr>
                  <w:r w:rsidRPr="00182AF7">
                    <w:rPr>
                      <w:b/>
                      <w:bCs/>
                      <w:color w:val="000000"/>
                      <w:sz w:val="20"/>
                    </w:rPr>
                    <w:t xml:space="preserve">$1,260,000 </w:t>
                  </w:r>
                </w:p>
              </w:tc>
            </w:tr>
            <w:tr w14:paraId="4603D23E" w14:textId="77777777" w:rsidTr="00182AF7">
              <w:tblPrEx>
                <w:tblW w:w="12960" w:type="dxa"/>
                <w:tblLayout w:type="fixed"/>
                <w:tblLook w:val="04A0"/>
              </w:tblPrEx>
              <w:trPr>
                <w:trHeight w:val="56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0281FBD0" w14:textId="77777777">
                  <w:pPr>
                    <w:rPr>
                      <w:b/>
                      <w:bCs/>
                      <w:sz w:val="20"/>
                    </w:rPr>
                  </w:pPr>
                  <w:r w:rsidRPr="00182AF7">
                    <w:rPr>
                      <w:b/>
                      <w:bCs/>
                      <w:sz w:val="20"/>
                    </w:rPr>
                    <w:t xml:space="preserve">Total Capital and O&amp;M Cost (rounded) </w:t>
                  </w:r>
                  <w:r w:rsidRPr="00182AF7">
                    <w:rPr>
                      <w:b/>
                      <w:bCs/>
                      <w:sz w:val="20"/>
                      <w:vertAlign w:val="superscript"/>
                    </w:rPr>
                    <w:t>f</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4FA61262" w14:textId="77777777">
                  <w:pPr>
                    <w:jc w:val="right"/>
                    <w:rPr>
                      <w:color w:val="000000"/>
                      <w:sz w:val="20"/>
                    </w:rPr>
                  </w:pPr>
                  <w:r w:rsidRPr="00182AF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311C1FCF" w14:textId="77777777">
                  <w:pPr>
                    <w:jc w:val="right"/>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1EFD0964" w14:textId="77777777">
                  <w:pPr>
                    <w:jc w:val="right"/>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182AF7" w:rsidRPr="00182AF7" w:rsidP="00182AF7" w14:paraId="6C5DF5DA" w14:textId="77777777">
                  <w:pPr>
                    <w:jc w:val="right"/>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6BAD92B2" w14:textId="77777777">
                  <w:pPr>
                    <w:jc w:val="right"/>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7CE1A315"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773A5689"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1416B3FE" w14:textId="77777777">
                  <w:pPr>
                    <w:jc w:val="right"/>
                    <w:rPr>
                      <w:b/>
                      <w:bCs/>
                      <w:color w:val="000000"/>
                      <w:sz w:val="20"/>
                    </w:rPr>
                  </w:pPr>
                  <w:r w:rsidRPr="00182AF7">
                    <w:rPr>
                      <w:b/>
                      <w:bCs/>
                      <w:color w:val="000000"/>
                      <w:sz w:val="20"/>
                    </w:rPr>
                    <w:t xml:space="preserve">$0 </w:t>
                  </w:r>
                </w:p>
              </w:tc>
            </w:tr>
            <w:tr w14:paraId="216C446B" w14:textId="77777777" w:rsidTr="00182AF7">
              <w:tblPrEx>
                <w:tblW w:w="12960" w:type="dxa"/>
                <w:tblLayout w:type="fixed"/>
                <w:tblLook w:val="04A0"/>
              </w:tblPrEx>
              <w:trPr>
                <w:trHeight w:val="30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182AF7" w:rsidRPr="00182AF7" w:rsidP="00182AF7" w14:paraId="1BA56C7E" w14:textId="77777777">
                  <w:pPr>
                    <w:rPr>
                      <w:b/>
                      <w:bCs/>
                      <w:sz w:val="20"/>
                    </w:rPr>
                  </w:pPr>
                  <w:r w:rsidRPr="00182AF7">
                    <w:rPr>
                      <w:b/>
                      <w:bCs/>
                      <w:sz w:val="20"/>
                    </w:rPr>
                    <w:t xml:space="preserve">Grand TOTAL (rounded) </w:t>
                  </w:r>
                  <w:r w:rsidRPr="00182AF7">
                    <w:rPr>
                      <w:b/>
                      <w:bCs/>
                      <w:sz w:val="20"/>
                      <w:vertAlign w:val="superscript"/>
                    </w:rPr>
                    <w:t>f</w:t>
                  </w:r>
                </w:p>
              </w:tc>
              <w:tc>
                <w:tcPr>
                  <w:tcW w:w="1120" w:type="dxa"/>
                  <w:tcBorders>
                    <w:top w:val="nil"/>
                    <w:left w:val="nil"/>
                    <w:bottom w:val="single" w:sz="4" w:space="0" w:color="auto"/>
                    <w:right w:val="single" w:sz="4" w:space="0" w:color="auto"/>
                  </w:tcBorders>
                  <w:shd w:val="clear" w:color="auto" w:fill="auto"/>
                  <w:vAlign w:val="center"/>
                  <w:hideMark/>
                </w:tcPr>
                <w:p w:rsidR="00182AF7" w:rsidRPr="00182AF7" w:rsidP="00182AF7" w14:paraId="343FDAB1" w14:textId="77777777">
                  <w:pPr>
                    <w:jc w:val="right"/>
                    <w:rPr>
                      <w:color w:val="000000"/>
                      <w:sz w:val="20"/>
                    </w:rPr>
                  </w:pPr>
                  <w:r w:rsidRPr="00182AF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182AF7" w:rsidRPr="00182AF7" w:rsidP="00182AF7" w14:paraId="10B585A1" w14:textId="77777777">
                  <w:pPr>
                    <w:jc w:val="right"/>
                    <w:rPr>
                      <w:sz w:val="20"/>
                    </w:rPr>
                  </w:pPr>
                  <w:r w:rsidRPr="00182AF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182AF7" w:rsidRPr="00182AF7" w:rsidP="00182AF7" w14:paraId="1ED4365A" w14:textId="77777777">
                  <w:pPr>
                    <w:jc w:val="right"/>
                    <w:rPr>
                      <w:color w:val="000000"/>
                      <w:sz w:val="20"/>
                    </w:rPr>
                  </w:pPr>
                  <w:r w:rsidRPr="00182AF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182AF7" w:rsidRPr="00182AF7" w:rsidP="00182AF7" w14:paraId="4E35CB66" w14:textId="77777777">
                  <w:pPr>
                    <w:jc w:val="right"/>
                    <w:rPr>
                      <w:sz w:val="20"/>
                    </w:rPr>
                  </w:pPr>
                  <w:r w:rsidRPr="00182AF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182AF7" w:rsidRPr="00182AF7" w:rsidP="00182AF7" w14:paraId="00C8E472" w14:textId="77777777">
                  <w:pPr>
                    <w:jc w:val="right"/>
                    <w:rPr>
                      <w:color w:val="000000"/>
                      <w:sz w:val="20"/>
                    </w:rPr>
                  </w:pPr>
                  <w:r w:rsidRPr="00182AF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182AF7" w:rsidRPr="00182AF7" w:rsidP="00182AF7" w14:paraId="35F09B78"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6A890AF5" w14:textId="77777777">
                  <w:pPr>
                    <w:jc w:val="right"/>
                    <w:rPr>
                      <w:color w:val="000000"/>
                      <w:sz w:val="20"/>
                    </w:rPr>
                  </w:pPr>
                  <w:r w:rsidRPr="00182AF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182AF7" w:rsidRPr="00182AF7" w:rsidP="00182AF7" w14:paraId="26763F6F" w14:textId="77777777">
                  <w:pPr>
                    <w:jc w:val="right"/>
                    <w:rPr>
                      <w:b/>
                      <w:bCs/>
                      <w:color w:val="000000"/>
                      <w:sz w:val="20"/>
                    </w:rPr>
                  </w:pPr>
                  <w:r w:rsidRPr="00182AF7">
                    <w:rPr>
                      <w:b/>
                      <w:bCs/>
                      <w:color w:val="000000"/>
                      <w:sz w:val="20"/>
                    </w:rPr>
                    <w:t xml:space="preserve">$1,300,000 </w:t>
                  </w:r>
                </w:p>
              </w:tc>
            </w:tr>
            <w:tr w14:paraId="5D8C97AF" w14:textId="77777777" w:rsidTr="00182AF7">
              <w:tblPrEx>
                <w:tblW w:w="12960" w:type="dxa"/>
                <w:tblLayout w:type="fixed"/>
                <w:tblLook w:val="04A0"/>
              </w:tblPrEx>
              <w:trPr>
                <w:trHeight w:val="133"/>
              </w:trPr>
              <w:tc>
                <w:tcPr>
                  <w:tcW w:w="2980" w:type="dxa"/>
                  <w:tcBorders>
                    <w:top w:val="nil"/>
                    <w:left w:val="nil"/>
                    <w:bottom w:val="nil"/>
                    <w:right w:val="nil"/>
                  </w:tcBorders>
                  <w:shd w:val="clear" w:color="auto" w:fill="auto"/>
                  <w:noWrap/>
                  <w:vAlign w:val="bottom"/>
                  <w:hideMark/>
                </w:tcPr>
                <w:p w:rsidR="00182AF7" w:rsidRPr="00182AF7" w:rsidP="00182AF7" w14:paraId="51896E19" w14:textId="77777777">
                  <w:pPr>
                    <w:jc w:val="right"/>
                    <w:rPr>
                      <w:b/>
                      <w:bCs/>
                      <w:color w:val="000000"/>
                      <w:sz w:val="20"/>
                    </w:rPr>
                  </w:pPr>
                </w:p>
              </w:tc>
              <w:tc>
                <w:tcPr>
                  <w:tcW w:w="1120" w:type="dxa"/>
                  <w:tcBorders>
                    <w:top w:val="nil"/>
                    <w:left w:val="nil"/>
                    <w:bottom w:val="nil"/>
                    <w:right w:val="nil"/>
                  </w:tcBorders>
                  <w:shd w:val="clear" w:color="auto" w:fill="auto"/>
                  <w:noWrap/>
                  <w:vAlign w:val="bottom"/>
                  <w:hideMark/>
                </w:tcPr>
                <w:p w:rsidR="00182AF7" w:rsidRPr="00182AF7" w:rsidP="00182AF7" w14:paraId="20519BE3" w14:textId="77777777">
                  <w:pPr>
                    <w:rPr>
                      <w:sz w:val="20"/>
                    </w:rPr>
                  </w:pPr>
                </w:p>
              </w:tc>
              <w:tc>
                <w:tcPr>
                  <w:tcW w:w="1320" w:type="dxa"/>
                  <w:tcBorders>
                    <w:top w:val="nil"/>
                    <w:left w:val="nil"/>
                    <w:bottom w:val="nil"/>
                    <w:right w:val="nil"/>
                  </w:tcBorders>
                  <w:shd w:val="clear" w:color="auto" w:fill="auto"/>
                  <w:noWrap/>
                  <w:vAlign w:val="bottom"/>
                  <w:hideMark/>
                </w:tcPr>
                <w:p w:rsidR="00182AF7" w:rsidRPr="00182AF7" w:rsidP="00182AF7" w14:paraId="75D60F08" w14:textId="77777777">
                  <w:pPr>
                    <w:rPr>
                      <w:sz w:val="20"/>
                    </w:rPr>
                  </w:pPr>
                </w:p>
              </w:tc>
              <w:tc>
                <w:tcPr>
                  <w:tcW w:w="1240" w:type="dxa"/>
                  <w:tcBorders>
                    <w:top w:val="nil"/>
                    <w:left w:val="nil"/>
                    <w:bottom w:val="nil"/>
                    <w:right w:val="nil"/>
                  </w:tcBorders>
                  <w:shd w:val="clear" w:color="auto" w:fill="auto"/>
                  <w:noWrap/>
                  <w:vAlign w:val="bottom"/>
                  <w:hideMark/>
                </w:tcPr>
                <w:p w:rsidR="00182AF7" w:rsidRPr="00182AF7" w:rsidP="00182AF7" w14:paraId="300B8F42" w14:textId="77777777">
                  <w:pPr>
                    <w:rPr>
                      <w:sz w:val="20"/>
                    </w:rPr>
                  </w:pPr>
                </w:p>
              </w:tc>
              <w:tc>
                <w:tcPr>
                  <w:tcW w:w="1340" w:type="dxa"/>
                  <w:tcBorders>
                    <w:top w:val="nil"/>
                    <w:left w:val="nil"/>
                    <w:bottom w:val="nil"/>
                    <w:right w:val="nil"/>
                  </w:tcBorders>
                  <w:shd w:val="clear" w:color="auto" w:fill="auto"/>
                  <w:noWrap/>
                  <w:vAlign w:val="bottom"/>
                  <w:hideMark/>
                </w:tcPr>
                <w:p w:rsidR="00182AF7" w:rsidRPr="00182AF7" w:rsidP="00182AF7" w14:paraId="46839970" w14:textId="77777777">
                  <w:pPr>
                    <w:rPr>
                      <w:sz w:val="20"/>
                    </w:rPr>
                  </w:pPr>
                </w:p>
              </w:tc>
              <w:tc>
                <w:tcPr>
                  <w:tcW w:w="1160" w:type="dxa"/>
                  <w:tcBorders>
                    <w:top w:val="nil"/>
                    <w:left w:val="nil"/>
                    <w:bottom w:val="nil"/>
                    <w:right w:val="nil"/>
                  </w:tcBorders>
                  <w:shd w:val="clear" w:color="auto" w:fill="auto"/>
                  <w:noWrap/>
                  <w:vAlign w:val="bottom"/>
                  <w:hideMark/>
                </w:tcPr>
                <w:p w:rsidR="00182AF7" w:rsidRPr="00182AF7" w:rsidP="00182AF7" w14:paraId="41A23BF3" w14:textId="77777777">
                  <w:pPr>
                    <w:rPr>
                      <w:sz w:val="20"/>
                    </w:rPr>
                  </w:pPr>
                </w:p>
              </w:tc>
              <w:tc>
                <w:tcPr>
                  <w:tcW w:w="1280" w:type="dxa"/>
                  <w:tcBorders>
                    <w:top w:val="nil"/>
                    <w:left w:val="nil"/>
                    <w:bottom w:val="nil"/>
                    <w:right w:val="nil"/>
                  </w:tcBorders>
                  <w:shd w:val="clear" w:color="auto" w:fill="auto"/>
                  <w:noWrap/>
                  <w:vAlign w:val="bottom"/>
                  <w:hideMark/>
                </w:tcPr>
                <w:p w:rsidR="00182AF7" w:rsidRPr="00182AF7" w:rsidP="00182AF7" w14:paraId="07E2A017" w14:textId="77777777">
                  <w:pPr>
                    <w:rPr>
                      <w:sz w:val="20"/>
                    </w:rPr>
                  </w:pPr>
                </w:p>
              </w:tc>
              <w:tc>
                <w:tcPr>
                  <w:tcW w:w="1260" w:type="dxa"/>
                  <w:tcBorders>
                    <w:top w:val="nil"/>
                    <w:left w:val="nil"/>
                    <w:bottom w:val="nil"/>
                    <w:right w:val="nil"/>
                  </w:tcBorders>
                  <w:shd w:val="clear" w:color="auto" w:fill="auto"/>
                  <w:noWrap/>
                  <w:vAlign w:val="bottom"/>
                  <w:hideMark/>
                </w:tcPr>
                <w:p w:rsidR="00182AF7" w:rsidRPr="00182AF7" w:rsidP="00182AF7" w14:paraId="1C24386C" w14:textId="77777777">
                  <w:pPr>
                    <w:rPr>
                      <w:sz w:val="20"/>
                    </w:rPr>
                  </w:pPr>
                </w:p>
              </w:tc>
              <w:tc>
                <w:tcPr>
                  <w:tcW w:w="1260" w:type="dxa"/>
                  <w:tcBorders>
                    <w:top w:val="nil"/>
                    <w:left w:val="nil"/>
                    <w:bottom w:val="nil"/>
                    <w:right w:val="nil"/>
                  </w:tcBorders>
                  <w:shd w:val="clear" w:color="auto" w:fill="auto"/>
                  <w:noWrap/>
                  <w:vAlign w:val="bottom"/>
                  <w:hideMark/>
                </w:tcPr>
                <w:p w:rsidR="00182AF7" w:rsidRPr="00182AF7" w:rsidP="00182AF7" w14:paraId="34954533" w14:textId="77777777">
                  <w:pPr>
                    <w:rPr>
                      <w:sz w:val="20"/>
                    </w:rPr>
                  </w:pPr>
                </w:p>
              </w:tc>
            </w:tr>
            <w:tr w14:paraId="2CB36D8B" w14:textId="77777777" w:rsidTr="00182AF7">
              <w:tblPrEx>
                <w:tblW w:w="12960" w:type="dxa"/>
                <w:tblLayout w:type="fixed"/>
                <w:tblLook w:val="04A0"/>
              </w:tblPrEx>
              <w:trPr>
                <w:trHeight w:val="390"/>
              </w:trPr>
              <w:tc>
                <w:tcPr>
                  <w:tcW w:w="12960" w:type="dxa"/>
                  <w:gridSpan w:val="9"/>
                  <w:tcBorders>
                    <w:top w:val="nil"/>
                    <w:left w:val="nil"/>
                    <w:bottom w:val="nil"/>
                    <w:right w:val="nil"/>
                  </w:tcBorders>
                  <w:shd w:val="clear" w:color="auto" w:fill="auto"/>
                  <w:vAlign w:val="center"/>
                  <w:hideMark/>
                </w:tcPr>
                <w:p w:rsidR="00182AF7" w:rsidRPr="00182AF7" w:rsidP="00182AF7" w14:paraId="75A3EC76" w14:textId="77777777">
                  <w:pPr>
                    <w:rPr>
                      <w:color w:val="000000"/>
                      <w:sz w:val="20"/>
                    </w:rPr>
                  </w:pPr>
                  <w:r w:rsidRPr="00182AF7">
                    <w:rPr>
                      <w:color w:val="000000"/>
                      <w:sz w:val="20"/>
                      <w:vertAlign w:val="superscript"/>
                    </w:rPr>
                    <w:t>a</w:t>
                  </w:r>
                  <w:r w:rsidRPr="00182AF7">
                    <w:rPr>
                      <w:color w:val="000000"/>
                      <w:sz w:val="20"/>
                    </w:rPr>
                    <w:t xml:space="preserve">  We have assumed that there are approximately 2847 RICE units and that 10% of the existing units will have new construction/reconstruction.</w:t>
                  </w:r>
                </w:p>
              </w:tc>
            </w:tr>
            <w:tr w14:paraId="58418E66" w14:textId="77777777" w:rsidTr="00182AF7">
              <w:tblPrEx>
                <w:tblW w:w="12960" w:type="dxa"/>
                <w:tblLayout w:type="fixed"/>
                <w:tblLook w:val="04A0"/>
              </w:tblPrEx>
              <w:trPr>
                <w:trHeight w:val="1470"/>
              </w:trPr>
              <w:tc>
                <w:tcPr>
                  <w:tcW w:w="12960" w:type="dxa"/>
                  <w:gridSpan w:val="9"/>
                  <w:tcBorders>
                    <w:top w:val="nil"/>
                    <w:left w:val="nil"/>
                    <w:bottom w:val="nil"/>
                    <w:right w:val="nil"/>
                  </w:tcBorders>
                  <w:shd w:val="clear" w:color="auto" w:fill="auto"/>
                  <w:vAlign w:val="bottom"/>
                  <w:hideMark/>
                </w:tcPr>
                <w:p w:rsidR="00182AF7" w:rsidRPr="00182AF7" w:rsidP="00182AF7" w14:paraId="7A7E3EF1" w14:textId="77777777">
                  <w:pPr>
                    <w:rPr>
                      <w:color w:val="000000"/>
                      <w:sz w:val="20"/>
                    </w:rPr>
                  </w:pPr>
                  <w:r w:rsidRPr="00182AF7">
                    <w:rPr>
                      <w:color w:val="000000"/>
                      <w:sz w:val="20"/>
                      <w:vertAlign w:val="superscript"/>
                    </w:rPr>
                    <w:t>b</w:t>
                  </w:r>
                  <w:r w:rsidRPr="00182AF7">
                    <w:rPr>
                      <w:color w:val="000000"/>
                      <w:sz w:val="20"/>
                    </w:rPr>
                    <w:t xml:space="preserve">  This ICR uses the following labor rates: $161.62 per hour for Executive, Administrative, and Managerial labor; $127.68 per hour for Technical labor, and $64.22 per hour for Clerical labor.  These rates are from the United States Department of Labor, Bureau of Labor Statistics, June 2022, “Table 2. Civilian Workers, by Occupational and Industry group.”  The rates are from column 1, “Total Compensation.”  The rates have been increased by 110 percent to account for the benefit packages available to those employed by private industry.  Archived report releases can be accessed from https://www.bls.gov/bls/news-release/ecec.htm#2021;  from homepage, select Economic Releases, Archived News Releases, Employer Costs for Employee Compensation, Select a past year, Select a published report.</w:t>
                  </w:r>
                </w:p>
              </w:tc>
            </w:tr>
            <w:tr w14:paraId="44E47950" w14:textId="77777777" w:rsidTr="00182AF7">
              <w:tblPrEx>
                <w:tblW w:w="12960" w:type="dxa"/>
                <w:tblLayout w:type="fixed"/>
                <w:tblLook w:val="04A0"/>
              </w:tblPrEx>
              <w:trPr>
                <w:trHeight w:val="310"/>
              </w:trPr>
              <w:tc>
                <w:tcPr>
                  <w:tcW w:w="12960" w:type="dxa"/>
                  <w:gridSpan w:val="9"/>
                  <w:tcBorders>
                    <w:top w:val="nil"/>
                    <w:left w:val="nil"/>
                    <w:bottom w:val="nil"/>
                    <w:right w:val="nil"/>
                  </w:tcBorders>
                  <w:shd w:val="clear" w:color="auto" w:fill="auto"/>
                  <w:vAlign w:val="center"/>
                  <w:hideMark/>
                </w:tcPr>
                <w:p w:rsidR="00182AF7" w:rsidRPr="00182AF7" w:rsidP="00182AF7" w14:paraId="6600B9CA" w14:textId="77777777">
                  <w:pPr>
                    <w:rPr>
                      <w:color w:val="000000"/>
                      <w:sz w:val="20"/>
                    </w:rPr>
                  </w:pPr>
                  <w:r w:rsidRPr="00182AF7">
                    <w:rPr>
                      <w:color w:val="000000"/>
                      <w:sz w:val="20"/>
                      <w:vertAlign w:val="superscript"/>
                    </w:rPr>
                    <w:t>c</w:t>
                  </w:r>
                  <w:r w:rsidRPr="00182AF7">
                    <w:rPr>
                      <w:color w:val="000000"/>
                      <w:sz w:val="20"/>
                    </w:rPr>
                    <w:t xml:space="preserve">  New RICE CPMS performance evaluation conducted annually. We have assumed that 5 percent of respondents would repeat annual CPMS performance evaluation due to failure.</w:t>
                  </w:r>
                </w:p>
              </w:tc>
            </w:tr>
            <w:tr w14:paraId="2CF68282" w14:textId="77777777" w:rsidTr="00182AF7">
              <w:tblPrEx>
                <w:tblW w:w="12960" w:type="dxa"/>
                <w:tblLayout w:type="fixed"/>
                <w:tblLook w:val="04A0"/>
              </w:tblPrEx>
              <w:trPr>
                <w:trHeight w:val="375"/>
              </w:trPr>
              <w:tc>
                <w:tcPr>
                  <w:tcW w:w="12960" w:type="dxa"/>
                  <w:gridSpan w:val="9"/>
                  <w:tcBorders>
                    <w:top w:val="nil"/>
                    <w:left w:val="nil"/>
                    <w:bottom w:val="nil"/>
                    <w:right w:val="nil"/>
                  </w:tcBorders>
                  <w:shd w:val="clear" w:color="auto" w:fill="auto"/>
                  <w:vAlign w:val="center"/>
                  <w:hideMark/>
                </w:tcPr>
                <w:p w:rsidR="00182AF7" w:rsidRPr="00182AF7" w:rsidP="00182AF7" w14:paraId="0C0EC05E" w14:textId="77777777">
                  <w:pPr>
                    <w:rPr>
                      <w:sz w:val="20"/>
                    </w:rPr>
                  </w:pPr>
                  <w:r w:rsidRPr="00182AF7">
                    <w:rPr>
                      <w:sz w:val="20"/>
                      <w:vertAlign w:val="superscript"/>
                    </w:rPr>
                    <w:t>d</w:t>
                  </w:r>
                  <w:r w:rsidRPr="00182AF7">
                    <w:rPr>
                      <w:sz w:val="20"/>
                    </w:rPr>
                    <w:t xml:space="preserve">  We have assumed that 5 percent of respondents would repeat annual CPMS performance evaluation due to failure.</w:t>
                  </w:r>
                </w:p>
              </w:tc>
            </w:tr>
            <w:tr w14:paraId="09406FE4" w14:textId="77777777" w:rsidTr="00182AF7">
              <w:tblPrEx>
                <w:tblW w:w="12960" w:type="dxa"/>
                <w:tblLayout w:type="fixed"/>
                <w:tblLook w:val="04A0"/>
              </w:tblPrEx>
              <w:trPr>
                <w:trHeight w:val="310"/>
              </w:trPr>
              <w:tc>
                <w:tcPr>
                  <w:tcW w:w="12960" w:type="dxa"/>
                  <w:gridSpan w:val="9"/>
                  <w:tcBorders>
                    <w:top w:val="nil"/>
                    <w:left w:val="nil"/>
                    <w:bottom w:val="nil"/>
                    <w:right w:val="nil"/>
                  </w:tcBorders>
                  <w:shd w:val="clear" w:color="auto" w:fill="auto"/>
                  <w:noWrap/>
                  <w:vAlign w:val="center"/>
                  <w:hideMark/>
                </w:tcPr>
                <w:p w:rsidR="00182AF7" w:rsidRPr="00182AF7" w:rsidP="00182AF7" w14:paraId="07F97D16" w14:textId="77777777">
                  <w:pPr>
                    <w:rPr>
                      <w:color w:val="000000"/>
                      <w:sz w:val="20"/>
                    </w:rPr>
                  </w:pPr>
                  <w:r w:rsidRPr="00182AF7">
                    <w:rPr>
                      <w:color w:val="000000"/>
                      <w:sz w:val="20"/>
                      <w:vertAlign w:val="superscript"/>
                    </w:rPr>
                    <w:t>e</w:t>
                  </w:r>
                  <w:r w:rsidRPr="00182AF7">
                    <w:rPr>
                      <w:color w:val="000000"/>
                      <w:sz w:val="20"/>
                    </w:rPr>
                    <w:t xml:space="preserve">  Calibration drift checks on the air flow sensor on the NOx CEMS are performed daily. </w:t>
                  </w:r>
                </w:p>
              </w:tc>
            </w:tr>
            <w:tr w14:paraId="154A1E45" w14:textId="77777777" w:rsidTr="00182AF7">
              <w:tblPrEx>
                <w:tblW w:w="12960" w:type="dxa"/>
                <w:tblLayout w:type="fixed"/>
                <w:tblLook w:val="04A0"/>
              </w:tblPrEx>
              <w:trPr>
                <w:trHeight w:val="410"/>
              </w:trPr>
              <w:tc>
                <w:tcPr>
                  <w:tcW w:w="12960" w:type="dxa"/>
                  <w:gridSpan w:val="9"/>
                  <w:tcBorders>
                    <w:top w:val="nil"/>
                    <w:left w:val="nil"/>
                    <w:bottom w:val="nil"/>
                    <w:right w:val="nil"/>
                  </w:tcBorders>
                  <w:shd w:val="clear" w:color="auto" w:fill="auto"/>
                  <w:hideMark/>
                </w:tcPr>
                <w:p w:rsidR="00182AF7" w:rsidRPr="00182AF7" w:rsidP="00182AF7" w14:paraId="08112877" w14:textId="77777777">
                  <w:pPr>
                    <w:rPr>
                      <w:color w:val="000000"/>
                      <w:sz w:val="20"/>
                    </w:rPr>
                  </w:pPr>
                  <w:r w:rsidRPr="00182AF7">
                    <w:rPr>
                      <w:color w:val="000000"/>
                      <w:sz w:val="20"/>
                      <w:vertAlign w:val="superscript"/>
                    </w:rPr>
                    <w:t>f</w:t>
                  </w:r>
                  <w:r w:rsidRPr="00182AF7">
                    <w:rPr>
                      <w:color w:val="000000"/>
                      <w:sz w:val="20"/>
                    </w:rPr>
                    <w:t xml:space="preserve">  Totals have been rounded to 3 significant figures.  Figures may not add exactly due to rounding.</w:t>
                  </w:r>
                </w:p>
              </w:tc>
            </w:tr>
            <w:tr w14:paraId="33252A33" w14:textId="77777777" w:rsidTr="00182AF7">
              <w:tblPrEx>
                <w:tblW w:w="12960" w:type="dxa"/>
                <w:tblLayout w:type="fixed"/>
                <w:tblLook w:val="04A0"/>
              </w:tblPrEx>
              <w:trPr>
                <w:trHeight w:val="470"/>
              </w:trPr>
              <w:tc>
                <w:tcPr>
                  <w:tcW w:w="12960" w:type="dxa"/>
                  <w:gridSpan w:val="9"/>
                  <w:tcBorders>
                    <w:top w:val="nil"/>
                    <w:left w:val="nil"/>
                    <w:bottom w:val="nil"/>
                    <w:right w:val="nil"/>
                  </w:tcBorders>
                  <w:shd w:val="clear" w:color="auto" w:fill="auto"/>
                  <w:hideMark/>
                </w:tcPr>
                <w:p w:rsidR="00182AF7" w:rsidRPr="00182AF7" w:rsidP="00182AF7" w14:paraId="57780A04" w14:textId="77777777">
                  <w:pPr>
                    <w:rPr>
                      <w:color w:val="000000"/>
                      <w:sz w:val="20"/>
                    </w:rPr>
                  </w:pPr>
                  <w:r w:rsidRPr="00182AF7">
                    <w:rPr>
                      <w:color w:val="000000"/>
                      <w:sz w:val="20"/>
                      <w:vertAlign w:val="superscript"/>
                    </w:rPr>
                    <w:t>g</w:t>
                  </w:r>
                  <w:r w:rsidRPr="00182AF7">
                    <w:rPr>
                      <w:color w:val="000000"/>
                      <w:sz w:val="20"/>
                    </w:rPr>
                    <w:t xml:space="preserve">  "Hours per Occurrence" based on RICE MACT uploaded to regulations.gov on February 25, 2020.</w:t>
                  </w:r>
                </w:p>
              </w:tc>
            </w:tr>
            <w:tr w14:paraId="675D0B41" w14:textId="77777777" w:rsidTr="00182AF7">
              <w:tblPrEx>
                <w:tblW w:w="12960" w:type="dxa"/>
                <w:tblLayout w:type="fixed"/>
                <w:tblLook w:val="04A0"/>
              </w:tblPrEx>
              <w:trPr>
                <w:trHeight w:val="1993"/>
              </w:trPr>
              <w:tc>
                <w:tcPr>
                  <w:tcW w:w="12960" w:type="dxa"/>
                  <w:gridSpan w:val="9"/>
                  <w:tcBorders>
                    <w:top w:val="nil"/>
                    <w:left w:val="nil"/>
                    <w:bottom w:val="nil"/>
                    <w:right w:val="nil"/>
                  </w:tcBorders>
                  <w:shd w:val="clear" w:color="auto" w:fill="auto"/>
                  <w:hideMark/>
                </w:tcPr>
                <w:p w:rsidR="00182AF7" w:rsidRPr="00182AF7" w:rsidP="00182AF7" w14:paraId="33D0ABD6" w14:textId="77777777">
                  <w:pPr>
                    <w:rPr>
                      <w:color w:val="000000"/>
                      <w:sz w:val="20"/>
                    </w:rPr>
                  </w:pPr>
                  <w:r w:rsidRPr="00182AF7">
                    <w:rPr>
                      <w:color w:val="000000"/>
                      <w:sz w:val="20"/>
                      <w:vertAlign w:val="superscript"/>
                    </w:rPr>
                    <w:t>h</w:t>
                  </w:r>
                  <w:r w:rsidRPr="00182AF7">
                    <w:rPr>
                      <w:color w:val="000000"/>
                      <w:sz w:val="20"/>
                    </w:rPr>
                    <w:t xml:space="preserve">  RICE engines required to conduct initial and annual NOx performance testing is based upon an estimated count of non-EPA-Certified Engines per 40 CFR part 60, subpart JJJJ.  An estimated count of EPA-Certified Engines of 1,594 (56% of affected engines) was determined from 2019 NEI data using the criteria of certification requirements referenced in 40 CFR part 60, subpart JJJJ, § 60.4243(a).  An estimated count of non-certified engines of 1,253 (44% of affected engines) was based upon the stated Unit Status Year data available from 2019 NEI dataset for units expecting to be controlled.  The estimated 1,253 non-certified engines was found to be in alignment with EPA's estimated number of engines (2,100) which were determined to be below the 21 tpy threshold of the facility-wide averaging plan's engine analysis as described in EPA's final non-EGU TSD.  This estimate is expected for engines subject to NSPS subpart JJJJ operating at a lower g/hp-hr emissions thresholds.</w:t>
                  </w:r>
                </w:p>
              </w:tc>
            </w:tr>
          </w:tbl>
          <w:p w:rsidR="000405A7" w:rsidRPr="004E6FDE" w:rsidP="00182AF7" w14:paraId="21FD69D7" w14:textId="77777777">
            <w:pPr>
              <w:rPr>
                <w:b/>
                <w:bCs/>
                <w:szCs w:val="24"/>
              </w:rPr>
            </w:pPr>
          </w:p>
          <w:p w:rsidR="00D97A42" w:rsidRPr="00865747" w:rsidP="00865747" w14:paraId="1EDEE832" w14:textId="0AC8576A">
            <w:pPr>
              <w:rPr>
                <w:color w:val="000000"/>
                <w:sz w:val="20"/>
              </w:rPr>
            </w:pPr>
          </w:p>
        </w:tc>
      </w:tr>
      <w:tr w14:paraId="69016AF2" w14:textId="77777777" w:rsidTr="007A5A52">
        <w:tblPrEx>
          <w:tblW w:w="4941" w:type="pct"/>
          <w:tblInd w:w="5" w:type="dxa"/>
          <w:tblLayout w:type="fixed"/>
          <w:tblLook w:val="04A0"/>
        </w:tblPrEx>
        <w:trPr>
          <w:trHeight w:val="410"/>
        </w:trPr>
        <w:tc>
          <w:tcPr>
            <w:tcW w:w="5000" w:type="pct"/>
            <w:gridSpan w:val="2"/>
            <w:tcBorders>
              <w:top w:val="nil"/>
              <w:left w:val="nil"/>
              <w:bottom w:val="nil"/>
              <w:right w:val="nil"/>
            </w:tcBorders>
            <w:shd w:val="clear" w:color="auto" w:fill="auto"/>
            <w:hideMark/>
          </w:tcPr>
          <w:p w:rsidR="005C2AC7" w:rsidP="004E6FDE" w14:paraId="3B87D9DA" w14:textId="65BD4354">
            <w:pPr>
              <w:rPr>
                <w:color w:val="000000"/>
                <w:sz w:val="20"/>
              </w:rPr>
            </w:pPr>
          </w:p>
          <w:p w:rsidR="005C2AC7" w:rsidP="00036248" w14:paraId="28CCE421" w14:textId="20732E66">
            <w:pPr>
              <w:ind w:firstLine="153"/>
              <w:rPr>
                <w:b/>
                <w:bCs/>
                <w:szCs w:val="24"/>
              </w:rPr>
            </w:pPr>
            <w:r w:rsidRPr="00D17F6A">
              <w:rPr>
                <w:b/>
                <w:bCs/>
                <w:szCs w:val="24"/>
              </w:rPr>
              <w:t xml:space="preserve">Table </w:t>
            </w:r>
            <w:r>
              <w:rPr>
                <w:b/>
                <w:bCs/>
                <w:szCs w:val="24"/>
              </w:rPr>
              <w:t>4</w:t>
            </w:r>
            <w:r w:rsidRPr="00D17F6A">
              <w:rPr>
                <w:b/>
                <w:bCs/>
                <w:szCs w:val="24"/>
              </w:rPr>
              <w:t xml:space="preserve">: </w:t>
            </w:r>
            <w:r>
              <w:rPr>
                <w:b/>
                <w:bCs/>
                <w:szCs w:val="24"/>
              </w:rPr>
              <w:t xml:space="preserve">Annual </w:t>
            </w:r>
            <w:r w:rsidRPr="00D17F6A">
              <w:rPr>
                <w:b/>
                <w:bCs/>
                <w:szCs w:val="24"/>
              </w:rPr>
              <w:t xml:space="preserve">Respondent Burden and Cost – </w:t>
            </w:r>
            <w:r w:rsidR="00036248">
              <w:rPr>
                <w:b/>
                <w:bCs/>
                <w:szCs w:val="24"/>
              </w:rPr>
              <w:t>Cement and Concrete</w:t>
            </w:r>
            <w:r>
              <w:rPr>
                <w:b/>
                <w:bCs/>
                <w:szCs w:val="24"/>
              </w:rPr>
              <w:t xml:space="preserve"> Manufacturing</w:t>
            </w:r>
            <w:r w:rsidR="00036248">
              <w:rPr>
                <w:b/>
                <w:bCs/>
                <w:szCs w:val="24"/>
              </w:rPr>
              <w:t>, Year 1</w:t>
            </w:r>
          </w:p>
          <w:p w:rsidR="00036248" w:rsidP="00D2255A" w14:paraId="138E9290" w14:textId="015446D3">
            <w:pPr>
              <w:rPr>
                <w:b/>
                <w:bCs/>
                <w:szCs w:val="24"/>
              </w:rPr>
            </w:pPr>
          </w:p>
          <w:tbl>
            <w:tblPr>
              <w:tblW w:w="12860" w:type="dxa"/>
              <w:tblLayout w:type="fixed"/>
              <w:tblLook w:val="04A0"/>
            </w:tblPr>
            <w:tblGrid>
              <w:gridCol w:w="2600"/>
              <w:gridCol w:w="1120"/>
              <w:gridCol w:w="1320"/>
              <w:gridCol w:w="1240"/>
              <w:gridCol w:w="1340"/>
              <w:gridCol w:w="1160"/>
              <w:gridCol w:w="1280"/>
              <w:gridCol w:w="1260"/>
              <w:gridCol w:w="1540"/>
            </w:tblGrid>
            <w:tr w14:paraId="48160A0F" w14:textId="77777777" w:rsidTr="00735E71">
              <w:tblPrEx>
                <w:tblW w:w="12860" w:type="dxa"/>
                <w:tblLayout w:type="fixed"/>
                <w:tblLook w:val="04A0"/>
              </w:tblPrEx>
              <w:trPr>
                <w:trHeight w:val="1300"/>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E71" w:rsidRPr="00735E71" w:rsidP="00735E71" w14:paraId="65B0D324" w14:textId="77777777">
                  <w:pPr>
                    <w:jc w:val="center"/>
                    <w:rPr>
                      <w:b/>
                      <w:bCs/>
                      <w:color w:val="000000"/>
                      <w:sz w:val="20"/>
                    </w:rPr>
                  </w:pPr>
                  <w:r w:rsidRPr="00735E71">
                    <w:rPr>
                      <w:b/>
                      <w:bCs/>
                      <w:color w:val="000000"/>
                      <w:sz w:val="20"/>
                    </w:rPr>
                    <w:t>Burden Item</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735E71" w:rsidRPr="00735E71" w:rsidP="00735E71" w14:paraId="4BA10337" w14:textId="77777777">
                  <w:pPr>
                    <w:jc w:val="center"/>
                    <w:rPr>
                      <w:color w:val="000000"/>
                      <w:sz w:val="20"/>
                    </w:rPr>
                  </w:pPr>
                  <w:r w:rsidRPr="00735E71">
                    <w:rPr>
                      <w:color w:val="000000"/>
                      <w:sz w:val="20"/>
                    </w:rPr>
                    <w:t>(A)</w:t>
                  </w:r>
                  <w:r w:rsidRPr="00735E71">
                    <w:rPr>
                      <w:color w:val="000000"/>
                      <w:sz w:val="20"/>
                    </w:rPr>
                    <w:br/>
                  </w:r>
                  <w:r w:rsidRPr="00735E71">
                    <w:rPr>
                      <w:color w:val="000000"/>
                      <w:sz w:val="20"/>
                    </w:rPr>
                    <w:t>Hours per Occurrence</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735E71" w:rsidRPr="00735E71" w:rsidP="00735E71" w14:paraId="7B052779" w14:textId="77777777">
                  <w:pPr>
                    <w:jc w:val="center"/>
                    <w:rPr>
                      <w:sz w:val="20"/>
                    </w:rPr>
                  </w:pPr>
                  <w:r w:rsidRPr="00735E71">
                    <w:rPr>
                      <w:sz w:val="20"/>
                    </w:rPr>
                    <w:t>(B)</w:t>
                  </w:r>
                  <w:r w:rsidRPr="00735E71">
                    <w:rPr>
                      <w:sz w:val="20"/>
                    </w:rPr>
                    <w:br/>
                  </w:r>
                  <w:r w:rsidRPr="00735E71">
                    <w:rPr>
                      <w:sz w:val="20"/>
                    </w:rPr>
                    <w:t>Occurrences/ Respondent/ Year</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735E71" w:rsidRPr="00735E71" w:rsidP="00735E71" w14:paraId="0FC84CA3" w14:textId="77777777">
                  <w:pPr>
                    <w:jc w:val="center"/>
                    <w:rPr>
                      <w:color w:val="000000"/>
                      <w:sz w:val="20"/>
                    </w:rPr>
                  </w:pPr>
                  <w:r w:rsidRPr="00735E71">
                    <w:rPr>
                      <w:color w:val="000000"/>
                      <w:sz w:val="20"/>
                    </w:rPr>
                    <w:t>(C)</w:t>
                  </w:r>
                  <w:r w:rsidRPr="00735E71">
                    <w:rPr>
                      <w:color w:val="000000"/>
                      <w:sz w:val="20"/>
                    </w:rPr>
                    <w:br/>
                  </w:r>
                  <w:r w:rsidRPr="00735E71">
                    <w:rPr>
                      <w:color w:val="000000"/>
                      <w:sz w:val="20"/>
                    </w:rPr>
                    <w:t xml:space="preserve">Hours/ Respondent/ Year </w:t>
                  </w:r>
                  <w:r w:rsidRPr="00735E71">
                    <w:rPr>
                      <w:color w:val="000000"/>
                      <w:sz w:val="20"/>
                    </w:rPr>
                    <w:br/>
                  </w:r>
                  <w:r w:rsidRPr="00735E71">
                    <w:rPr>
                      <w:color w:val="000000"/>
                      <w:sz w:val="20"/>
                    </w:rPr>
                    <w:t>(A x B)</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735E71" w:rsidRPr="00735E71" w:rsidP="00735E71" w14:paraId="1230D07A" w14:textId="77777777">
                  <w:pPr>
                    <w:jc w:val="center"/>
                    <w:rPr>
                      <w:sz w:val="20"/>
                    </w:rPr>
                  </w:pPr>
                  <w:r w:rsidRPr="00735E71">
                    <w:rPr>
                      <w:sz w:val="20"/>
                    </w:rPr>
                    <w:t>(D)</w:t>
                  </w:r>
                  <w:r w:rsidRPr="00735E71">
                    <w:rPr>
                      <w:sz w:val="20"/>
                    </w:rPr>
                    <w:br/>
                  </w:r>
                  <w:r w:rsidRPr="00735E71">
                    <w:rPr>
                      <w:sz w:val="20"/>
                    </w:rPr>
                    <w:t>Respondents/</w:t>
                  </w:r>
                  <w:r w:rsidRPr="00735E71">
                    <w:rPr>
                      <w:sz w:val="20"/>
                    </w:rPr>
                    <w:br/>
                  </w:r>
                  <w:r w:rsidRPr="00735E71">
                    <w:rPr>
                      <w:sz w:val="20"/>
                    </w:rPr>
                    <w:t>Year</w:t>
                  </w:r>
                  <w:r w:rsidRPr="00735E71">
                    <w:rPr>
                      <w:sz w:val="20"/>
                      <w:vertAlign w:val="superscript"/>
                    </w:rPr>
                    <w:t>a</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735E71" w:rsidRPr="00735E71" w:rsidP="00735E71" w14:paraId="75BA81D4" w14:textId="77777777">
                  <w:pPr>
                    <w:jc w:val="center"/>
                    <w:rPr>
                      <w:color w:val="000000"/>
                      <w:sz w:val="20"/>
                    </w:rPr>
                  </w:pPr>
                  <w:r w:rsidRPr="00735E71">
                    <w:rPr>
                      <w:color w:val="000000"/>
                      <w:sz w:val="20"/>
                    </w:rPr>
                    <w:t>(E)</w:t>
                  </w:r>
                  <w:r w:rsidRPr="00735E71">
                    <w:rPr>
                      <w:color w:val="000000"/>
                      <w:sz w:val="20"/>
                    </w:rPr>
                    <w:br/>
                  </w:r>
                  <w:r w:rsidRPr="00735E71">
                    <w:rPr>
                      <w:color w:val="000000"/>
                      <w:sz w:val="20"/>
                    </w:rPr>
                    <w:t xml:space="preserve">Technical Hours/Year </w:t>
                  </w:r>
                  <w:r w:rsidRPr="00735E71">
                    <w:rPr>
                      <w:color w:val="000000"/>
                      <w:sz w:val="20"/>
                    </w:rPr>
                    <w:br/>
                  </w:r>
                  <w:r w:rsidRPr="00735E71">
                    <w:rPr>
                      <w:color w:val="000000"/>
                      <w:sz w:val="20"/>
                    </w:rPr>
                    <w:t>(C x D)</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735E71" w:rsidRPr="00735E71" w:rsidP="00735E71" w14:paraId="0F1393FC" w14:textId="77777777">
                  <w:pPr>
                    <w:jc w:val="center"/>
                    <w:rPr>
                      <w:color w:val="000000"/>
                      <w:sz w:val="20"/>
                    </w:rPr>
                  </w:pPr>
                  <w:r w:rsidRPr="00735E71">
                    <w:rPr>
                      <w:color w:val="000000"/>
                      <w:sz w:val="20"/>
                    </w:rPr>
                    <w:t xml:space="preserve">(F) Managerial Hours/Year </w:t>
                  </w:r>
                  <w:r w:rsidRPr="00735E71">
                    <w:rPr>
                      <w:color w:val="000000"/>
                      <w:sz w:val="20"/>
                    </w:rPr>
                    <w:br/>
                  </w:r>
                  <w:r w:rsidRPr="00735E71">
                    <w:rPr>
                      <w:color w:val="000000"/>
                      <w:sz w:val="20"/>
                    </w:rPr>
                    <w:t>(E x 0.05)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735E71" w:rsidRPr="00735E71" w:rsidP="00735E71" w14:paraId="7D20E8A9" w14:textId="77777777">
                  <w:pPr>
                    <w:jc w:val="center"/>
                    <w:rPr>
                      <w:color w:val="000000"/>
                      <w:sz w:val="20"/>
                    </w:rPr>
                  </w:pPr>
                  <w:r w:rsidRPr="00735E71">
                    <w:rPr>
                      <w:color w:val="000000"/>
                      <w:sz w:val="20"/>
                    </w:rPr>
                    <w:t xml:space="preserve">(G) </w:t>
                  </w:r>
                  <w:r w:rsidRPr="00735E71">
                    <w:rPr>
                      <w:color w:val="000000"/>
                      <w:sz w:val="20"/>
                    </w:rPr>
                    <w:br/>
                  </w:r>
                  <w:r w:rsidRPr="00735E71">
                    <w:rPr>
                      <w:color w:val="000000"/>
                      <w:sz w:val="20"/>
                    </w:rPr>
                    <w:t xml:space="preserve">Clerical Hours/Year </w:t>
                  </w:r>
                  <w:r w:rsidRPr="00735E71">
                    <w:rPr>
                      <w:color w:val="000000"/>
                      <w:sz w:val="20"/>
                    </w:rPr>
                    <w:br/>
                  </w:r>
                  <w:r w:rsidRPr="00735E71">
                    <w:rPr>
                      <w:color w:val="000000"/>
                      <w:sz w:val="20"/>
                    </w:rPr>
                    <w:t>(E x 0.10)</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735E71" w:rsidRPr="00735E71" w:rsidP="00735E71" w14:paraId="728A8B7C" w14:textId="77777777">
                  <w:pPr>
                    <w:jc w:val="center"/>
                    <w:rPr>
                      <w:color w:val="000000"/>
                      <w:sz w:val="20"/>
                    </w:rPr>
                  </w:pPr>
                  <w:r w:rsidRPr="00735E71">
                    <w:rPr>
                      <w:color w:val="000000"/>
                      <w:sz w:val="20"/>
                    </w:rPr>
                    <w:t>(H)</w:t>
                  </w:r>
                  <w:r w:rsidRPr="00735E71">
                    <w:rPr>
                      <w:color w:val="000000"/>
                      <w:sz w:val="20"/>
                    </w:rPr>
                    <w:br/>
                  </w:r>
                  <w:r w:rsidRPr="00735E71">
                    <w:rPr>
                      <w:color w:val="000000"/>
                      <w:sz w:val="20"/>
                    </w:rPr>
                    <w:t>Cost/ Year</w:t>
                  </w:r>
                  <w:r w:rsidRPr="00735E71">
                    <w:rPr>
                      <w:color w:val="000000"/>
                      <w:sz w:val="20"/>
                      <w:vertAlign w:val="superscript"/>
                    </w:rPr>
                    <w:t>b</w:t>
                  </w:r>
                </w:p>
              </w:tc>
            </w:tr>
            <w:tr w14:paraId="40A54741" w14:textId="77777777" w:rsidTr="00735E71">
              <w:tblPrEx>
                <w:tblW w:w="12860" w:type="dxa"/>
                <w:tblLayout w:type="fixed"/>
                <w:tblLook w:val="04A0"/>
              </w:tblPrEx>
              <w:trPr>
                <w:trHeight w:val="26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108CBE97" w14:textId="77777777">
                  <w:pPr>
                    <w:rPr>
                      <w:color w:val="000000"/>
                      <w:sz w:val="20"/>
                    </w:rPr>
                  </w:pPr>
                  <w:r w:rsidRPr="00735E71">
                    <w:rPr>
                      <w:color w:val="000000"/>
                      <w:sz w:val="20"/>
                    </w:rPr>
                    <w:t xml:space="preserve">1. APPLICATIONS </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027851DE" w14:textId="77777777">
                  <w:pPr>
                    <w:jc w:val="center"/>
                    <w:rPr>
                      <w:color w:val="000000"/>
                      <w:sz w:val="20"/>
                    </w:rPr>
                  </w:pPr>
                  <w:r w:rsidRPr="00735E71">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5CE96F2A" w14:textId="77777777">
                  <w:pPr>
                    <w:jc w:val="right"/>
                    <w:rPr>
                      <w:sz w:val="20"/>
                    </w:rPr>
                  </w:pPr>
                  <w:r w:rsidRPr="00735E71">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025A7CF9" w14:textId="77777777">
                  <w:pPr>
                    <w:jc w:val="right"/>
                    <w:rPr>
                      <w:color w:val="000000"/>
                      <w:sz w:val="20"/>
                    </w:rPr>
                  </w:pPr>
                  <w:r w:rsidRPr="00735E71">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735E71" w:rsidRPr="00735E71" w:rsidP="00735E71" w14:paraId="64791759" w14:textId="77777777">
                  <w:pPr>
                    <w:jc w:val="right"/>
                    <w:rPr>
                      <w:sz w:val="20"/>
                    </w:rPr>
                  </w:pPr>
                  <w:r w:rsidRPr="00735E71">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1481A8B3" w14:textId="77777777">
                  <w:pPr>
                    <w:jc w:val="right"/>
                    <w:rPr>
                      <w:color w:val="000000"/>
                      <w:sz w:val="20"/>
                    </w:rPr>
                  </w:pPr>
                  <w:r w:rsidRPr="00735E71">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4D318CB4" w14:textId="77777777">
                  <w:pPr>
                    <w:jc w:val="right"/>
                    <w:rPr>
                      <w:color w:val="000000"/>
                      <w:sz w:val="20"/>
                    </w:rPr>
                  </w:pPr>
                  <w:r w:rsidRPr="00735E71">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00EFBFA5" w14:textId="77777777">
                  <w:pPr>
                    <w:jc w:val="right"/>
                    <w:rPr>
                      <w:color w:val="000000"/>
                      <w:sz w:val="20"/>
                    </w:rPr>
                  </w:pPr>
                  <w:r w:rsidRPr="00735E71">
                    <w:rPr>
                      <w:color w:val="000000"/>
                      <w:sz w:val="20"/>
                    </w:rPr>
                    <w:t> </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0897BFC9" w14:textId="77777777">
                  <w:pPr>
                    <w:jc w:val="right"/>
                    <w:rPr>
                      <w:color w:val="000000"/>
                      <w:sz w:val="20"/>
                    </w:rPr>
                  </w:pPr>
                  <w:r w:rsidRPr="00735E71">
                    <w:rPr>
                      <w:color w:val="000000"/>
                      <w:sz w:val="20"/>
                    </w:rPr>
                    <w:t> </w:t>
                  </w:r>
                </w:p>
              </w:tc>
            </w:tr>
            <w:tr w14:paraId="5598BD42" w14:textId="77777777" w:rsidTr="00735E71">
              <w:tblPrEx>
                <w:tblW w:w="12860" w:type="dxa"/>
                <w:tblLayout w:type="fixed"/>
                <w:tblLook w:val="04A0"/>
              </w:tblPrEx>
              <w:trPr>
                <w:trHeight w:val="72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1FAB67AA" w14:textId="77777777">
                  <w:pPr>
                    <w:rPr>
                      <w:color w:val="000000"/>
                      <w:sz w:val="20"/>
                    </w:rPr>
                  </w:pPr>
                  <w:r w:rsidRPr="00735E71">
                    <w:rPr>
                      <w:color w:val="000000"/>
                      <w:sz w:val="20"/>
                    </w:rPr>
                    <w:t xml:space="preserve">2. SURVEY AND STUDIES </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0DB494DD" w14:textId="77777777">
                  <w:pPr>
                    <w:jc w:val="center"/>
                    <w:rPr>
                      <w:color w:val="000000"/>
                      <w:sz w:val="20"/>
                    </w:rPr>
                  </w:pPr>
                  <w:r w:rsidRPr="00735E71">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63BFAD49" w14:textId="77777777">
                  <w:pPr>
                    <w:jc w:val="right"/>
                    <w:rPr>
                      <w:sz w:val="20"/>
                    </w:rPr>
                  </w:pPr>
                  <w:r w:rsidRPr="00735E71">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4B67C2E7" w14:textId="77777777">
                  <w:pPr>
                    <w:jc w:val="right"/>
                    <w:rPr>
                      <w:color w:val="000000"/>
                      <w:sz w:val="20"/>
                    </w:rPr>
                  </w:pPr>
                  <w:r w:rsidRPr="00735E71">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735E71" w:rsidRPr="00735E71" w:rsidP="00735E71" w14:paraId="66ACFBA5" w14:textId="77777777">
                  <w:pPr>
                    <w:jc w:val="right"/>
                    <w:rPr>
                      <w:sz w:val="20"/>
                    </w:rPr>
                  </w:pPr>
                  <w:r w:rsidRPr="00735E71">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153EE015" w14:textId="77777777">
                  <w:pPr>
                    <w:jc w:val="right"/>
                    <w:rPr>
                      <w:color w:val="000000"/>
                      <w:sz w:val="20"/>
                    </w:rPr>
                  </w:pPr>
                  <w:r w:rsidRPr="00735E71">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282731C3" w14:textId="77777777">
                  <w:pPr>
                    <w:jc w:val="right"/>
                    <w:rPr>
                      <w:color w:val="000000"/>
                      <w:sz w:val="20"/>
                    </w:rPr>
                  </w:pPr>
                  <w:r w:rsidRPr="00735E71">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02ACDF29" w14:textId="77777777">
                  <w:pPr>
                    <w:jc w:val="right"/>
                    <w:rPr>
                      <w:color w:val="000000"/>
                      <w:sz w:val="20"/>
                    </w:rPr>
                  </w:pPr>
                  <w:r w:rsidRPr="00735E71">
                    <w:rPr>
                      <w:color w:val="000000"/>
                      <w:sz w:val="20"/>
                    </w:rPr>
                    <w:t> </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3CF9C8CA" w14:textId="77777777">
                  <w:pPr>
                    <w:jc w:val="right"/>
                    <w:rPr>
                      <w:color w:val="000000"/>
                      <w:sz w:val="20"/>
                    </w:rPr>
                  </w:pPr>
                  <w:r w:rsidRPr="00735E71">
                    <w:rPr>
                      <w:color w:val="000000"/>
                      <w:sz w:val="20"/>
                    </w:rPr>
                    <w:t> </w:t>
                  </w:r>
                </w:p>
              </w:tc>
            </w:tr>
            <w:tr w14:paraId="05B5E823" w14:textId="77777777" w:rsidTr="00735E71">
              <w:tblPrEx>
                <w:tblW w:w="12860" w:type="dxa"/>
                <w:tblLayout w:type="fixed"/>
                <w:tblLook w:val="04A0"/>
              </w:tblPrEx>
              <w:trPr>
                <w:trHeight w:val="1123"/>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5FA16F95" w14:textId="77777777">
                  <w:pPr>
                    <w:rPr>
                      <w:color w:val="000000"/>
                      <w:sz w:val="20"/>
                    </w:rPr>
                  </w:pPr>
                  <w:r w:rsidRPr="00735E71">
                    <w:rPr>
                      <w:color w:val="000000"/>
                      <w:sz w:val="20"/>
                    </w:rPr>
                    <w:t>3.ACQUISITION, INSTALLATION, AND UTILIZATION OF TECHNOLOGY AND SYSTEMS</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4F428277" w14:textId="77777777">
                  <w:pPr>
                    <w:jc w:val="center"/>
                    <w:rPr>
                      <w:color w:val="000000"/>
                      <w:sz w:val="20"/>
                    </w:rPr>
                  </w:pPr>
                  <w:r w:rsidRPr="00735E71">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4593F92E" w14:textId="77777777">
                  <w:pPr>
                    <w:jc w:val="center"/>
                    <w:rPr>
                      <w:sz w:val="20"/>
                    </w:rPr>
                  </w:pPr>
                  <w:r w:rsidRPr="00735E71">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58CB2D68" w14:textId="77777777">
                  <w:pPr>
                    <w:jc w:val="center"/>
                    <w:rPr>
                      <w:color w:val="000000"/>
                      <w:sz w:val="20"/>
                    </w:rPr>
                  </w:pPr>
                  <w:r w:rsidRPr="00735E71">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735E71" w:rsidRPr="00735E71" w:rsidP="00735E71" w14:paraId="0599C481" w14:textId="77777777">
                  <w:pPr>
                    <w:jc w:val="center"/>
                    <w:rPr>
                      <w:sz w:val="20"/>
                    </w:rPr>
                  </w:pPr>
                  <w:r w:rsidRPr="00735E71">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7714348B" w14:textId="77777777">
                  <w:pPr>
                    <w:jc w:val="center"/>
                    <w:rPr>
                      <w:color w:val="000000"/>
                      <w:sz w:val="20"/>
                    </w:rPr>
                  </w:pPr>
                  <w:r w:rsidRPr="00735E71">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5D30B4BA" w14:textId="77777777">
                  <w:pPr>
                    <w:jc w:val="center"/>
                    <w:rPr>
                      <w:color w:val="000000"/>
                      <w:sz w:val="20"/>
                    </w:rPr>
                  </w:pPr>
                  <w:r w:rsidRPr="00735E71">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309223B4" w14:textId="77777777">
                  <w:pPr>
                    <w:jc w:val="center"/>
                    <w:rPr>
                      <w:color w:val="000000"/>
                      <w:sz w:val="20"/>
                    </w:rPr>
                  </w:pPr>
                  <w:r w:rsidRPr="00735E71">
                    <w:rPr>
                      <w:color w:val="000000"/>
                      <w:sz w:val="20"/>
                    </w:rPr>
                    <w:t>0</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71708BF3" w14:textId="77777777">
                  <w:pPr>
                    <w:jc w:val="right"/>
                    <w:rPr>
                      <w:color w:val="000000"/>
                      <w:sz w:val="20"/>
                    </w:rPr>
                  </w:pPr>
                  <w:r w:rsidRPr="00735E71">
                    <w:rPr>
                      <w:color w:val="000000"/>
                      <w:sz w:val="20"/>
                    </w:rPr>
                    <w:t xml:space="preserve">$0 </w:t>
                  </w:r>
                </w:p>
              </w:tc>
            </w:tr>
            <w:tr w14:paraId="1B433415" w14:textId="77777777" w:rsidTr="00735E71">
              <w:tblPrEx>
                <w:tblW w:w="12860" w:type="dxa"/>
                <w:tblLayout w:type="fixed"/>
                <w:tblLook w:val="04A0"/>
              </w:tblPrEx>
              <w:trPr>
                <w:trHeight w:val="52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2E9727C2" w14:textId="77777777">
                  <w:pPr>
                    <w:rPr>
                      <w:color w:val="000000"/>
                      <w:sz w:val="20"/>
                    </w:rPr>
                  </w:pPr>
                  <w:r w:rsidRPr="00735E71">
                    <w:rPr>
                      <w:color w:val="000000"/>
                      <w:sz w:val="20"/>
                    </w:rPr>
                    <w:t>4. REPORT REQUIREMENTS</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77DD1B49" w14:textId="77777777">
                  <w:pPr>
                    <w:jc w:val="center"/>
                    <w:rPr>
                      <w:color w:val="000000"/>
                      <w:sz w:val="20"/>
                    </w:rPr>
                  </w:pPr>
                  <w:r w:rsidRPr="00735E71">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786CA93E" w14:textId="77777777">
                  <w:pPr>
                    <w:jc w:val="center"/>
                    <w:rPr>
                      <w:sz w:val="20"/>
                    </w:rPr>
                  </w:pPr>
                  <w:r w:rsidRPr="00735E71">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7BA594C0" w14:textId="77777777">
                  <w:pPr>
                    <w:jc w:val="center"/>
                    <w:rPr>
                      <w:color w:val="000000"/>
                      <w:sz w:val="20"/>
                    </w:rPr>
                  </w:pPr>
                  <w:r w:rsidRPr="00735E71">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735E71" w:rsidRPr="00735E71" w:rsidP="00735E71" w14:paraId="1A4872E1" w14:textId="77777777">
                  <w:pPr>
                    <w:jc w:val="center"/>
                    <w:rPr>
                      <w:sz w:val="20"/>
                    </w:rPr>
                  </w:pPr>
                  <w:r w:rsidRPr="00735E71">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686BCF38" w14:textId="77777777">
                  <w:pPr>
                    <w:jc w:val="center"/>
                    <w:rPr>
                      <w:color w:val="000000"/>
                      <w:sz w:val="20"/>
                    </w:rPr>
                  </w:pPr>
                  <w:r w:rsidRPr="00735E71">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0AF97B00" w14:textId="77777777">
                  <w:pPr>
                    <w:jc w:val="center"/>
                    <w:rPr>
                      <w:color w:val="000000"/>
                      <w:sz w:val="20"/>
                    </w:rPr>
                  </w:pPr>
                  <w:r w:rsidRPr="00735E71">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1FF078CF" w14:textId="77777777">
                  <w:pPr>
                    <w:jc w:val="center"/>
                    <w:rPr>
                      <w:color w:val="000000"/>
                      <w:sz w:val="20"/>
                    </w:rPr>
                  </w:pPr>
                  <w:r w:rsidRPr="00735E71">
                    <w:rPr>
                      <w:color w:val="000000"/>
                      <w:sz w:val="20"/>
                    </w:rPr>
                    <w:t> </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67574D73" w14:textId="77777777">
                  <w:pPr>
                    <w:jc w:val="right"/>
                    <w:rPr>
                      <w:color w:val="000000"/>
                      <w:sz w:val="20"/>
                    </w:rPr>
                  </w:pPr>
                  <w:r w:rsidRPr="00735E71">
                    <w:rPr>
                      <w:color w:val="000000"/>
                      <w:sz w:val="20"/>
                    </w:rPr>
                    <w:t> </w:t>
                  </w:r>
                </w:p>
              </w:tc>
            </w:tr>
            <w:tr w14:paraId="2D2DC7A3" w14:textId="77777777" w:rsidTr="00735E71">
              <w:tblPrEx>
                <w:tblW w:w="12860" w:type="dxa"/>
                <w:tblLayout w:type="fixed"/>
                <w:tblLook w:val="04A0"/>
              </w:tblPrEx>
              <w:trPr>
                <w:trHeight w:val="130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7C31D467" w14:textId="77777777">
                  <w:pPr>
                    <w:rPr>
                      <w:color w:val="000000"/>
                      <w:sz w:val="20"/>
                    </w:rPr>
                  </w:pPr>
                  <w:r w:rsidRPr="00735E71">
                    <w:rPr>
                      <w:color w:val="000000"/>
                      <w:sz w:val="20"/>
                    </w:rPr>
                    <w:t xml:space="preserve">REQUEST FOR CASE-BY-CASE EMISSION LIMITS - Per 52.40(e);  (based on BACT analysis of 2020 NSR ICR) </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1EAE7E43" w14:textId="77777777">
                  <w:pPr>
                    <w:jc w:val="center"/>
                    <w:rPr>
                      <w:color w:val="000000"/>
                      <w:sz w:val="20"/>
                    </w:rPr>
                  </w:pPr>
                  <w:r w:rsidRPr="00735E71">
                    <w:rPr>
                      <w:color w:val="000000"/>
                      <w:sz w:val="20"/>
                    </w:rPr>
                    <w:t>156</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272E9A25" w14:textId="77777777">
                  <w:pPr>
                    <w:jc w:val="center"/>
                    <w:rPr>
                      <w:sz w:val="20"/>
                    </w:rPr>
                  </w:pPr>
                  <w:r w:rsidRPr="00735E71">
                    <w:rPr>
                      <w:sz w:val="20"/>
                    </w:rPr>
                    <w:t>1</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41DC540F" w14:textId="77777777">
                  <w:pPr>
                    <w:jc w:val="center"/>
                    <w:rPr>
                      <w:color w:val="000000"/>
                      <w:sz w:val="20"/>
                    </w:rPr>
                  </w:pPr>
                  <w:r w:rsidRPr="00735E71">
                    <w:rPr>
                      <w:color w:val="000000"/>
                      <w:sz w:val="20"/>
                    </w:rPr>
                    <w:t>156</w:t>
                  </w:r>
                </w:p>
              </w:tc>
              <w:tc>
                <w:tcPr>
                  <w:tcW w:w="1340" w:type="dxa"/>
                  <w:tcBorders>
                    <w:top w:val="nil"/>
                    <w:left w:val="nil"/>
                    <w:bottom w:val="single" w:sz="4" w:space="0" w:color="auto"/>
                    <w:right w:val="single" w:sz="4" w:space="0" w:color="auto"/>
                  </w:tcBorders>
                  <w:shd w:val="clear" w:color="auto" w:fill="auto"/>
                  <w:vAlign w:val="center"/>
                  <w:hideMark/>
                </w:tcPr>
                <w:p w:rsidR="00735E71" w:rsidRPr="00735E71" w:rsidP="00735E71" w14:paraId="3C919C64" w14:textId="77777777">
                  <w:pPr>
                    <w:jc w:val="center"/>
                    <w:rPr>
                      <w:sz w:val="20"/>
                    </w:rPr>
                  </w:pPr>
                  <w:r w:rsidRPr="00735E71">
                    <w:rPr>
                      <w:sz w:val="20"/>
                    </w:rPr>
                    <w:t>0.79</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3929731B" w14:textId="77777777">
                  <w:pPr>
                    <w:jc w:val="center"/>
                    <w:rPr>
                      <w:color w:val="000000"/>
                      <w:sz w:val="20"/>
                    </w:rPr>
                  </w:pPr>
                  <w:r w:rsidRPr="00735E71">
                    <w:rPr>
                      <w:color w:val="000000"/>
                      <w:sz w:val="20"/>
                    </w:rPr>
                    <w:t>123.24</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0631B74B" w14:textId="77777777">
                  <w:pPr>
                    <w:jc w:val="center"/>
                    <w:rPr>
                      <w:color w:val="000000"/>
                      <w:sz w:val="20"/>
                    </w:rPr>
                  </w:pPr>
                  <w:r w:rsidRPr="00735E71">
                    <w:rPr>
                      <w:color w:val="000000"/>
                      <w:sz w:val="20"/>
                    </w:rPr>
                    <w:t>6.162</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3C515B9D" w14:textId="77777777">
                  <w:pPr>
                    <w:jc w:val="center"/>
                    <w:rPr>
                      <w:color w:val="000000"/>
                      <w:sz w:val="20"/>
                    </w:rPr>
                  </w:pPr>
                  <w:r w:rsidRPr="00735E71">
                    <w:rPr>
                      <w:color w:val="000000"/>
                      <w:sz w:val="20"/>
                    </w:rPr>
                    <w:t>12.324</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183465B0" w14:textId="77777777">
                  <w:pPr>
                    <w:jc w:val="right"/>
                    <w:rPr>
                      <w:color w:val="000000"/>
                      <w:sz w:val="20"/>
                    </w:rPr>
                  </w:pPr>
                  <w:r w:rsidRPr="00735E71">
                    <w:rPr>
                      <w:color w:val="000000"/>
                      <w:sz w:val="20"/>
                    </w:rPr>
                    <w:t xml:space="preserve">$17,523 </w:t>
                  </w:r>
                </w:p>
              </w:tc>
            </w:tr>
            <w:tr w14:paraId="3EB2B557" w14:textId="77777777" w:rsidTr="00735E71">
              <w:tblPrEx>
                <w:tblW w:w="12860" w:type="dxa"/>
                <w:tblLayout w:type="fixed"/>
                <w:tblLook w:val="04A0"/>
              </w:tblPrEx>
              <w:trPr>
                <w:trHeight w:val="52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5050829E" w14:textId="77777777">
                  <w:pPr>
                    <w:rPr>
                      <w:color w:val="000000"/>
                      <w:sz w:val="20"/>
                    </w:rPr>
                  </w:pPr>
                  <w:r w:rsidRPr="00735E71">
                    <w:rPr>
                      <w:color w:val="000000"/>
                      <w:sz w:val="20"/>
                    </w:rPr>
                    <w:t>A. Familiarize with regulatory requirement</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3BAFCF66" w14:textId="77777777">
                  <w:pPr>
                    <w:jc w:val="center"/>
                    <w:rPr>
                      <w:color w:val="000000"/>
                      <w:sz w:val="20"/>
                    </w:rPr>
                  </w:pPr>
                  <w:r w:rsidRPr="00735E71">
                    <w:rPr>
                      <w:color w:val="000000"/>
                      <w:sz w:val="20"/>
                    </w:rPr>
                    <w:t>10</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62B45A63" w14:textId="77777777">
                  <w:pPr>
                    <w:jc w:val="center"/>
                    <w:rPr>
                      <w:sz w:val="20"/>
                    </w:rPr>
                  </w:pPr>
                  <w:r w:rsidRPr="00735E71">
                    <w:rPr>
                      <w:sz w:val="20"/>
                    </w:rPr>
                    <w:t>1</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3BFC7C1B" w14:textId="77777777">
                  <w:pPr>
                    <w:jc w:val="center"/>
                    <w:rPr>
                      <w:color w:val="000000"/>
                      <w:sz w:val="20"/>
                    </w:rPr>
                  </w:pPr>
                  <w:r w:rsidRPr="00735E71">
                    <w:rPr>
                      <w:color w:val="000000"/>
                      <w:sz w:val="20"/>
                    </w:rPr>
                    <w:t>10</w:t>
                  </w:r>
                </w:p>
              </w:tc>
              <w:tc>
                <w:tcPr>
                  <w:tcW w:w="1340" w:type="dxa"/>
                  <w:tcBorders>
                    <w:top w:val="nil"/>
                    <w:left w:val="nil"/>
                    <w:bottom w:val="single" w:sz="4" w:space="0" w:color="auto"/>
                    <w:right w:val="single" w:sz="4" w:space="0" w:color="auto"/>
                  </w:tcBorders>
                  <w:shd w:val="clear" w:color="auto" w:fill="auto"/>
                  <w:vAlign w:val="center"/>
                  <w:hideMark/>
                </w:tcPr>
                <w:p w:rsidR="00735E71" w:rsidRPr="00735E71" w:rsidP="00735E71" w14:paraId="6031E01D" w14:textId="77777777">
                  <w:pPr>
                    <w:jc w:val="center"/>
                    <w:rPr>
                      <w:sz w:val="20"/>
                    </w:rPr>
                  </w:pPr>
                  <w:r w:rsidRPr="00735E71">
                    <w:rPr>
                      <w:sz w:val="20"/>
                    </w:rPr>
                    <w:t>79</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746F9D3C" w14:textId="77777777">
                  <w:pPr>
                    <w:jc w:val="center"/>
                    <w:rPr>
                      <w:color w:val="000000"/>
                      <w:sz w:val="20"/>
                    </w:rPr>
                  </w:pPr>
                  <w:r w:rsidRPr="00735E71">
                    <w:rPr>
                      <w:color w:val="000000"/>
                      <w:sz w:val="20"/>
                    </w:rPr>
                    <w:t>790</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78F00BCB" w14:textId="77777777">
                  <w:pPr>
                    <w:jc w:val="center"/>
                    <w:rPr>
                      <w:color w:val="000000"/>
                      <w:sz w:val="20"/>
                    </w:rPr>
                  </w:pPr>
                  <w:r w:rsidRPr="00735E71">
                    <w:rPr>
                      <w:color w:val="000000"/>
                      <w:sz w:val="20"/>
                    </w:rPr>
                    <w:t>39.5</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2C015479" w14:textId="77777777">
                  <w:pPr>
                    <w:jc w:val="center"/>
                    <w:rPr>
                      <w:color w:val="000000"/>
                      <w:sz w:val="20"/>
                    </w:rPr>
                  </w:pPr>
                  <w:r w:rsidRPr="00735E71">
                    <w:rPr>
                      <w:color w:val="000000"/>
                      <w:sz w:val="20"/>
                    </w:rPr>
                    <w:t>79</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4A1264D2" w14:textId="77777777">
                  <w:pPr>
                    <w:jc w:val="right"/>
                    <w:rPr>
                      <w:color w:val="000000"/>
                      <w:sz w:val="20"/>
                    </w:rPr>
                  </w:pPr>
                  <w:r w:rsidRPr="00735E71">
                    <w:rPr>
                      <w:color w:val="000000"/>
                      <w:sz w:val="20"/>
                    </w:rPr>
                    <w:t xml:space="preserve">$112,324 </w:t>
                  </w:r>
                </w:p>
              </w:tc>
            </w:tr>
            <w:tr w14:paraId="72FF2CC6" w14:textId="77777777" w:rsidTr="00735E71">
              <w:tblPrEx>
                <w:tblW w:w="12860" w:type="dxa"/>
                <w:tblLayout w:type="fixed"/>
                <w:tblLook w:val="04A0"/>
              </w:tblPrEx>
              <w:trPr>
                <w:trHeight w:val="52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68E39768" w14:textId="77777777">
                  <w:pPr>
                    <w:rPr>
                      <w:color w:val="000000"/>
                      <w:sz w:val="20"/>
                    </w:rPr>
                  </w:pPr>
                  <w:r w:rsidRPr="00735E71">
                    <w:rPr>
                      <w:color w:val="000000"/>
                      <w:sz w:val="20"/>
                    </w:rPr>
                    <w:t>Initial Notification Form of Applicability</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7E345196" w14:textId="77777777">
                  <w:pPr>
                    <w:jc w:val="center"/>
                    <w:rPr>
                      <w:color w:val="000000"/>
                      <w:sz w:val="20"/>
                    </w:rPr>
                  </w:pPr>
                  <w:r w:rsidRPr="00735E71">
                    <w:rPr>
                      <w:color w:val="000000"/>
                      <w:sz w:val="20"/>
                    </w:rPr>
                    <w:t>0.5</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382ADB68" w14:textId="77777777">
                  <w:pPr>
                    <w:jc w:val="center"/>
                    <w:rPr>
                      <w:sz w:val="20"/>
                    </w:rPr>
                  </w:pPr>
                  <w:r w:rsidRPr="00735E71">
                    <w:rPr>
                      <w:sz w:val="20"/>
                    </w:rPr>
                    <w:t>1</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5F2FFE9E" w14:textId="77777777">
                  <w:pPr>
                    <w:jc w:val="center"/>
                    <w:rPr>
                      <w:color w:val="000000"/>
                      <w:sz w:val="20"/>
                    </w:rPr>
                  </w:pPr>
                  <w:r w:rsidRPr="00735E71">
                    <w:rPr>
                      <w:color w:val="000000"/>
                      <w:sz w:val="20"/>
                    </w:rPr>
                    <w:t>0.5</w:t>
                  </w:r>
                </w:p>
              </w:tc>
              <w:tc>
                <w:tcPr>
                  <w:tcW w:w="1340" w:type="dxa"/>
                  <w:tcBorders>
                    <w:top w:val="nil"/>
                    <w:left w:val="nil"/>
                    <w:bottom w:val="single" w:sz="4" w:space="0" w:color="auto"/>
                    <w:right w:val="single" w:sz="4" w:space="0" w:color="auto"/>
                  </w:tcBorders>
                  <w:shd w:val="clear" w:color="auto" w:fill="auto"/>
                  <w:vAlign w:val="center"/>
                  <w:hideMark/>
                </w:tcPr>
                <w:p w:rsidR="00735E71" w:rsidRPr="00735E71" w:rsidP="00735E71" w14:paraId="4F47EB6F" w14:textId="77777777">
                  <w:pPr>
                    <w:jc w:val="center"/>
                    <w:rPr>
                      <w:sz w:val="20"/>
                    </w:rPr>
                  </w:pPr>
                  <w:r w:rsidRPr="00735E71">
                    <w:rPr>
                      <w:sz w:val="20"/>
                    </w:rPr>
                    <w:t>79</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151FDAB7" w14:textId="77777777">
                  <w:pPr>
                    <w:jc w:val="center"/>
                    <w:rPr>
                      <w:color w:val="000000"/>
                      <w:sz w:val="20"/>
                    </w:rPr>
                  </w:pPr>
                  <w:r w:rsidRPr="00735E71">
                    <w:rPr>
                      <w:color w:val="000000"/>
                      <w:sz w:val="20"/>
                    </w:rPr>
                    <w:t>39.5</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02166CB6" w14:textId="77777777">
                  <w:pPr>
                    <w:jc w:val="center"/>
                    <w:rPr>
                      <w:color w:val="000000"/>
                      <w:sz w:val="20"/>
                    </w:rPr>
                  </w:pPr>
                  <w:r w:rsidRPr="00735E71">
                    <w:rPr>
                      <w:color w:val="000000"/>
                      <w:sz w:val="20"/>
                    </w:rPr>
                    <w:t>1.975</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31552782" w14:textId="77777777">
                  <w:pPr>
                    <w:jc w:val="center"/>
                    <w:rPr>
                      <w:color w:val="000000"/>
                      <w:sz w:val="20"/>
                    </w:rPr>
                  </w:pPr>
                  <w:r w:rsidRPr="00735E71">
                    <w:rPr>
                      <w:color w:val="000000"/>
                      <w:sz w:val="20"/>
                    </w:rPr>
                    <w:t>3.95</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2AD97235" w14:textId="77777777">
                  <w:pPr>
                    <w:jc w:val="right"/>
                    <w:rPr>
                      <w:color w:val="000000"/>
                      <w:sz w:val="20"/>
                    </w:rPr>
                  </w:pPr>
                  <w:r w:rsidRPr="00735E71">
                    <w:rPr>
                      <w:color w:val="000000"/>
                      <w:sz w:val="20"/>
                    </w:rPr>
                    <w:t xml:space="preserve">$5,616 </w:t>
                  </w:r>
                </w:p>
              </w:tc>
            </w:tr>
            <w:tr w14:paraId="56756AB4" w14:textId="77777777" w:rsidTr="00735E71">
              <w:tblPrEx>
                <w:tblW w:w="12860" w:type="dxa"/>
                <w:tblLayout w:type="fixed"/>
                <w:tblLook w:val="04A0"/>
              </w:tblPrEx>
              <w:trPr>
                <w:trHeight w:val="315"/>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426599BF" w14:textId="77777777">
                  <w:pPr>
                    <w:rPr>
                      <w:color w:val="000000"/>
                      <w:sz w:val="20"/>
                    </w:rPr>
                  </w:pPr>
                  <w:r w:rsidRPr="00735E71">
                    <w:rPr>
                      <w:color w:val="000000"/>
                      <w:sz w:val="20"/>
                    </w:rPr>
                    <w:t>B. Required Activities</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4EC80AEE" w14:textId="77777777">
                  <w:pPr>
                    <w:jc w:val="center"/>
                    <w:rPr>
                      <w:color w:val="000000"/>
                      <w:sz w:val="20"/>
                    </w:rPr>
                  </w:pPr>
                  <w:r w:rsidRPr="00735E71">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6B581E6E" w14:textId="77777777">
                  <w:pPr>
                    <w:jc w:val="center"/>
                    <w:rPr>
                      <w:sz w:val="20"/>
                    </w:rPr>
                  </w:pPr>
                  <w:r w:rsidRPr="00735E71">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2E94573A" w14:textId="77777777">
                  <w:pPr>
                    <w:jc w:val="center"/>
                    <w:rPr>
                      <w:color w:val="000000"/>
                      <w:sz w:val="20"/>
                    </w:rPr>
                  </w:pPr>
                  <w:r w:rsidRPr="00735E71">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735E71" w:rsidRPr="00735E71" w:rsidP="00735E71" w14:paraId="0BE309E4" w14:textId="77777777">
                  <w:pPr>
                    <w:jc w:val="center"/>
                    <w:rPr>
                      <w:sz w:val="20"/>
                    </w:rPr>
                  </w:pPr>
                  <w:r w:rsidRPr="00735E71">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1FFF1DB0" w14:textId="77777777">
                  <w:pPr>
                    <w:jc w:val="center"/>
                    <w:rPr>
                      <w:color w:val="000000"/>
                      <w:sz w:val="20"/>
                    </w:rPr>
                  </w:pPr>
                  <w:r w:rsidRPr="00735E71">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1922A2B6" w14:textId="77777777">
                  <w:pPr>
                    <w:jc w:val="center"/>
                    <w:rPr>
                      <w:color w:val="000000"/>
                      <w:sz w:val="20"/>
                    </w:rPr>
                  </w:pPr>
                  <w:r w:rsidRPr="00735E71">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60C8D551" w14:textId="77777777">
                  <w:pPr>
                    <w:jc w:val="center"/>
                    <w:rPr>
                      <w:color w:val="000000"/>
                      <w:sz w:val="20"/>
                    </w:rPr>
                  </w:pPr>
                  <w:r w:rsidRPr="00735E71">
                    <w:rPr>
                      <w:color w:val="000000"/>
                      <w:sz w:val="20"/>
                    </w:rPr>
                    <w:t> </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13AC5CEB" w14:textId="77777777">
                  <w:pPr>
                    <w:jc w:val="right"/>
                    <w:rPr>
                      <w:color w:val="000000"/>
                      <w:sz w:val="20"/>
                    </w:rPr>
                  </w:pPr>
                  <w:r w:rsidRPr="00735E71">
                    <w:rPr>
                      <w:color w:val="000000"/>
                      <w:sz w:val="20"/>
                    </w:rPr>
                    <w:t> </w:t>
                  </w:r>
                </w:p>
              </w:tc>
            </w:tr>
            <w:tr w14:paraId="4CC35DBF" w14:textId="77777777" w:rsidTr="00735E71">
              <w:tblPrEx>
                <w:tblW w:w="12860" w:type="dxa"/>
                <w:tblLayout w:type="fixed"/>
                <w:tblLook w:val="04A0"/>
              </w:tblPrEx>
              <w:trPr>
                <w:trHeight w:val="31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718B523B" w14:textId="77777777">
                  <w:pPr>
                    <w:rPr>
                      <w:i/>
                      <w:iCs/>
                      <w:color w:val="000000"/>
                      <w:sz w:val="20"/>
                    </w:rPr>
                  </w:pPr>
                  <w:r w:rsidRPr="00735E71">
                    <w:rPr>
                      <w:i/>
                      <w:iCs/>
                      <w:color w:val="000000"/>
                      <w:sz w:val="20"/>
                    </w:rPr>
                    <w:t xml:space="preserve">New Sources - Testing </w:t>
                  </w:r>
                  <w:r w:rsidRPr="00735E71">
                    <w:rPr>
                      <w:color w:val="000000"/>
                      <w:sz w:val="20"/>
                      <w:vertAlign w:val="superscript"/>
                    </w:rPr>
                    <w:t>c</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08DE8F48" w14:textId="77777777">
                  <w:pPr>
                    <w:jc w:val="center"/>
                    <w:rPr>
                      <w:color w:val="000000"/>
                      <w:sz w:val="20"/>
                    </w:rPr>
                  </w:pPr>
                  <w:r w:rsidRPr="00735E71">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5D2B7BB8" w14:textId="77777777">
                  <w:pPr>
                    <w:jc w:val="center"/>
                    <w:rPr>
                      <w:sz w:val="20"/>
                    </w:rPr>
                  </w:pPr>
                  <w:r w:rsidRPr="00735E71">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68363562" w14:textId="77777777">
                  <w:pPr>
                    <w:jc w:val="center"/>
                    <w:rPr>
                      <w:color w:val="000000"/>
                      <w:sz w:val="20"/>
                    </w:rPr>
                  </w:pPr>
                  <w:r w:rsidRPr="00735E71">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735E71" w:rsidRPr="00735E71" w:rsidP="00735E71" w14:paraId="02AACDE4" w14:textId="77777777">
                  <w:pPr>
                    <w:jc w:val="center"/>
                    <w:rPr>
                      <w:sz w:val="20"/>
                    </w:rPr>
                  </w:pPr>
                  <w:r w:rsidRPr="00735E71">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6DA95CC5" w14:textId="77777777">
                  <w:pPr>
                    <w:jc w:val="center"/>
                    <w:rPr>
                      <w:color w:val="000000"/>
                      <w:sz w:val="20"/>
                    </w:rPr>
                  </w:pPr>
                  <w:r w:rsidRPr="00735E71">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1558F392" w14:textId="77777777">
                  <w:pPr>
                    <w:jc w:val="center"/>
                    <w:rPr>
                      <w:color w:val="000000"/>
                      <w:sz w:val="20"/>
                    </w:rPr>
                  </w:pPr>
                  <w:r w:rsidRPr="00735E71">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1084F824" w14:textId="77777777">
                  <w:pPr>
                    <w:jc w:val="center"/>
                    <w:rPr>
                      <w:color w:val="000000"/>
                      <w:sz w:val="20"/>
                    </w:rPr>
                  </w:pPr>
                  <w:r w:rsidRPr="00735E71">
                    <w:rPr>
                      <w:color w:val="000000"/>
                      <w:sz w:val="20"/>
                    </w:rPr>
                    <w:t> </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58303739" w14:textId="77777777">
                  <w:pPr>
                    <w:jc w:val="right"/>
                    <w:rPr>
                      <w:color w:val="000000"/>
                      <w:sz w:val="20"/>
                    </w:rPr>
                  </w:pPr>
                  <w:r w:rsidRPr="00735E71">
                    <w:rPr>
                      <w:color w:val="000000"/>
                      <w:sz w:val="20"/>
                    </w:rPr>
                    <w:t> </w:t>
                  </w:r>
                </w:p>
              </w:tc>
            </w:tr>
            <w:tr w14:paraId="39D6B409" w14:textId="77777777" w:rsidTr="00735E71">
              <w:tblPrEx>
                <w:tblW w:w="12860" w:type="dxa"/>
                <w:tblLayout w:type="fixed"/>
                <w:tblLook w:val="04A0"/>
              </w:tblPrEx>
              <w:trPr>
                <w:trHeight w:val="50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7DF052A2" w14:textId="77777777">
                  <w:pPr>
                    <w:rPr>
                      <w:sz w:val="20"/>
                    </w:rPr>
                  </w:pPr>
                  <w:r w:rsidRPr="00735E71">
                    <w:rPr>
                      <w:sz w:val="20"/>
                    </w:rPr>
                    <w:t>Initial NOx Performance Test (kiln)</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079F006C" w14:textId="77777777">
                  <w:pPr>
                    <w:jc w:val="center"/>
                    <w:rPr>
                      <w:sz w:val="20"/>
                    </w:rPr>
                  </w:pPr>
                  <w:r w:rsidRPr="00735E71">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79DFF48A" w14:textId="77777777">
                  <w:pPr>
                    <w:jc w:val="center"/>
                    <w:rPr>
                      <w:sz w:val="20"/>
                    </w:rPr>
                  </w:pPr>
                  <w:r w:rsidRPr="00735E71">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1FB55303" w14:textId="77777777">
                  <w:pPr>
                    <w:jc w:val="center"/>
                    <w:rPr>
                      <w:color w:val="000000"/>
                      <w:sz w:val="20"/>
                    </w:rPr>
                  </w:pPr>
                  <w:r w:rsidRPr="00735E71">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735E71" w:rsidRPr="00735E71" w:rsidP="00735E71" w14:paraId="0A3E5DC1" w14:textId="77777777">
                  <w:pPr>
                    <w:jc w:val="center"/>
                    <w:rPr>
                      <w:sz w:val="20"/>
                    </w:rPr>
                  </w:pPr>
                  <w:r w:rsidRPr="00735E71">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159F696B" w14:textId="77777777">
                  <w:pPr>
                    <w:jc w:val="center"/>
                    <w:rPr>
                      <w:color w:val="000000"/>
                      <w:sz w:val="20"/>
                    </w:rPr>
                  </w:pPr>
                  <w:r w:rsidRPr="00735E71">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1F9BD91B" w14:textId="77777777">
                  <w:pPr>
                    <w:jc w:val="center"/>
                    <w:rPr>
                      <w:color w:val="000000"/>
                      <w:sz w:val="20"/>
                    </w:rPr>
                  </w:pPr>
                  <w:r w:rsidRPr="00735E71">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38E4B33B" w14:textId="77777777">
                  <w:pPr>
                    <w:jc w:val="center"/>
                    <w:rPr>
                      <w:color w:val="000000"/>
                      <w:sz w:val="20"/>
                    </w:rPr>
                  </w:pPr>
                  <w:r w:rsidRPr="00735E71">
                    <w:rPr>
                      <w:color w:val="000000"/>
                      <w:sz w:val="20"/>
                    </w:rPr>
                    <w:t>0</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38BCB0C8" w14:textId="77777777">
                  <w:pPr>
                    <w:jc w:val="right"/>
                    <w:rPr>
                      <w:color w:val="000000"/>
                      <w:sz w:val="20"/>
                    </w:rPr>
                  </w:pPr>
                  <w:r w:rsidRPr="00735E71">
                    <w:rPr>
                      <w:color w:val="000000"/>
                      <w:sz w:val="20"/>
                    </w:rPr>
                    <w:t xml:space="preserve">$0.00 </w:t>
                  </w:r>
                </w:p>
              </w:tc>
            </w:tr>
            <w:tr w14:paraId="270983BE" w14:textId="77777777" w:rsidTr="00735E71">
              <w:tblPrEx>
                <w:tblW w:w="12860" w:type="dxa"/>
                <w:tblLayout w:type="fixed"/>
                <w:tblLook w:val="04A0"/>
              </w:tblPrEx>
              <w:trPr>
                <w:trHeight w:val="52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7CC58CC4" w14:textId="77777777">
                  <w:pPr>
                    <w:rPr>
                      <w:sz w:val="20"/>
                    </w:rPr>
                  </w:pPr>
                  <w:r w:rsidRPr="00735E71">
                    <w:rPr>
                      <w:sz w:val="20"/>
                    </w:rPr>
                    <w:t>Repeat NOx Performance Test</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41B630B1" w14:textId="77777777">
                  <w:pPr>
                    <w:jc w:val="center"/>
                    <w:rPr>
                      <w:sz w:val="20"/>
                    </w:rPr>
                  </w:pPr>
                  <w:r w:rsidRPr="00735E71">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0576C8F3" w14:textId="77777777">
                  <w:pPr>
                    <w:jc w:val="center"/>
                    <w:rPr>
                      <w:sz w:val="20"/>
                    </w:rPr>
                  </w:pPr>
                  <w:r w:rsidRPr="00735E71">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3907D32A" w14:textId="77777777">
                  <w:pPr>
                    <w:jc w:val="center"/>
                    <w:rPr>
                      <w:color w:val="000000"/>
                      <w:sz w:val="20"/>
                    </w:rPr>
                  </w:pPr>
                  <w:r w:rsidRPr="00735E71">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735E71" w:rsidRPr="00735E71" w:rsidP="00735E71" w14:paraId="7C3CD7A2" w14:textId="77777777">
                  <w:pPr>
                    <w:jc w:val="center"/>
                    <w:rPr>
                      <w:sz w:val="20"/>
                    </w:rPr>
                  </w:pPr>
                  <w:r w:rsidRPr="00735E71">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452958D6" w14:textId="77777777">
                  <w:pPr>
                    <w:jc w:val="center"/>
                    <w:rPr>
                      <w:color w:val="000000"/>
                      <w:sz w:val="20"/>
                    </w:rPr>
                  </w:pPr>
                  <w:r w:rsidRPr="00735E71">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5E41F4AA" w14:textId="77777777">
                  <w:pPr>
                    <w:jc w:val="center"/>
                    <w:rPr>
                      <w:color w:val="000000"/>
                      <w:sz w:val="20"/>
                    </w:rPr>
                  </w:pPr>
                  <w:r w:rsidRPr="00735E71">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2353FF51" w14:textId="77777777">
                  <w:pPr>
                    <w:jc w:val="center"/>
                    <w:rPr>
                      <w:color w:val="000000"/>
                      <w:sz w:val="20"/>
                    </w:rPr>
                  </w:pPr>
                  <w:r w:rsidRPr="00735E71">
                    <w:rPr>
                      <w:color w:val="000000"/>
                      <w:sz w:val="20"/>
                    </w:rPr>
                    <w:t>0</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68768CEE" w14:textId="77777777">
                  <w:pPr>
                    <w:jc w:val="right"/>
                    <w:rPr>
                      <w:color w:val="000000"/>
                      <w:sz w:val="20"/>
                    </w:rPr>
                  </w:pPr>
                  <w:r w:rsidRPr="00735E71">
                    <w:rPr>
                      <w:color w:val="000000"/>
                      <w:sz w:val="20"/>
                    </w:rPr>
                    <w:t xml:space="preserve">$0.00 </w:t>
                  </w:r>
                </w:p>
              </w:tc>
            </w:tr>
            <w:tr w14:paraId="7FFE870F" w14:textId="77777777" w:rsidTr="00735E71">
              <w:tblPrEx>
                <w:tblW w:w="12860" w:type="dxa"/>
                <w:tblLayout w:type="fixed"/>
                <w:tblLook w:val="04A0"/>
              </w:tblPrEx>
              <w:trPr>
                <w:trHeight w:val="52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330FDE79" w14:textId="77777777">
                  <w:pPr>
                    <w:rPr>
                      <w:color w:val="000000"/>
                      <w:sz w:val="20"/>
                    </w:rPr>
                  </w:pPr>
                  <w:r w:rsidRPr="00735E71">
                    <w:rPr>
                      <w:color w:val="000000"/>
                      <w:sz w:val="20"/>
                    </w:rPr>
                    <w:t>Initial Performance Evaluation of CPMS</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02D6A89E" w14:textId="77777777">
                  <w:pPr>
                    <w:jc w:val="center"/>
                    <w:rPr>
                      <w:sz w:val="20"/>
                    </w:rPr>
                  </w:pPr>
                  <w:r w:rsidRPr="00735E71">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000F7504" w14:textId="77777777">
                  <w:pPr>
                    <w:jc w:val="center"/>
                    <w:rPr>
                      <w:sz w:val="20"/>
                    </w:rPr>
                  </w:pPr>
                  <w:r w:rsidRPr="00735E71">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6C08D619" w14:textId="77777777">
                  <w:pPr>
                    <w:jc w:val="center"/>
                    <w:rPr>
                      <w:color w:val="000000"/>
                      <w:sz w:val="20"/>
                    </w:rPr>
                  </w:pPr>
                  <w:r w:rsidRPr="00735E71">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735E71" w:rsidRPr="00735E71" w:rsidP="00735E71" w14:paraId="2A0A5E09" w14:textId="77777777">
                  <w:pPr>
                    <w:jc w:val="center"/>
                    <w:rPr>
                      <w:sz w:val="20"/>
                    </w:rPr>
                  </w:pPr>
                  <w:r w:rsidRPr="00735E71">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6AC649D2" w14:textId="77777777">
                  <w:pPr>
                    <w:jc w:val="center"/>
                    <w:rPr>
                      <w:color w:val="000000"/>
                      <w:sz w:val="20"/>
                    </w:rPr>
                  </w:pPr>
                  <w:r w:rsidRPr="00735E71">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540AF33A" w14:textId="77777777">
                  <w:pPr>
                    <w:jc w:val="center"/>
                    <w:rPr>
                      <w:color w:val="000000"/>
                      <w:sz w:val="20"/>
                    </w:rPr>
                  </w:pPr>
                  <w:r w:rsidRPr="00735E71">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4321CE50" w14:textId="77777777">
                  <w:pPr>
                    <w:jc w:val="center"/>
                    <w:rPr>
                      <w:color w:val="000000"/>
                      <w:sz w:val="20"/>
                    </w:rPr>
                  </w:pPr>
                  <w:r w:rsidRPr="00735E71">
                    <w:rPr>
                      <w:color w:val="000000"/>
                      <w:sz w:val="20"/>
                    </w:rPr>
                    <w:t>0</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02F4AF87" w14:textId="77777777">
                  <w:pPr>
                    <w:jc w:val="right"/>
                    <w:rPr>
                      <w:color w:val="000000"/>
                      <w:sz w:val="20"/>
                    </w:rPr>
                  </w:pPr>
                  <w:r w:rsidRPr="00735E71">
                    <w:rPr>
                      <w:color w:val="000000"/>
                      <w:sz w:val="20"/>
                    </w:rPr>
                    <w:t xml:space="preserve">$0.00 </w:t>
                  </w:r>
                </w:p>
              </w:tc>
            </w:tr>
            <w:tr w14:paraId="12D82DDB" w14:textId="77777777" w:rsidTr="00735E71">
              <w:tblPrEx>
                <w:tblW w:w="12860" w:type="dxa"/>
                <w:tblLayout w:type="fixed"/>
                <w:tblLook w:val="04A0"/>
              </w:tblPrEx>
              <w:trPr>
                <w:trHeight w:val="52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6290536B" w14:textId="77777777">
                  <w:pPr>
                    <w:rPr>
                      <w:color w:val="000000"/>
                      <w:sz w:val="20"/>
                    </w:rPr>
                  </w:pPr>
                  <w:r w:rsidRPr="00735E71">
                    <w:rPr>
                      <w:color w:val="000000"/>
                      <w:sz w:val="20"/>
                    </w:rPr>
                    <w:t>Repeat Performance Evaluation of CPMS</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55DD2249" w14:textId="77777777">
                  <w:pPr>
                    <w:jc w:val="center"/>
                    <w:rPr>
                      <w:sz w:val="20"/>
                    </w:rPr>
                  </w:pPr>
                  <w:r w:rsidRPr="00735E71">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1F79325F" w14:textId="77777777">
                  <w:pPr>
                    <w:jc w:val="center"/>
                    <w:rPr>
                      <w:sz w:val="20"/>
                    </w:rPr>
                  </w:pPr>
                  <w:r w:rsidRPr="00735E71">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078E36EA" w14:textId="77777777">
                  <w:pPr>
                    <w:jc w:val="center"/>
                    <w:rPr>
                      <w:color w:val="000000"/>
                      <w:sz w:val="20"/>
                    </w:rPr>
                  </w:pPr>
                  <w:r w:rsidRPr="00735E71">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735E71" w:rsidRPr="00735E71" w:rsidP="00735E71" w14:paraId="75DD5EA9" w14:textId="77777777">
                  <w:pPr>
                    <w:jc w:val="center"/>
                    <w:rPr>
                      <w:sz w:val="20"/>
                    </w:rPr>
                  </w:pPr>
                  <w:r w:rsidRPr="00735E71">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48856750" w14:textId="77777777">
                  <w:pPr>
                    <w:jc w:val="center"/>
                    <w:rPr>
                      <w:color w:val="000000"/>
                      <w:sz w:val="20"/>
                    </w:rPr>
                  </w:pPr>
                  <w:r w:rsidRPr="00735E71">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40D953E2" w14:textId="77777777">
                  <w:pPr>
                    <w:jc w:val="center"/>
                    <w:rPr>
                      <w:color w:val="000000"/>
                      <w:sz w:val="20"/>
                    </w:rPr>
                  </w:pPr>
                  <w:r w:rsidRPr="00735E71">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6C73ED8D" w14:textId="77777777">
                  <w:pPr>
                    <w:jc w:val="center"/>
                    <w:rPr>
                      <w:color w:val="000000"/>
                      <w:sz w:val="20"/>
                    </w:rPr>
                  </w:pPr>
                  <w:r w:rsidRPr="00735E71">
                    <w:rPr>
                      <w:color w:val="000000"/>
                      <w:sz w:val="20"/>
                    </w:rPr>
                    <w:t>0</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366D1C01" w14:textId="77777777">
                  <w:pPr>
                    <w:jc w:val="right"/>
                    <w:rPr>
                      <w:color w:val="000000"/>
                      <w:sz w:val="20"/>
                    </w:rPr>
                  </w:pPr>
                  <w:r w:rsidRPr="00735E71">
                    <w:rPr>
                      <w:color w:val="000000"/>
                      <w:sz w:val="20"/>
                    </w:rPr>
                    <w:t xml:space="preserve">$0.00 </w:t>
                  </w:r>
                </w:p>
              </w:tc>
            </w:tr>
            <w:tr w14:paraId="128F4E40" w14:textId="77777777" w:rsidTr="00735E71">
              <w:tblPrEx>
                <w:tblW w:w="12860" w:type="dxa"/>
                <w:tblLayout w:type="fixed"/>
                <w:tblLook w:val="04A0"/>
              </w:tblPrEx>
              <w:trPr>
                <w:trHeight w:val="57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0A63D5B9" w14:textId="77777777">
                  <w:pPr>
                    <w:rPr>
                      <w:i/>
                      <w:iCs/>
                      <w:color w:val="000000"/>
                      <w:sz w:val="20"/>
                    </w:rPr>
                  </w:pPr>
                  <w:r w:rsidRPr="00735E71">
                    <w:rPr>
                      <w:i/>
                      <w:iCs/>
                      <w:color w:val="000000"/>
                      <w:sz w:val="20"/>
                    </w:rPr>
                    <w:t xml:space="preserve">Existing Sources - Initial Testing </w:t>
                  </w:r>
                  <w:r w:rsidRPr="00735E71">
                    <w:rPr>
                      <w:color w:val="000000"/>
                      <w:sz w:val="20"/>
                      <w:vertAlign w:val="superscript"/>
                    </w:rPr>
                    <w:t>d</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330ABF4C" w14:textId="77777777">
                  <w:pPr>
                    <w:jc w:val="center"/>
                    <w:rPr>
                      <w:sz w:val="20"/>
                    </w:rPr>
                  </w:pPr>
                  <w:r w:rsidRPr="00735E71">
                    <w:rPr>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3E599D14" w14:textId="77777777">
                  <w:pPr>
                    <w:jc w:val="center"/>
                    <w:rPr>
                      <w:sz w:val="20"/>
                    </w:rPr>
                  </w:pPr>
                  <w:r w:rsidRPr="00735E71">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0EEBD346" w14:textId="77777777">
                  <w:pPr>
                    <w:jc w:val="center"/>
                    <w:rPr>
                      <w:color w:val="000000"/>
                      <w:sz w:val="20"/>
                    </w:rPr>
                  </w:pPr>
                  <w:r w:rsidRPr="00735E71">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735E71" w:rsidRPr="00735E71" w:rsidP="00735E71" w14:paraId="0814D117" w14:textId="77777777">
                  <w:pPr>
                    <w:jc w:val="center"/>
                    <w:rPr>
                      <w:sz w:val="20"/>
                    </w:rPr>
                  </w:pPr>
                  <w:r w:rsidRPr="00735E71">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21A61CB9" w14:textId="77777777">
                  <w:pPr>
                    <w:jc w:val="center"/>
                    <w:rPr>
                      <w:color w:val="000000"/>
                      <w:sz w:val="20"/>
                    </w:rPr>
                  </w:pPr>
                  <w:r w:rsidRPr="00735E71">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7CA8B5FA" w14:textId="77777777">
                  <w:pPr>
                    <w:jc w:val="center"/>
                    <w:rPr>
                      <w:color w:val="000000"/>
                      <w:sz w:val="20"/>
                    </w:rPr>
                  </w:pPr>
                  <w:r w:rsidRPr="00735E71">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6F5A30AD" w14:textId="77777777">
                  <w:pPr>
                    <w:jc w:val="center"/>
                    <w:rPr>
                      <w:color w:val="000000"/>
                      <w:sz w:val="20"/>
                    </w:rPr>
                  </w:pPr>
                  <w:r w:rsidRPr="00735E71">
                    <w:rPr>
                      <w:color w:val="000000"/>
                      <w:sz w:val="20"/>
                    </w:rPr>
                    <w:t> </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720A5C99" w14:textId="77777777">
                  <w:pPr>
                    <w:jc w:val="right"/>
                    <w:rPr>
                      <w:color w:val="000000"/>
                      <w:sz w:val="20"/>
                    </w:rPr>
                  </w:pPr>
                  <w:r w:rsidRPr="00735E71">
                    <w:rPr>
                      <w:color w:val="000000"/>
                      <w:sz w:val="20"/>
                    </w:rPr>
                    <w:t> </w:t>
                  </w:r>
                </w:p>
              </w:tc>
            </w:tr>
            <w:tr w14:paraId="1F9A022E" w14:textId="77777777" w:rsidTr="00735E71">
              <w:tblPrEx>
                <w:tblW w:w="12860" w:type="dxa"/>
                <w:tblLayout w:type="fixed"/>
                <w:tblLook w:val="04A0"/>
              </w:tblPrEx>
              <w:trPr>
                <w:trHeight w:val="52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1EB999AF" w14:textId="77777777">
                  <w:pPr>
                    <w:rPr>
                      <w:color w:val="000000"/>
                      <w:sz w:val="20"/>
                    </w:rPr>
                  </w:pPr>
                  <w:r w:rsidRPr="00735E71">
                    <w:rPr>
                      <w:color w:val="000000"/>
                      <w:sz w:val="20"/>
                    </w:rPr>
                    <w:t>Initial Performance Evaluation of CPMS</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51499D66" w14:textId="77777777">
                  <w:pPr>
                    <w:jc w:val="center"/>
                    <w:rPr>
                      <w:sz w:val="20"/>
                    </w:rPr>
                  </w:pPr>
                  <w:r w:rsidRPr="00735E71">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10282F32" w14:textId="77777777">
                  <w:pPr>
                    <w:jc w:val="center"/>
                    <w:rPr>
                      <w:sz w:val="20"/>
                    </w:rPr>
                  </w:pPr>
                  <w:r w:rsidRPr="00735E71">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70A73C2C" w14:textId="77777777">
                  <w:pPr>
                    <w:jc w:val="center"/>
                    <w:rPr>
                      <w:color w:val="000000"/>
                      <w:sz w:val="20"/>
                    </w:rPr>
                  </w:pPr>
                  <w:r w:rsidRPr="00735E71">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735E71" w:rsidRPr="00735E71" w:rsidP="00735E71" w14:paraId="5ABC47DD" w14:textId="77777777">
                  <w:pPr>
                    <w:jc w:val="center"/>
                    <w:rPr>
                      <w:sz w:val="20"/>
                    </w:rPr>
                  </w:pPr>
                  <w:r w:rsidRPr="00735E71">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041DC813" w14:textId="77777777">
                  <w:pPr>
                    <w:jc w:val="center"/>
                    <w:rPr>
                      <w:color w:val="000000"/>
                      <w:sz w:val="20"/>
                    </w:rPr>
                  </w:pPr>
                  <w:r w:rsidRPr="00735E71">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05912BC4" w14:textId="77777777">
                  <w:pPr>
                    <w:jc w:val="center"/>
                    <w:rPr>
                      <w:color w:val="000000"/>
                      <w:sz w:val="20"/>
                    </w:rPr>
                  </w:pPr>
                  <w:r w:rsidRPr="00735E71">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2D48ADC9" w14:textId="77777777">
                  <w:pPr>
                    <w:jc w:val="center"/>
                    <w:rPr>
                      <w:color w:val="000000"/>
                      <w:sz w:val="20"/>
                    </w:rPr>
                  </w:pPr>
                  <w:r w:rsidRPr="00735E71">
                    <w:rPr>
                      <w:color w:val="000000"/>
                      <w:sz w:val="20"/>
                    </w:rPr>
                    <w:t>0</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583FB89B" w14:textId="77777777">
                  <w:pPr>
                    <w:jc w:val="right"/>
                    <w:rPr>
                      <w:color w:val="000000"/>
                      <w:sz w:val="20"/>
                    </w:rPr>
                  </w:pPr>
                  <w:r w:rsidRPr="00735E71">
                    <w:rPr>
                      <w:color w:val="000000"/>
                      <w:sz w:val="20"/>
                    </w:rPr>
                    <w:t xml:space="preserve">$0.00 </w:t>
                  </w:r>
                </w:p>
              </w:tc>
            </w:tr>
            <w:tr w14:paraId="1E851D27" w14:textId="77777777" w:rsidTr="00735E71">
              <w:tblPrEx>
                <w:tblW w:w="12860" w:type="dxa"/>
                <w:tblLayout w:type="fixed"/>
                <w:tblLook w:val="04A0"/>
              </w:tblPrEx>
              <w:trPr>
                <w:trHeight w:val="52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72525974" w14:textId="77777777">
                  <w:pPr>
                    <w:rPr>
                      <w:color w:val="000000"/>
                      <w:sz w:val="20"/>
                    </w:rPr>
                  </w:pPr>
                  <w:r w:rsidRPr="00735E71">
                    <w:rPr>
                      <w:color w:val="000000"/>
                      <w:sz w:val="20"/>
                    </w:rPr>
                    <w:t>Repeat Performance Evaluation of CPMS</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5C3EA090" w14:textId="77777777">
                  <w:pPr>
                    <w:jc w:val="center"/>
                    <w:rPr>
                      <w:sz w:val="20"/>
                    </w:rPr>
                  </w:pPr>
                  <w:r w:rsidRPr="00735E71">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69A2A407" w14:textId="77777777">
                  <w:pPr>
                    <w:jc w:val="center"/>
                    <w:rPr>
                      <w:sz w:val="20"/>
                    </w:rPr>
                  </w:pPr>
                  <w:r w:rsidRPr="00735E71">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1F7B9A14" w14:textId="77777777">
                  <w:pPr>
                    <w:jc w:val="center"/>
                    <w:rPr>
                      <w:color w:val="000000"/>
                      <w:sz w:val="20"/>
                    </w:rPr>
                  </w:pPr>
                  <w:r w:rsidRPr="00735E71">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735E71" w:rsidRPr="00735E71" w:rsidP="00735E71" w14:paraId="63D2BC91" w14:textId="77777777">
                  <w:pPr>
                    <w:jc w:val="center"/>
                    <w:rPr>
                      <w:sz w:val="20"/>
                    </w:rPr>
                  </w:pPr>
                  <w:r w:rsidRPr="00735E71">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2698F592" w14:textId="77777777">
                  <w:pPr>
                    <w:jc w:val="center"/>
                    <w:rPr>
                      <w:color w:val="000000"/>
                      <w:sz w:val="20"/>
                    </w:rPr>
                  </w:pPr>
                  <w:r w:rsidRPr="00735E71">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5511B549" w14:textId="77777777">
                  <w:pPr>
                    <w:jc w:val="center"/>
                    <w:rPr>
                      <w:color w:val="000000"/>
                      <w:sz w:val="20"/>
                    </w:rPr>
                  </w:pPr>
                  <w:r w:rsidRPr="00735E71">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236483CB" w14:textId="77777777">
                  <w:pPr>
                    <w:jc w:val="center"/>
                    <w:rPr>
                      <w:color w:val="000000"/>
                      <w:sz w:val="20"/>
                    </w:rPr>
                  </w:pPr>
                  <w:r w:rsidRPr="00735E71">
                    <w:rPr>
                      <w:color w:val="000000"/>
                      <w:sz w:val="20"/>
                    </w:rPr>
                    <w:t>0</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6220C727" w14:textId="77777777">
                  <w:pPr>
                    <w:jc w:val="right"/>
                    <w:rPr>
                      <w:color w:val="000000"/>
                      <w:sz w:val="20"/>
                    </w:rPr>
                  </w:pPr>
                  <w:r w:rsidRPr="00735E71">
                    <w:rPr>
                      <w:color w:val="000000"/>
                      <w:sz w:val="20"/>
                    </w:rPr>
                    <w:t xml:space="preserve">$0.00 </w:t>
                  </w:r>
                </w:p>
              </w:tc>
            </w:tr>
            <w:tr w14:paraId="2672E544" w14:textId="77777777" w:rsidTr="00735E71">
              <w:tblPrEx>
                <w:tblW w:w="12860" w:type="dxa"/>
                <w:tblLayout w:type="fixed"/>
                <w:tblLook w:val="04A0"/>
              </w:tblPrEx>
              <w:trPr>
                <w:trHeight w:val="57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73BC2FEA" w14:textId="77777777">
                  <w:pPr>
                    <w:rPr>
                      <w:i/>
                      <w:iCs/>
                      <w:color w:val="000000"/>
                      <w:sz w:val="20"/>
                    </w:rPr>
                  </w:pPr>
                  <w:r w:rsidRPr="00735E71">
                    <w:rPr>
                      <w:i/>
                      <w:iCs/>
                      <w:color w:val="000000"/>
                      <w:sz w:val="20"/>
                    </w:rPr>
                    <w:t xml:space="preserve">Existing Sources - Annual Testing </w:t>
                  </w:r>
                  <w:r w:rsidRPr="00735E71">
                    <w:rPr>
                      <w:color w:val="000000"/>
                      <w:sz w:val="20"/>
                      <w:vertAlign w:val="superscript"/>
                    </w:rPr>
                    <w:t>d</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1587208B" w14:textId="77777777">
                  <w:pPr>
                    <w:jc w:val="center"/>
                    <w:rPr>
                      <w:color w:val="000000"/>
                      <w:sz w:val="20"/>
                    </w:rPr>
                  </w:pPr>
                  <w:r w:rsidRPr="00735E71">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7BF823C6" w14:textId="77777777">
                  <w:pPr>
                    <w:jc w:val="center"/>
                    <w:rPr>
                      <w:sz w:val="20"/>
                    </w:rPr>
                  </w:pPr>
                  <w:r w:rsidRPr="00735E71">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7981545E" w14:textId="77777777">
                  <w:pPr>
                    <w:jc w:val="center"/>
                    <w:rPr>
                      <w:color w:val="000000"/>
                      <w:sz w:val="20"/>
                    </w:rPr>
                  </w:pPr>
                  <w:r w:rsidRPr="00735E71">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735E71" w:rsidRPr="00735E71" w:rsidP="00735E71" w14:paraId="718E9AA6" w14:textId="77777777">
                  <w:pPr>
                    <w:jc w:val="center"/>
                    <w:rPr>
                      <w:sz w:val="20"/>
                    </w:rPr>
                  </w:pPr>
                  <w:r w:rsidRPr="00735E71">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06CFBFEE" w14:textId="77777777">
                  <w:pPr>
                    <w:jc w:val="center"/>
                    <w:rPr>
                      <w:color w:val="000000"/>
                      <w:sz w:val="20"/>
                    </w:rPr>
                  </w:pPr>
                  <w:r w:rsidRPr="00735E71">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6B02B70B" w14:textId="77777777">
                  <w:pPr>
                    <w:jc w:val="center"/>
                    <w:rPr>
                      <w:color w:val="000000"/>
                      <w:sz w:val="20"/>
                    </w:rPr>
                  </w:pPr>
                  <w:r w:rsidRPr="00735E71">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623519EE" w14:textId="77777777">
                  <w:pPr>
                    <w:jc w:val="center"/>
                    <w:rPr>
                      <w:color w:val="000000"/>
                      <w:sz w:val="20"/>
                    </w:rPr>
                  </w:pPr>
                  <w:r w:rsidRPr="00735E71">
                    <w:rPr>
                      <w:color w:val="000000"/>
                      <w:sz w:val="20"/>
                    </w:rPr>
                    <w:t> </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2A309FE5" w14:textId="77777777">
                  <w:pPr>
                    <w:jc w:val="right"/>
                    <w:rPr>
                      <w:color w:val="000000"/>
                      <w:sz w:val="20"/>
                    </w:rPr>
                  </w:pPr>
                  <w:r w:rsidRPr="00735E71">
                    <w:rPr>
                      <w:color w:val="000000"/>
                      <w:sz w:val="20"/>
                    </w:rPr>
                    <w:t> </w:t>
                  </w:r>
                </w:p>
              </w:tc>
            </w:tr>
            <w:tr w14:paraId="6CCD5C36" w14:textId="77777777" w:rsidTr="00735E71">
              <w:tblPrEx>
                <w:tblW w:w="12860" w:type="dxa"/>
                <w:tblLayout w:type="fixed"/>
                <w:tblLook w:val="04A0"/>
              </w:tblPrEx>
              <w:trPr>
                <w:trHeight w:val="52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20D229B6" w14:textId="77777777">
                  <w:pPr>
                    <w:rPr>
                      <w:color w:val="000000"/>
                      <w:sz w:val="20"/>
                    </w:rPr>
                  </w:pPr>
                  <w:r w:rsidRPr="00735E71">
                    <w:rPr>
                      <w:color w:val="000000"/>
                      <w:sz w:val="20"/>
                    </w:rPr>
                    <w:t>Annual NOx Performance Test (kiln)</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3996F3F3" w14:textId="77777777">
                  <w:pPr>
                    <w:jc w:val="center"/>
                    <w:rPr>
                      <w:sz w:val="20"/>
                    </w:rPr>
                  </w:pPr>
                  <w:r w:rsidRPr="00735E71">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6F197A08" w14:textId="77777777">
                  <w:pPr>
                    <w:jc w:val="center"/>
                    <w:rPr>
                      <w:sz w:val="20"/>
                    </w:rPr>
                  </w:pPr>
                  <w:r w:rsidRPr="00735E71">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3F6B6D0F" w14:textId="77777777">
                  <w:pPr>
                    <w:jc w:val="center"/>
                    <w:rPr>
                      <w:color w:val="000000"/>
                      <w:sz w:val="20"/>
                    </w:rPr>
                  </w:pPr>
                  <w:r w:rsidRPr="00735E71">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735E71" w:rsidRPr="00735E71" w:rsidP="00735E71" w14:paraId="17439E83" w14:textId="77777777">
                  <w:pPr>
                    <w:jc w:val="center"/>
                    <w:rPr>
                      <w:sz w:val="20"/>
                    </w:rPr>
                  </w:pPr>
                  <w:r w:rsidRPr="00735E71">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1824B4B3" w14:textId="77777777">
                  <w:pPr>
                    <w:jc w:val="center"/>
                    <w:rPr>
                      <w:color w:val="000000"/>
                      <w:sz w:val="20"/>
                    </w:rPr>
                  </w:pPr>
                  <w:r w:rsidRPr="00735E71">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5334F7D7" w14:textId="77777777">
                  <w:pPr>
                    <w:jc w:val="center"/>
                    <w:rPr>
                      <w:color w:val="000000"/>
                      <w:sz w:val="20"/>
                    </w:rPr>
                  </w:pPr>
                  <w:r w:rsidRPr="00735E71">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3214D184" w14:textId="77777777">
                  <w:pPr>
                    <w:jc w:val="center"/>
                    <w:rPr>
                      <w:color w:val="000000"/>
                      <w:sz w:val="20"/>
                    </w:rPr>
                  </w:pPr>
                  <w:r w:rsidRPr="00735E71">
                    <w:rPr>
                      <w:color w:val="000000"/>
                      <w:sz w:val="20"/>
                    </w:rPr>
                    <w:t>0</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63B689B2" w14:textId="77777777">
                  <w:pPr>
                    <w:jc w:val="right"/>
                    <w:rPr>
                      <w:color w:val="000000"/>
                      <w:sz w:val="20"/>
                    </w:rPr>
                  </w:pPr>
                  <w:r w:rsidRPr="00735E71">
                    <w:rPr>
                      <w:color w:val="000000"/>
                      <w:sz w:val="20"/>
                    </w:rPr>
                    <w:t xml:space="preserve">$0.00 </w:t>
                  </w:r>
                </w:p>
              </w:tc>
            </w:tr>
            <w:tr w14:paraId="2C096341" w14:textId="77777777" w:rsidTr="00735E71">
              <w:tblPrEx>
                <w:tblW w:w="12860" w:type="dxa"/>
                <w:tblLayout w:type="fixed"/>
                <w:tblLook w:val="04A0"/>
              </w:tblPrEx>
              <w:trPr>
                <w:trHeight w:val="26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1D5768B3" w14:textId="77777777">
                  <w:pPr>
                    <w:rPr>
                      <w:color w:val="000000"/>
                      <w:sz w:val="20"/>
                    </w:rPr>
                  </w:pPr>
                  <w:r w:rsidRPr="00735E71">
                    <w:rPr>
                      <w:color w:val="000000"/>
                      <w:sz w:val="20"/>
                    </w:rPr>
                    <w:t xml:space="preserve">Repeat NOx Performance Test </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3D584FDA" w14:textId="77777777">
                  <w:pPr>
                    <w:jc w:val="center"/>
                    <w:rPr>
                      <w:sz w:val="20"/>
                    </w:rPr>
                  </w:pPr>
                  <w:r w:rsidRPr="00735E71">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7FFC3A34" w14:textId="77777777">
                  <w:pPr>
                    <w:jc w:val="center"/>
                    <w:rPr>
                      <w:sz w:val="20"/>
                    </w:rPr>
                  </w:pPr>
                  <w:r w:rsidRPr="00735E71">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0A51DF32" w14:textId="77777777">
                  <w:pPr>
                    <w:jc w:val="center"/>
                    <w:rPr>
                      <w:color w:val="000000"/>
                      <w:sz w:val="20"/>
                    </w:rPr>
                  </w:pPr>
                  <w:r w:rsidRPr="00735E71">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735E71" w:rsidRPr="00735E71" w:rsidP="00735E71" w14:paraId="01EC2FD9" w14:textId="77777777">
                  <w:pPr>
                    <w:jc w:val="center"/>
                    <w:rPr>
                      <w:sz w:val="20"/>
                    </w:rPr>
                  </w:pPr>
                  <w:r w:rsidRPr="00735E71">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5CF45186" w14:textId="77777777">
                  <w:pPr>
                    <w:jc w:val="center"/>
                    <w:rPr>
                      <w:color w:val="000000"/>
                      <w:sz w:val="20"/>
                    </w:rPr>
                  </w:pPr>
                  <w:r w:rsidRPr="00735E71">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23E87CA4" w14:textId="77777777">
                  <w:pPr>
                    <w:jc w:val="center"/>
                    <w:rPr>
                      <w:color w:val="000000"/>
                      <w:sz w:val="20"/>
                    </w:rPr>
                  </w:pPr>
                  <w:r w:rsidRPr="00735E71">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29026CD5" w14:textId="77777777">
                  <w:pPr>
                    <w:jc w:val="center"/>
                    <w:rPr>
                      <w:color w:val="000000"/>
                      <w:sz w:val="20"/>
                    </w:rPr>
                  </w:pPr>
                  <w:r w:rsidRPr="00735E71">
                    <w:rPr>
                      <w:color w:val="000000"/>
                      <w:sz w:val="20"/>
                    </w:rPr>
                    <w:t>0</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5D15E545" w14:textId="77777777">
                  <w:pPr>
                    <w:jc w:val="right"/>
                    <w:rPr>
                      <w:color w:val="000000"/>
                      <w:sz w:val="20"/>
                    </w:rPr>
                  </w:pPr>
                  <w:r w:rsidRPr="00735E71">
                    <w:rPr>
                      <w:color w:val="000000"/>
                      <w:sz w:val="20"/>
                    </w:rPr>
                    <w:t xml:space="preserve">$0.00 </w:t>
                  </w:r>
                </w:p>
              </w:tc>
            </w:tr>
            <w:tr w14:paraId="5C8F663D" w14:textId="77777777" w:rsidTr="00735E71">
              <w:tblPrEx>
                <w:tblW w:w="12860" w:type="dxa"/>
                <w:tblLayout w:type="fixed"/>
                <w:tblLook w:val="04A0"/>
              </w:tblPrEx>
              <w:trPr>
                <w:trHeight w:val="57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7F31909F" w14:textId="77777777">
                  <w:pPr>
                    <w:rPr>
                      <w:i/>
                      <w:iCs/>
                      <w:color w:val="000000"/>
                      <w:sz w:val="20"/>
                    </w:rPr>
                  </w:pPr>
                  <w:r w:rsidRPr="00735E71">
                    <w:rPr>
                      <w:i/>
                      <w:iCs/>
                      <w:color w:val="000000"/>
                      <w:sz w:val="20"/>
                    </w:rPr>
                    <w:t xml:space="preserve">New and Existing Sources - Monitoring </w:t>
                  </w:r>
                  <w:r w:rsidRPr="00735E71">
                    <w:rPr>
                      <w:color w:val="000000"/>
                      <w:sz w:val="20"/>
                      <w:vertAlign w:val="superscript"/>
                    </w:rPr>
                    <w:t>e</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2B862610" w14:textId="77777777">
                  <w:pPr>
                    <w:jc w:val="center"/>
                    <w:rPr>
                      <w:color w:val="000000"/>
                      <w:sz w:val="20"/>
                    </w:rPr>
                  </w:pPr>
                  <w:r w:rsidRPr="00735E71">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546F08DB" w14:textId="77777777">
                  <w:pPr>
                    <w:jc w:val="center"/>
                    <w:rPr>
                      <w:sz w:val="20"/>
                    </w:rPr>
                  </w:pPr>
                  <w:r w:rsidRPr="00735E71">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42B3999E" w14:textId="77777777">
                  <w:pPr>
                    <w:jc w:val="center"/>
                    <w:rPr>
                      <w:color w:val="000000"/>
                      <w:sz w:val="20"/>
                    </w:rPr>
                  </w:pPr>
                  <w:r w:rsidRPr="00735E71">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735E71" w:rsidRPr="00735E71" w:rsidP="00735E71" w14:paraId="7F1916FD" w14:textId="77777777">
                  <w:pPr>
                    <w:jc w:val="center"/>
                    <w:rPr>
                      <w:sz w:val="20"/>
                    </w:rPr>
                  </w:pPr>
                  <w:r w:rsidRPr="00735E71">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0093EAE4" w14:textId="77777777">
                  <w:pPr>
                    <w:jc w:val="center"/>
                    <w:rPr>
                      <w:color w:val="000000"/>
                      <w:sz w:val="20"/>
                    </w:rPr>
                  </w:pPr>
                  <w:r w:rsidRPr="00735E71">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45A6CD6C" w14:textId="77777777">
                  <w:pPr>
                    <w:jc w:val="center"/>
                    <w:rPr>
                      <w:color w:val="000000"/>
                      <w:sz w:val="20"/>
                    </w:rPr>
                  </w:pPr>
                  <w:r w:rsidRPr="00735E71">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2B23829A" w14:textId="77777777">
                  <w:pPr>
                    <w:jc w:val="center"/>
                    <w:rPr>
                      <w:color w:val="000000"/>
                      <w:sz w:val="20"/>
                    </w:rPr>
                  </w:pPr>
                  <w:r w:rsidRPr="00735E71">
                    <w:rPr>
                      <w:color w:val="000000"/>
                      <w:sz w:val="20"/>
                    </w:rPr>
                    <w:t> </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0C560F23" w14:textId="77777777">
                  <w:pPr>
                    <w:jc w:val="right"/>
                    <w:rPr>
                      <w:color w:val="000000"/>
                      <w:sz w:val="20"/>
                    </w:rPr>
                  </w:pPr>
                  <w:r w:rsidRPr="00735E71">
                    <w:rPr>
                      <w:color w:val="000000"/>
                      <w:sz w:val="20"/>
                    </w:rPr>
                    <w:t> </w:t>
                  </w:r>
                </w:p>
              </w:tc>
            </w:tr>
            <w:tr w14:paraId="31682D05" w14:textId="77777777" w:rsidTr="00735E71">
              <w:tblPrEx>
                <w:tblW w:w="12860" w:type="dxa"/>
                <w:tblLayout w:type="fixed"/>
                <w:tblLook w:val="04A0"/>
              </w:tblPrEx>
              <w:trPr>
                <w:trHeight w:val="26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045218AB" w14:textId="77777777">
                  <w:pPr>
                    <w:rPr>
                      <w:color w:val="000000"/>
                      <w:sz w:val="20"/>
                    </w:rPr>
                  </w:pPr>
                  <w:r w:rsidRPr="00735E71">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5C88F7D0" w14:textId="77777777">
                  <w:pPr>
                    <w:jc w:val="center"/>
                    <w:rPr>
                      <w:color w:val="000000"/>
                      <w:sz w:val="20"/>
                    </w:rPr>
                  </w:pPr>
                  <w:r w:rsidRPr="00735E71">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0D97E066" w14:textId="77777777">
                  <w:pPr>
                    <w:jc w:val="center"/>
                    <w:rPr>
                      <w:sz w:val="20"/>
                    </w:rPr>
                  </w:pPr>
                  <w:r w:rsidRPr="00735E71">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168869DF" w14:textId="77777777">
                  <w:pPr>
                    <w:jc w:val="center"/>
                    <w:rPr>
                      <w:color w:val="000000"/>
                      <w:sz w:val="20"/>
                    </w:rPr>
                  </w:pPr>
                  <w:r w:rsidRPr="00735E71">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735E71" w:rsidRPr="00735E71" w:rsidP="00735E71" w14:paraId="0A524810" w14:textId="77777777">
                  <w:pPr>
                    <w:jc w:val="center"/>
                    <w:rPr>
                      <w:sz w:val="20"/>
                    </w:rPr>
                  </w:pPr>
                  <w:r w:rsidRPr="00735E71">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11A33C32" w14:textId="77777777">
                  <w:pPr>
                    <w:jc w:val="center"/>
                    <w:rPr>
                      <w:color w:val="000000"/>
                      <w:sz w:val="20"/>
                    </w:rPr>
                  </w:pPr>
                  <w:r w:rsidRPr="00735E71">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3E490E59" w14:textId="77777777">
                  <w:pPr>
                    <w:jc w:val="center"/>
                    <w:rPr>
                      <w:color w:val="000000"/>
                      <w:sz w:val="20"/>
                    </w:rPr>
                  </w:pPr>
                  <w:r w:rsidRPr="00735E71">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13B8516A" w14:textId="77777777">
                  <w:pPr>
                    <w:jc w:val="center"/>
                    <w:rPr>
                      <w:color w:val="000000"/>
                      <w:sz w:val="20"/>
                    </w:rPr>
                  </w:pPr>
                  <w:r w:rsidRPr="00735E71">
                    <w:rPr>
                      <w:color w:val="000000"/>
                      <w:sz w:val="20"/>
                    </w:rPr>
                    <w:t> </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21180442" w14:textId="77777777">
                  <w:pPr>
                    <w:jc w:val="right"/>
                    <w:rPr>
                      <w:color w:val="000000"/>
                      <w:sz w:val="20"/>
                    </w:rPr>
                  </w:pPr>
                  <w:r w:rsidRPr="00735E71">
                    <w:rPr>
                      <w:color w:val="000000"/>
                      <w:sz w:val="20"/>
                    </w:rPr>
                    <w:t> </w:t>
                  </w:r>
                </w:p>
              </w:tc>
            </w:tr>
            <w:tr w14:paraId="4678DB1B" w14:textId="77777777" w:rsidTr="00735E71">
              <w:tblPrEx>
                <w:tblW w:w="12860" w:type="dxa"/>
                <w:tblLayout w:type="fixed"/>
                <w:tblLook w:val="04A0"/>
              </w:tblPrEx>
              <w:trPr>
                <w:trHeight w:val="26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0493F8E1" w14:textId="77777777">
                  <w:pPr>
                    <w:rPr>
                      <w:color w:val="000000"/>
                      <w:sz w:val="20"/>
                    </w:rPr>
                  </w:pPr>
                  <w:r w:rsidRPr="00735E71">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3BBF7DF8" w14:textId="77777777">
                  <w:pPr>
                    <w:jc w:val="center"/>
                    <w:rPr>
                      <w:color w:val="000000"/>
                      <w:sz w:val="20"/>
                    </w:rPr>
                  </w:pPr>
                  <w:r w:rsidRPr="00735E71">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3C506FB5" w14:textId="77777777">
                  <w:pPr>
                    <w:jc w:val="center"/>
                    <w:rPr>
                      <w:sz w:val="20"/>
                    </w:rPr>
                  </w:pPr>
                  <w:r w:rsidRPr="00735E71">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74DA39B5" w14:textId="77777777">
                  <w:pPr>
                    <w:jc w:val="center"/>
                    <w:rPr>
                      <w:color w:val="000000"/>
                      <w:sz w:val="20"/>
                    </w:rPr>
                  </w:pPr>
                  <w:r w:rsidRPr="00735E71">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735E71" w:rsidRPr="00735E71" w:rsidP="00735E71" w14:paraId="72E4D57A" w14:textId="77777777">
                  <w:pPr>
                    <w:jc w:val="center"/>
                    <w:rPr>
                      <w:sz w:val="20"/>
                    </w:rPr>
                  </w:pPr>
                  <w:r w:rsidRPr="00735E71">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4FDEABEB" w14:textId="77777777">
                  <w:pPr>
                    <w:jc w:val="center"/>
                    <w:rPr>
                      <w:color w:val="000000"/>
                      <w:sz w:val="20"/>
                    </w:rPr>
                  </w:pPr>
                  <w:r w:rsidRPr="00735E71">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2C76474A" w14:textId="77777777">
                  <w:pPr>
                    <w:jc w:val="center"/>
                    <w:rPr>
                      <w:color w:val="000000"/>
                      <w:sz w:val="20"/>
                    </w:rPr>
                  </w:pPr>
                  <w:r w:rsidRPr="00735E71">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5099B175" w14:textId="77777777">
                  <w:pPr>
                    <w:jc w:val="center"/>
                    <w:rPr>
                      <w:color w:val="000000"/>
                      <w:sz w:val="20"/>
                    </w:rPr>
                  </w:pPr>
                  <w:r w:rsidRPr="00735E71">
                    <w:rPr>
                      <w:color w:val="000000"/>
                      <w:sz w:val="20"/>
                    </w:rPr>
                    <w:t> </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3339AB99" w14:textId="77777777">
                  <w:pPr>
                    <w:jc w:val="right"/>
                    <w:rPr>
                      <w:color w:val="000000"/>
                      <w:sz w:val="20"/>
                    </w:rPr>
                  </w:pPr>
                  <w:r w:rsidRPr="00735E71">
                    <w:rPr>
                      <w:color w:val="000000"/>
                      <w:sz w:val="20"/>
                    </w:rPr>
                    <w:t> </w:t>
                  </w:r>
                </w:p>
              </w:tc>
            </w:tr>
            <w:tr w14:paraId="5A0F3B18" w14:textId="77777777" w:rsidTr="00735E71">
              <w:tblPrEx>
                <w:tblW w:w="12860" w:type="dxa"/>
                <w:tblLayout w:type="fixed"/>
                <w:tblLook w:val="04A0"/>
              </w:tblPrEx>
              <w:trPr>
                <w:trHeight w:val="52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257A8270" w14:textId="77777777">
                  <w:pPr>
                    <w:rPr>
                      <w:color w:val="000000"/>
                      <w:sz w:val="20"/>
                    </w:rPr>
                  </w:pPr>
                  <w:r w:rsidRPr="00735E71">
                    <w:rPr>
                      <w:color w:val="000000"/>
                      <w:sz w:val="20"/>
                    </w:rPr>
                    <w:t>C. Create Information (Included in 4B)</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67EABE2E" w14:textId="77777777">
                  <w:pPr>
                    <w:jc w:val="center"/>
                    <w:rPr>
                      <w:color w:val="000000"/>
                      <w:sz w:val="20"/>
                    </w:rPr>
                  </w:pPr>
                  <w:r w:rsidRPr="00735E71">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338ECD18" w14:textId="77777777">
                  <w:pPr>
                    <w:jc w:val="right"/>
                    <w:rPr>
                      <w:sz w:val="20"/>
                    </w:rPr>
                  </w:pPr>
                  <w:r w:rsidRPr="00735E71">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085ED828" w14:textId="77777777">
                  <w:pPr>
                    <w:jc w:val="right"/>
                    <w:rPr>
                      <w:color w:val="000000"/>
                      <w:sz w:val="20"/>
                    </w:rPr>
                  </w:pPr>
                  <w:r w:rsidRPr="00735E71">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735E71" w:rsidRPr="00735E71" w:rsidP="00735E71" w14:paraId="3997201E" w14:textId="77777777">
                  <w:pPr>
                    <w:jc w:val="center"/>
                    <w:rPr>
                      <w:sz w:val="20"/>
                    </w:rPr>
                  </w:pPr>
                  <w:r w:rsidRPr="00735E71">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75B7F177" w14:textId="77777777">
                  <w:pPr>
                    <w:jc w:val="center"/>
                    <w:rPr>
                      <w:color w:val="000000"/>
                      <w:sz w:val="20"/>
                    </w:rPr>
                  </w:pPr>
                  <w:r w:rsidRPr="00735E71">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2CB768E1" w14:textId="77777777">
                  <w:pPr>
                    <w:jc w:val="center"/>
                    <w:rPr>
                      <w:color w:val="000000"/>
                      <w:sz w:val="20"/>
                    </w:rPr>
                  </w:pPr>
                  <w:r w:rsidRPr="00735E71">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133F42F4" w14:textId="77777777">
                  <w:pPr>
                    <w:jc w:val="center"/>
                    <w:rPr>
                      <w:color w:val="000000"/>
                      <w:sz w:val="20"/>
                    </w:rPr>
                  </w:pPr>
                  <w:r w:rsidRPr="00735E71">
                    <w:rPr>
                      <w:color w:val="000000"/>
                      <w:sz w:val="20"/>
                    </w:rPr>
                    <w:t> </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7CF83B7E" w14:textId="77777777">
                  <w:pPr>
                    <w:jc w:val="right"/>
                    <w:rPr>
                      <w:color w:val="000000"/>
                      <w:sz w:val="20"/>
                    </w:rPr>
                  </w:pPr>
                  <w:r w:rsidRPr="00735E71">
                    <w:rPr>
                      <w:color w:val="000000"/>
                      <w:sz w:val="20"/>
                    </w:rPr>
                    <w:t> </w:t>
                  </w:r>
                </w:p>
              </w:tc>
            </w:tr>
            <w:tr w14:paraId="151BB68B" w14:textId="77777777" w:rsidTr="00735E71">
              <w:tblPrEx>
                <w:tblW w:w="12860" w:type="dxa"/>
                <w:tblLayout w:type="fixed"/>
                <w:tblLook w:val="04A0"/>
              </w:tblPrEx>
              <w:trPr>
                <w:trHeight w:val="52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155AFE55" w14:textId="77777777">
                  <w:pPr>
                    <w:rPr>
                      <w:color w:val="000000"/>
                      <w:sz w:val="20"/>
                    </w:rPr>
                  </w:pPr>
                  <w:r w:rsidRPr="00735E71">
                    <w:rPr>
                      <w:color w:val="000000"/>
                      <w:sz w:val="20"/>
                    </w:rPr>
                    <w:t>D. Gather Existing Information (Included in 4E)</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5EDBCAF5" w14:textId="77777777">
                  <w:pPr>
                    <w:jc w:val="center"/>
                    <w:rPr>
                      <w:color w:val="000000"/>
                      <w:sz w:val="20"/>
                    </w:rPr>
                  </w:pPr>
                  <w:r w:rsidRPr="00735E71">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31060F2B" w14:textId="77777777">
                  <w:pPr>
                    <w:jc w:val="right"/>
                    <w:rPr>
                      <w:sz w:val="20"/>
                    </w:rPr>
                  </w:pPr>
                  <w:r w:rsidRPr="00735E71">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5080A941" w14:textId="77777777">
                  <w:pPr>
                    <w:jc w:val="right"/>
                    <w:rPr>
                      <w:color w:val="000000"/>
                      <w:sz w:val="20"/>
                    </w:rPr>
                  </w:pPr>
                  <w:r w:rsidRPr="00735E71">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735E71" w:rsidRPr="00735E71" w:rsidP="00735E71" w14:paraId="72EA0B23" w14:textId="77777777">
                  <w:pPr>
                    <w:jc w:val="center"/>
                    <w:rPr>
                      <w:sz w:val="20"/>
                    </w:rPr>
                  </w:pPr>
                  <w:r w:rsidRPr="00735E71">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17BA2678" w14:textId="77777777">
                  <w:pPr>
                    <w:jc w:val="center"/>
                    <w:rPr>
                      <w:color w:val="000000"/>
                      <w:sz w:val="20"/>
                    </w:rPr>
                  </w:pPr>
                  <w:r w:rsidRPr="00735E71">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5B627AAC" w14:textId="77777777">
                  <w:pPr>
                    <w:jc w:val="center"/>
                    <w:rPr>
                      <w:color w:val="000000"/>
                      <w:sz w:val="20"/>
                    </w:rPr>
                  </w:pPr>
                  <w:r w:rsidRPr="00735E71">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6C08F159" w14:textId="77777777">
                  <w:pPr>
                    <w:jc w:val="center"/>
                    <w:rPr>
                      <w:color w:val="000000"/>
                      <w:sz w:val="20"/>
                    </w:rPr>
                  </w:pPr>
                  <w:r w:rsidRPr="00735E71">
                    <w:rPr>
                      <w:color w:val="000000"/>
                      <w:sz w:val="20"/>
                    </w:rPr>
                    <w:t> </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2E1FCD82" w14:textId="77777777">
                  <w:pPr>
                    <w:jc w:val="right"/>
                    <w:rPr>
                      <w:color w:val="000000"/>
                      <w:sz w:val="20"/>
                    </w:rPr>
                  </w:pPr>
                  <w:r w:rsidRPr="00735E71">
                    <w:rPr>
                      <w:color w:val="000000"/>
                      <w:sz w:val="20"/>
                    </w:rPr>
                    <w:t> </w:t>
                  </w:r>
                </w:p>
              </w:tc>
            </w:tr>
            <w:tr w14:paraId="324E9AD0" w14:textId="77777777" w:rsidTr="00735E71">
              <w:tblPrEx>
                <w:tblW w:w="12860" w:type="dxa"/>
                <w:tblLayout w:type="fixed"/>
                <w:tblLook w:val="04A0"/>
              </w:tblPrEx>
              <w:trPr>
                <w:trHeight w:val="26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63369C74" w14:textId="77777777">
                  <w:pPr>
                    <w:rPr>
                      <w:color w:val="000000"/>
                      <w:sz w:val="20"/>
                    </w:rPr>
                  </w:pPr>
                  <w:r w:rsidRPr="00735E71">
                    <w:rPr>
                      <w:color w:val="000000"/>
                      <w:sz w:val="20"/>
                    </w:rPr>
                    <w:t>E. Write Report</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411D038E" w14:textId="77777777">
                  <w:pPr>
                    <w:jc w:val="right"/>
                    <w:rPr>
                      <w:color w:val="000000"/>
                      <w:sz w:val="20"/>
                    </w:rPr>
                  </w:pPr>
                  <w:r w:rsidRPr="00735E71">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111E2A44" w14:textId="77777777">
                  <w:pPr>
                    <w:jc w:val="right"/>
                    <w:rPr>
                      <w:sz w:val="20"/>
                    </w:rPr>
                  </w:pPr>
                  <w:r w:rsidRPr="00735E71">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4D4837B6" w14:textId="77777777">
                  <w:pPr>
                    <w:jc w:val="right"/>
                    <w:rPr>
                      <w:color w:val="000000"/>
                      <w:sz w:val="20"/>
                    </w:rPr>
                  </w:pPr>
                  <w:r w:rsidRPr="00735E71">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735E71" w:rsidRPr="00735E71" w:rsidP="00735E71" w14:paraId="668E261E" w14:textId="77777777">
                  <w:pPr>
                    <w:jc w:val="center"/>
                    <w:rPr>
                      <w:sz w:val="20"/>
                    </w:rPr>
                  </w:pPr>
                  <w:r w:rsidRPr="00735E71">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76594767" w14:textId="77777777">
                  <w:pPr>
                    <w:jc w:val="center"/>
                    <w:rPr>
                      <w:color w:val="000000"/>
                      <w:sz w:val="20"/>
                    </w:rPr>
                  </w:pPr>
                  <w:r w:rsidRPr="00735E71">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5A1539F2" w14:textId="77777777">
                  <w:pPr>
                    <w:jc w:val="center"/>
                    <w:rPr>
                      <w:color w:val="000000"/>
                      <w:sz w:val="20"/>
                    </w:rPr>
                  </w:pPr>
                  <w:r w:rsidRPr="00735E71">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7B5CD8BE" w14:textId="77777777">
                  <w:pPr>
                    <w:jc w:val="center"/>
                    <w:rPr>
                      <w:color w:val="000000"/>
                      <w:sz w:val="20"/>
                    </w:rPr>
                  </w:pPr>
                  <w:r w:rsidRPr="00735E71">
                    <w:rPr>
                      <w:color w:val="000000"/>
                      <w:sz w:val="20"/>
                    </w:rPr>
                    <w:t> </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33F3FD71" w14:textId="77777777">
                  <w:pPr>
                    <w:jc w:val="right"/>
                    <w:rPr>
                      <w:color w:val="000000"/>
                      <w:sz w:val="20"/>
                    </w:rPr>
                  </w:pPr>
                  <w:r w:rsidRPr="00735E71">
                    <w:rPr>
                      <w:color w:val="000000"/>
                      <w:sz w:val="20"/>
                    </w:rPr>
                    <w:t> </w:t>
                  </w:r>
                </w:p>
              </w:tc>
            </w:tr>
            <w:tr w14:paraId="33EC967A" w14:textId="77777777" w:rsidTr="00735E71">
              <w:tblPrEx>
                <w:tblW w:w="12860" w:type="dxa"/>
                <w:tblLayout w:type="fixed"/>
                <w:tblLook w:val="04A0"/>
              </w:tblPrEx>
              <w:trPr>
                <w:trHeight w:val="523"/>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0C95F156" w14:textId="77777777">
                  <w:pPr>
                    <w:rPr>
                      <w:i/>
                      <w:iCs/>
                      <w:color w:val="000000"/>
                      <w:sz w:val="20"/>
                      <w:u w:val="single"/>
                    </w:rPr>
                  </w:pPr>
                  <w:r w:rsidRPr="00735E71">
                    <w:rPr>
                      <w:i/>
                      <w:iCs/>
                      <w:color w:val="000000"/>
                      <w:sz w:val="20"/>
                      <w:u w:val="single"/>
                    </w:rPr>
                    <w:t>New Sources- Reporting</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6F582690" w14:textId="77777777">
                  <w:pPr>
                    <w:jc w:val="center"/>
                    <w:rPr>
                      <w:color w:val="000000"/>
                      <w:sz w:val="20"/>
                    </w:rPr>
                  </w:pPr>
                  <w:r w:rsidRPr="00735E71">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23CC569A" w14:textId="77777777">
                  <w:pPr>
                    <w:jc w:val="center"/>
                    <w:rPr>
                      <w:sz w:val="20"/>
                    </w:rPr>
                  </w:pPr>
                  <w:r w:rsidRPr="00735E71">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7123282F" w14:textId="77777777">
                  <w:pPr>
                    <w:jc w:val="center"/>
                    <w:rPr>
                      <w:color w:val="000000"/>
                      <w:sz w:val="20"/>
                    </w:rPr>
                  </w:pPr>
                  <w:r w:rsidRPr="00735E71">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735E71" w:rsidRPr="00735E71" w:rsidP="00735E71" w14:paraId="6CC995E6" w14:textId="77777777">
                  <w:pPr>
                    <w:jc w:val="center"/>
                    <w:rPr>
                      <w:sz w:val="20"/>
                    </w:rPr>
                  </w:pPr>
                  <w:r w:rsidRPr="00735E71">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0C887817" w14:textId="77777777">
                  <w:pPr>
                    <w:jc w:val="center"/>
                    <w:rPr>
                      <w:color w:val="000000"/>
                      <w:sz w:val="20"/>
                    </w:rPr>
                  </w:pPr>
                  <w:r w:rsidRPr="00735E71">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6A73D49B" w14:textId="77777777">
                  <w:pPr>
                    <w:jc w:val="center"/>
                    <w:rPr>
                      <w:color w:val="000000"/>
                      <w:sz w:val="20"/>
                    </w:rPr>
                  </w:pPr>
                  <w:r w:rsidRPr="00735E71">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78B03EBC" w14:textId="77777777">
                  <w:pPr>
                    <w:jc w:val="center"/>
                    <w:rPr>
                      <w:color w:val="000000"/>
                      <w:sz w:val="20"/>
                    </w:rPr>
                  </w:pPr>
                  <w:r w:rsidRPr="00735E71">
                    <w:rPr>
                      <w:color w:val="000000"/>
                      <w:sz w:val="20"/>
                    </w:rPr>
                    <w:t> </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1C6398E0" w14:textId="77777777">
                  <w:pPr>
                    <w:jc w:val="right"/>
                    <w:rPr>
                      <w:color w:val="000000"/>
                      <w:sz w:val="20"/>
                    </w:rPr>
                  </w:pPr>
                  <w:r w:rsidRPr="00735E71">
                    <w:rPr>
                      <w:color w:val="000000"/>
                      <w:sz w:val="20"/>
                    </w:rPr>
                    <w:t> </w:t>
                  </w:r>
                </w:p>
              </w:tc>
            </w:tr>
            <w:tr w14:paraId="7C998565" w14:textId="77777777" w:rsidTr="00735E71">
              <w:tblPrEx>
                <w:tblW w:w="12860" w:type="dxa"/>
                <w:tblLayout w:type="fixed"/>
                <w:tblLook w:val="04A0"/>
              </w:tblPrEx>
              <w:trPr>
                <w:trHeight w:val="523"/>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16559CA4" w14:textId="77777777">
                  <w:pPr>
                    <w:rPr>
                      <w:color w:val="000000"/>
                      <w:sz w:val="20"/>
                    </w:rPr>
                  </w:pPr>
                  <w:r w:rsidRPr="00735E71">
                    <w:rPr>
                      <w:color w:val="000000"/>
                      <w:sz w:val="20"/>
                    </w:rPr>
                    <w:t>Notification of Initial Performance Test</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6D66FCA4" w14:textId="77777777">
                  <w:pPr>
                    <w:jc w:val="center"/>
                    <w:rPr>
                      <w:sz w:val="20"/>
                    </w:rPr>
                  </w:pPr>
                  <w:r w:rsidRPr="00735E71">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22F72135" w14:textId="77777777">
                  <w:pPr>
                    <w:jc w:val="center"/>
                    <w:rPr>
                      <w:sz w:val="20"/>
                    </w:rPr>
                  </w:pPr>
                  <w:r w:rsidRPr="00735E71">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7DC1AB04" w14:textId="77777777">
                  <w:pPr>
                    <w:jc w:val="center"/>
                    <w:rPr>
                      <w:color w:val="000000"/>
                      <w:sz w:val="20"/>
                    </w:rPr>
                  </w:pPr>
                  <w:r w:rsidRPr="00735E71">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735E71" w:rsidRPr="00735E71" w:rsidP="00735E71" w14:paraId="09CAC493" w14:textId="77777777">
                  <w:pPr>
                    <w:jc w:val="center"/>
                    <w:rPr>
                      <w:sz w:val="20"/>
                    </w:rPr>
                  </w:pPr>
                  <w:r w:rsidRPr="00735E71">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42E3E24A" w14:textId="77777777">
                  <w:pPr>
                    <w:jc w:val="center"/>
                    <w:rPr>
                      <w:color w:val="000000"/>
                      <w:sz w:val="20"/>
                    </w:rPr>
                  </w:pPr>
                  <w:r w:rsidRPr="00735E71">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3B6D1523" w14:textId="77777777">
                  <w:pPr>
                    <w:jc w:val="center"/>
                    <w:rPr>
                      <w:color w:val="000000"/>
                      <w:sz w:val="20"/>
                    </w:rPr>
                  </w:pPr>
                  <w:r w:rsidRPr="00735E71">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62D0BAE7" w14:textId="77777777">
                  <w:pPr>
                    <w:jc w:val="center"/>
                    <w:rPr>
                      <w:color w:val="000000"/>
                      <w:sz w:val="20"/>
                    </w:rPr>
                  </w:pPr>
                  <w:r w:rsidRPr="00735E71">
                    <w:rPr>
                      <w:color w:val="000000"/>
                      <w:sz w:val="20"/>
                    </w:rPr>
                    <w:t>0</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7C9F0BED" w14:textId="77777777">
                  <w:pPr>
                    <w:jc w:val="right"/>
                    <w:rPr>
                      <w:color w:val="000000"/>
                      <w:sz w:val="20"/>
                    </w:rPr>
                  </w:pPr>
                  <w:r w:rsidRPr="00735E71">
                    <w:rPr>
                      <w:color w:val="000000"/>
                      <w:sz w:val="20"/>
                    </w:rPr>
                    <w:t xml:space="preserve">$0.00 </w:t>
                  </w:r>
                </w:p>
              </w:tc>
            </w:tr>
            <w:tr w14:paraId="35CAAADD" w14:textId="77777777" w:rsidTr="00735E71">
              <w:tblPrEx>
                <w:tblW w:w="12860" w:type="dxa"/>
                <w:tblLayout w:type="fixed"/>
                <w:tblLook w:val="04A0"/>
              </w:tblPrEx>
              <w:trPr>
                <w:trHeight w:val="78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289F6F1A" w14:textId="77777777">
                  <w:pPr>
                    <w:rPr>
                      <w:color w:val="000000"/>
                      <w:sz w:val="20"/>
                    </w:rPr>
                  </w:pPr>
                  <w:r w:rsidRPr="00735E71">
                    <w:rPr>
                      <w:color w:val="000000"/>
                      <w:sz w:val="20"/>
                    </w:rPr>
                    <w:t>Report of Performance Test Results via CEDRI or analogous electronic reporting</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0775F238" w14:textId="77777777">
                  <w:pPr>
                    <w:jc w:val="center"/>
                    <w:rPr>
                      <w:sz w:val="20"/>
                    </w:rPr>
                  </w:pPr>
                  <w:r w:rsidRPr="00735E71">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52DA038B" w14:textId="77777777">
                  <w:pPr>
                    <w:jc w:val="center"/>
                    <w:rPr>
                      <w:sz w:val="20"/>
                    </w:rPr>
                  </w:pPr>
                  <w:r w:rsidRPr="00735E71">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10C6C3FD" w14:textId="77777777">
                  <w:pPr>
                    <w:jc w:val="center"/>
                    <w:rPr>
                      <w:color w:val="000000"/>
                      <w:sz w:val="20"/>
                    </w:rPr>
                  </w:pPr>
                  <w:r w:rsidRPr="00735E71">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735E71" w:rsidRPr="00735E71" w:rsidP="00735E71" w14:paraId="3459883E" w14:textId="77777777">
                  <w:pPr>
                    <w:jc w:val="center"/>
                    <w:rPr>
                      <w:sz w:val="20"/>
                    </w:rPr>
                  </w:pPr>
                  <w:r w:rsidRPr="00735E71">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69CC895D" w14:textId="77777777">
                  <w:pPr>
                    <w:jc w:val="center"/>
                    <w:rPr>
                      <w:color w:val="000000"/>
                      <w:sz w:val="20"/>
                    </w:rPr>
                  </w:pPr>
                  <w:r w:rsidRPr="00735E71">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66BEA2A1" w14:textId="77777777">
                  <w:pPr>
                    <w:jc w:val="center"/>
                    <w:rPr>
                      <w:color w:val="000000"/>
                      <w:sz w:val="20"/>
                    </w:rPr>
                  </w:pPr>
                  <w:r w:rsidRPr="00735E71">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3A71DF44" w14:textId="77777777">
                  <w:pPr>
                    <w:jc w:val="center"/>
                    <w:rPr>
                      <w:color w:val="000000"/>
                      <w:sz w:val="20"/>
                    </w:rPr>
                  </w:pPr>
                  <w:r w:rsidRPr="00735E71">
                    <w:rPr>
                      <w:color w:val="000000"/>
                      <w:sz w:val="20"/>
                    </w:rPr>
                    <w:t>0</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3D8F194E" w14:textId="77777777">
                  <w:pPr>
                    <w:jc w:val="right"/>
                    <w:rPr>
                      <w:color w:val="000000"/>
                      <w:sz w:val="20"/>
                    </w:rPr>
                  </w:pPr>
                  <w:r w:rsidRPr="00735E71">
                    <w:rPr>
                      <w:color w:val="000000"/>
                      <w:sz w:val="20"/>
                    </w:rPr>
                    <w:t xml:space="preserve">$0.00 </w:t>
                  </w:r>
                </w:p>
              </w:tc>
            </w:tr>
            <w:tr w14:paraId="0931A56A" w14:textId="77777777" w:rsidTr="00735E71">
              <w:tblPrEx>
                <w:tblW w:w="12860" w:type="dxa"/>
                <w:tblLayout w:type="fixed"/>
                <w:tblLook w:val="04A0"/>
              </w:tblPrEx>
              <w:trPr>
                <w:trHeight w:val="52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3B09BED8" w14:textId="77777777">
                  <w:pPr>
                    <w:rPr>
                      <w:color w:val="000000"/>
                      <w:sz w:val="20"/>
                    </w:rPr>
                  </w:pPr>
                  <w:r w:rsidRPr="00735E71">
                    <w:rPr>
                      <w:color w:val="000000"/>
                      <w:sz w:val="20"/>
                    </w:rPr>
                    <w:t>Notification of Demonstration of CPMS</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7FEB4725" w14:textId="77777777">
                  <w:pPr>
                    <w:jc w:val="center"/>
                    <w:rPr>
                      <w:sz w:val="20"/>
                    </w:rPr>
                  </w:pPr>
                  <w:r w:rsidRPr="00735E71">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00155F1D" w14:textId="77777777">
                  <w:pPr>
                    <w:jc w:val="center"/>
                    <w:rPr>
                      <w:sz w:val="20"/>
                    </w:rPr>
                  </w:pPr>
                  <w:r w:rsidRPr="00735E71">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4EEE9B00" w14:textId="77777777">
                  <w:pPr>
                    <w:jc w:val="center"/>
                    <w:rPr>
                      <w:color w:val="000000"/>
                      <w:sz w:val="20"/>
                    </w:rPr>
                  </w:pPr>
                  <w:r w:rsidRPr="00735E71">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735E71" w:rsidRPr="00735E71" w:rsidP="00735E71" w14:paraId="32BD2312" w14:textId="77777777">
                  <w:pPr>
                    <w:jc w:val="center"/>
                    <w:rPr>
                      <w:sz w:val="20"/>
                    </w:rPr>
                  </w:pPr>
                  <w:r w:rsidRPr="00735E71">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1CF74960" w14:textId="77777777">
                  <w:pPr>
                    <w:jc w:val="center"/>
                    <w:rPr>
                      <w:color w:val="000000"/>
                      <w:sz w:val="20"/>
                    </w:rPr>
                  </w:pPr>
                  <w:r w:rsidRPr="00735E71">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55C6A790" w14:textId="77777777">
                  <w:pPr>
                    <w:jc w:val="center"/>
                    <w:rPr>
                      <w:color w:val="000000"/>
                      <w:sz w:val="20"/>
                    </w:rPr>
                  </w:pPr>
                  <w:r w:rsidRPr="00735E71">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4117284A" w14:textId="77777777">
                  <w:pPr>
                    <w:jc w:val="center"/>
                    <w:rPr>
                      <w:color w:val="000000"/>
                      <w:sz w:val="20"/>
                    </w:rPr>
                  </w:pPr>
                  <w:r w:rsidRPr="00735E71">
                    <w:rPr>
                      <w:color w:val="000000"/>
                      <w:sz w:val="20"/>
                    </w:rPr>
                    <w:t>0</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307164B8" w14:textId="77777777">
                  <w:pPr>
                    <w:jc w:val="right"/>
                    <w:rPr>
                      <w:color w:val="000000"/>
                      <w:sz w:val="20"/>
                    </w:rPr>
                  </w:pPr>
                  <w:r w:rsidRPr="00735E71">
                    <w:rPr>
                      <w:color w:val="000000"/>
                      <w:sz w:val="20"/>
                    </w:rPr>
                    <w:t xml:space="preserve">$0.00 </w:t>
                  </w:r>
                </w:p>
              </w:tc>
            </w:tr>
            <w:tr w14:paraId="1FD6E161" w14:textId="77777777" w:rsidTr="00735E71">
              <w:tblPrEx>
                <w:tblW w:w="12860" w:type="dxa"/>
                <w:tblLayout w:type="fixed"/>
                <w:tblLook w:val="04A0"/>
              </w:tblPrEx>
              <w:trPr>
                <w:trHeight w:val="78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50A37A52" w14:textId="77777777">
                  <w:pPr>
                    <w:rPr>
                      <w:color w:val="000000"/>
                      <w:sz w:val="20"/>
                    </w:rPr>
                  </w:pPr>
                  <w:r w:rsidRPr="00735E71">
                    <w:rPr>
                      <w:color w:val="000000"/>
                      <w:sz w:val="20"/>
                    </w:rPr>
                    <w:t>Notification of Initial Performance Evaluation of CPMS</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2A987914" w14:textId="77777777">
                  <w:pPr>
                    <w:jc w:val="center"/>
                    <w:rPr>
                      <w:sz w:val="20"/>
                    </w:rPr>
                  </w:pPr>
                  <w:r w:rsidRPr="00735E71">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3669AD36" w14:textId="77777777">
                  <w:pPr>
                    <w:jc w:val="center"/>
                    <w:rPr>
                      <w:sz w:val="20"/>
                    </w:rPr>
                  </w:pPr>
                  <w:r w:rsidRPr="00735E71">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0F26CC42" w14:textId="77777777">
                  <w:pPr>
                    <w:jc w:val="center"/>
                    <w:rPr>
                      <w:color w:val="000000"/>
                      <w:sz w:val="20"/>
                    </w:rPr>
                  </w:pPr>
                  <w:r w:rsidRPr="00735E71">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735E71" w:rsidRPr="00735E71" w:rsidP="00735E71" w14:paraId="5E76B912" w14:textId="77777777">
                  <w:pPr>
                    <w:jc w:val="center"/>
                    <w:rPr>
                      <w:sz w:val="20"/>
                    </w:rPr>
                  </w:pPr>
                  <w:r w:rsidRPr="00735E71">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0BA6D11E" w14:textId="77777777">
                  <w:pPr>
                    <w:jc w:val="center"/>
                    <w:rPr>
                      <w:color w:val="000000"/>
                      <w:sz w:val="20"/>
                    </w:rPr>
                  </w:pPr>
                  <w:r w:rsidRPr="00735E71">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19B11CC1" w14:textId="77777777">
                  <w:pPr>
                    <w:jc w:val="center"/>
                    <w:rPr>
                      <w:color w:val="000000"/>
                      <w:sz w:val="20"/>
                    </w:rPr>
                  </w:pPr>
                  <w:r w:rsidRPr="00735E71">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3AA8DC13" w14:textId="77777777">
                  <w:pPr>
                    <w:jc w:val="center"/>
                    <w:rPr>
                      <w:color w:val="000000"/>
                      <w:sz w:val="20"/>
                    </w:rPr>
                  </w:pPr>
                  <w:r w:rsidRPr="00735E71">
                    <w:rPr>
                      <w:color w:val="000000"/>
                      <w:sz w:val="20"/>
                    </w:rPr>
                    <w:t>0</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7B0F9513" w14:textId="77777777">
                  <w:pPr>
                    <w:jc w:val="right"/>
                    <w:rPr>
                      <w:color w:val="000000"/>
                      <w:sz w:val="20"/>
                    </w:rPr>
                  </w:pPr>
                  <w:r w:rsidRPr="00735E71">
                    <w:rPr>
                      <w:color w:val="000000"/>
                      <w:sz w:val="20"/>
                    </w:rPr>
                    <w:t xml:space="preserve">$0.00 </w:t>
                  </w:r>
                </w:p>
              </w:tc>
            </w:tr>
            <w:tr w14:paraId="7B57EE8A" w14:textId="77777777" w:rsidTr="00735E71">
              <w:tblPrEx>
                <w:tblW w:w="12860" w:type="dxa"/>
                <w:tblLayout w:type="fixed"/>
                <w:tblLook w:val="04A0"/>
              </w:tblPrEx>
              <w:trPr>
                <w:trHeight w:val="52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11911A3C" w14:textId="77777777">
                  <w:pPr>
                    <w:rPr>
                      <w:color w:val="000000"/>
                      <w:sz w:val="20"/>
                    </w:rPr>
                  </w:pPr>
                  <w:r w:rsidRPr="00735E71">
                    <w:rPr>
                      <w:color w:val="000000"/>
                      <w:sz w:val="20"/>
                    </w:rPr>
                    <w:t>Report of Performance Evaluation of CPMS</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06A83B07" w14:textId="77777777">
                  <w:pPr>
                    <w:jc w:val="center"/>
                    <w:rPr>
                      <w:sz w:val="20"/>
                    </w:rPr>
                  </w:pPr>
                  <w:r w:rsidRPr="00735E71">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7EED3D1A" w14:textId="77777777">
                  <w:pPr>
                    <w:jc w:val="center"/>
                    <w:rPr>
                      <w:sz w:val="20"/>
                    </w:rPr>
                  </w:pPr>
                  <w:r w:rsidRPr="00735E71">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6E4E0C2C" w14:textId="77777777">
                  <w:pPr>
                    <w:jc w:val="center"/>
                    <w:rPr>
                      <w:color w:val="000000"/>
                      <w:sz w:val="20"/>
                    </w:rPr>
                  </w:pPr>
                  <w:r w:rsidRPr="00735E71">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735E71" w:rsidRPr="00735E71" w:rsidP="00735E71" w14:paraId="4335EC65" w14:textId="77777777">
                  <w:pPr>
                    <w:jc w:val="center"/>
                    <w:rPr>
                      <w:sz w:val="20"/>
                    </w:rPr>
                  </w:pPr>
                  <w:r w:rsidRPr="00735E71">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06BAB4A3" w14:textId="77777777">
                  <w:pPr>
                    <w:jc w:val="center"/>
                    <w:rPr>
                      <w:color w:val="000000"/>
                      <w:sz w:val="20"/>
                    </w:rPr>
                  </w:pPr>
                  <w:r w:rsidRPr="00735E71">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43B091CE" w14:textId="77777777">
                  <w:pPr>
                    <w:jc w:val="center"/>
                    <w:rPr>
                      <w:color w:val="000000"/>
                      <w:sz w:val="20"/>
                    </w:rPr>
                  </w:pPr>
                  <w:r w:rsidRPr="00735E71">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67D65557" w14:textId="77777777">
                  <w:pPr>
                    <w:jc w:val="center"/>
                    <w:rPr>
                      <w:color w:val="000000"/>
                      <w:sz w:val="20"/>
                    </w:rPr>
                  </w:pPr>
                  <w:r w:rsidRPr="00735E71">
                    <w:rPr>
                      <w:color w:val="000000"/>
                      <w:sz w:val="20"/>
                    </w:rPr>
                    <w:t>0</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2494CBB7" w14:textId="77777777">
                  <w:pPr>
                    <w:jc w:val="right"/>
                    <w:rPr>
                      <w:color w:val="000000"/>
                      <w:sz w:val="20"/>
                    </w:rPr>
                  </w:pPr>
                  <w:r w:rsidRPr="00735E71">
                    <w:rPr>
                      <w:color w:val="000000"/>
                      <w:sz w:val="20"/>
                    </w:rPr>
                    <w:t xml:space="preserve">$0.00 </w:t>
                  </w:r>
                </w:p>
              </w:tc>
            </w:tr>
            <w:tr w14:paraId="364A161F" w14:textId="77777777" w:rsidTr="00735E71">
              <w:tblPrEx>
                <w:tblW w:w="12860" w:type="dxa"/>
                <w:tblLayout w:type="fixed"/>
                <w:tblLook w:val="04A0"/>
              </w:tblPrEx>
              <w:trPr>
                <w:trHeight w:val="52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776713C6" w14:textId="77777777">
                  <w:pPr>
                    <w:rPr>
                      <w:color w:val="000000"/>
                      <w:sz w:val="20"/>
                    </w:rPr>
                  </w:pPr>
                  <w:r w:rsidRPr="00735E71">
                    <w:rPr>
                      <w:color w:val="000000"/>
                      <w:sz w:val="20"/>
                    </w:rPr>
                    <w:t>Annual Report via CEDRI or analogous electronic reporting</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486E85A5" w14:textId="77777777">
                  <w:pPr>
                    <w:jc w:val="center"/>
                    <w:rPr>
                      <w:sz w:val="20"/>
                    </w:rPr>
                  </w:pPr>
                  <w:r w:rsidRPr="00735E71">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5309E860" w14:textId="77777777">
                  <w:pPr>
                    <w:jc w:val="center"/>
                    <w:rPr>
                      <w:sz w:val="20"/>
                    </w:rPr>
                  </w:pPr>
                  <w:r w:rsidRPr="00735E71">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3E24981F" w14:textId="77777777">
                  <w:pPr>
                    <w:jc w:val="center"/>
                    <w:rPr>
                      <w:color w:val="000000"/>
                      <w:sz w:val="20"/>
                    </w:rPr>
                  </w:pPr>
                  <w:r w:rsidRPr="00735E71">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735E71" w:rsidRPr="00735E71" w:rsidP="00735E71" w14:paraId="1CECB0A9" w14:textId="77777777">
                  <w:pPr>
                    <w:jc w:val="center"/>
                    <w:rPr>
                      <w:sz w:val="20"/>
                    </w:rPr>
                  </w:pPr>
                  <w:r w:rsidRPr="00735E71">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3F41FD3D" w14:textId="77777777">
                  <w:pPr>
                    <w:jc w:val="center"/>
                    <w:rPr>
                      <w:color w:val="000000"/>
                      <w:sz w:val="20"/>
                    </w:rPr>
                  </w:pPr>
                  <w:r w:rsidRPr="00735E71">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619CEFB0" w14:textId="77777777">
                  <w:pPr>
                    <w:jc w:val="center"/>
                    <w:rPr>
                      <w:color w:val="000000"/>
                      <w:sz w:val="20"/>
                    </w:rPr>
                  </w:pPr>
                  <w:r w:rsidRPr="00735E71">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5CA42DAB" w14:textId="77777777">
                  <w:pPr>
                    <w:jc w:val="center"/>
                    <w:rPr>
                      <w:color w:val="000000"/>
                      <w:sz w:val="20"/>
                    </w:rPr>
                  </w:pPr>
                  <w:r w:rsidRPr="00735E71">
                    <w:rPr>
                      <w:color w:val="000000"/>
                      <w:sz w:val="20"/>
                    </w:rPr>
                    <w:t>0</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2178E731" w14:textId="77777777">
                  <w:pPr>
                    <w:jc w:val="right"/>
                    <w:rPr>
                      <w:color w:val="000000"/>
                      <w:sz w:val="20"/>
                    </w:rPr>
                  </w:pPr>
                  <w:r w:rsidRPr="00735E71">
                    <w:rPr>
                      <w:color w:val="000000"/>
                      <w:sz w:val="20"/>
                    </w:rPr>
                    <w:t xml:space="preserve">$0.00 </w:t>
                  </w:r>
                </w:p>
              </w:tc>
            </w:tr>
            <w:tr w14:paraId="536BE075" w14:textId="77777777" w:rsidTr="00735E71">
              <w:tblPrEx>
                <w:tblW w:w="12860" w:type="dxa"/>
                <w:tblLayout w:type="fixed"/>
                <w:tblLook w:val="04A0"/>
              </w:tblPrEx>
              <w:trPr>
                <w:trHeight w:val="26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533F7C80" w14:textId="77777777">
                  <w:pPr>
                    <w:rPr>
                      <w:i/>
                      <w:iCs/>
                      <w:color w:val="000000"/>
                      <w:sz w:val="20"/>
                      <w:u w:val="single"/>
                    </w:rPr>
                  </w:pPr>
                  <w:r w:rsidRPr="00735E71">
                    <w:rPr>
                      <w:i/>
                      <w:iCs/>
                      <w:color w:val="000000"/>
                      <w:sz w:val="20"/>
                      <w:u w:val="single"/>
                    </w:rPr>
                    <w:t>Existing Sources-Reporting</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45982127" w14:textId="77777777">
                  <w:pPr>
                    <w:jc w:val="right"/>
                    <w:rPr>
                      <w:color w:val="000000"/>
                      <w:sz w:val="20"/>
                    </w:rPr>
                  </w:pPr>
                  <w:r w:rsidRPr="00735E71">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783CA929" w14:textId="77777777">
                  <w:pPr>
                    <w:jc w:val="right"/>
                    <w:rPr>
                      <w:sz w:val="20"/>
                    </w:rPr>
                  </w:pPr>
                  <w:r w:rsidRPr="00735E71">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4A327B7C" w14:textId="77777777">
                  <w:pPr>
                    <w:jc w:val="right"/>
                    <w:rPr>
                      <w:color w:val="000000"/>
                      <w:sz w:val="20"/>
                    </w:rPr>
                  </w:pPr>
                  <w:r w:rsidRPr="00735E71">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735E71" w:rsidRPr="00735E71" w:rsidP="00735E71" w14:paraId="0DB82BFA" w14:textId="77777777">
                  <w:pPr>
                    <w:jc w:val="right"/>
                    <w:rPr>
                      <w:sz w:val="20"/>
                    </w:rPr>
                  </w:pPr>
                  <w:r w:rsidRPr="00735E71">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6D7BC6D2" w14:textId="77777777">
                  <w:pPr>
                    <w:jc w:val="right"/>
                    <w:rPr>
                      <w:color w:val="000000"/>
                      <w:sz w:val="20"/>
                    </w:rPr>
                  </w:pPr>
                  <w:r w:rsidRPr="00735E71">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40875E8D" w14:textId="77777777">
                  <w:pPr>
                    <w:jc w:val="right"/>
                    <w:rPr>
                      <w:color w:val="000000"/>
                      <w:sz w:val="20"/>
                    </w:rPr>
                  </w:pPr>
                  <w:r w:rsidRPr="00735E71">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24430F3B" w14:textId="77777777">
                  <w:pPr>
                    <w:jc w:val="right"/>
                    <w:rPr>
                      <w:color w:val="000000"/>
                      <w:sz w:val="20"/>
                    </w:rPr>
                  </w:pPr>
                  <w:r w:rsidRPr="00735E71">
                    <w:rPr>
                      <w:color w:val="000000"/>
                      <w:sz w:val="20"/>
                    </w:rPr>
                    <w:t> </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3BAC1344" w14:textId="77777777">
                  <w:pPr>
                    <w:jc w:val="right"/>
                    <w:rPr>
                      <w:color w:val="000000"/>
                      <w:sz w:val="20"/>
                    </w:rPr>
                  </w:pPr>
                  <w:r w:rsidRPr="00735E71">
                    <w:rPr>
                      <w:color w:val="000000"/>
                      <w:sz w:val="20"/>
                    </w:rPr>
                    <w:t> </w:t>
                  </w:r>
                </w:p>
              </w:tc>
            </w:tr>
            <w:tr w14:paraId="330CB55F" w14:textId="77777777" w:rsidTr="00735E71">
              <w:tblPrEx>
                <w:tblW w:w="12860" w:type="dxa"/>
                <w:tblLayout w:type="fixed"/>
                <w:tblLook w:val="04A0"/>
              </w:tblPrEx>
              <w:trPr>
                <w:trHeight w:val="52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6C8ED0A7" w14:textId="77777777">
                  <w:pPr>
                    <w:rPr>
                      <w:color w:val="000000"/>
                      <w:sz w:val="20"/>
                    </w:rPr>
                  </w:pPr>
                  <w:r w:rsidRPr="00735E71">
                    <w:rPr>
                      <w:color w:val="000000"/>
                      <w:sz w:val="20"/>
                    </w:rPr>
                    <w:t>Notification of Annual Performance Test</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3DE782F1" w14:textId="77777777">
                  <w:pPr>
                    <w:jc w:val="center"/>
                    <w:rPr>
                      <w:sz w:val="20"/>
                    </w:rPr>
                  </w:pPr>
                  <w:r w:rsidRPr="00735E71">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75971D28" w14:textId="77777777">
                  <w:pPr>
                    <w:jc w:val="center"/>
                    <w:rPr>
                      <w:sz w:val="20"/>
                    </w:rPr>
                  </w:pPr>
                  <w:r w:rsidRPr="00735E71">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41467DEB" w14:textId="77777777">
                  <w:pPr>
                    <w:jc w:val="center"/>
                    <w:rPr>
                      <w:color w:val="000000"/>
                      <w:sz w:val="20"/>
                    </w:rPr>
                  </w:pPr>
                  <w:r w:rsidRPr="00735E71">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735E71" w:rsidRPr="00735E71" w:rsidP="00735E71" w14:paraId="485979E9" w14:textId="77777777">
                  <w:pPr>
                    <w:jc w:val="center"/>
                    <w:rPr>
                      <w:sz w:val="20"/>
                    </w:rPr>
                  </w:pPr>
                  <w:r w:rsidRPr="00735E71">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2BA6BBCF" w14:textId="77777777">
                  <w:pPr>
                    <w:jc w:val="center"/>
                    <w:rPr>
                      <w:color w:val="000000"/>
                      <w:sz w:val="20"/>
                    </w:rPr>
                  </w:pPr>
                  <w:r w:rsidRPr="00735E71">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367FB7B6" w14:textId="77777777">
                  <w:pPr>
                    <w:jc w:val="center"/>
                    <w:rPr>
                      <w:color w:val="000000"/>
                      <w:sz w:val="20"/>
                    </w:rPr>
                  </w:pPr>
                  <w:r w:rsidRPr="00735E71">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5CB78DD8" w14:textId="77777777">
                  <w:pPr>
                    <w:jc w:val="center"/>
                    <w:rPr>
                      <w:color w:val="000000"/>
                      <w:sz w:val="20"/>
                    </w:rPr>
                  </w:pPr>
                  <w:r w:rsidRPr="00735E71">
                    <w:rPr>
                      <w:color w:val="000000"/>
                      <w:sz w:val="20"/>
                    </w:rPr>
                    <w:t>0</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08C97150" w14:textId="77777777">
                  <w:pPr>
                    <w:jc w:val="right"/>
                    <w:rPr>
                      <w:color w:val="000000"/>
                      <w:sz w:val="20"/>
                    </w:rPr>
                  </w:pPr>
                  <w:r w:rsidRPr="00735E71">
                    <w:rPr>
                      <w:color w:val="000000"/>
                      <w:sz w:val="20"/>
                    </w:rPr>
                    <w:t xml:space="preserve">$0.00 </w:t>
                  </w:r>
                </w:p>
              </w:tc>
            </w:tr>
            <w:tr w14:paraId="47F58754" w14:textId="77777777" w:rsidTr="00735E71">
              <w:tblPrEx>
                <w:tblW w:w="12860" w:type="dxa"/>
                <w:tblLayout w:type="fixed"/>
                <w:tblLook w:val="04A0"/>
              </w:tblPrEx>
              <w:trPr>
                <w:trHeight w:val="114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0996D6E8" w14:textId="77777777">
                  <w:pPr>
                    <w:rPr>
                      <w:color w:val="000000"/>
                      <w:sz w:val="20"/>
                    </w:rPr>
                  </w:pPr>
                  <w:r w:rsidRPr="00735E71">
                    <w:rPr>
                      <w:color w:val="000000"/>
                      <w:sz w:val="20"/>
                    </w:rPr>
                    <w:t>Report of Annual Performance Test Results and Annual Report combined via CEDRI or analogous electronic reporting</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7ABF2A24" w14:textId="77777777">
                  <w:pPr>
                    <w:jc w:val="center"/>
                    <w:rPr>
                      <w:sz w:val="20"/>
                    </w:rPr>
                  </w:pPr>
                  <w:r w:rsidRPr="00735E71">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12C09932" w14:textId="77777777">
                  <w:pPr>
                    <w:jc w:val="center"/>
                    <w:rPr>
                      <w:sz w:val="20"/>
                    </w:rPr>
                  </w:pPr>
                  <w:r w:rsidRPr="00735E71">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01C1DF38" w14:textId="77777777">
                  <w:pPr>
                    <w:jc w:val="center"/>
                    <w:rPr>
                      <w:color w:val="000000"/>
                      <w:sz w:val="20"/>
                    </w:rPr>
                  </w:pPr>
                  <w:r w:rsidRPr="00735E71">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735E71" w:rsidRPr="00735E71" w:rsidP="00735E71" w14:paraId="059D28D6" w14:textId="77777777">
                  <w:pPr>
                    <w:jc w:val="center"/>
                    <w:rPr>
                      <w:sz w:val="20"/>
                    </w:rPr>
                  </w:pPr>
                  <w:r w:rsidRPr="00735E71">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793443C7" w14:textId="77777777">
                  <w:pPr>
                    <w:jc w:val="center"/>
                    <w:rPr>
                      <w:color w:val="000000"/>
                      <w:sz w:val="20"/>
                    </w:rPr>
                  </w:pPr>
                  <w:r w:rsidRPr="00735E71">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6519164D" w14:textId="77777777">
                  <w:pPr>
                    <w:jc w:val="center"/>
                    <w:rPr>
                      <w:color w:val="000000"/>
                      <w:sz w:val="20"/>
                    </w:rPr>
                  </w:pPr>
                  <w:r w:rsidRPr="00735E71">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0E7983FB" w14:textId="77777777">
                  <w:pPr>
                    <w:jc w:val="center"/>
                    <w:rPr>
                      <w:color w:val="000000"/>
                      <w:sz w:val="20"/>
                    </w:rPr>
                  </w:pPr>
                  <w:r w:rsidRPr="00735E71">
                    <w:rPr>
                      <w:color w:val="000000"/>
                      <w:sz w:val="20"/>
                    </w:rPr>
                    <w:t>0</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66C8FF42" w14:textId="77777777">
                  <w:pPr>
                    <w:jc w:val="right"/>
                    <w:rPr>
                      <w:color w:val="000000"/>
                      <w:sz w:val="20"/>
                    </w:rPr>
                  </w:pPr>
                  <w:r w:rsidRPr="00735E71">
                    <w:rPr>
                      <w:color w:val="000000"/>
                      <w:sz w:val="20"/>
                    </w:rPr>
                    <w:t xml:space="preserve">$0.00 </w:t>
                  </w:r>
                </w:p>
              </w:tc>
            </w:tr>
            <w:tr w14:paraId="57E346F7" w14:textId="77777777" w:rsidTr="00735E71">
              <w:tblPrEx>
                <w:tblW w:w="12860" w:type="dxa"/>
                <w:tblLayout w:type="fixed"/>
                <w:tblLook w:val="04A0"/>
              </w:tblPrEx>
              <w:trPr>
                <w:trHeight w:val="433"/>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31558120" w14:textId="77777777">
                  <w:pPr>
                    <w:rPr>
                      <w:color w:val="000000"/>
                      <w:sz w:val="20"/>
                    </w:rPr>
                  </w:pPr>
                  <w:r w:rsidRPr="00735E71">
                    <w:rPr>
                      <w:color w:val="000000"/>
                      <w:sz w:val="20"/>
                    </w:rPr>
                    <w:t>Notification of Demonstration of CPMS</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384779C6" w14:textId="77777777">
                  <w:pPr>
                    <w:jc w:val="center"/>
                    <w:rPr>
                      <w:sz w:val="20"/>
                    </w:rPr>
                  </w:pPr>
                  <w:r w:rsidRPr="00735E71">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29176FE8" w14:textId="77777777">
                  <w:pPr>
                    <w:jc w:val="center"/>
                    <w:rPr>
                      <w:sz w:val="20"/>
                    </w:rPr>
                  </w:pPr>
                  <w:r w:rsidRPr="00735E71">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032CDBFF" w14:textId="77777777">
                  <w:pPr>
                    <w:jc w:val="center"/>
                    <w:rPr>
                      <w:color w:val="000000"/>
                      <w:sz w:val="20"/>
                    </w:rPr>
                  </w:pPr>
                  <w:r w:rsidRPr="00735E71">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735E71" w:rsidRPr="00735E71" w:rsidP="00735E71" w14:paraId="6B006867" w14:textId="77777777">
                  <w:pPr>
                    <w:jc w:val="center"/>
                    <w:rPr>
                      <w:sz w:val="20"/>
                    </w:rPr>
                  </w:pPr>
                  <w:r w:rsidRPr="00735E71">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09B21C0D" w14:textId="77777777">
                  <w:pPr>
                    <w:jc w:val="center"/>
                    <w:rPr>
                      <w:color w:val="000000"/>
                      <w:sz w:val="20"/>
                    </w:rPr>
                  </w:pPr>
                  <w:r w:rsidRPr="00735E71">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10EAE708" w14:textId="77777777">
                  <w:pPr>
                    <w:jc w:val="center"/>
                    <w:rPr>
                      <w:color w:val="000000"/>
                      <w:sz w:val="20"/>
                    </w:rPr>
                  </w:pPr>
                  <w:r w:rsidRPr="00735E71">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1EADDC40" w14:textId="77777777">
                  <w:pPr>
                    <w:jc w:val="center"/>
                    <w:rPr>
                      <w:color w:val="000000"/>
                      <w:sz w:val="20"/>
                    </w:rPr>
                  </w:pPr>
                  <w:r w:rsidRPr="00735E71">
                    <w:rPr>
                      <w:color w:val="000000"/>
                      <w:sz w:val="20"/>
                    </w:rPr>
                    <w:t>0</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0EE73B86" w14:textId="77777777">
                  <w:pPr>
                    <w:jc w:val="right"/>
                    <w:rPr>
                      <w:color w:val="000000"/>
                      <w:sz w:val="20"/>
                    </w:rPr>
                  </w:pPr>
                  <w:r w:rsidRPr="00735E71">
                    <w:rPr>
                      <w:color w:val="000000"/>
                      <w:sz w:val="20"/>
                    </w:rPr>
                    <w:t xml:space="preserve">$0.00 </w:t>
                  </w:r>
                </w:p>
              </w:tc>
            </w:tr>
            <w:tr w14:paraId="43E3160F" w14:textId="77777777" w:rsidTr="00735E71">
              <w:tblPrEx>
                <w:tblW w:w="12860" w:type="dxa"/>
                <w:tblLayout w:type="fixed"/>
                <w:tblLook w:val="04A0"/>
              </w:tblPrEx>
              <w:trPr>
                <w:trHeight w:val="493"/>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45264FEA" w14:textId="77777777">
                  <w:pPr>
                    <w:rPr>
                      <w:color w:val="000000"/>
                      <w:sz w:val="20"/>
                    </w:rPr>
                  </w:pPr>
                  <w:r w:rsidRPr="00735E71">
                    <w:rPr>
                      <w:color w:val="000000"/>
                      <w:sz w:val="20"/>
                    </w:rPr>
                    <w:t>Notification of Initial Performance Evaluation of CPMS</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69D4AA35" w14:textId="77777777">
                  <w:pPr>
                    <w:jc w:val="center"/>
                    <w:rPr>
                      <w:sz w:val="20"/>
                    </w:rPr>
                  </w:pPr>
                  <w:r w:rsidRPr="00735E71">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1E92AA2B" w14:textId="77777777">
                  <w:pPr>
                    <w:jc w:val="center"/>
                    <w:rPr>
                      <w:sz w:val="20"/>
                    </w:rPr>
                  </w:pPr>
                  <w:r w:rsidRPr="00735E71">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7B96F135" w14:textId="77777777">
                  <w:pPr>
                    <w:jc w:val="center"/>
                    <w:rPr>
                      <w:color w:val="000000"/>
                      <w:sz w:val="20"/>
                    </w:rPr>
                  </w:pPr>
                  <w:r w:rsidRPr="00735E71">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735E71" w:rsidRPr="00735E71" w:rsidP="00735E71" w14:paraId="68B08A4B" w14:textId="77777777">
                  <w:pPr>
                    <w:jc w:val="center"/>
                    <w:rPr>
                      <w:sz w:val="20"/>
                    </w:rPr>
                  </w:pPr>
                  <w:r w:rsidRPr="00735E71">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57B64BD1" w14:textId="77777777">
                  <w:pPr>
                    <w:jc w:val="center"/>
                    <w:rPr>
                      <w:color w:val="000000"/>
                      <w:sz w:val="20"/>
                    </w:rPr>
                  </w:pPr>
                  <w:r w:rsidRPr="00735E71">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07877256" w14:textId="77777777">
                  <w:pPr>
                    <w:jc w:val="center"/>
                    <w:rPr>
                      <w:color w:val="000000"/>
                      <w:sz w:val="20"/>
                    </w:rPr>
                  </w:pPr>
                  <w:r w:rsidRPr="00735E71">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723A05CF" w14:textId="77777777">
                  <w:pPr>
                    <w:jc w:val="center"/>
                    <w:rPr>
                      <w:color w:val="000000"/>
                      <w:sz w:val="20"/>
                    </w:rPr>
                  </w:pPr>
                  <w:r w:rsidRPr="00735E71">
                    <w:rPr>
                      <w:color w:val="000000"/>
                      <w:sz w:val="20"/>
                    </w:rPr>
                    <w:t>0</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36FDDBB9" w14:textId="77777777">
                  <w:pPr>
                    <w:jc w:val="right"/>
                    <w:rPr>
                      <w:color w:val="000000"/>
                      <w:sz w:val="20"/>
                    </w:rPr>
                  </w:pPr>
                  <w:r w:rsidRPr="00735E71">
                    <w:rPr>
                      <w:color w:val="000000"/>
                      <w:sz w:val="20"/>
                    </w:rPr>
                    <w:t xml:space="preserve">$0.00 </w:t>
                  </w:r>
                </w:p>
              </w:tc>
            </w:tr>
            <w:tr w14:paraId="6435B1B2" w14:textId="77777777" w:rsidTr="00735E71">
              <w:tblPrEx>
                <w:tblW w:w="12860" w:type="dxa"/>
                <w:tblLayout w:type="fixed"/>
                <w:tblLook w:val="04A0"/>
              </w:tblPrEx>
              <w:trPr>
                <w:trHeight w:val="45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79D20CB8" w14:textId="77777777">
                  <w:pPr>
                    <w:rPr>
                      <w:color w:val="000000"/>
                      <w:sz w:val="20"/>
                    </w:rPr>
                  </w:pPr>
                  <w:r w:rsidRPr="00735E71">
                    <w:rPr>
                      <w:color w:val="000000"/>
                      <w:sz w:val="20"/>
                    </w:rPr>
                    <w:t>Report of Initial Performance Evaluation of CPMS Test Results</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0A3EF5CB" w14:textId="77777777">
                  <w:pPr>
                    <w:jc w:val="center"/>
                    <w:rPr>
                      <w:sz w:val="20"/>
                    </w:rPr>
                  </w:pPr>
                  <w:r w:rsidRPr="00735E71">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2C682578" w14:textId="77777777">
                  <w:pPr>
                    <w:jc w:val="center"/>
                    <w:rPr>
                      <w:sz w:val="20"/>
                    </w:rPr>
                  </w:pPr>
                  <w:r w:rsidRPr="00735E71">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32723354" w14:textId="77777777">
                  <w:pPr>
                    <w:jc w:val="center"/>
                    <w:rPr>
                      <w:color w:val="000000"/>
                      <w:sz w:val="20"/>
                    </w:rPr>
                  </w:pPr>
                  <w:r w:rsidRPr="00735E71">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735E71" w:rsidRPr="00735E71" w:rsidP="00735E71" w14:paraId="6227E2F9" w14:textId="77777777">
                  <w:pPr>
                    <w:jc w:val="center"/>
                    <w:rPr>
                      <w:sz w:val="20"/>
                    </w:rPr>
                  </w:pPr>
                  <w:r w:rsidRPr="00735E71">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2F3B52E9" w14:textId="77777777">
                  <w:pPr>
                    <w:jc w:val="center"/>
                    <w:rPr>
                      <w:color w:val="000000"/>
                      <w:sz w:val="20"/>
                    </w:rPr>
                  </w:pPr>
                  <w:r w:rsidRPr="00735E71">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11E87011" w14:textId="77777777">
                  <w:pPr>
                    <w:jc w:val="center"/>
                    <w:rPr>
                      <w:color w:val="000000"/>
                      <w:sz w:val="20"/>
                    </w:rPr>
                  </w:pPr>
                  <w:r w:rsidRPr="00735E71">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1D1FF13A" w14:textId="77777777">
                  <w:pPr>
                    <w:jc w:val="center"/>
                    <w:rPr>
                      <w:color w:val="000000"/>
                      <w:sz w:val="20"/>
                    </w:rPr>
                  </w:pPr>
                  <w:r w:rsidRPr="00735E71">
                    <w:rPr>
                      <w:color w:val="000000"/>
                      <w:sz w:val="20"/>
                    </w:rPr>
                    <w:t>0</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6D76089F" w14:textId="77777777">
                  <w:pPr>
                    <w:jc w:val="right"/>
                    <w:rPr>
                      <w:color w:val="000000"/>
                      <w:sz w:val="20"/>
                    </w:rPr>
                  </w:pPr>
                  <w:r w:rsidRPr="00735E71">
                    <w:rPr>
                      <w:color w:val="000000"/>
                      <w:sz w:val="20"/>
                    </w:rPr>
                    <w:t xml:space="preserve">$0.00 </w:t>
                  </w:r>
                </w:p>
              </w:tc>
            </w:tr>
            <w:tr w14:paraId="071D291B" w14:textId="77777777" w:rsidTr="00735E71">
              <w:tblPrEx>
                <w:tblW w:w="12860" w:type="dxa"/>
                <w:tblLayout w:type="fixed"/>
                <w:tblLook w:val="04A0"/>
              </w:tblPrEx>
              <w:trPr>
                <w:trHeight w:val="45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7AEEF644" w14:textId="77777777">
                  <w:pPr>
                    <w:rPr>
                      <w:color w:val="000000"/>
                      <w:sz w:val="20"/>
                    </w:rPr>
                  </w:pPr>
                  <w:r w:rsidRPr="00735E71">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3C6A9187" w14:textId="77777777">
                  <w:pPr>
                    <w:jc w:val="center"/>
                    <w:rPr>
                      <w:color w:val="000000"/>
                      <w:sz w:val="20"/>
                    </w:rPr>
                  </w:pPr>
                  <w:r w:rsidRPr="00735E71">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5F5DC793" w14:textId="77777777">
                  <w:pPr>
                    <w:jc w:val="center"/>
                    <w:rPr>
                      <w:sz w:val="20"/>
                    </w:rPr>
                  </w:pPr>
                  <w:r w:rsidRPr="00735E71">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2BBE42F2" w14:textId="77777777">
                  <w:pPr>
                    <w:jc w:val="center"/>
                    <w:rPr>
                      <w:color w:val="000000"/>
                      <w:sz w:val="20"/>
                    </w:rPr>
                  </w:pPr>
                  <w:r w:rsidRPr="00735E71">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735E71" w:rsidRPr="00735E71" w:rsidP="00735E71" w14:paraId="3D1B1103" w14:textId="77777777">
                  <w:pPr>
                    <w:jc w:val="center"/>
                    <w:rPr>
                      <w:sz w:val="20"/>
                    </w:rPr>
                  </w:pPr>
                  <w:r w:rsidRPr="00735E71">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5268646C" w14:textId="77777777">
                  <w:pPr>
                    <w:jc w:val="center"/>
                    <w:rPr>
                      <w:color w:val="000000"/>
                      <w:sz w:val="20"/>
                    </w:rPr>
                  </w:pPr>
                  <w:r w:rsidRPr="00735E71">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09E17641" w14:textId="77777777">
                  <w:pPr>
                    <w:jc w:val="center"/>
                    <w:rPr>
                      <w:color w:val="000000"/>
                      <w:sz w:val="20"/>
                    </w:rPr>
                  </w:pPr>
                  <w:r w:rsidRPr="00735E71">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2982481F" w14:textId="77777777">
                  <w:pPr>
                    <w:jc w:val="center"/>
                    <w:rPr>
                      <w:color w:val="000000"/>
                      <w:sz w:val="20"/>
                    </w:rPr>
                  </w:pPr>
                  <w:r w:rsidRPr="00735E71">
                    <w:rPr>
                      <w:color w:val="000000"/>
                      <w:sz w:val="20"/>
                    </w:rPr>
                    <w:t> </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0615A30F" w14:textId="77777777">
                  <w:pPr>
                    <w:jc w:val="right"/>
                    <w:rPr>
                      <w:color w:val="000000"/>
                      <w:sz w:val="20"/>
                    </w:rPr>
                  </w:pPr>
                  <w:r w:rsidRPr="00735E71">
                    <w:rPr>
                      <w:color w:val="000000"/>
                      <w:sz w:val="20"/>
                    </w:rPr>
                    <w:t> </w:t>
                  </w:r>
                </w:p>
              </w:tc>
            </w:tr>
            <w:tr w14:paraId="1D814162" w14:textId="77777777" w:rsidTr="00735E71">
              <w:tblPrEx>
                <w:tblW w:w="12860" w:type="dxa"/>
                <w:tblLayout w:type="fixed"/>
                <w:tblLook w:val="04A0"/>
              </w:tblPrEx>
              <w:trPr>
                <w:trHeight w:val="78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04BE9C32" w14:textId="77777777">
                  <w:pPr>
                    <w:rPr>
                      <w:color w:val="000000"/>
                      <w:sz w:val="20"/>
                    </w:rPr>
                  </w:pPr>
                  <w:r w:rsidRPr="00735E71">
                    <w:rPr>
                      <w:color w:val="000000"/>
                      <w:sz w:val="20"/>
                    </w:rPr>
                    <w:t>Annual Report submitted via CEDRI or analogous electronic reporting</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1F7AE429" w14:textId="77777777">
                  <w:pPr>
                    <w:jc w:val="center"/>
                    <w:rPr>
                      <w:sz w:val="20"/>
                    </w:rPr>
                  </w:pPr>
                  <w:r w:rsidRPr="00735E71">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488FC300" w14:textId="77777777">
                  <w:pPr>
                    <w:jc w:val="center"/>
                    <w:rPr>
                      <w:sz w:val="20"/>
                    </w:rPr>
                  </w:pPr>
                  <w:r w:rsidRPr="00735E71">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4E38A320" w14:textId="77777777">
                  <w:pPr>
                    <w:jc w:val="center"/>
                    <w:rPr>
                      <w:color w:val="000000"/>
                      <w:sz w:val="20"/>
                    </w:rPr>
                  </w:pPr>
                  <w:r w:rsidRPr="00735E71">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735E71" w:rsidRPr="00735E71" w:rsidP="00735E71" w14:paraId="6DD6F171" w14:textId="77777777">
                  <w:pPr>
                    <w:jc w:val="center"/>
                    <w:rPr>
                      <w:sz w:val="20"/>
                    </w:rPr>
                  </w:pPr>
                  <w:r w:rsidRPr="00735E71">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69F96EB0" w14:textId="77777777">
                  <w:pPr>
                    <w:jc w:val="center"/>
                    <w:rPr>
                      <w:color w:val="000000"/>
                      <w:sz w:val="20"/>
                    </w:rPr>
                  </w:pPr>
                  <w:r w:rsidRPr="00735E71">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211852D8" w14:textId="77777777">
                  <w:pPr>
                    <w:jc w:val="center"/>
                    <w:rPr>
                      <w:color w:val="000000"/>
                      <w:sz w:val="20"/>
                    </w:rPr>
                  </w:pPr>
                  <w:r w:rsidRPr="00735E71">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3D2EFA71" w14:textId="77777777">
                  <w:pPr>
                    <w:jc w:val="center"/>
                    <w:rPr>
                      <w:color w:val="000000"/>
                      <w:sz w:val="20"/>
                    </w:rPr>
                  </w:pPr>
                  <w:r w:rsidRPr="00735E71">
                    <w:rPr>
                      <w:color w:val="000000"/>
                      <w:sz w:val="20"/>
                    </w:rPr>
                    <w:t>0</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4E4A8FF3" w14:textId="77777777">
                  <w:pPr>
                    <w:jc w:val="right"/>
                    <w:rPr>
                      <w:color w:val="000000"/>
                      <w:sz w:val="20"/>
                    </w:rPr>
                  </w:pPr>
                  <w:r w:rsidRPr="00735E71">
                    <w:rPr>
                      <w:color w:val="000000"/>
                      <w:sz w:val="20"/>
                    </w:rPr>
                    <w:t xml:space="preserve">$0.00 </w:t>
                  </w:r>
                </w:p>
              </w:tc>
            </w:tr>
            <w:tr w14:paraId="1B0BE28F" w14:textId="77777777" w:rsidTr="00735E71">
              <w:tblPrEx>
                <w:tblW w:w="12860" w:type="dxa"/>
                <w:tblLayout w:type="fixed"/>
                <w:tblLook w:val="04A0"/>
              </w:tblPrEx>
              <w:trPr>
                <w:trHeight w:val="54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02B619DB" w14:textId="77777777">
                  <w:pPr>
                    <w:rPr>
                      <w:b/>
                      <w:bCs/>
                      <w:i/>
                      <w:iCs/>
                      <w:color w:val="000000"/>
                      <w:sz w:val="20"/>
                    </w:rPr>
                  </w:pPr>
                  <w:r w:rsidRPr="00735E71">
                    <w:rPr>
                      <w:b/>
                      <w:bCs/>
                      <w:i/>
                      <w:iCs/>
                      <w:color w:val="000000"/>
                      <w:sz w:val="20"/>
                    </w:rPr>
                    <w:t>Subtotal for Reporting Requirements</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1F0AA474" w14:textId="77777777">
                  <w:pPr>
                    <w:jc w:val="right"/>
                    <w:rPr>
                      <w:b/>
                      <w:bCs/>
                      <w:i/>
                      <w:iCs/>
                      <w:color w:val="000000"/>
                      <w:sz w:val="20"/>
                    </w:rPr>
                  </w:pPr>
                  <w:r w:rsidRPr="00735E71">
                    <w:rPr>
                      <w:b/>
                      <w:bCs/>
                      <w:i/>
                      <w:i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7653AAF7" w14:textId="77777777">
                  <w:pPr>
                    <w:jc w:val="right"/>
                    <w:rPr>
                      <w:b/>
                      <w:bCs/>
                      <w:i/>
                      <w:iCs/>
                      <w:sz w:val="20"/>
                    </w:rPr>
                  </w:pPr>
                  <w:r w:rsidRPr="00735E71">
                    <w:rPr>
                      <w:b/>
                      <w:bCs/>
                      <w:i/>
                      <w:i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02D2B8C0" w14:textId="77777777">
                  <w:pPr>
                    <w:jc w:val="right"/>
                    <w:rPr>
                      <w:b/>
                      <w:bCs/>
                      <w:i/>
                      <w:iCs/>
                      <w:color w:val="000000"/>
                      <w:sz w:val="20"/>
                    </w:rPr>
                  </w:pPr>
                  <w:r w:rsidRPr="00735E71">
                    <w:rPr>
                      <w:b/>
                      <w:bCs/>
                      <w:i/>
                      <w:iCs/>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735E71" w:rsidRPr="00735E71" w:rsidP="00735E71" w14:paraId="69064A55" w14:textId="77777777">
                  <w:pPr>
                    <w:jc w:val="right"/>
                    <w:rPr>
                      <w:b/>
                      <w:bCs/>
                      <w:i/>
                      <w:iCs/>
                      <w:sz w:val="20"/>
                    </w:rPr>
                  </w:pPr>
                  <w:r w:rsidRPr="00735E71">
                    <w:rPr>
                      <w:b/>
                      <w:bCs/>
                      <w:i/>
                      <w:iCs/>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315E7BA5" w14:textId="77777777">
                  <w:pPr>
                    <w:jc w:val="center"/>
                    <w:rPr>
                      <w:b/>
                      <w:bCs/>
                      <w:i/>
                      <w:iCs/>
                      <w:color w:val="000000"/>
                      <w:sz w:val="20"/>
                    </w:rPr>
                  </w:pPr>
                  <w:r w:rsidRPr="00735E71">
                    <w:rPr>
                      <w:b/>
                      <w:bCs/>
                      <w:i/>
                      <w:iCs/>
                      <w:color w:val="000000"/>
                      <w:sz w:val="20"/>
                    </w:rPr>
                    <w:t>1,096</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10BA2E7A" w14:textId="77777777">
                  <w:pPr>
                    <w:jc w:val="center"/>
                    <w:rPr>
                      <w:b/>
                      <w:bCs/>
                      <w:i/>
                      <w:iCs/>
                      <w:color w:val="000000"/>
                      <w:sz w:val="20"/>
                    </w:rPr>
                  </w:pPr>
                  <w:r w:rsidRPr="00735E71">
                    <w:rPr>
                      <w:b/>
                      <w:bCs/>
                      <w:i/>
                      <w:iCs/>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5195C760" w14:textId="77777777">
                  <w:pPr>
                    <w:jc w:val="center"/>
                    <w:rPr>
                      <w:b/>
                      <w:bCs/>
                      <w:i/>
                      <w:iCs/>
                      <w:color w:val="000000"/>
                      <w:sz w:val="20"/>
                    </w:rPr>
                  </w:pPr>
                  <w:r w:rsidRPr="00735E71">
                    <w:rPr>
                      <w:b/>
                      <w:bCs/>
                      <w:i/>
                      <w:iCs/>
                      <w:color w:val="000000"/>
                      <w:sz w:val="20"/>
                    </w:rPr>
                    <w:t> </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7A0E8B88" w14:textId="77777777">
                  <w:pPr>
                    <w:jc w:val="right"/>
                    <w:rPr>
                      <w:b/>
                      <w:bCs/>
                      <w:i/>
                      <w:iCs/>
                      <w:color w:val="000000"/>
                      <w:sz w:val="20"/>
                    </w:rPr>
                  </w:pPr>
                  <w:r w:rsidRPr="00735E71">
                    <w:rPr>
                      <w:b/>
                      <w:bCs/>
                      <w:i/>
                      <w:iCs/>
                      <w:color w:val="000000"/>
                      <w:sz w:val="20"/>
                    </w:rPr>
                    <w:t xml:space="preserve">$135,463 </w:t>
                  </w:r>
                </w:p>
              </w:tc>
            </w:tr>
            <w:tr w14:paraId="3A695575" w14:textId="77777777" w:rsidTr="00735E71">
              <w:tblPrEx>
                <w:tblW w:w="12860" w:type="dxa"/>
                <w:tblLayout w:type="fixed"/>
                <w:tblLook w:val="04A0"/>
              </w:tblPrEx>
              <w:trPr>
                <w:trHeight w:val="52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31FF4F0F" w14:textId="77777777">
                  <w:pPr>
                    <w:rPr>
                      <w:color w:val="000000"/>
                      <w:sz w:val="20"/>
                    </w:rPr>
                  </w:pPr>
                  <w:r w:rsidRPr="00735E71">
                    <w:rPr>
                      <w:color w:val="000000"/>
                      <w:sz w:val="20"/>
                    </w:rPr>
                    <w:t>5. RECORDKEEPING REQUIREMENTS</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2A88B463" w14:textId="77777777">
                  <w:pPr>
                    <w:jc w:val="right"/>
                    <w:rPr>
                      <w:color w:val="000000"/>
                      <w:sz w:val="20"/>
                    </w:rPr>
                  </w:pPr>
                  <w:r w:rsidRPr="00735E71">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597D0DCF" w14:textId="77777777">
                  <w:pPr>
                    <w:jc w:val="right"/>
                    <w:rPr>
                      <w:sz w:val="20"/>
                    </w:rPr>
                  </w:pPr>
                  <w:r w:rsidRPr="00735E71">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2D87A1DB" w14:textId="77777777">
                  <w:pPr>
                    <w:jc w:val="right"/>
                    <w:rPr>
                      <w:color w:val="000000"/>
                      <w:sz w:val="20"/>
                    </w:rPr>
                  </w:pPr>
                  <w:r w:rsidRPr="00735E71">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735E71" w:rsidRPr="00735E71" w:rsidP="00735E71" w14:paraId="4759185D" w14:textId="77777777">
                  <w:pPr>
                    <w:jc w:val="right"/>
                    <w:rPr>
                      <w:sz w:val="20"/>
                    </w:rPr>
                  </w:pPr>
                  <w:r w:rsidRPr="00735E71">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40087E67" w14:textId="77777777">
                  <w:pPr>
                    <w:jc w:val="right"/>
                    <w:rPr>
                      <w:color w:val="000000"/>
                      <w:sz w:val="20"/>
                    </w:rPr>
                  </w:pPr>
                  <w:r w:rsidRPr="00735E71">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20E60E5C" w14:textId="77777777">
                  <w:pPr>
                    <w:jc w:val="right"/>
                    <w:rPr>
                      <w:color w:val="000000"/>
                      <w:sz w:val="20"/>
                    </w:rPr>
                  </w:pPr>
                  <w:r w:rsidRPr="00735E71">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34C1AA34" w14:textId="77777777">
                  <w:pPr>
                    <w:jc w:val="right"/>
                    <w:rPr>
                      <w:color w:val="000000"/>
                      <w:sz w:val="20"/>
                    </w:rPr>
                  </w:pPr>
                  <w:r w:rsidRPr="00735E71">
                    <w:rPr>
                      <w:color w:val="000000"/>
                      <w:sz w:val="20"/>
                    </w:rPr>
                    <w:t> </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04AB4B03" w14:textId="77777777">
                  <w:pPr>
                    <w:jc w:val="right"/>
                    <w:rPr>
                      <w:color w:val="000000"/>
                      <w:sz w:val="20"/>
                    </w:rPr>
                  </w:pPr>
                  <w:r w:rsidRPr="00735E71">
                    <w:rPr>
                      <w:color w:val="000000"/>
                      <w:sz w:val="20"/>
                    </w:rPr>
                    <w:t> </w:t>
                  </w:r>
                </w:p>
              </w:tc>
            </w:tr>
            <w:tr w14:paraId="5746238D" w14:textId="77777777" w:rsidTr="00735E71">
              <w:tblPrEx>
                <w:tblW w:w="12860" w:type="dxa"/>
                <w:tblLayout w:type="fixed"/>
                <w:tblLook w:val="04A0"/>
              </w:tblPrEx>
              <w:trPr>
                <w:trHeight w:val="52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76003926" w14:textId="77777777">
                  <w:pPr>
                    <w:rPr>
                      <w:color w:val="000000"/>
                      <w:sz w:val="20"/>
                    </w:rPr>
                  </w:pPr>
                  <w:r w:rsidRPr="00735E71">
                    <w:rPr>
                      <w:color w:val="000000"/>
                      <w:sz w:val="20"/>
                    </w:rPr>
                    <w:t>A. Familiarize with regulatory requirement</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019D6A3C" w14:textId="77777777">
                  <w:pPr>
                    <w:jc w:val="center"/>
                    <w:rPr>
                      <w:color w:val="000000"/>
                      <w:sz w:val="20"/>
                    </w:rPr>
                  </w:pPr>
                  <w:r w:rsidRPr="00735E71">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0F0123FE" w14:textId="77777777">
                  <w:pPr>
                    <w:jc w:val="right"/>
                    <w:rPr>
                      <w:sz w:val="20"/>
                    </w:rPr>
                  </w:pPr>
                  <w:r w:rsidRPr="00735E71">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39CE707C" w14:textId="77777777">
                  <w:pPr>
                    <w:jc w:val="right"/>
                    <w:rPr>
                      <w:color w:val="000000"/>
                      <w:sz w:val="20"/>
                    </w:rPr>
                  </w:pPr>
                  <w:r w:rsidRPr="00735E71">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735E71" w:rsidRPr="00735E71" w:rsidP="00735E71" w14:paraId="3FBE26A4" w14:textId="77777777">
                  <w:pPr>
                    <w:jc w:val="right"/>
                    <w:rPr>
                      <w:sz w:val="20"/>
                    </w:rPr>
                  </w:pPr>
                  <w:r w:rsidRPr="00735E71">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7CDD3EC9" w14:textId="77777777">
                  <w:pPr>
                    <w:jc w:val="right"/>
                    <w:rPr>
                      <w:color w:val="000000"/>
                      <w:sz w:val="20"/>
                    </w:rPr>
                  </w:pPr>
                  <w:r w:rsidRPr="00735E71">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4EBEA3B9" w14:textId="77777777">
                  <w:pPr>
                    <w:jc w:val="right"/>
                    <w:rPr>
                      <w:color w:val="000000"/>
                      <w:sz w:val="20"/>
                    </w:rPr>
                  </w:pPr>
                  <w:r w:rsidRPr="00735E71">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029BD00B" w14:textId="77777777">
                  <w:pPr>
                    <w:jc w:val="right"/>
                    <w:rPr>
                      <w:color w:val="000000"/>
                      <w:sz w:val="20"/>
                    </w:rPr>
                  </w:pPr>
                  <w:r w:rsidRPr="00735E71">
                    <w:rPr>
                      <w:color w:val="000000"/>
                      <w:sz w:val="20"/>
                    </w:rPr>
                    <w:t> </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2E88F5B0" w14:textId="77777777">
                  <w:pPr>
                    <w:jc w:val="right"/>
                    <w:rPr>
                      <w:color w:val="000000"/>
                      <w:sz w:val="20"/>
                    </w:rPr>
                  </w:pPr>
                  <w:r w:rsidRPr="00735E71">
                    <w:rPr>
                      <w:color w:val="000000"/>
                      <w:sz w:val="20"/>
                    </w:rPr>
                    <w:t> </w:t>
                  </w:r>
                </w:p>
              </w:tc>
            </w:tr>
            <w:tr w14:paraId="4F34E423" w14:textId="77777777" w:rsidTr="00735E71">
              <w:tblPrEx>
                <w:tblW w:w="12860" w:type="dxa"/>
                <w:tblLayout w:type="fixed"/>
                <w:tblLook w:val="04A0"/>
              </w:tblPrEx>
              <w:trPr>
                <w:trHeight w:val="26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38CEB50F" w14:textId="77777777">
                  <w:pPr>
                    <w:rPr>
                      <w:color w:val="000000"/>
                      <w:sz w:val="20"/>
                    </w:rPr>
                  </w:pPr>
                  <w:r w:rsidRPr="00735E71">
                    <w:rPr>
                      <w:color w:val="000000"/>
                      <w:sz w:val="20"/>
                    </w:rPr>
                    <w:t xml:space="preserve">B. Plan Activities </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6D04DC4F" w14:textId="77777777">
                  <w:pPr>
                    <w:jc w:val="center"/>
                    <w:rPr>
                      <w:color w:val="000000"/>
                      <w:sz w:val="20"/>
                    </w:rPr>
                  </w:pPr>
                  <w:r w:rsidRPr="00735E71">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6E84B70F" w14:textId="77777777">
                  <w:pPr>
                    <w:jc w:val="right"/>
                    <w:rPr>
                      <w:sz w:val="20"/>
                    </w:rPr>
                  </w:pPr>
                  <w:r w:rsidRPr="00735E71">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746FBE18" w14:textId="77777777">
                  <w:pPr>
                    <w:jc w:val="right"/>
                    <w:rPr>
                      <w:color w:val="000000"/>
                      <w:sz w:val="20"/>
                    </w:rPr>
                  </w:pPr>
                  <w:r w:rsidRPr="00735E71">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735E71" w:rsidRPr="00735E71" w:rsidP="00735E71" w14:paraId="7DDCA476" w14:textId="77777777">
                  <w:pPr>
                    <w:jc w:val="right"/>
                    <w:rPr>
                      <w:sz w:val="20"/>
                    </w:rPr>
                  </w:pPr>
                  <w:r w:rsidRPr="00735E71">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149E4BEA" w14:textId="77777777">
                  <w:pPr>
                    <w:jc w:val="right"/>
                    <w:rPr>
                      <w:color w:val="000000"/>
                      <w:sz w:val="20"/>
                    </w:rPr>
                  </w:pPr>
                  <w:r w:rsidRPr="00735E71">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17D30C07" w14:textId="77777777">
                  <w:pPr>
                    <w:jc w:val="right"/>
                    <w:rPr>
                      <w:color w:val="000000"/>
                      <w:sz w:val="20"/>
                    </w:rPr>
                  </w:pPr>
                  <w:r w:rsidRPr="00735E71">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16812EFA" w14:textId="77777777">
                  <w:pPr>
                    <w:jc w:val="right"/>
                    <w:rPr>
                      <w:color w:val="000000"/>
                      <w:sz w:val="20"/>
                    </w:rPr>
                  </w:pPr>
                  <w:r w:rsidRPr="00735E71">
                    <w:rPr>
                      <w:color w:val="000000"/>
                      <w:sz w:val="20"/>
                    </w:rPr>
                    <w:t> </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74F3FCC4" w14:textId="77777777">
                  <w:pPr>
                    <w:jc w:val="right"/>
                    <w:rPr>
                      <w:color w:val="000000"/>
                      <w:sz w:val="20"/>
                    </w:rPr>
                  </w:pPr>
                  <w:r w:rsidRPr="00735E71">
                    <w:rPr>
                      <w:color w:val="000000"/>
                      <w:sz w:val="20"/>
                    </w:rPr>
                    <w:t> </w:t>
                  </w:r>
                </w:p>
              </w:tc>
            </w:tr>
            <w:tr w14:paraId="777003C8" w14:textId="77777777" w:rsidTr="00735E71">
              <w:tblPrEx>
                <w:tblW w:w="12860" w:type="dxa"/>
                <w:tblLayout w:type="fixed"/>
                <w:tblLook w:val="04A0"/>
              </w:tblPrEx>
              <w:trPr>
                <w:trHeight w:val="26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3B20F326" w14:textId="77777777">
                  <w:pPr>
                    <w:rPr>
                      <w:color w:val="000000"/>
                      <w:sz w:val="20"/>
                    </w:rPr>
                  </w:pPr>
                  <w:r w:rsidRPr="00735E71">
                    <w:rPr>
                      <w:color w:val="000000"/>
                      <w:sz w:val="20"/>
                    </w:rPr>
                    <w:t xml:space="preserve">C. Implement Activities </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7A1CC9E0" w14:textId="77777777">
                  <w:pPr>
                    <w:jc w:val="center"/>
                    <w:rPr>
                      <w:color w:val="000000"/>
                      <w:sz w:val="20"/>
                    </w:rPr>
                  </w:pPr>
                  <w:r w:rsidRPr="00735E71">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3D7984BF" w14:textId="77777777">
                  <w:pPr>
                    <w:jc w:val="right"/>
                    <w:rPr>
                      <w:sz w:val="20"/>
                    </w:rPr>
                  </w:pPr>
                  <w:r w:rsidRPr="00735E71">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79E65C4A" w14:textId="77777777">
                  <w:pPr>
                    <w:jc w:val="right"/>
                    <w:rPr>
                      <w:color w:val="000000"/>
                      <w:sz w:val="20"/>
                    </w:rPr>
                  </w:pPr>
                  <w:r w:rsidRPr="00735E71">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735E71" w:rsidRPr="00735E71" w:rsidP="00735E71" w14:paraId="156F78F9" w14:textId="77777777">
                  <w:pPr>
                    <w:jc w:val="right"/>
                    <w:rPr>
                      <w:sz w:val="20"/>
                    </w:rPr>
                  </w:pPr>
                  <w:r w:rsidRPr="00735E71">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7080A61F" w14:textId="77777777">
                  <w:pPr>
                    <w:jc w:val="right"/>
                    <w:rPr>
                      <w:color w:val="000000"/>
                      <w:sz w:val="20"/>
                    </w:rPr>
                  </w:pPr>
                  <w:r w:rsidRPr="00735E71">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1271DFE9" w14:textId="77777777">
                  <w:pPr>
                    <w:jc w:val="right"/>
                    <w:rPr>
                      <w:color w:val="000000"/>
                      <w:sz w:val="20"/>
                    </w:rPr>
                  </w:pPr>
                  <w:r w:rsidRPr="00735E71">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35A7AFCF" w14:textId="77777777">
                  <w:pPr>
                    <w:jc w:val="right"/>
                    <w:rPr>
                      <w:color w:val="000000"/>
                      <w:sz w:val="20"/>
                    </w:rPr>
                  </w:pPr>
                  <w:r w:rsidRPr="00735E71">
                    <w:rPr>
                      <w:color w:val="000000"/>
                      <w:sz w:val="20"/>
                    </w:rPr>
                    <w:t> </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7D105A95" w14:textId="77777777">
                  <w:pPr>
                    <w:jc w:val="right"/>
                    <w:rPr>
                      <w:color w:val="000000"/>
                      <w:sz w:val="20"/>
                    </w:rPr>
                  </w:pPr>
                  <w:r w:rsidRPr="00735E71">
                    <w:rPr>
                      <w:color w:val="000000"/>
                      <w:sz w:val="20"/>
                    </w:rPr>
                    <w:t> </w:t>
                  </w:r>
                </w:p>
              </w:tc>
            </w:tr>
            <w:tr w14:paraId="3C7772C4" w14:textId="77777777" w:rsidTr="00735E71">
              <w:tblPrEx>
                <w:tblW w:w="12860" w:type="dxa"/>
                <w:tblLayout w:type="fixed"/>
                <w:tblLook w:val="04A0"/>
              </w:tblPrEx>
              <w:trPr>
                <w:trHeight w:val="26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1F4E0106" w14:textId="77777777">
                  <w:pPr>
                    <w:rPr>
                      <w:color w:val="000000"/>
                      <w:sz w:val="20"/>
                    </w:rPr>
                  </w:pPr>
                  <w:r w:rsidRPr="00735E71">
                    <w:rPr>
                      <w:color w:val="000000"/>
                      <w:sz w:val="20"/>
                    </w:rPr>
                    <w:t xml:space="preserve">D. Record Data </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0E8A1647" w14:textId="77777777">
                  <w:pPr>
                    <w:jc w:val="center"/>
                    <w:rPr>
                      <w:color w:val="000000"/>
                      <w:sz w:val="20"/>
                    </w:rPr>
                  </w:pPr>
                  <w:r w:rsidRPr="00735E71">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62856620" w14:textId="77777777">
                  <w:pPr>
                    <w:jc w:val="right"/>
                    <w:rPr>
                      <w:sz w:val="20"/>
                    </w:rPr>
                  </w:pPr>
                  <w:r w:rsidRPr="00735E71">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32ABCCA4" w14:textId="77777777">
                  <w:pPr>
                    <w:jc w:val="right"/>
                    <w:rPr>
                      <w:color w:val="000000"/>
                      <w:sz w:val="20"/>
                    </w:rPr>
                  </w:pPr>
                  <w:r w:rsidRPr="00735E71">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735E71" w:rsidRPr="00735E71" w:rsidP="00735E71" w14:paraId="03D68274" w14:textId="77777777">
                  <w:pPr>
                    <w:jc w:val="right"/>
                    <w:rPr>
                      <w:sz w:val="20"/>
                    </w:rPr>
                  </w:pPr>
                  <w:r w:rsidRPr="00735E71">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57574B92" w14:textId="77777777">
                  <w:pPr>
                    <w:jc w:val="right"/>
                    <w:rPr>
                      <w:color w:val="000000"/>
                      <w:sz w:val="20"/>
                    </w:rPr>
                  </w:pPr>
                  <w:r w:rsidRPr="00735E71">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4AFAF90E" w14:textId="77777777">
                  <w:pPr>
                    <w:jc w:val="right"/>
                    <w:rPr>
                      <w:color w:val="000000"/>
                      <w:sz w:val="20"/>
                    </w:rPr>
                  </w:pPr>
                  <w:r w:rsidRPr="00735E71">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19315FD6" w14:textId="77777777">
                  <w:pPr>
                    <w:jc w:val="right"/>
                    <w:rPr>
                      <w:color w:val="000000"/>
                      <w:sz w:val="20"/>
                    </w:rPr>
                  </w:pPr>
                  <w:r w:rsidRPr="00735E71">
                    <w:rPr>
                      <w:color w:val="000000"/>
                      <w:sz w:val="20"/>
                    </w:rPr>
                    <w:t> </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16364EBD" w14:textId="77777777">
                  <w:pPr>
                    <w:jc w:val="right"/>
                    <w:rPr>
                      <w:color w:val="000000"/>
                      <w:sz w:val="20"/>
                    </w:rPr>
                  </w:pPr>
                  <w:r w:rsidRPr="00735E71">
                    <w:rPr>
                      <w:color w:val="000000"/>
                      <w:sz w:val="20"/>
                    </w:rPr>
                    <w:t> </w:t>
                  </w:r>
                </w:p>
              </w:tc>
            </w:tr>
            <w:tr w14:paraId="67DE1E8E" w14:textId="77777777" w:rsidTr="00735E71">
              <w:tblPrEx>
                <w:tblW w:w="12860" w:type="dxa"/>
                <w:tblLayout w:type="fixed"/>
                <w:tblLook w:val="04A0"/>
              </w:tblPrEx>
              <w:trPr>
                <w:trHeight w:val="52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4D7A9554" w14:textId="77777777">
                  <w:pPr>
                    <w:rPr>
                      <w:color w:val="000000"/>
                      <w:sz w:val="20"/>
                    </w:rPr>
                  </w:pPr>
                  <w:r w:rsidRPr="00735E71">
                    <w:rPr>
                      <w:color w:val="000000"/>
                      <w:sz w:val="20"/>
                    </w:rPr>
                    <w:t>E. Time to Transmit or Disclose Information</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72BFA655" w14:textId="77777777">
                  <w:pPr>
                    <w:jc w:val="right"/>
                    <w:rPr>
                      <w:color w:val="000000"/>
                      <w:sz w:val="20"/>
                    </w:rPr>
                  </w:pPr>
                  <w:r w:rsidRPr="00735E71">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3D5CFD85" w14:textId="77777777">
                  <w:pPr>
                    <w:jc w:val="right"/>
                    <w:rPr>
                      <w:sz w:val="20"/>
                    </w:rPr>
                  </w:pPr>
                  <w:r w:rsidRPr="00735E71">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3376ADDC" w14:textId="77777777">
                  <w:pPr>
                    <w:jc w:val="right"/>
                    <w:rPr>
                      <w:color w:val="000000"/>
                      <w:sz w:val="20"/>
                    </w:rPr>
                  </w:pPr>
                  <w:r w:rsidRPr="00735E71">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735E71" w:rsidRPr="00735E71" w:rsidP="00735E71" w14:paraId="6AF8A2E4" w14:textId="77777777">
                  <w:pPr>
                    <w:jc w:val="right"/>
                    <w:rPr>
                      <w:sz w:val="20"/>
                    </w:rPr>
                  </w:pPr>
                  <w:r w:rsidRPr="00735E71">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5F8DFA17" w14:textId="77777777">
                  <w:pPr>
                    <w:jc w:val="right"/>
                    <w:rPr>
                      <w:color w:val="000000"/>
                      <w:sz w:val="20"/>
                    </w:rPr>
                  </w:pPr>
                  <w:r w:rsidRPr="00735E71">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64C02888" w14:textId="77777777">
                  <w:pPr>
                    <w:jc w:val="right"/>
                    <w:rPr>
                      <w:color w:val="000000"/>
                      <w:sz w:val="20"/>
                    </w:rPr>
                  </w:pPr>
                  <w:r w:rsidRPr="00735E71">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3ADFE3FD" w14:textId="77777777">
                  <w:pPr>
                    <w:jc w:val="right"/>
                    <w:rPr>
                      <w:color w:val="000000"/>
                      <w:sz w:val="20"/>
                    </w:rPr>
                  </w:pPr>
                  <w:r w:rsidRPr="00735E71">
                    <w:rPr>
                      <w:color w:val="000000"/>
                      <w:sz w:val="20"/>
                    </w:rPr>
                    <w:t> </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3A3A410B" w14:textId="77777777">
                  <w:pPr>
                    <w:jc w:val="right"/>
                    <w:rPr>
                      <w:color w:val="000000"/>
                      <w:sz w:val="20"/>
                    </w:rPr>
                  </w:pPr>
                  <w:r w:rsidRPr="00735E71">
                    <w:rPr>
                      <w:color w:val="000000"/>
                      <w:sz w:val="20"/>
                    </w:rPr>
                    <w:t> </w:t>
                  </w:r>
                </w:p>
              </w:tc>
            </w:tr>
            <w:tr w14:paraId="34E51A2F" w14:textId="77777777" w:rsidTr="00735E71">
              <w:tblPrEx>
                <w:tblW w:w="12860" w:type="dxa"/>
                <w:tblLayout w:type="fixed"/>
                <w:tblLook w:val="04A0"/>
              </w:tblPrEx>
              <w:trPr>
                <w:trHeight w:val="26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4F472C70" w14:textId="77777777">
                  <w:pPr>
                    <w:rPr>
                      <w:i/>
                      <w:iCs/>
                      <w:color w:val="000000"/>
                      <w:sz w:val="20"/>
                      <w:u w:val="single"/>
                    </w:rPr>
                  </w:pPr>
                  <w:r w:rsidRPr="00735E71">
                    <w:rPr>
                      <w:i/>
                      <w:iCs/>
                      <w:color w:val="000000"/>
                      <w:sz w:val="20"/>
                      <w:u w:val="single"/>
                    </w:rPr>
                    <w:t>Existing Sources</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7880B261" w14:textId="77777777">
                  <w:pPr>
                    <w:jc w:val="right"/>
                    <w:rPr>
                      <w:color w:val="000000"/>
                      <w:sz w:val="20"/>
                    </w:rPr>
                  </w:pPr>
                  <w:r w:rsidRPr="00735E71">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7C483071" w14:textId="77777777">
                  <w:pPr>
                    <w:jc w:val="right"/>
                    <w:rPr>
                      <w:sz w:val="20"/>
                    </w:rPr>
                  </w:pPr>
                  <w:r w:rsidRPr="00735E71">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78774CF8" w14:textId="77777777">
                  <w:pPr>
                    <w:jc w:val="right"/>
                    <w:rPr>
                      <w:color w:val="000000"/>
                      <w:sz w:val="20"/>
                    </w:rPr>
                  </w:pPr>
                  <w:r w:rsidRPr="00735E71">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735E71" w:rsidRPr="00735E71" w:rsidP="00735E71" w14:paraId="13D0B1EB" w14:textId="77777777">
                  <w:pPr>
                    <w:jc w:val="right"/>
                    <w:rPr>
                      <w:sz w:val="20"/>
                    </w:rPr>
                  </w:pPr>
                  <w:r w:rsidRPr="00735E71">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48464688" w14:textId="77777777">
                  <w:pPr>
                    <w:jc w:val="right"/>
                    <w:rPr>
                      <w:color w:val="000000"/>
                      <w:sz w:val="20"/>
                    </w:rPr>
                  </w:pPr>
                  <w:r w:rsidRPr="00735E71">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4B0CB828" w14:textId="77777777">
                  <w:pPr>
                    <w:jc w:val="right"/>
                    <w:rPr>
                      <w:color w:val="000000"/>
                      <w:sz w:val="20"/>
                    </w:rPr>
                  </w:pPr>
                  <w:r w:rsidRPr="00735E71">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4201ADD3" w14:textId="77777777">
                  <w:pPr>
                    <w:jc w:val="right"/>
                    <w:rPr>
                      <w:color w:val="000000"/>
                      <w:sz w:val="20"/>
                    </w:rPr>
                  </w:pPr>
                  <w:r w:rsidRPr="00735E71">
                    <w:rPr>
                      <w:color w:val="000000"/>
                      <w:sz w:val="20"/>
                    </w:rPr>
                    <w:t> </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55764294" w14:textId="77777777">
                  <w:pPr>
                    <w:jc w:val="right"/>
                    <w:rPr>
                      <w:color w:val="000000"/>
                      <w:sz w:val="20"/>
                    </w:rPr>
                  </w:pPr>
                  <w:r w:rsidRPr="00735E71">
                    <w:rPr>
                      <w:color w:val="000000"/>
                      <w:sz w:val="20"/>
                    </w:rPr>
                    <w:t> </w:t>
                  </w:r>
                </w:p>
              </w:tc>
            </w:tr>
            <w:tr w14:paraId="53B7A0F2" w14:textId="77777777" w:rsidTr="00735E71">
              <w:tblPrEx>
                <w:tblW w:w="12860" w:type="dxa"/>
                <w:tblLayout w:type="fixed"/>
                <w:tblLook w:val="04A0"/>
              </w:tblPrEx>
              <w:trPr>
                <w:trHeight w:val="26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542A3E90" w14:textId="77777777">
                  <w:pPr>
                    <w:rPr>
                      <w:color w:val="000000"/>
                      <w:sz w:val="20"/>
                    </w:rPr>
                  </w:pPr>
                  <w:r w:rsidRPr="00735E71">
                    <w:rPr>
                      <w:color w:val="000000"/>
                      <w:sz w:val="20"/>
                    </w:rPr>
                    <w:t>Data Collection</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73AEEAB5" w14:textId="77777777">
                  <w:pPr>
                    <w:jc w:val="center"/>
                    <w:rPr>
                      <w:color w:val="000000"/>
                      <w:sz w:val="20"/>
                    </w:rPr>
                  </w:pPr>
                  <w:r w:rsidRPr="00735E71">
                    <w:rPr>
                      <w:color w:val="000000"/>
                      <w:sz w:val="20"/>
                    </w:rPr>
                    <w:t>0.1</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186F1E23" w14:textId="77777777">
                  <w:pPr>
                    <w:jc w:val="center"/>
                    <w:rPr>
                      <w:sz w:val="20"/>
                    </w:rPr>
                  </w:pPr>
                  <w:r w:rsidRPr="00735E71">
                    <w:rPr>
                      <w:sz w:val="20"/>
                    </w:rPr>
                    <w:t>1</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79E3EC45" w14:textId="77777777">
                  <w:pPr>
                    <w:jc w:val="center"/>
                    <w:rPr>
                      <w:color w:val="000000"/>
                      <w:sz w:val="20"/>
                    </w:rPr>
                  </w:pPr>
                  <w:r w:rsidRPr="00735E71">
                    <w:rPr>
                      <w:color w:val="000000"/>
                      <w:sz w:val="20"/>
                    </w:rPr>
                    <w:t>0.1</w:t>
                  </w:r>
                </w:p>
              </w:tc>
              <w:tc>
                <w:tcPr>
                  <w:tcW w:w="1340" w:type="dxa"/>
                  <w:tcBorders>
                    <w:top w:val="nil"/>
                    <w:left w:val="nil"/>
                    <w:bottom w:val="single" w:sz="4" w:space="0" w:color="auto"/>
                    <w:right w:val="single" w:sz="4" w:space="0" w:color="auto"/>
                  </w:tcBorders>
                  <w:shd w:val="clear" w:color="auto" w:fill="auto"/>
                  <w:noWrap/>
                  <w:vAlign w:val="center"/>
                  <w:hideMark/>
                </w:tcPr>
                <w:p w:rsidR="00735E71" w:rsidRPr="00735E71" w:rsidP="00735E71" w14:paraId="37EBFED0" w14:textId="77777777">
                  <w:pPr>
                    <w:jc w:val="center"/>
                    <w:rPr>
                      <w:sz w:val="20"/>
                    </w:rPr>
                  </w:pPr>
                  <w:r w:rsidRPr="00735E71">
                    <w:rPr>
                      <w:sz w:val="20"/>
                    </w:rPr>
                    <w:t>79</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739B5331" w14:textId="77777777">
                  <w:pPr>
                    <w:jc w:val="center"/>
                    <w:rPr>
                      <w:color w:val="000000"/>
                      <w:sz w:val="20"/>
                    </w:rPr>
                  </w:pPr>
                  <w:r w:rsidRPr="00735E71">
                    <w:rPr>
                      <w:color w:val="000000"/>
                      <w:sz w:val="20"/>
                    </w:rPr>
                    <w:t>8</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28D372A4" w14:textId="77777777">
                  <w:pPr>
                    <w:jc w:val="center"/>
                    <w:rPr>
                      <w:color w:val="000000"/>
                      <w:sz w:val="20"/>
                    </w:rPr>
                  </w:pPr>
                  <w:r w:rsidRPr="00735E71">
                    <w:rPr>
                      <w:color w:val="000000"/>
                      <w:sz w:val="20"/>
                    </w:rPr>
                    <w:t>0.395</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52E1D086" w14:textId="77777777">
                  <w:pPr>
                    <w:jc w:val="center"/>
                    <w:rPr>
                      <w:color w:val="000000"/>
                      <w:sz w:val="20"/>
                    </w:rPr>
                  </w:pPr>
                  <w:r w:rsidRPr="00735E71">
                    <w:rPr>
                      <w:color w:val="000000"/>
                      <w:sz w:val="20"/>
                    </w:rPr>
                    <w:t>0.79</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3C098171" w14:textId="77777777">
                  <w:pPr>
                    <w:jc w:val="right"/>
                    <w:rPr>
                      <w:color w:val="000000"/>
                      <w:sz w:val="20"/>
                    </w:rPr>
                  </w:pPr>
                  <w:r w:rsidRPr="00735E71">
                    <w:rPr>
                      <w:color w:val="000000"/>
                      <w:sz w:val="20"/>
                    </w:rPr>
                    <w:t xml:space="preserve">$1,123 </w:t>
                  </w:r>
                </w:p>
              </w:tc>
            </w:tr>
            <w:tr w14:paraId="5BBA4F41" w14:textId="77777777" w:rsidTr="00735E71">
              <w:tblPrEx>
                <w:tblW w:w="12860" w:type="dxa"/>
                <w:tblLayout w:type="fixed"/>
                <w:tblLook w:val="04A0"/>
              </w:tblPrEx>
              <w:trPr>
                <w:trHeight w:val="26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46A63609" w14:textId="77777777">
                  <w:pPr>
                    <w:rPr>
                      <w:color w:val="000000"/>
                      <w:sz w:val="20"/>
                    </w:rPr>
                  </w:pPr>
                  <w:r w:rsidRPr="00735E71">
                    <w:rPr>
                      <w:color w:val="000000"/>
                      <w:sz w:val="20"/>
                    </w:rPr>
                    <w:t>Records of Performance Tests</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7173D41A" w14:textId="77777777">
                  <w:pPr>
                    <w:jc w:val="center"/>
                    <w:rPr>
                      <w:sz w:val="20"/>
                    </w:rPr>
                  </w:pPr>
                  <w:r w:rsidRPr="00735E71">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039CEBAD" w14:textId="77777777">
                  <w:pPr>
                    <w:jc w:val="center"/>
                    <w:rPr>
                      <w:sz w:val="20"/>
                    </w:rPr>
                  </w:pPr>
                  <w:r w:rsidRPr="00735E71">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3609F3A3" w14:textId="77777777">
                  <w:pPr>
                    <w:jc w:val="center"/>
                    <w:rPr>
                      <w:color w:val="000000"/>
                      <w:sz w:val="20"/>
                    </w:rPr>
                  </w:pPr>
                  <w:r w:rsidRPr="00735E71">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735E71" w:rsidRPr="00735E71" w:rsidP="00735E71" w14:paraId="36D47900" w14:textId="77777777">
                  <w:pPr>
                    <w:jc w:val="center"/>
                    <w:rPr>
                      <w:sz w:val="20"/>
                    </w:rPr>
                  </w:pPr>
                  <w:r w:rsidRPr="00735E71">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1032C51A" w14:textId="77777777">
                  <w:pPr>
                    <w:jc w:val="center"/>
                    <w:rPr>
                      <w:color w:val="000000"/>
                      <w:sz w:val="20"/>
                    </w:rPr>
                  </w:pPr>
                  <w:r w:rsidRPr="00735E71">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06C03098" w14:textId="77777777">
                  <w:pPr>
                    <w:jc w:val="center"/>
                    <w:rPr>
                      <w:color w:val="000000"/>
                      <w:sz w:val="20"/>
                    </w:rPr>
                  </w:pPr>
                  <w:r w:rsidRPr="00735E71">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1614E8E6" w14:textId="77777777">
                  <w:pPr>
                    <w:jc w:val="center"/>
                    <w:rPr>
                      <w:color w:val="000000"/>
                      <w:sz w:val="20"/>
                    </w:rPr>
                  </w:pPr>
                  <w:r w:rsidRPr="00735E71">
                    <w:rPr>
                      <w:color w:val="000000"/>
                      <w:sz w:val="20"/>
                    </w:rPr>
                    <w:t>0</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3B378371" w14:textId="77777777">
                  <w:pPr>
                    <w:jc w:val="right"/>
                    <w:rPr>
                      <w:color w:val="000000"/>
                      <w:sz w:val="20"/>
                    </w:rPr>
                  </w:pPr>
                  <w:r w:rsidRPr="00735E71">
                    <w:rPr>
                      <w:color w:val="000000"/>
                      <w:sz w:val="20"/>
                    </w:rPr>
                    <w:t xml:space="preserve">$0.00 </w:t>
                  </w:r>
                </w:p>
              </w:tc>
            </w:tr>
            <w:tr w14:paraId="553F2C31" w14:textId="77777777" w:rsidTr="00735E71">
              <w:tblPrEx>
                <w:tblW w:w="12860" w:type="dxa"/>
                <w:tblLayout w:type="fixed"/>
                <w:tblLook w:val="04A0"/>
              </w:tblPrEx>
              <w:trPr>
                <w:trHeight w:val="78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157F5C37" w14:textId="77777777">
                  <w:pPr>
                    <w:rPr>
                      <w:color w:val="000000"/>
                      <w:sz w:val="20"/>
                    </w:rPr>
                  </w:pPr>
                  <w:r w:rsidRPr="00735E71">
                    <w:rPr>
                      <w:color w:val="000000"/>
                      <w:sz w:val="20"/>
                    </w:rPr>
                    <w:t>Recordkeeping of NOx emission rate, operating days data, CPMS data</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52015729" w14:textId="77777777">
                  <w:pPr>
                    <w:jc w:val="center"/>
                    <w:rPr>
                      <w:sz w:val="20"/>
                    </w:rPr>
                  </w:pPr>
                  <w:r w:rsidRPr="00735E71">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1879AE0B" w14:textId="77777777">
                  <w:pPr>
                    <w:jc w:val="center"/>
                    <w:rPr>
                      <w:sz w:val="20"/>
                    </w:rPr>
                  </w:pPr>
                  <w:r w:rsidRPr="00735E71">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0F168FED" w14:textId="77777777">
                  <w:pPr>
                    <w:jc w:val="center"/>
                    <w:rPr>
                      <w:color w:val="000000"/>
                      <w:sz w:val="20"/>
                    </w:rPr>
                  </w:pPr>
                  <w:r w:rsidRPr="00735E71">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735E71" w:rsidRPr="00735E71" w:rsidP="00735E71" w14:paraId="6F9C25DA" w14:textId="77777777">
                  <w:pPr>
                    <w:jc w:val="center"/>
                    <w:rPr>
                      <w:sz w:val="20"/>
                    </w:rPr>
                  </w:pPr>
                  <w:r w:rsidRPr="00735E71">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54650339" w14:textId="77777777">
                  <w:pPr>
                    <w:jc w:val="center"/>
                    <w:rPr>
                      <w:color w:val="000000"/>
                      <w:sz w:val="20"/>
                    </w:rPr>
                  </w:pPr>
                  <w:r w:rsidRPr="00735E71">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42397241" w14:textId="77777777">
                  <w:pPr>
                    <w:jc w:val="center"/>
                    <w:rPr>
                      <w:color w:val="000000"/>
                      <w:sz w:val="20"/>
                    </w:rPr>
                  </w:pPr>
                  <w:r w:rsidRPr="00735E71">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30E10B92" w14:textId="77777777">
                  <w:pPr>
                    <w:jc w:val="center"/>
                    <w:rPr>
                      <w:color w:val="000000"/>
                      <w:sz w:val="20"/>
                    </w:rPr>
                  </w:pPr>
                  <w:r w:rsidRPr="00735E71">
                    <w:rPr>
                      <w:color w:val="000000"/>
                      <w:sz w:val="20"/>
                    </w:rPr>
                    <w:t>0</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44859F5B" w14:textId="77777777">
                  <w:pPr>
                    <w:jc w:val="right"/>
                    <w:rPr>
                      <w:color w:val="000000"/>
                      <w:sz w:val="20"/>
                    </w:rPr>
                  </w:pPr>
                  <w:r w:rsidRPr="00735E71">
                    <w:rPr>
                      <w:color w:val="000000"/>
                      <w:sz w:val="20"/>
                    </w:rPr>
                    <w:t xml:space="preserve">$0.00 </w:t>
                  </w:r>
                </w:p>
              </w:tc>
            </w:tr>
            <w:tr w14:paraId="07408AFB" w14:textId="77777777" w:rsidTr="00735E71">
              <w:tblPrEx>
                <w:tblW w:w="12860" w:type="dxa"/>
                <w:tblLayout w:type="fixed"/>
                <w:tblLook w:val="04A0"/>
              </w:tblPrEx>
              <w:trPr>
                <w:trHeight w:val="26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738F2E3D" w14:textId="77777777">
                  <w:pPr>
                    <w:rPr>
                      <w:i/>
                      <w:iCs/>
                      <w:color w:val="000000"/>
                      <w:sz w:val="20"/>
                      <w:u w:val="single"/>
                    </w:rPr>
                  </w:pPr>
                  <w:r w:rsidRPr="00735E71">
                    <w:rPr>
                      <w:i/>
                      <w:iCs/>
                      <w:color w:val="000000"/>
                      <w:sz w:val="20"/>
                      <w:u w:val="single"/>
                    </w:rPr>
                    <w:t>New Sources</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56EDBD37" w14:textId="77777777">
                  <w:pPr>
                    <w:jc w:val="center"/>
                    <w:rPr>
                      <w:color w:val="000000"/>
                      <w:sz w:val="20"/>
                    </w:rPr>
                  </w:pPr>
                  <w:r w:rsidRPr="00735E71">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7980C5E9" w14:textId="77777777">
                  <w:pPr>
                    <w:jc w:val="center"/>
                    <w:rPr>
                      <w:sz w:val="20"/>
                    </w:rPr>
                  </w:pPr>
                  <w:r w:rsidRPr="00735E71">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5C35812A" w14:textId="77777777">
                  <w:pPr>
                    <w:jc w:val="center"/>
                    <w:rPr>
                      <w:color w:val="000000"/>
                      <w:sz w:val="20"/>
                    </w:rPr>
                  </w:pPr>
                  <w:r w:rsidRPr="00735E71">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735E71" w:rsidRPr="00735E71" w:rsidP="00735E71" w14:paraId="0BA91C7A" w14:textId="77777777">
                  <w:pPr>
                    <w:jc w:val="center"/>
                    <w:rPr>
                      <w:sz w:val="20"/>
                    </w:rPr>
                  </w:pPr>
                  <w:r w:rsidRPr="00735E71">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71B61D3A" w14:textId="77777777">
                  <w:pPr>
                    <w:jc w:val="center"/>
                    <w:rPr>
                      <w:color w:val="000000"/>
                      <w:sz w:val="20"/>
                    </w:rPr>
                  </w:pPr>
                  <w:r w:rsidRPr="00735E71">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728C4103" w14:textId="77777777">
                  <w:pPr>
                    <w:jc w:val="center"/>
                    <w:rPr>
                      <w:color w:val="000000"/>
                      <w:sz w:val="20"/>
                    </w:rPr>
                  </w:pPr>
                  <w:r w:rsidRPr="00735E71">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09A7158A" w14:textId="77777777">
                  <w:pPr>
                    <w:jc w:val="center"/>
                    <w:rPr>
                      <w:color w:val="000000"/>
                      <w:sz w:val="20"/>
                    </w:rPr>
                  </w:pPr>
                  <w:r w:rsidRPr="00735E71">
                    <w:rPr>
                      <w:color w:val="000000"/>
                      <w:sz w:val="20"/>
                    </w:rPr>
                    <w:t> </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69F215F0" w14:textId="77777777">
                  <w:pPr>
                    <w:jc w:val="right"/>
                    <w:rPr>
                      <w:color w:val="000000"/>
                      <w:sz w:val="20"/>
                    </w:rPr>
                  </w:pPr>
                  <w:r w:rsidRPr="00735E71">
                    <w:rPr>
                      <w:color w:val="000000"/>
                      <w:sz w:val="20"/>
                    </w:rPr>
                    <w:t> </w:t>
                  </w:r>
                </w:p>
              </w:tc>
            </w:tr>
            <w:tr w14:paraId="35417BC1" w14:textId="77777777" w:rsidTr="00735E71">
              <w:tblPrEx>
                <w:tblW w:w="12860" w:type="dxa"/>
                <w:tblLayout w:type="fixed"/>
                <w:tblLook w:val="04A0"/>
              </w:tblPrEx>
              <w:trPr>
                <w:trHeight w:val="26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52207D26" w14:textId="77777777">
                  <w:pPr>
                    <w:rPr>
                      <w:color w:val="000000"/>
                      <w:sz w:val="20"/>
                    </w:rPr>
                  </w:pPr>
                  <w:r w:rsidRPr="00735E71">
                    <w:rPr>
                      <w:color w:val="000000"/>
                      <w:sz w:val="20"/>
                    </w:rPr>
                    <w:t>Data Collection</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436DFCF6" w14:textId="77777777">
                  <w:pPr>
                    <w:jc w:val="center"/>
                    <w:rPr>
                      <w:sz w:val="20"/>
                    </w:rPr>
                  </w:pPr>
                  <w:r w:rsidRPr="00735E71">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6D8E4141" w14:textId="77777777">
                  <w:pPr>
                    <w:jc w:val="center"/>
                    <w:rPr>
                      <w:sz w:val="20"/>
                    </w:rPr>
                  </w:pPr>
                  <w:r w:rsidRPr="00735E71">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056A5D4B" w14:textId="77777777">
                  <w:pPr>
                    <w:jc w:val="center"/>
                    <w:rPr>
                      <w:color w:val="000000"/>
                      <w:sz w:val="20"/>
                    </w:rPr>
                  </w:pPr>
                  <w:r w:rsidRPr="00735E71">
                    <w:rPr>
                      <w:color w:val="000000"/>
                      <w:sz w:val="20"/>
                    </w:rPr>
                    <w:t>0</w:t>
                  </w:r>
                </w:p>
              </w:tc>
              <w:tc>
                <w:tcPr>
                  <w:tcW w:w="1340" w:type="dxa"/>
                  <w:tcBorders>
                    <w:top w:val="nil"/>
                    <w:left w:val="nil"/>
                    <w:bottom w:val="single" w:sz="4" w:space="0" w:color="auto"/>
                    <w:right w:val="single" w:sz="4" w:space="0" w:color="auto"/>
                  </w:tcBorders>
                  <w:shd w:val="clear" w:color="auto" w:fill="auto"/>
                  <w:noWrap/>
                  <w:vAlign w:val="bottom"/>
                  <w:hideMark/>
                </w:tcPr>
                <w:p w:rsidR="00735E71" w:rsidRPr="00735E71" w:rsidP="00735E71" w14:paraId="5C89B154" w14:textId="77777777">
                  <w:pPr>
                    <w:jc w:val="right"/>
                    <w:rPr>
                      <w:color w:val="000000"/>
                      <w:sz w:val="20"/>
                    </w:rPr>
                  </w:pPr>
                  <w:r w:rsidRPr="00735E71">
                    <w:rPr>
                      <w:color w:val="000000"/>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2964CE5D" w14:textId="77777777">
                  <w:pPr>
                    <w:jc w:val="center"/>
                    <w:rPr>
                      <w:color w:val="000000"/>
                      <w:sz w:val="20"/>
                    </w:rPr>
                  </w:pPr>
                  <w:r w:rsidRPr="00735E71">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1B4DA060" w14:textId="77777777">
                  <w:pPr>
                    <w:jc w:val="center"/>
                    <w:rPr>
                      <w:color w:val="000000"/>
                      <w:sz w:val="20"/>
                    </w:rPr>
                  </w:pPr>
                  <w:r w:rsidRPr="00735E71">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0C0E4D82" w14:textId="77777777">
                  <w:pPr>
                    <w:jc w:val="center"/>
                    <w:rPr>
                      <w:color w:val="000000"/>
                      <w:sz w:val="20"/>
                    </w:rPr>
                  </w:pPr>
                  <w:r w:rsidRPr="00735E71">
                    <w:rPr>
                      <w:color w:val="000000"/>
                      <w:sz w:val="20"/>
                    </w:rPr>
                    <w:t>0</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1BC02468" w14:textId="77777777">
                  <w:pPr>
                    <w:jc w:val="right"/>
                    <w:rPr>
                      <w:color w:val="000000"/>
                      <w:sz w:val="20"/>
                    </w:rPr>
                  </w:pPr>
                  <w:r w:rsidRPr="00735E71">
                    <w:rPr>
                      <w:color w:val="000000"/>
                      <w:sz w:val="20"/>
                    </w:rPr>
                    <w:t xml:space="preserve">$0 </w:t>
                  </w:r>
                </w:p>
              </w:tc>
            </w:tr>
            <w:tr w14:paraId="1FD07226" w14:textId="77777777" w:rsidTr="00735E71">
              <w:tblPrEx>
                <w:tblW w:w="12860" w:type="dxa"/>
                <w:tblLayout w:type="fixed"/>
                <w:tblLook w:val="04A0"/>
              </w:tblPrEx>
              <w:trPr>
                <w:trHeight w:val="26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2C356A04" w14:textId="77777777">
                  <w:pPr>
                    <w:rPr>
                      <w:color w:val="000000"/>
                      <w:sz w:val="20"/>
                    </w:rPr>
                  </w:pPr>
                  <w:r w:rsidRPr="00735E71">
                    <w:rPr>
                      <w:color w:val="000000"/>
                      <w:sz w:val="20"/>
                    </w:rPr>
                    <w:t>Records of Performance Tests</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1830D932" w14:textId="77777777">
                  <w:pPr>
                    <w:jc w:val="center"/>
                    <w:rPr>
                      <w:sz w:val="20"/>
                    </w:rPr>
                  </w:pPr>
                  <w:r w:rsidRPr="00735E71">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2509206B" w14:textId="77777777">
                  <w:pPr>
                    <w:jc w:val="center"/>
                    <w:rPr>
                      <w:sz w:val="20"/>
                    </w:rPr>
                  </w:pPr>
                  <w:r w:rsidRPr="00735E71">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6A2D66C2" w14:textId="77777777">
                  <w:pPr>
                    <w:jc w:val="center"/>
                    <w:rPr>
                      <w:color w:val="000000"/>
                      <w:sz w:val="20"/>
                    </w:rPr>
                  </w:pPr>
                  <w:r w:rsidRPr="00735E71">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735E71" w:rsidRPr="00735E71" w:rsidP="00735E71" w14:paraId="6ACC2206" w14:textId="77777777">
                  <w:pPr>
                    <w:jc w:val="center"/>
                    <w:rPr>
                      <w:sz w:val="20"/>
                    </w:rPr>
                  </w:pPr>
                  <w:r w:rsidRPr="00735E71">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3442428E" w14:textId="77777777">
                  <w:pPr>
                    <w:jc w:val="center"/>
                    <w:rPr>
                      <w:color w:val="000000"/>
                      <w:sz w:val="20"/>
                    </w:rPr>
                  </w:pPr>
                  <w:r w:rsidRPr="00735E71">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6D001D85" w14:textId="77777777">
                  <w:pPr>
                    <w:jc w:val="center"/>
                    <w:rPr>
                      <w:color w:val="000000"/>
                      <w:sz w:val="20"/>
                    </w:rPr>
                  </w:pPr>
                  <w:r w:rsidRPr="00735E71">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387972A6" w14:textId="77777777">
                  <w:pPr>
                    <w:jc w:val="center"/>
                    <w:rPr>
                      <w:color w:val="000000"/>
                      <w:sz w:val="20"/>
                    </w:rPr>
                  </w:pPr>
                  <w:r w:rsidRPr="00735E71">
                    <w:rPr>
                      <w:color w:val="000000"/>
                      <w:sz w:val="20"/>
                    </w:rPr>
                    <w:t>0</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2630238C" w14:textId="77777777">
                  <w:pPr>
                    <w:jc w:val="right"/>
                    <w:rPr>
                      <w:color w:val="000000"/>
                      <w:sz w:val="20"/>
                    </w:rPr>
                  </w:pPr>
                  <w:r w:rsidRPr="00735E71">
                    <w:rPr>
                      <w:color w:val="000000"/>
                      <w:sz w:val="20"/>
                    </w:rPr>
                    <w:t xml:space="preserve">$0 </w:t>
                  </w:r>
                </w:p>
              </w:tc>
            </w:tr>
            <w:tr w14:paraId="7BF05B0C" w14:textId="77777777" w:rsidTr="00735E71">
              <w:tblPrEx>
                <w:tblW w:w="12860" w:type="dxa"/>
                <w:tblLayout w:type="fixed"/>
                <w:tblLook w:val="04A0"/>
              </w:tblPrEx>
              <w:trPr>
                <w:trHeight w:val="26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1AB7EFCD" w14:textId="77777777">
                  <w:pPr>
                    <w:rPr>
                      <w:color w:val="000000"/>
                      <w:sz w:val="20"/>
                    </w:rPr>
                  </w:pPr>
                  <w:r w:rsidRPr="00735E71">
                    <w:rPr>
                      <w:color w:val="000000"/>
                      <w:sz w:val="20"/>
                    </w:rPr>
                    <w:t>CPMS Recordkeeping</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1D7756B4" w14:textId="77777777">
                  <w:pPr>
                    <w:jc w:val="center"/>
                    <w:rPr>
                      <w:color w:val="000000"/>
                      <w:sz w:val="20"/>
                    </w:rPr>
                  </w:pPr>
                  <w:r w:rsidRPr="00735E71">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0645F8F5" w14:textId="77777777">
                  <w:pPr>
                    <w:jc w:val="center"/>
                    <w:rPr>
                      <w:sz w:val="20"/>
                    </w:rPr>
                  </w:pPr>
                  <w:r w:rsidRPr="00735E71">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456C8002" w14:textId="77777777">
                  <w:pPr>
                    <w:jc w:val="center"/>
                    <w:rPr>
                      <w:color w:val="000000"/>
                      <w:sz w:val="20"/>
                    </w:rPr>
                  </w:pPr>
                  <w:r w:rsidRPr="00735E71">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735E71" w:rsidRPr="00735E71" w:rsidP="00735E71" w14:paraId="6E779E9F" w14:textId="77777777">
                  <w:pPr>
                    <w:jc w:val="center"/>
                    <w:rPr>
                      <w:sz w:val="20"/>
                    </w:rPr>
                  </w:pPr>
                  <w:r w:rsidRPr="00735E71">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7E0D280D" w14:textId="77777777">
                  <w:pPr>
                    <w:jc w:val="center"/>
                    <w:rPr>
                      <w:color w:val="000000"/>
                      <w:sz w:val="20"/>
                    </w:rPr>
                  </w:pPr>
                  <w:r w:rsidRPr="00735E71">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59C6894F" w14:textId="77777777">
                  <w:pPr>
                    <w:jc w:val="center"/>
                    <w:rPr>
                      <w:color w:val="000000"/>
                      <w:sz w:val="20"/>
                    </w:rPr>
                  </w:pPr>
                  <w:r w:rsidRPr="00735E71">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308E8F04" w14:textId="77777777">
                  <w:pPr>
                    <w:jc w:val="center"/>
                    <w:rPr>
                      <w:color w:val="000000"/>
                      <w:sz w:val="20"/>
                    </w:rPr>
                  </w:pPr>
                  <w:r w:rsidRPr="00735E71">
                    <w:rPr>
                      <w:color w:val="000000"/>
                      <w:sz w:val="20"/>
                    </w:rPr>
                    <w:t>0</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681154D5" w14:textId="77777777">
                  <w:pPr>
                    <w:jc w:val="right"/>
                    <w:rPr>
                      <w:color w:val="000000"/>
                      <w:sz w:val="20"/>
                    </w:rPr>
                  </w:pPr>
                  <w:r w:rsidRPr="00735E71">
                    <w:rPr>
                      <w:color w:val="000000"/>
                      <w:sz w:val="20"/>
                    </w:rPr>
                    <w:t xml:space="preserve">$0 </w:t>
                  </w:r>
                </w:p>
              </w:tc>
            </w:tr>
            <w:tr w14:paraId="3AAE3A45" w14:textId="77777777" w:rsidTr="00735E71">
              <w:tblPrEx>
                <w:tblW w:w="12860" w:type="dxa"/>
                <w:tblLayout w:type="fixed"/>
                <w:tblLook w:val="04A0"/>
              </w:tblPrEx>
              <w:trPr>
                <w:trHeight w:val="345"/>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4EE1DC3C" w14:textId="77777777">
                  <w:pPr>
                    <w:rPr>
                      <w:color w:val="000000"/>
                      <w:sz w:val="20"/>
                    </w:rPr>
                  </w:pPr>
                  <w:r w:rsidRPr="00735E71">
                    <w:rPr>
                      <w:color w:val="000000"/>
                      <w:sz w:val="20"/>
                    </w:rPr>
                    <w:t>F. Time to Train Personnel</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49CAD3D2" w14:textId="77777777">
                  <w:pPr>
                    <w:jc w:val="center"/>
                    <w:rPr>
                      <w:sz w:val="20"/>
                    </w:rPr>
                  </w:pPr>
                  <w:r w:rsidRPr="00735E71">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052CF9F5" w14:textId="77777777">
                  <w:pPr>
                    <w:jc w:val="center"/>
                    <w:rPr>
                      <w:sz w:val="20"/>
                    </w:rPr>
                  </w:pPr>
                  <w:r w:rsidRPr="00735E71">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297DD73D" w14:textId="77777777">
                  <w:pPr>
                    <w:jc w:val="center"/>
                    <w:rPr>
                      <w:color w:val="000000"/>
                      <w:sz w:val="20"/>
                    </w:rPr>
                  </w:pPr>
                  <w:r w:rsidRPr="00735E71">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735E71" w:rsidRPr="00735E71" w:rsidP="00735E71" w14:paraId="5BB71194" w14:textId="77777777">
                  <w:pPr>
                    <w:jc w:val="center"/>
                    <w:rPr>
                      <w:sz w:val="20"/>
                    </w:rPr>
                  </w:pPr>
                  <w:r w:rsidRPr="00735E71">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192A537A" w14:textId="77777777">
                  <w:pPr>
                    <w:jc w:val="center"/>
                    <w:rPr>
                      <w:color w:val="000000"/>
                      <w:sz w:val="20"/>
                    </w:rPr>
                  </w:pPr>
                  <w:r w:rsidRPr="00735E71">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07D13AB4" w14:textId="77777777">
                  <w:pPr>
                    <w:jc w:val="center"/>
                    <w:rPr>
                      <w:color w:val="000000"/>
                      <w:sz w:val="20"/>
                    </w:rPr>
                  </w:pPr>
                  <w:r w:rsidRPr="00735E71">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00C5B488" w14:textId="77777777">
                  <w:pPr>
                    <w:jc w:val="center"/>
                    <w:rPr>
                      <w:color w:val="000000"/>
                      <w:sz w:val="20"/>
                    </w:rPr>
                  </w:pPr>
                  <w:r w:rsidRPr="00735E71">
                    <w:rPr>
                      <w:color w:val="000000"/>
                      <w:sz w:val="20"/>
                    </w:rPr>
                    <w:t>0</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3BAB6E2B" w14:textId="77777777">
                  <w:pPr>
                    <w:jc w:val="right"/>
                    <w:rPr>
                      <w:color w:val="000000"/>
                      <w:sz w:val="20"/>
                    </w:rPr>
                  </w:pPr>
                  <w:r w:rsidRPr="00735E71">
                    <w:rPr>
                      <w:color w:val="000000"/>
                      <w:sz w:val="20"/>
                    </w:rPr>
                    <w:t xml:space="preserve">$0 </w:t>
                  </w:r>
                </w:p>
              </w:tc>
            </w:tr>
            <w:tr w14:paraId="50095A88" w14:textId="77777777" w:rsidTr="00735E71">
              <w:tblPrEx>
                <w:tblW w:w="12860" w:type="dxa"/>
                <w:tblLayout w:type="fixed"/>
                <w:tblLook w:val="04A0"/>
              </w:tblPrEx>
              <w:trPr>
                <w:trHeight w:val="26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48FE356B" w14:textId="77777777">
                  <w:pPr>
                    <w:rPr>
                      <w:color w:val="000000"/>
                      <w:sz w:val="20"/>
                    </w:rPr>
                  </w:pPr>
                  <w:r w:rsidRPr="00735E71">
                    <w:rPr>
                      <w:color w:val="000000"/>
                      <w:sz w:val="20"/>
                    </w:rPr>
                    <w:t xml:space="preserve">G. Time for Audits </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5B54273B" w14:textId="77777777">
                  <w:pPr>
                    <w:jc w:val="center"/>
                    <w:rPr>
                      <w:color w:val="000000"/>
                      <w:sz w:val="20"/>
                    </w:rPr>
                  </w:pPr>
                  <w:r w:rsidRPr="00735E71">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4671E8B6" w14:textId="77777777">
                  <w:pPr>
                    <w:jc w:val="right"/>
                    <w:rPr>
                      <w:sz w:val="20"/>
                    </w:rPr>
                  </w:pPr>
                  <w:r w:rsidRPr="00735E71">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1AF965A3" w14:textId="77777777">
                  <w:pPr>
                    <w:jc w:val="right"/>
                    <w:rPr>
                      <w:color w:val="000000"/>
                      <w:sz w:val="20"/>
                    </w:rPr>
                  </w:pPr>
                  <w:r w:rsidRPr="00735E71">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735E71" w:rsidRPr="00735E71" w:rsidP="00735E71" w14:paraId="6CBCD7AF" w14:textId="77777777">
                  <w:pPr>
                    <w:jc w:val="right"/>
                    <w:rPr>
                      <w:sz w:val="20"/>
                    </w:rPr>
                  </w:pPr>
                  <w:r w:rsidRPr="00735E71">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23AB3AA1" w14:textId="77777777">
                  <w:pPr>
                    <w:jc w:val="right"/>
                    <w:rPr>
                      <w:color w:val="000000"/>
                      <w:sz w:val="20"/>
                    </w:rPr>
                  </w:pPr>
                  <w:r w:rsidRPr="00735E71">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7AF4F53F" w14:textId="77777777">
                  <w:pPr>
                    <w:jc w:val="right"/>
                    <w:rPr>
                      <w:color w:val="000000"/>
                      <w:sz w:val="20"/>
                    </w:rPr>
                  </w:pPr>
                  <w:r w:rsidRPr="00735E71">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22716C06" w14:textId="77777777">
                  <w:pPr>
                    <w:jc w:val="right"/>
                    <w:rPr>
                      <w:color w:val="000000"/>
                      <w:sz w:val="20"/>
                    </w:rPr>
                  </w:pPr>
                  <w:r w:rsidRPr="00735E71">
                    <w:rPr>
                      <w:color w:val="000000"/>
                      <w:sz w:val="20"/>
                    </w:rPr>
                    <w:t> </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7449D8A6" w14:textId="77777777">
                  <w:pPr>
                    <w:jc w:val="right"/>
                    <w:rPr>
                      <w:color w:val="000000"/>
                      <w:sz w:val="20"/>
                    </w:rPr>
                  </w:pPr>
                  <w:r w:rsidRPr="00735E71">
                    <w:rPr>
                      <w:color w:val="000000"/>
                      <w:sz w:val="20"/>
                    </w:rPr>
                    <w:t> </w:t>
                  </w:r>
                </w:p>
              </w:tc>
            </w:tr>
            <w:tr w14:paraId="7B6ED1A4" w14:textId="77777777" w:rsidTr="00735E71">
              <w:tblPrEx>
                <w:tblW w:w="12860" w:type="dxa"/>
                <w:tblLayout w:type="fixed"/>
                <w:tblLook w:val="04A0"/>
              </w:tblPrEx>
              <w:trPr>
                <w:trHeight w:val="54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11E2E18F" w14:textId="77777777">
                  <w:pPr>
                    <w:rPr>
                      <w:b/>
                      <w:bCs/>
                      <w:i/>
                      <w:iCs/>
                      <w:color w:val="000000"/>
                      <w:sz w:val="20"/>
                    </w:rPr>
                  </w:pPr>
                  <w:r w:rsidRPr="00735E71">
                    <w:rPr>
                      <w:b/>
                      <w:bCs/>
                      <w:i/>
                      <w:iCs/>
                      <w:color w:val="000000"/>
                      <w:sz w:val="20"/>
                    </w:rPr>
                    <w:t>Subtotal for Recordkeeping Requirements</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47F3EFBC" w14:textId="77777777">
                  <w:pPr>
                    <w:jc w:val="right"/>
                    <w:rPr>
                      <w:b/>
                      <w:bCs/>
                      <w:i/>
                      <w:iCs/>
                      <w:color w:val="000000"/>
                      <w:sz w:val="20"/>
                    </w:rPr>
                  </w:pPr>
                  <w:r w:rsidRPr="00735E71">
                    <w:rPr>
                      <w:b/>
                      <w:bCs/>
                      <w:i/>
                      <w:i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7440CF64" w14:textId="77777777">
                  <w:pPr>
                    <w:jc w:val="right"/>
                    <w:rPr>
                      <w:b/>
                      <w:bCs/>
                      <w:i/>
                      <w:iCs/>
                      <w:sz w:val="20"/>
                    </w:rPr>
                  </w:pPr>
                  <w:r w:rsidRPr="00735E71">
                    <w:rPr>
                      <w:b/>
                      <w:bCs/>
                      <w:i/>
                      <w:i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75613632" w14:textId="77777777">
                  <w:pPr>
                    <w:jc w:val="right"/>
                    <w:rPr>
                      <w:b/>
                      <w:bCs/>
                      <w:i/>
                      <w:iCs/>
                      <w:color w:val="000000"/>
                      <w:sz w:val="20"/>
                    </w:rPr>
                  </w:pPr>
                  <w:r w:rsidRPr="00735E71">
                    <w:rPr>
                      <w:b/>
                      <w:bCs/>
                      <w:i/>
                      <w:iCs/>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735E71" w:rsidRPr="00735E71" w:rsidP="00735E71" w14:paraId="2D691A92" w14:textId="77777777">
                  <w:pPr>
                    <w:jc w:val="right"/>
                    <w:rPr>
                      <w:b/>
                      <w:bCs/>
                      <w:i/>
                      <w:iCs/>
                      <w:sz w:val="20"/>
                    </w:rPr>
                  </w:pPr>
                  <w:r w:rsidRPr="00735E71">
                    <w:rPr>
                      <w:b/>
                      <w:bCs/>
                      <w:i/>
                      <w:iCs/>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342D1700" w14:textId="77777777">
                  <w:pPr>
                    <w:jc w:val="center"/>
                    <w:rPr>
                      <w:b/>
                      <w:bCs/>
                      <w:i/>
                      <w:iCs/>
                      <w:color w:val="000000"/>
                      <w:sz w:val="20"/>
                    </w:rPr>
                  </w:pPr>
                  <w:r w:rsidRPr="00735E71">
                    <w:rPr>
                      <w:b/>
                      <w:bCs/>
                      <w:i/>
                      <w:iCs/>
                      <w:color w:val="000000"/>
                      <w:sz w:val="20"/>
                    </w:rPr>
                    <w:t>9</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40D82B2C" w14:textId="77777777">
                  <w:pPr>
                    <w:jc w:val="center"/>
                    <w:rPr>
                      <w:b/>
                      <w:bCs/>
                      <w:i/>
                      <w:iCs/>
                      <w:color w:val="000000"/>
                      <w:sz w:val="20"/>
                    </w:rPr>
                  </w:pPr>
                  <w:r w:rsidRPr="00735E71">
                    <w:rPr>
                      <w:b/>
                      <w:bCs/>
                      <w:i/>
                      <w:iCs/>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3FFD1E76" w14:textId="77777777">
                  <w:pPr>
                    <w:jc w:val="center"/>
                    <w:rPr>
                      <w:b/>
                      <w:bCs/>
                      <w:i/>
                      <w:iCs/>
                      <w:color w:val="000000"/>
                      <w:sz w:val="20"/>
                    </w:rPr>
                  </w:pPr>
                  <w:r w:rsidRPr="00735E71">
                    <w:rPr>
                      <w:b/>
                      <w:bCs/>
                      <w:i/>
                      <w:iCs/>
                      <w:color w:val="000000"/>
                      <w:sz w:val="20"/>
                    </w:rPr>
                    <w:t> </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6C8668C9" w14:textId="77777777">
                  <w:pPr>
                    <w:jc w:val="right"/>
                    <w:rPr>
                      <w:b/>
                      <w:bCs/>
                      <w:i/>
                      <w:iCs/>
                      <w:color w:val="000000"/>
                      <w:sz w:val="20"/>
                    </w:rPr>
                  </w:pPr>
                  <w:r w:rsidRPr="00735E71">
                    <w:rPr>
                      <w:b/>
                      <w:bCs/>
                      <w:i/>
                      <w:iCs/>
                      <w:color w:val="000000"/>
                      <w:sz w:val="20"/>
                    </w:rPr>
                    <w:t xml:space="preserve">$1,123 </w:t>
                  </w:r>
                </w:p>
              </w:tc>
            </w:tr>
            <w:tr w14:paraId="49552E93" w14:textId="77777777" w:rsidTr="00735E71">
              <w:tblPrEx>
                <w:tblW w:w="12860" w:type="dxa"/>
                <w:tblLayout w:type="fixed"/>
                <w:tblLook w:val="04A0"/>
              </w:tblPrEx>
              <w:trPr>
                <w:trHeight w:val="56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656D6CB3" w14:textId="77777777">
                  <w:pPr>
                    <w:rPr>
                      <w:b/>
                      <w:bCs/>
                      <w:color w:val="000000"/>
                      <w:sz w:val="20"/>
                    </w:rPr>
                  </w:pPr>
                  <w:r w:rsidRPr="00735E71">
                    <w:rPr>
                      <w:b/>
                      <w:bCs/>
                      <w:color w:val="000000"/>
                      <w:sz w:val="20"/>
                    </w:rPr>
                    <w:t xml:space="preserve">Total Labor Burden and Cost (rounded) </w:t>
                  </w:r>
                  <w:r w:rsidRPr="00735E71">
                    <w:rPr>
                      <w:b/>
                      <w:bCs/>
                      <w:color w:val="000000"/>
                      <w:sz w:val="20"/>
                      <w:vertAlign w:val="superscript"/>
                    </w:rPr>
                    <w:t>e</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31EFED10" w14:textId="77777777">
                  <w:pPr>
                    <w:jc w:val="right"/>
                    <w:rPr>
                      <w:b/>
                      <w:bCs/>
                      <w:color w:val="000000"/>
                      <w:sz w:val="20"/>
                    </w:rPr>
                  </w:pPr>
                  <w:r w:rsidRPr="00735E71">
                    <w:rPr>
                      <w:b/>
                      <w:b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5C665714" w14:textId="77777777">
                  <w:pPr>
                    <w:jc w:val="center"/>
                    <w:rPr>
                      <w:b/>
                      <w:bCs/>
                      <w:sz w:val="20"/>
                    </w:rPr>
                  </w:pPr>
                  <w:r w:rsidRPr="00735E71">
                    <w:rPr>
                      <w:b/>
                      <w:b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5D27730E" w14:textId="77777777">
                  <w:pPr>
                    <w:jc w:val="right"/>
                    <w:rPr>
                      <w:b/>
                      <w:bCs/>
                      <w:color w:val="000000"/>
                      <w:sz w:val="20"/>
                    </w:rPr>
                  </w:pPr>
                  <w:r w:rsidRPr="00735E71">
                    <w:rPr>
                      <w:b/>
                      <w:bCs/>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735E71" w:rsidRPr="00735E71" w:rsidP="00735E71" w14:paraId="4D75C34A" w14:textId="77777777">
                  <w:pPr>
                    <w:jc w:val="right"/>
                    <w:rPr>
                      <w:b/>
                      <w:bCs/>
                      <w:sz w:val="20"/>
                    </w:rPr>
                  </w:pPr>
                  <w:r w:rsidRPr="00735E71">
                    <w:rPr>
                      <w:b/>
                      <w:bCs/>
                      <w:sz w:val="20"/>
                    </w:rPr>
                    <w:t> </w:t>
                  </w:r>
                </w:p>
              </w:tc>
              <w:tc>
                <w:tcPr>
                  <w:tcW w:w="3700" w:type="dxa"/>
                  <w:gridSpan w:val="3"/>
                  <w:tcBorders>
                    <w:top w:val="single" w:sz="4" w:space="0" w:color="auto"/>
                    <w:left w:val="nil"/>
                    <w:bottom w:val="single" w:sz="4" w:space="0" w:color="auto"/>
                    <w:right w:val="single" w:sz="4" w:space="0" w:color="auto"/>
                  </w:tcBorders>
                  <w:shd w:val="clear" w:color="auto" w:fill="auto"/>
                  <w:vAlign w:val="center"/>
                  <w:hideMark/>
                </w:tcPr>
                <w:p w:rsidR="00735E71" w:rsidRPr="00735E71" w:rsidP="00735E71" w14:paraId="39D1DA9B" w14:textId="77777777">
                  <w:pPr>
                    <w:jc w:val="center"/>
                    <w:rPr>
                      <w:b/>
                      <w:bCs/>
                      <w:color w:val="000000"/>
                      <w:sz w:val="20"/>
                    </w:rPr>
                  </w:pPr>
                  <w:r w:rsidRPr="00735E71">
                    <w:rPr>
                      <w:b/>
                      <w:bCs/>
                      <w:color w:val="000000"/>
                      <w:sz w:val="20"/>
                    </w:rPr>
                    <w:t>1,100</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42BC354A" w14:textId="77777777">
                  <w:pPr>
                    <w:jc w:val="right"/>
                    <w:rPr>
                      <w:b/>
                      <w:bCs/>
                      <w:color w:val="000000"/>
                      <w:sz w:val="20"/>
                    </w:rPr>
                  </w:pPr>
                  <w:r w:rsidRPr="00735E71">
                    <w:rPr>
                      <w:b/>
                      <w:bCs/>
                      <w:color w:val="000000"/>
                      <w:sz w:val="20"/>
                    </w:rPr>
                    <w:t xml:space="preserve">$140,000 </w:t>
                  </w:r>
                </w:p>
              </w:tc>
            </w:tr>
            <w:tr w14:paraId="5208DD90" w14:textId="77777777" w:rsidTr="00735E71">
              <w:tblPrEx>
                <w:tblW w:w="12860" w:type="dxa"/>
                <w:tblLayout w:type="fixed"/>
                <w:tblLook w:val="04A0"/>
              </w:tblPrEx>
              <w:trPr>
                <w:trHeight w:val="56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63E89D4F" w14:textId="77777777">
                  <w:pPr>
                    <w:rPr>
                      <w:b/>
                      <w:bCs/>
                      <w:sz w:val="20"/>
                    </w:rPr>
                  </w:pPr>
                  <w:r w:rsidRPr="00735E71">
                    <w:rPr>
                      <w:b/>
                      <w:bCs/>
                      <w:sz w:val="20"/>
                    </w:rPr>
                    <w:t xml:space="preserve">Total Capital and O&amp;M Cost (rounded) </w:t>
                  </w:r>
                  <w:r w:rsidRPr="00735E71">
                    <w:rPr>
                      <w:b/>
                      <w:bCs/>
                      <w:sz w:val="20"/>
                      <w:vertAlign w:val="superscript"/>
                    </w:rPr>
                    <w:t>e</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6DE7CCB8" w14:textId="77777777">
                  <w:pPr>
                    <w:jc w:val="right"/>
                    <w:rPr>
                      <w:color w:val="000000"/>
                      <w:sz w:val="20"/>
                    </w:rPr>
                  </w:pPr>
                  <w:r w:rsidRPr="00735E71">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70A593B2" w14:textId="77777777">
                  <w:pPr>
                    <w:jc w:val="right"/>
                    <w:rPr>
                      <w:sz w:val="20"/>
                    </w:rPr>
                  </w:pPr>
                  <w:r w:rsidRPr="00735E71">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1B200063" w14:textId="77777777">
                  <w:pPr>
                    <w:jc w:val="right"/>
                    <w:rPr>
                      <w:color w:val="000000"/>
                      <w:sz w:val="20"/>
                    </w:rPr>
                  </w:pPr>
                  <w:r w:rsidRPr="00735E71">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735E71" w:rsidRPr="00735E71" w:rsidP="00735E71" w14:paraId="35BB9F05" w14:textId="77777777">
                  <w:pPr>
                    <w:jc w:val="right"/>
                    <w:rPr>
                      <w:sz w:val="20"/>
                    </w:rPr>
                  </w:pPr>
                  <w:r w:rsidRPr="00735E71">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79D06079" w14:textId="77777777">
                  <w:pPr>
                    <w:jc w:val="right"/>
                    <w:rPr>
                      <w:color w:val="000000"/>
                      <w:sz w:val="20"/>
                    </w:rPr>
                  </w:pPr>
                  <w:r w:rsidRPr="00735E71">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4A12041B" w14:textId="77777777">
                  <w:pPr>
                    <w:jc w:val="right"/>
                    <w:rPr>
                      <w:color w:val="000000"/>
                      <w:sz w:val="20"/>
                    </w:rPr>
                  </w:pPr>
                  <w:r w:rsidRPr="00735E71">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30346D48" w14:textId="77777777">
                  <w:pPr>
                    <w:jc w:val="right"/>
                    <w:rPr>
                      <w:color w:val="000000"/>
                      <w:sz w:val="20"/>
                    </w:rPr>
                  </w:pPr>
                  <w:r w:rsidRPr="00735E71">
                    <w:rPr>
                      <w:color w:val="000000"/>
                      <w:sz w:val="20"/>
                    </w:rPr>
                    <w:t> </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66512517" w14:textId="77777777">
                  <w:pPr>
                    <w:jc w:val="right"/>
                    <w:rPr>
                      <w:b/>
                      <w:bCs/>
                      <w:color w:val="000000"/>
                      <w:sz w:val="20"/>
                    </w:rPr>
                  </w:pPr>
                  <w:r w:rsidRPr="00735E71">
                    <w:rPr>
                      <w:b/>
                      <w:bCs/>
                      <w:color w:val="000000"/>
                      <w:sz w:val="20"/>
                    </w:rPr>
                    <w:t> </w:t>
                  </w:r>
                </w:p>
              </w:tc>
            </w:tr>
            <w:tr w14:paraId="08258D00" w14:textId="77777777" w:rsidTr="00735E71">
              <w:tblPrEx>
                <w:tblW w:w="12860" w:type="dxa"/>
                <w:tblLayout w:type="fixed"/>
                <w:tblLook w:val="04A0"/>
              </w:tblPrEx>
              <w:trPr>
                <w:trHeight w:val="30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735E71" w:rsidRPr="00735E71" w:rsidP="00735E71" w14:paraId="3928C0F8" w14:textId="77777777">
                  <w:pPr>
                    <w:rPr>
                      <w:b/>
                      <w:bCs/>
                      <w:sz w:val="20"/>
                    </w:rPr>
                  </w:pPr>
                  <w:r w:rsidRPr="00735E71">
                    <w:rPr>
                      <w:b/>
                      <w:bCs/>
                      <w:sz w:val="20"/>
                    </w:rPr>
                    <w:t xml:space="preserve">Grand TOTAL (rounded) </w:t>
                  </w:r>
                  <w:r w:rsidRPr="00735E71">
                    <w:rPr>
                      <w:b/>
                      <w:bCs/>
                      <w:sz w:val="20"/>
                      <w:vertAlign w:val="superscript"/>
                    </w:rPr>
                    <w:t>e</w:t>
                  </w:r>
                </w:p>
              </w:tc>
              <w:tc>
                <w:tcPr>
                  <w:tcW w:w="1120" w:type="dxa"/>
                  <w:tcBorders>
                    <w:top w:val="nil"/>
                    <w:left w:val="nil"/>
                    <w:bottom w:val="single" w:sz="4" w:space="0" w:color="auto"/>
                    <w:right w:val="single" w:sz="4" w:space="0" w:color="auto"/>
                  </w:tcBorders>
                  <w:shd w:val="clear" w:color="auto" w:fill="auto"/>
                  <w:vAlign w:val="center"/>
                  <w:hideMark/>
                </w:tcPr>
                <w:p w:rsidR="00735E71" w:rsidRPr="00735E71" w:rsidP="00735E71" w14:paraId="6B7FB3E5" w14:textId="77777777">
                  <w:pPr>
                    <w:jc w:val="right"/>
                    <w:rPr>
                      <w:color w:val="000000"/>
                      <w:sz w:val="20"/>
                    </w:rPr>
                  </w:pPr>
                  <w:r w:rsidRPr="00735E71">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735E71" w:rsidRPr="00735E71" w:rsidP="00735E71" w14:paraId="1D25552D" w14:textId="77777777">
                  <w:pPr>
                    <w:jc w:val="right"/>
                    <w:rPr>
                      <w:sz w:val="20"/>
                    </w:rPr>
                  </w:pPr>
                  <w:r w:rsidRPr="00735E71">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735E71" w:rsidRPr="00735E71" w:rsidP="00735E71" w14:paraId="3C4151ED" w14:textId="77777777">
                  <w:pPr>
                    <w:jc w:val="right"/>
                    <w:rPr>
                      <w:color w:val="000000"/>
                      <w:sz w:val="20"/>
                    </w:rPr>
                  </w:pPr>
                  <w:r w:rsidRPr="00735E71">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735E71" w:rsidRPr="00735E71" w:rsidP="00735E71" w14:paraId="30F0BBE1" w14:textId="77777777">
                  <w:pPr>
                    <w:jc w:val="right"/>
                    <w:rPr>
                      <w:sz w:val="20"/>
                    </w:rPr>
                  </w:pPr>
                  <w:r w:rsidRPr="00735E71">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735E71" w:rsidRPr="00735E71" w:rsidP="00735E71" w14:paraId="1E6464DB" w14:textId="77777777">
                  <w:pPr>
                    <w:jc w:val="right"/>
                    <w:rPr>
                      <w:color w:val="000000"/>
                      <w:sz w:val="20"/>
                    </w:rPr>
                  </w:pPr>
                  <w:r w:rsidRPr="00735E71">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735E71" w:rsidRPr="00735E71" w:rsidP="00735E71" w14:paraId="0C7DEF4B" w14:textId="77777777">
                  <w:pPr>
                    <w:jc w:val="right"/>
                    <w:rPr>
                      <w:color w:val="000000"/>
                      <w:sz w:val="20"/>
                    </w:rPr>
                  </w:pPr>
                  <w:r w:rsidRPr="00735E71">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735E71" w:rsidRPr="00735E71" w:rsidP="00735E71" w14:paraId="5651B988" w14:textId="77777777">
                  <w:pPr>
                    <w:jc w:val="right"/>
                    <w:rPr>
                      <w:color w:val="000000"/>
                      <w:sz w:val="20"/>
                    </w:rPr>
                  </w:pPr>
                  <w:r w:rsidRPr="00735E71">
                    <w:rPr>
                      <w:color w:val="000000"/>
                      <w:sz w:val="20"/>
                    </w:rPr>
                    <w:t> </w:t>
                  </w:r>
                </w:p>
              </w:tc>
              <w:tc>
                <w:tcPr>
                  <w:tcW w:w="1540" w:type="dxa"/>
                  <w:tcBorders>
                    <w:top w:val="nil"/>
                    <w:left w:val="nil"/>
                    <w:bottom w:val="single" w:sz="4" w:space="0" w:color="auto"/>
                    <w:right w:val="single" w:sz="4" w:space="0" w:color="auto"/>
                  </w:tcBorders>
                  <w:shd w:val="clear" w:color="auto" w:fill="auto"/>
                  <w:vAlign w:val="center"/>
                  <w:hideMark/>
                </w:tcPr>
                <w:p w:rsidR="00735E71" w:rsidRPr="00735E71" w:rsidP="00735E71" w14:paraId="18477378" w14:textId="77777777">
                  <w:pPr>
                    <w:jc w:val="right"/>
                    <w:rPr>
                      <w:b/>
                      <w:bCs/>
                      <w:color w:val="000000"/>
                      <w:sz w:val="20"/>
                    </w:rPr>
                  </w:pPr>
                  <w:r w:rsidRPr="00735E71">
                    <w:rPr>
                      <w:b/>
                      <w:bCs/>
                      <w:color w:val="000000"/>
                      <w:sz w:val="20"/>
                    </w:rPr>
                    <w:t xml:space="preserve">$100,000 </w:t>
                  </w:r>
                </w:p>
              </w:tc>
            </w:tr>
            <w:tr w14:paraId="1724321B" w14:textId="77777777" w:rsidTr="00735E71">
              <w:tblPrEx>
                <w:tblW w:w="12860" w:type="dxa"/>
                <w:tblLayout w:type="fixed"/>
                <w:tblLook w:val="04A0"/>
              </w:tblPrEx>
              <w:trPr>
                <w:trHeight w:val="90"/>
              </w:trPr>
              <w:tc>
                <w:tcPr>
                  <w:tcW w:w="2600" w:type="dxa"/>
                  <w:tcBorders>
                    <w:top w:val="nil"/>
                    <w:left w:val="nil"/>
                    <w:bottom w:val="nil"/>
                    <w:right w:val="nil"/>
                  </w:tcBorders>
                  <w:shd w:val="clear" w:color="auto" w:fill="auto"/>
                  <w:noWrap/>
                  <w:vAlign w:val="bottom"/>
                  <w:hideMark/>
                </w:tcPr>
                <w:p w:rsidR="00735E71" w:rsidRPr="00735E71" w:rsidP="00735E71" w14:paraId="239EFAA4" w14:textId="77777777">
                  <w:pPr>
                    <w:jc w:val="right"/>
                    <w:rPr>
                      <w:b/>
                      <w:bCs/>
                      <w:color w:val="000000"/>
                      <w:sz w:val="20"/>
                    </w:rPr>
                  </w:pPr>
                </w:p>
              </w:tc>
              <w:tc>
                <w:tcPr>
                  <w:tcW w:w="1120" w:type="dxa"/>
                  <w:tcBorders>
                    <w:top w:val="nil"/>
                    <w:left w:val="nil"/>
                    <w:bottom w:val="nil"/>
                    <w:right w:val="nil"/>
                  </w:tcBorders>
                  <w:shd w:val="clear" w:color="auto" w:fill="auto"/>
                  <w:noWrap/>
                  <w:vAlign w:val="bottom"/>
                  <w:hideMark/>
                </w:tcPr>
                <w:p w:rsidR="00735E71" w:rsidRPr="00735E71" w:rsidP="00735E71" w14:paraId="25021D8D" w14:textId="77777777">
                  <w:pPr>
                    <w:rPr>
                      <w:sz w:val="20"/>
                    </w:rPr>
                  </w:pPr>
                </w:p>
              </w:tc>
              <w:tc>
                <w:tcPr>
                  <w:tcW w:w="1320" w:type="dxa"/>
                  <w:tcBorders>
                    <w:top w:val="nil"/>
                    <w:left w:val="nil"/>
                    <w:bottom w:val="nil"/>
                    <w:right w:val="nil"/>
                  </w:tcBorders>
                  <w:shd w:val="clear" w:color="auto" w:fill="auto"/>
                  <w:noWrap/>
                  <w:vAlign w:val="bottom"/>
                  <w:hideMark/>
                </w:tcPr>
                <w:p w:rsidR="00735E71" w:rsidRPr="00735E71" w:rsidP="00735E71" w14:paraId="5D3477FF" w14:textId="77777777">
                  <w:pPr>
                    <w:rPr>
                      <w:sz w:val="20"/>
                    </w:rPr>
                  </w:pPr>
                </w:p>
              </w:tc>
              <w:tc>
                <w:tcPr>
                  <w:tcW w:w="1240" w:type="dxa"/>
                  <w:tcBorders>
                    <w:top w:val="nil"/>
                    <w:left w:val="nil"/>
                    <w:bottom w:val="nil"/>
                    <w:right w:val="nil"/>
                  </w:tcBorders>
                  <w:shd w:val="clear" w:color="auto" w:fill="auto"/>
                  <w:noWrap/>
                  <w:vAlign w:val="bottom"/>
                  <w:hideMark/>
                </w:tcPr>
                <w:p w:rsidR="00735E71" w:rsidRPr="00735E71" w:rsidP="00735E71" w14:paraId="40EC604E" w14:textId="77777777">
                  <w:pPr>
                    <w:rPr>
                      <w:sz w:val="20"/>
                    </w:rPr>
                  </w:pPr>
                </w:p>
              </w:tc>
              <w:tc>
                <w:tcPr>
                  <w:tcW w:w="1340" w:type="dxa"/>
                  <w:tcBorders>
                    <w:top w:val="nil"/>
                    <w:left w:val="nil"/>
                    <w:bottom w:val="nil"/>
                    <w:right w:val="nil"/>
                  </w:tcBorders>
                  <w:shd w:val="clear" w:color="auto" w:fill="auto"/>
                  <w:noWrap/>
                  <w:vAlign w:val="bottom"/>
                  <w:hideMark/>
                </w:tcPr>
                <w:p w:rsidR="00735E71" w:rsidRPr="00735E71" w:rsidP="00735E71" w14:paraId="4737750A" w14:textId="77777777">
                  <w:pPr>
                    <w:rPr>
                      <w:sz w:val="20"/>
                    </w:rPr>
                  </w:pPr>
                </w:p>
              </w:tc>
              <w:tc>
                <w:tcPr>
                  <w:tcW w:w="1160" w:type="dxa"/>
                  <w:tcBorders>
                    <w:top w:val="nil"/>
                    <w:left w:val="nil"/>
                    <w:bottom w:val="nil"/>
                    <w:right w:val="nil"/>
                  </w:tcBorders>
                  <w:shd w:val="clear" w:color="auto" w:fill="auto"/>
                  <w:noWrap/>
                  <w:vAlign w:val="bottom"/>
                  <w:hideMark/>
                </w:tcPr>
                <w:p w:rsidR="00735E71" w:rsidRPr="00735E71" w:rsidP="00735E71" w14:paraId="3591DF45" w14:textId="77777777">
                  <w:pPr>
                    <w:rPr>
                      <w:sz w:val="20"/>
                    </w:rPr>
                  </w:pPr>
                </w:p>
              </w:tc>
              <w:tc>
                <w:tcPr>
                  <w:tcW w:w="1280" w:type="dxa"/>
                  <w:tcBorders>
                    <w:top w:val="nil"/>
                    <w:left w:val="nil"/>
                    <w:bottom w:val="nil"/>
                    <w:right w:val="nil"/>
                  </w:tcBorders>
                  <w:shd w:val="clear" w:color="auto" w:fill="auto"/>
                  <w:noWrap/>
                  <w:vAlign w:val="bottom"/>
                  <w:hideMark/>
                </w:tcPr>
                <w:p w:rsidR="00735E71" w:rsidRPr="00735E71" w:rsidP="00735E71" w14:paraId="382F1D5A" w14:textId="77777777">
                  <w:pPr>
                    <w:rPr>
                      <w:sz w:val="20"/>
                    </w:rPr>
                  </w:pPr>
                </w:p>
              </w:tc>
              <w:tc>
                <w:tcPr>
                  <w:tcW w:w="1260" w:type="dxa"/>
                  <w:tcBorders>
                    <w:top w:val="nil"/>
                    <w:left w:val="nil"/>
                    <w:bottom w:val="nil"/>
                    <w:right w:val="nil"/>
                  </w:tcBorders>
                  <w:shd w:val="clear" w:color="auto" w:fill="auto"/>
                  <w:noWrap/>
                  <w:vAlign w:val="bottom"/>
                  <w:hideMark/>
                </w:tcPr>
                <w:p w:rsidR="00735E71" w:rsidRPr="00735E71" w:rsidP="00735E71" w14:paraId="0285E3E2" w14:textId="77777777">
                  <w:pPr>
                    <w:rPr>
                      <w:sz w:val="20"/>
                    </w:rPr>
                  </w:pPr>
                </w:p>
              </w:tc>
              <w:tc>
                <w:tcPr>
                  <w:tcW w:w="1540" w:type="dxa"/>
                  <w:tcBorders>
                    <w:top w:val="nil"/>
                    <w:left w:val="nil"/>
                    <w:bottom w:val="nil"/>
                    <w:right w:val="nil"/>
                  </w:tcBorders>
                  <w:shd w:val="clear" w:color="auto" w:fill="auto"/>
                  <w:noWrap/>
                  <w:vAlign w:val="bottom"/>
                  <w:hideMark/>
                </w:tcPr>
                <w:p w:rsidR="00735E71" w:rsidRPr="00735E71" w:rsidP="00735E71" w14:paraId="658414F0" w14:textId="77777777">
                  <w:pPr>
                    <w:rPr>
                      <w:sz w:val="20"/>
                    </w:rPr>
                  </w:pPr>
                </w:p>
              </w:tc>
            </w:tr>
            <w:tr w14:paraId="1E13303F" w14:textId="77777777" w:rsidTr="00735E71">
              <w:tblPrEx>
                <w:tblW w:w="12860" w:type="dxa"/>
                <w:tblLayout w:type="fixed"/>
                <w:tblLook w:val="04A0"/>
              </w:tblPrEx>
              <w:trPr>
                <w:trHeight w:val="313"/>
              </w:trPr>
              <w:tc>
                <w:tcPr>
                  <w:tcW w:w="12860" w:type="dxa"/>
                  <w:gridSpan w:val="9"/>
                  <w:tcBorders>
                    <w:top w:val="nil"/>
                    <w:left w:val="nil"/>
                    <w:bottom w:val="nil"/>
                    <w:right w:val="nil"/>
                  </w:tcBorders>
                  <w:shd w:val="clear" w:color="auto" w:fill="auto"/>
                  <w:vAlign w:val="center"/>
                  <w:hideMark/>
                </w:tcPr>
                <w:p w:rsidR="00735E71" w:rsidRPr="00735E71" w:rsidP="00735E71" w14:paraId="62A2E40A" w14:textId="77777777">
                  <w:pPr>
                    <w:rPr>
                      <w:color w:val="000000"/>
                      <w:sz w:val="20"/>
                    </w:rPr>
                  </w:pPr>
                  <w:r w:rsidRPr="00735E71">
                    <w:rPr>
                      <w:color w:val="000000"/>
                      <w:sz w:val="20"/>
                      <w:vertAlign w:val="superscript"/>
                    </w:rPr>
                    <w:t>a</w:t>
                  </w:r>
                  <w:r w:rsidRPr="00735E71">
                    <w:rPr>
                      <w:color w:val="000000"/>
                      <w:sz w:val="20"/>
                    </w:rPr>
                    <w:t xml:space="preserve">  We have assumed that there are approximately 79 affected kilns and that 10% of the existing units will have new construction/reconstruction.</w:t>
                  </w:r>
                </w:p>
              </w:tc>
            </w:tr>
            <w:tr w14:paraId="55E9E3D5" w14:textId="77777777" w:rsidTr="00735E71">
              <w:tblPrEx>
                <w:tblW w:w="12860" w:type="dxa"/>
                <w:tblLayout w:type="fixed"/>
                <w:tblLook w:val="04A0"/>
              </w:tblPrEx>
              <w:trPr>
                <w:trHeight w:val="1410"/>
              </w:trPr>
              <w:tc>
                <w:tcPr>
                  <w:tcW w:w="12860" w:type="dxa"/>
                  <w:gridSpan w:val="9"/>
                  <w:tcBorders>
                    <w:top w:val="nil"/>
                    <w:left w:val="nil"/>
                    <w:bottom w:val="nil"/>
                    <w:right w:val="nil"/>
                  </w:tcBorders>
                  <w:shd w:val="clear" w:color="auto" w:fill="auto"/>
                  <w:vAlign w:val="bottom"/>
                  <w:hideMark/>
                </w:tcPr>
                <w:p w:rsidR="00735E71" w:rsidRPr="00735E71" w:rsidP="00735E71" w14:paraId="612EA7D8" w14:textId="77777777">
                  <w:pPr>
                    <w:rPr>
                      <w:color w:val="000000"/>
                      <w:sz w:val="20"/>
                    </w:rPr>
                  </w:pPr>
                  <w:r w:rsidRPr="00735E71">
                    <w:rPr>
                      <w:color w:val="000000"/>
                      <w:sz w:val="20"/>
                      <w:vertAlign w:val="superscript"/>
                    </w:rPr>
                    <w:t>b</w:t>
                  </w:r>
                  <w:r w:rsidRPr="00735E71">
                    <w:rPr>
                      <w:color w:val="000000"/>
                      <w:sz w:val="20"/>
                    </w:rPr>
                    <w:t xml:space="preserve">  This ICR uses the following labor rates: $161.62 per hour for Executive, Administrative, and Managerial labor; $127.68 per hour for Technical labor, and $64.22 per hour for Clerical labor.  These rates are from the United States Department of Labor, Bureau of Labor Statistics, June 2022, “Table 2. Civilian Workers, by Occupational and Industry group.”  The rates are from column 1, “Total Compensation.”  The rates have been increased by 110 percent to account for the benefit packages available to those employed by private industry.  Archived report releases can be accessed from https://www.bls.gov/bls/news-release/ecec.htm#2021;  from homepage, select Economic Releases, Archived News Releases, Employer Costs for Employee Compensation, Select a past year, Select a published report.</w:t>
                  </w:r>
                </w:p>
              </w:tc>
            </w:tr>
            <w:tr w14:paraId="1E273E23" w14:textId="77777777" w:rsidTr="00735E71">
              <w:tblPrEx>
                <w:tblW w:w="12860" w:type="dxa"/>
                <w:tblLayout w:type="fixed"/>
                <w:tblLook w:val="04A0"/>
              </w:tblPrEx>
              <w:trPr>
                <w:trHeight w:val="375"/>
              </w:trPr>
              <w:tc>
                <w:tcPr>
                  <w:tcW w:w="12860" w:type="dxa"/>
                  <w:gridSpan w:val="9"/>
                  <w:tcBorders>
                    <w:top w:val="nil"/>
                    <w:left w:val="nil"/>
                    <w:bottom w:val="nil"/>
                    <w:right w:val="nil"/>
                  </w:tcBorders>
                  <w:shd w:val="clear" w:color="auto" w:fill="auto"/>
                  <w:vAlign w:val="center"/>
                  <w:hideMark/>
                </w:tcPr>
                <w:p w:rsidR="00735E71" w:rsidRPr="00735E71" w:rsidP="00735E71" w14:paraId="08D63E78" w14:textId="77777777">
                  <w:pPr>
                    <w:rPr>
                      <w:color w:val="000000"/>
                      <w:sz w:val="20"/>
                    </w:rPr>
                  </w:pPr>
                  <w:r w:rsidRPr="00735E71">
                    <w:rPr>
                      <w:color w:val="000000"/>
                      <w:sz w:val="20"/>
                      <w:vertAlign w:val="superscript"/>
                    </w:rPr>
                    <w:t>c</w:t>
                  </w:r>
                  <w:r w:rsidRPr="00735E71">
                    <w:rPr>
                      <w:color w:val="000000"/>
                      <w:sz w:val="20"/>
                    </w:rPr>
                    <w:t xml:space="preserve">  New kilns test for NOx. We have assumed that 5 percent of respondents would repeat initial performance test due to failure.</w:t>
                  </w:r>
                </w:p>
              </w:tc>
            </w:tr>
            <w:tr w14:paraId="06818EC8" w14:textId="77777777" w:rsidTr="00735E71">
              <w:tblPrEx>
                <w:tblW w:w="12860" w:type="dxa"/>
                <w:tblLayout w:type="fixed"/>
                <w:tblLook w:val="04A0"/>
              </w:tblPrEx>
              <w:trPr>
                <w:trHeight w:val="310"/>
              </w:trPr>
              <w:tc>
                <w:tcPr>
                  <w:tcW w:w="12860" w:type="dxa"/>
                  <w:gridSpan w:val="9"/>
                  <w:tcBorders>
                    <w:top w:val="nil"/>
                    <w:left w:val="nil"/>
                    <w:bottom w:val="nil"/>
                    <w:right w:val="nil"/>
                  </w:tcBorders>
                  <w:shd w:val="clear" w:color="auto" w:fill="auto"/>
                  <w:vAlign w:val="center"/>
                  <w:hideMark/>
                </w:tcPr>
                <w:p w:rsidR="00735E71" w:rsidRPr="00735E71" w:rsidP="00735E71" w14:paraId="62879590" w14:textId="77777777">
                  <w:pPr>
                    <w:rPr>
                      <w:sz w:val="20"/>
                    </w:rPr>
                  </w:pPr>
                  <w:r w:rsidRPr="00735E71">
                    <w:rPr>
                      <w:sz w:val="20"/>
                      <w:vertAlign w:val="superscript"/>
                    </w:rPr>
                    <w:t>d</w:t>
                  </w:r>
                  <w:r w:rsidRPr="00735E71">
                    <w:rPr>
                      <w:sz w:val="20"/>
                    </w:rPr>
                    <w:t xml:space="preserve">  The rule requires existing kilns re-test annually for NOx. </w:t>
                  </w:r>
                </w:p>
              </w:tc>
            </w:tr>
            <w:tr w14:paraId="01F6AC0C" w14:textId="77777777" w:rsidTr="00735E71">
              <w:tblPrEx>
                <w:tblW w:w="12860" w:type="dxa"/>
                <w:tblLayout w:type="fixed"/>
                <w:tblLook w:val="04A0"/>
              </w:tblPrEx>
              <w:trPr>
                <w:trHeight w:val="433"/>
              </w:trPr>
              <w:tc>
                <w:tcPr>
                  <w:tcW w:w="12860" w:type="dxa"/>
                  <w:gridSpan w:val="9"/>
                  <w:tcBorders>
                    <w:top w:val="nil"/>
                    <w:left w:val="nil"/>
                    <w:bottom w:val="nil"/>
                    <w:right w:val="nil"/>
                  </w:tcBorders>
                  <w:shd w:val="clear" w:color="auto" w:fill="auto"/>
                  <w:hideMark/>
                </w:tcPr>
                <w:p w:rsidR="00735E71" w:rsidRPr="00735E71" w:rsidP="00735E71" w14:paraId="334F3D7D" w14:textId="77777777">
                  <w:pPr>
                    <w:rPr>
                      <w:color w:val="000000"/>
                      <w:sz w:val="20"/>
                    </w:rPr>
                  </w:pPr>
                  <w:r w:rsidRPr="00735E71">
                    <w:rPr>
                      <w:color w:val="000000"/>
                      <w:sz w:val="20"/>
                      <w:vertAlign w:val="superscript"/>
                    </w:rPr>
                    <w:t>e</w:t>
                  </w:r>
                  <w:r w:rsidRPr="00735E71">
                    <w:rPr>
                      <w:color w:val="000000"/>
                      <w:sz w:val="20"/>
                    </w:rPr>
                    <w:t xml:space="preserve">  Totals have been rounded to 3 significant figures.  Figures may not add exactly due to rounding.</w:t>
                  </w:r>
                </w:p>
              </w:tc>
            </w:tr>
          </w:tbl>
          <w:p w:rsidR="005239C3" w:rsidRPr="005C2AC7" w:rsidP="00D2255A" w14:paraId="248C78D8" w14:textId="77777777">
            <w:pPr>
              <w:rPr>
                <w:b/>
                <w:bCs/>
                <w:szCs w:val="24"/>
              </w:rPr>
            </w:pPr>
          </w:p>
          <w:p w:rsidR="00036248" w:rsidP="00036248" w14:paraId="1A2B09CE" w14:textId="4CA0E766">
            <w:pPr>
              <w:ind w:firstLine="153"/>
              <w:rPr>
                <w:b/>
                <w:bCs/>
                <w:szCs w:val="24"/>
              </w:rPr>
            </w:pPr>
            <w:r w:rsidRPr="00D17F6A">
              <w:rPr>
                <w:b/>
                <w:bCs/>
                <w:szCs w:val="24"/>
              </w:rPr>
              <w:t xml:space="preserve">Table </w:t>
            </w:r>
            <w:r>
              <w:rPr>
                <w:b/>
                <w:bCs/>
                <w:szCs w:val="24"/>
              </w:rPr>
              <w:t>5</w:t>
            </w:r>
            <w:r w:rsidRPr="00D17F6A">
              <w:rPr>
                <w:b/>
                <w:bCs/>
                <w:szCs w:val="24"/>
              </w:rPr>
              <w:t xml:space="preserve">: </w:t>
            </w:r>
            <w:r>
              <w:rPr>
                <w:b/>
                <w:bCs/>
                <w:szCs w:val="24"/>
              </w:rPr>
              <w:t xml:space="preserve">Annual </w:t>
            </w:r>
            <w:r w:rsidRPr="00D17F6A">
              <w:rPr>
                <w:b/>
                <w:bCs/>
                <w:szCs w:val="24"/>
              </w:rPr>
              <w:t xml:space="preserve">Respondent Burden and Cost – </w:t>
            </w:r>
            <w:r>
              <w:rPr>
                <w:b/>
                <w:bCs/>
                <w:szCs w:val="24"/>
              </w:rPr>
              <w:t>Cement and Concrete Manufacturing, Year 2</w:t>
            </w:r>
          </w:p>
          <w:p w:rsidR="002F1697" w:rsidP="00036248" w14:paraId="53DA0247" w14:textId="77777777">
            <w:pPr>
              <w:ind w:firstLine="153"/>
              <w:rPr>
                <w:b/>
                <w:bCs/>
                <w:szCs w:val="24"/>
              </w:rPr>
            </w:pPr>
          </w:p>
          <w:tbl>
            <w:tblPr>
              <w:tblW w:w="12460" w:type="dxa"/>
              <w:tblLayout w:type="fixed"/>
              <w:tblLook w:val="04A0"/>
            </w:tblPr>
            <w:tblGrid>
              <w:gridCol w:w="2620"/>
              <w:gridCol w:w="1120"/>
              <w:gridCol w:w="1320"/>
              <w:gridCol w:w="1240"/>
              <w:gridCol w:w="1340"/>
              <w:gridCol w:w="1160"/>
              <w:gridCol w:w="1280"/>
              <w:gridCol w:w="1260"/>
              <w:gridCol w:w="1120"/>
            </w:tblGrid>
            <w:tr w14:paraId="6CAFC0AF" w14:textId="77777777" w:rsidTr="002F1697">
              <w:tblPrEx>
                <w:tblW w:w="12460" w:type="dxa"/>
                <w:tblLayout w:type="fixed"/>
                <w:tblLook w:val="04A0"/>
              </w:tblPrEx>
              <w:trPr>
                <w:trHeight w:val="1300"/>
              </w:trPr>
              <w:tc>
                <w:tcPr>
                  <w:tcW w:w="2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1697" w:rsidRPr="002F1697" w:rsidP="002F1697" w14:paraId="4D7C39F9" w14:textId="77777777">
                  <w:pPr>
                    <w:jc w:val="center"/>
                    <w:rPr>
                      <w:b/>
                      <w:bCs/>
                      <w:color w:val="000000"/>
                      <w:sz w:val="20"/>
                    </w:rPr>
                  </w:pPr>
                  <w:r w:rsidRPr="002F1697">
                    <w:rPr>
                      <w:b/>
                      <w:bCs/>
                      <w:color w:val="000000"/>
                      <w:sz w:val="20"/>
                    </w:rPr>
                    <w:t>Burden Item</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2F1697" w:rsidRPr="002F1697" w:rsidP="002F1697" w14:paraId="31C8F6E6" w14:textId="77777777">
                  <w:pPr>
                    <w:jc w:val="center"/>
                    <w:rPr>
                      <w:color w:val="000000"/>
                      <w:sz w:val="20"/>
                    </w:rPr>
                  </w:pPr>
                  <w:r w:rsidRPr="002F1697">
                    <w:rPr>
                      <w:color w:val="000000"/>
                      <w:sz w:val="20"/>
                    </w:rPr>
                    <w:t>(A)</w:t>
                  </w:r>
                  <w:r w:rsidRPr="002F1697">
                    <w:rPr>
                      <w:color w:val="000000"/>
                      <w:sz w:val="20"/>
                    </w:rPr>
                    <w:br/>
                  </w:r>
                  <w:r w:rsidRPr="002F1697">
                    <w:rPr>
                      <w:color w:val="000000"/>
                      <w:sz w:val="20"/>
                    </w:rPr>
                    <w:t>Hours per Occurrence</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2F1697" w:rsidRPr="002F1697" w:rsidP="002F1697" w14:paraId="05B4AF8C" w14:textId="77777777">
                  <w:pPr>
                    <w:jc w:val="center"/>
                    <w:rPr>
                      <w:sz w:val="20"/>
                    </w:rPr>
                  </w:pPr>
                  <w:r w:rsidRPr="002F1697">
                    <w:rPr>
                      <w:sz w:val="20"/>
                    </w:rPr>
                    <w:t>(B)</w:t>
                  </w:r>
                  <w:r w:rsidRPr="002F1697">
                    <w:rPr>
                      <w:sz w:val="20"/>
                    </w:rPr>
                    <w:br/>
                  </w:r>
                  <w:r w:rsidRPr="002F1697">
                    <w:rPr>
                      <w:sz w:val="20"/>
                    </w:rPr>
                    <w:t>Occurrences/ Respondent/ Year</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2F1697" w:rsidRPr="002F1697" w:rsidP="002F1697" w14:paraId="7FBF471A" w14:textId="77777777">
                  <w:pPr>
                    <w:jc w:val="center"/>
                    <w:rPr>
                      <w:color w:val="000000"/>
                      <w:sz w:val="20"/>
                    </w:rPr>
                  </w:pPr>
                  <w:r w:rsidRPr="002F1697">
                    <w:rPr>
                      <w:color w:val="000000"/>
                      <w:sz w:val="20"/>
                    </w:rPr>
                    <w:t>(C)</w:t>
                  </w:r>
                  <w:r w:rsidRPr="002F1697">
                    <w:rPr>
                      <w:color w:val="000000"/>
                      <w:sz w:val="20"/>
                    </w:rPr>
                    <w:br/>
                  </w:r>
                  <w:r w:rsidRPr="002F1697">
                    <w:rPr>
                      <w:color w:val="000000"/>
                      <w:sz w:val="20"/>
                    </w:rPr>
                    <w:t xml:space="preserve">Hours/ Respondent/ Year </w:t>
                  </w:r>
                  <w:r w:rsidRPr="002F1697">
                    <w:rPr>
                      <w:color w:val="000000"/>
                      <w:sz w:val="20"/>
                    </w:rPr>
                    <w:br/>
                  </w:r>
                  <w:r w:rsidRPr="002F1697">
                    <w:rPr>
                      <w:color w:val="000000"/>
                      <w:sz w:val="20"/>
                    </w:rPr>
                    <w:t>(A x B)</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2F1697" w:rsidRPr="002F1697" w:rsidP="002F1697" w14:paraId="6817A7F4" w14:textId="77777777">
                  <w:pPr>
                    <w:jc w:val="center"/>
                    <w:rPr>
                      <w:sz w:val="20"/>
                    </w:rPr>
                  </w:pPr>
                  <w:r w:rsidRPr="002F1697">
                    <w:rPr>
                      <w:sz w:val="20"/>
                    </w:rPr>
                    <w:t>(D)</w:t>
                  </w:r>
                  <w:r w:rsidRPr="002F1697">
                    <w:rPr>
                      <w:sz w:val="20"/>
                    </w:rPr>
                    <w:br/>
                  </w:r>
                  <w:r w:rsidRPr="002F1697">
                    <w:rPr>
                      <w:sz w:val="20"/>
                    </w:rPr>
                    <w:t>Respondents/</w:t>
                  </w:r>
                  <w:r w:rsidRPr="002F1697">
                    <w:rPr>
                      <w:sz w:val="20"/>
                    </w:rPr>
                    <w:br/>
                  </w:r>
                  <w:r w:rsidRPr="002F1697">
                    <w:rPr>
                      <w:sz w:val="20"/>
                    </w:rPr>
                    <w:t>Year</w:t>
                  </w:r>
                  <w:r w:rsidRPr="002F1697">
                    <w:rPr>
                      <w:sz w:val="20"/>
                      <w:vertAlign w:val="superscript"/>
                    </w:rPr>
                    <w:t>a</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2F1697" w:rsidRPr="002F1697" w:rsidP="002F1697" w14:paraId="6E93310D" w14:textId="77777777">
                  <w:pPr>
                    <w:jc w:val="center"/>
                    <w:rPr>
                      <w:color w:val="000000"/>
                      <w:sz w:val="20"/>
                    </w:rPr>
                  </w:pPr>
                  <w:r w:rsidRPr="002F1697">
                    <w:rPr>
                      <w:color w:val="000000"/>
                      <w:sz w:val="20"/>
                    </w:rPr>
                    <w:t>(E)</w:t>
                  </w:r>
                  <w:r w:rsidRPr="002F1697">
                    <w:rPr>
                      <w:color w:val="000000"/>
                      <w:sz w:val="20"/>
                    </w:rPr>
                    <w:br/>
                  </w:r>
                  <w:r w:rsidRPr="002F1697">
                    <w:rPr>
                      <w:color w:val="000000"/>
                      <w:sz w:val="20"/>
                    </w:rPr>
                    <w:t xml:space="preserve">Technical Hours/Year </w:t>
                  </w:r>
                  <w:r w:rsidRPr="002F1697">
                    <w:rPr>
                      <w:color w:val="000000"/>
                      <w:sz w:val="20"/>
                    </w:rPr>
                    <w:br/>
                  </w:r>
                  <w:r w:rsidRPr="002F1697">
                    <w:rPr>
                      <w:color w:val="000000"/>
                      <w:sz w:val="20"/>
                    </w:rPr>
                    <w:t>(C x D)</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2F1697" w:rsidRPr="002F1697" w:rsidP="002F1697" w14:paraId="1FCDB1C4" w14:textId="77777777">
                  <w:pPr>
                    <w:jc w:val="center"/>
                    <w:rPr>
                      <w:color w:val="000000"/>
                      <w:sz w:val="20"/>
                    </w:rPr>
                  </w:pPr>
                  <w:r w:rsidRPr="002F1697">
                    <w:rPr>
                      <w:color w:val="000000"/>
                      <w:sz w:val="20"/>
                    </w:rPr>
                    <w:t xml:space="preserve">(F) Managerial Hours/Year </w:t>
                  </w:r>
                  <w:r w:rsidRPr="002F1697">
                    <w:rPr>
                      <w:color w:val="000000"/>
                      <w:sz w:val="20"/>
                    </w:rPr>
                    <w:br/>
                  </w:r>
                  <w:r w:rsidRPr="002F1697">
                    <w:rPr>
                      <w:color w:val="000000"/>
                      <w:sz w:val="20"/>
                    </w:rPr>
                    <w:t>(E x 0.05)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2F1697" w:rsidRPr="002F1697" w:rsidP="002F1697" w14:paraId="3129715D" w14:textId="77777777">
                  <w:pPr>
                    <w:jc w:val="center"/>
                    <w:rPr>
                      <w:color w:val="000000"/>
                      <w:sz w:val="20"/>
                    </w:rPr>
                  </w:pPr>
                  <w:r w:rsidRPr="002F1697">
                    <w:rPr>
                      <w:color w:val="000000"/>
                      <w:sz w:val="20"/>
                    </w:rPr>
                    <w:t xml:space="preserve">(G) </w:t>
                  </w:r>
                  <w:r w:rsidRPr="002F1697">
                    <w:rPr>
                      <w:color w:val="000000"/>
                      <w:sz w:val="20"/>
                    </w:rPr>
                    <w:br/>
                  </w:r>
                  <w:r w:rsidRPr="002F1697">
                    <w:rPr>
                      <w:color w:val="000000"/>
                      <w:sz w:val="20"/>
                    </w:rPr>
                    <w:t xml:space="preserve">Clerical Hours/Year </w:t>
                  </w:r>
                  <w:r w:rsidRPr="002F1697">
                    <w:rPr>
                      <w:color w:val="000000"/>
                      <w:sz w:val="20"/>
                    </w:rPr>
                    <w:br/>
                  </w:r>
                  <w:r w:rsidRPr="002F1697">
                    <w:rPr>
                      <w:color w:val="000000"/>
                      <w:sz w:val="20"/>
                    </w:rPr>
                    <w:t>(E x 0.10)</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2F1697" w:rsidRPr="002F1697" w:rsidP="002F1697" w14:paraId="1DEEC95D" w14:textId="77777777">
                  <w:pPr>
                    <w:jc w:val="center"/>
                    <w:rPr>
                      <w:color w:val="000000"/>
                      <w:sz w:val="20"/>
                    </w:rPr>
                  </w:pPr>
                  <w:r w:rsidRPr="002F1697">
                    <w:rPr>
                      <w:color w:val="000000"/>
                      <w:sz w:val="20"/>
                    </w:rPr>
                    <w:t>(H)</w:t>
                  </w:r>
                  <w:r w:rsidRPr="002F1697">
                    <w:rPr>
                      <w:color w:val="000000"/>
                      <w:sz w:val="20"/>
                    </w:rPr>
                    <w:br/>
                  </w:r>
                  <w:r w:rsidRPr="002F1697">
                    <w:rPr>
                      <w:color w:val="000000"/>
                      <w:sz w:val="20"/>
                    </w:rPr>
                    <w:t>Cost/ Year</w:t>
                  </w:r>
                  <w:r w:rsidRPr="002F1697">
                    <w:rPr>
                      <w:color w:val="000000"/>
                      <w:sz w:val="20"/>
                      <w:vertAlign w:val="superscript"/>
                    </w:rPr>
                    <w:t>b</w:t>
                  </w:r>
                </w:p>
              </w:tc>
            </w:tr>
            <w:tr w14:paraId="65951F30" w14:textId="77777777" w:rsidTr="002F1697">
              <w:tblPrEx>
                <w:tblW w:w="12460" w:type="dxa"/>
                <w:tblLayout w:type="fixed"/>
                <w:tblLook w:val="04A0"/>
              </w:tblPrEx>
              <w:trPr>
                <w:trHeight w:val="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2D7FF9DA" w14:textId="77777777">
                  <w:pPr>
                    <w:rPr>
                      <w:color w:val="000000"/>
                      <w:sz w:val="20"/>
                    </w:rPr>
                  </w:pPr>
                  <w:r w:rsidRPr="002F1697">
                    <w:rPr>
                      <w:color w:val="000000"/>
                      <w:sz w:val="20"/>
                    </w:rPr>
                    <w:t xml:space="preserve">1. APPLICATIONS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21A0F8D6" w14:textId="77777777">
                  <w:pPr>
                    <w:jc w:val="center"/>
                    <w:rPr>
                      <w:color w:val="000000"/>
                      <w:sz w:val="20"/>
                    </w:rPr>
                  </w:pPr>
                  <w:r w:rsidRPr="002F1697">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3776FF03"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6B21E4B0"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0E4F2289" w14:textId="77777777">
                  <w:pPr>
                    <w:jc w:val="right"/>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0CEC9925" w14:textId="77777777">
                  <w:pPr>
                    <w:jc w:val="right"/>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6BBBDCD5" w14:textId="77777777">
                  <w:pPr>
                    <w:jc w:val="right"/>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2113C0A8" w14:textId="77777777">
                  <w:pPr>
                    <w:jc w:val="right"/>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DD2A874" w14:textId="77777777">
                  <w:pPr>
                    <w:jc w:val="right"/>
                    <w:rPr>
                      <w:color w:val="000000"/>
                      <w:sz w:val="20"/>
                    </w:rPr>
                  </w:pPr>
                  <w:r w:rsidRPr="002F1697">
                    <w:rPr>
                      <w:color w:val="000000"/>
                      <w:sz w:val="20"/>
                    </w:rPr>
                    <w:t> </w:t>
                  </w:r>
                </w:p>
              </w:tc>
            </w:tr>
            <w:tr w14:paraId="57936F15" w14:textId="77777777" w:rsidTr="002F1697">
              <w:tblPrEx>
                <w:tblW w:w="12460" w:type="dxa"/>
                <w:tblLayout w:type="fixed"/>
                <w:tblLook w:val="04A0"/>
              </w:tblPrEx>
              <w:trPr>
                <w:trHeight w:val="7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24DA655B" w14:textId="77777777">
                  <w:pPr>
                    <w:rPr>
                      <w:color w:val="000000"/>
                      <w:sz w:val="20"/>
                    </w:rPr>
                  </w:pPr>
                  <w:r w:rsidRPr="002F1697">
                    <w:rPr>
                      <w:color w:val="000000"/>
                      <w:sz w:val="20"/>
                    </w:rPr>
                    <w:t xml:space="preserve">2. SURVEY AND STUDIES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696F23A1" w14:textId="77777777">
                  <w:pPr>
                    <w:jc w:val="center"/>
                    <w:rPr>
                      <w:color w:val="000000"/>
                      <w:sz w:val="20"/>
                    </w:rPr>
                  </w:pPr>
                  <w:r w:rsidRPr="002F1697">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67B6D3F1"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6BEDB970"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19EFE551" w14:textId="77777777">
                  <w:pPr>
                    <w:jc w:val="right"/>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233D0FFF" w14:textId="77777777">
                  <w:pPr>
                    <w:jc w:val="right"/>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789B6C9F" w14:textId="77777777">
                  <w:pPr>
                    <w:jc w:val="right"/>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7DA2F86F" w14:textId="77777777">
                  <w:pPr>
                    <w:jc w:val="right"/>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7021B115" w14:textId="77777777">
                  <w:pPr>
                    <w:jc w:val="right"/>
                    <w:rPr>
                      <w:color w:val="000000"/>
                      <w:sz w:val="20"/>
                    </w:rPr>
                  </w:pPr>
                  <w:r w:rsidRPr="002F1697">
                    <w:rPr>
                      <w:color w:val="000000"/>
                      <w:sz w:val="20"/>
                    </w:rPr>
                    <w:t> </w:t>
                  </w:r>
                </w:p>
              </w:tc>
            </w:tr>
            <w:tr w14:paraId="2B69FD5F" w14:textId="77777777" w:rsidTr="002F1697">
              <w:tblPrEx>
                <w:tblW w:w="12460" w:type="dxa"/>
                <w:tblLayout w:type="fixed"/>
                <w:tblLook w:val="04A0"/>
              </w:tblPrEx>
              <w:trPr>
                <w:trHeight w:val="1123"/>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4E196D97" w14:textId="77777777">
                  <w:pPr>
                    <w:rPr>
                      <w:color w:val="000000"/>
                      <w:sz w:val="20"/>
                    </w:rPr>
                  </w:pPr>
                  <w:r w:rsidRPr="002F1697">
                    <w:rPr>
                      <w:color w:val="000000"/>
                      <w:sz w:val="20"/>
                    </w:rPr>
                    <w:t>3.ACQUISITION, INSTALLATION, AND UTILIZATION OF TECHNOLOGY AND SYSTEMS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408E2873"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28B2A184"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67EB0158"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3D9F763E"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29880A3B"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62FD4DE0"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2AA17F6A"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10A1D4B6" w14:textId="77777777">
                  <w:pPr>
                    <w:jc w:val="right"/>
                    <w:rPr>
                      <w:color w:val="000000"/>
                      <w:sz w:val="20"/>
                    </w:rPr>
                  </w:pPr>
                  <w:r w:rsidRPr="002F1697">
                    <w:rPr>
                      <w:color w:val="000000"/>
                      <w:sz w:val="20"/>
                    </w:rPr>
                    <w:t xml:space="preserve">$0 </w:t>
                  </w:r>
                </w:p>
              </w:tc>
            </w:tr>
            <w:tr w14:paraId="501BA85D" w14:textId="77777777" w:rsidTr="002F1697">
              <w:tblPrEx>
                <w:tblW w:w="12460" w:type="dxa"/>
                <w:tblLayout w:type="fixed"/>
                <w:tblLook w:val="04A0"/>
              </w:tblPrEx>
              <w:trPr>
                <w:trHeight w:val="5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1C29E248" w14:textId="77777777">
                  <w:pPr>
                    <w:rPr>
                      <w:color w:val="000000"/>
                      <w:sz w:val="20"/>
                    </w:rPr>
                  </w:pPr>
                  <w:r w:rsidRPr="002F1697">
                    <w:rPr>
                      <w:color w:val="000000"/>
                      <w:sz w:val="20"/>
                    </w:rPr>
                    <w:t>4. REPORT REQUIREMENTS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DDAA38D"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17C0FEF7" w14:textId="77777777">
                  <w:pPr>
                    <w:jc w:val="center"/>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6201F9AF" w14:textId="77777777">
                  <w:pPr>
                    <w:jc w:val="center"/>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00D49202" w14:textId="77777777">
                  <w:pPr>
                    <w:jc w:val="center"/>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75F20B9F" w14:textId="77777777">
                  <w:pPr>
                    <w:jc w:val="center"/>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61B4DC1B" w14:textId="77777777">
                  <w:pPr>
                    <w:jc w:val="center"/>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726CDB3C" w14:textId="77777777">
                  <w:pPr>
                    <w:jc w:val="center"/>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55238E6C" w14:textId="77777777">
                  <w:pPr>
                    <w:jc w:val="right"/>
                    <w:rPr>
                      <w:color w:val="000000"/>
                      <w:sz w:val="20"/>
                    </w:rPr>
                  </w:pPr>
                  <w:r w:rsidRPr="002F1697">
                    <w:rPr>
                      <w:color w:val="000000"/>
                      <w:sz w:val="20"/>
                    </w:rPr>
                    <w:t> </w:t>
                  </w:r>
                </w:p>
              </w:tc>
            </w:tr>
            <w:tr w14:paraId="751DAF63" w14:textId="77777777" w:rsidTr="002F1697">
              <w:tblPrEx>
                <w:tblW w:w="12460" w:type="dxa"/>
                <w:tblLayout w:type="fixed"/>
                <w:tblLook w:val="04A0"/>
              </w:tblPrEx>
              <w:trPr>
                <w:trHeight w:val="5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5016DD8A" w14:textId="77777777">
                  <w:pPr>
                    <w:rPr>
                      <w:color w:val="000000"/>
                      <w:sz w:val="20"/>
                    </w:rPr>
                  </w:pPr>
                  <w:r w:rsidRPr="002F1697">
                    <w:rPr>
                      <w:color w:val="000000"/>
                      <w:sz w:val="20"/>
                    </w:rPr>
                    <w:t>A. Familiarize with regulatory requirement</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183DC43D"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149E081E"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0DAA23F8"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533295FE"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56B11441"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6262D96D"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053C264F"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6F9653E7" w14:textId="77777777">
                  <w:pPr>
                    <w:jc w:val="right"/>
                    <w:rPr>
                      <w:color w:val="000000"/>
                      <w:sz w:val="20"/>
                    </w:rPr>
                  </w:pPr>
                  <w:r w:rsidRPr="002F1697">
                    <w:rPr>
                      <w:color w:val="000000"/>
                      <w:sz w:val="20"/>
                    </w:rPr>
                    <w:t xml:space="preserve">$0.00 </w:t>
                  </w:r>
                </w:p>
              </w:tc>
            </w:tr>
            <w:tr w14:paraId="280CF6E4" w14:textId="77777777" w:rsidTr="002F1697">
              <w:tblPrEx>
                <w:tblW w:w="12460" w:type="dxa"/>
                <w:tblLayout w:type="fixed"/>
                <w:tblLook w:val="04A0"/>
              </w:tblPrEx>
              <w:trPr>
                <w:trHeight w:val="493"/>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0EDE6D84" w14:textId="77777777">
                  <w:pPr>
                    <w:rPr>
                      <w:color w:val="000000"/>
                      <w:sz w:val="20"/>
                    </w:rPr>
                  </w:pPr>
                  <w:r w:rsidRPr="002F1697">
                    <w:rPr>
                      <w:color w:val="000000"/>
                      <w:sz w:val="20"/>
                    </w:rPr>
                    <w:t>Initial Notification Form of Applicability</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61C20DF"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0025BC2B"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42B07717"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06D5936A"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4A84F424"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6996F07A"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5E946BA2"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7EF21498" w14:textId="77777777">
                  <w:pPr>
                    <w:jc w:val="right"/>
                    <w:rPr>
                      <w:color w:val="000000"/>
                      <w:sz w:val="20"/>
                    </w:rPr>
                  </w:pPr>
                  <w:r w:rsidRPr="002F1697">
                    <w:rPr>
                      <w:color w:val="000000"/>
                      <w:sz w:val="20"/>
                    </w:rPr>
                    <w:t xml:space="preserve">$0.00 </w:t>
                  </w:r>
                </w:p>
              </w:tc>
            </w:tr>
            <w:tr w14:paraId="56DB06ED" w14:textId="77777777" w:rsidTr="002F1697">
              <w:tblPrEx>
                <w:tblW w:w="12460" w:type="dxa"/>
                <w:tblLayout w:type="fixed"/>
                <w:tblLook w:val="04A0"/>
              </w:tblPrEx>
              <w:trPr>
                <w:trHeight w:val="315"/>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1468636B" w14:textId="77777777">
                  <w:pPr>
                    <w:rPr>
                      <w:color w:val="000000"/>
                      <w:sz w:val="20"/>
                    </w:rPr>
                  </w:pPr>
                  <w:r w:rsidRPr="002F1697">
                    <w:rPr>
                      <w:color w:val="000000"/>
                      <w:sz w:val="20"/>
                    </w:rPr>
                    <w:t>B. Required Activities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3BACA81"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2FF7670B" w14:textId="77777777">
                  <w:pPr>
                    <w:jc w:val="center"/>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4138E2F8" w14:textId="77777777">
                  <w:pPr>
                    <w:jc w:val="center"/>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3E6812FE" w14:textId="77777777">
                  <w:pPr>
                    <w:jc w:val="center"/>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39AD7E61" w14:textId="77777777">
                  <w:pPr>
                    <w:jc w:val="center"/>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4FD61C7D" w14:textId="77777777">
                  <w:pPr>
                    <w:jc w:val="center"/>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640FCBAA" w14:textId="77777777">
                  <w:pPr>
                    <w:jc w:val="center"/>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4D0513F2" w14:textId="77777777">
                  <w:pPr>
                    <w:jc w:val="right"/>
                    <w:rPr>
                      <w:color w:val="000000"/>
                      <w:sz w:val="20"/>
                    </w:rPr>
                  </w:pPr>
                  <w:r w:rsidRPr="002F1697">
                    <w:rPr>
                      <w:color w:val="000000"/>
                      <w:sz w:val="20"/>
                    </w:rPr>
                    <w:t> </w:t>
                  </w:r>
                </w:p>
              </w:tc>
            </w:tr>
            <w:tr w14:paraId="23055D8C" w14:textId="77777777" w:rsidTr="002F1697">
              <w:tblPrEx>
                <w:tblW w:w="12460" w:type="dxa"/>
                <w:tblLayout w:type="fixed"/>
                <w:tblLook w:val="04A0"/>
              </w:tblPrEx>
              <w:trPr>
                <w:trHeight w:val="31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2BA58E09" w14:textId="77777777">
                  <w:pPr>
                    <w:rPr>
                      <w:i/>
                      <w:iCs/>
                      <w:color w:val="000000"/>
                      <w:sz w:val="20"/>
                    </w:rPr>
                  </w:pPr>
                  <w:r w:rsidRPr="002F1697">
                    <w:rPr>
                      <w:i/>
                      <w:iCs/>
                      <w:color w:val="000000"/>
                      <w:sz w:val="20"/>
                    </w:rPr>
                    <w:t xml:space="preserve">New Sources - Testing </w:t>
                  </w:r>
                  <w:r w:rsidRPr="002F1697">
                    <w:rPr>
                      <w:color w:val="000000"/>
                      <w:sz w:val="20"/>
                      <w:vertAlign w:val="superscript"/>
                    </w:rPr>
                    <w:t>c</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946C43E"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7AE3313F" w14:textId="77777777">
                  <w:pPr>
                    <w:jc w:val="center"/>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78E53CF6" w14:textId="77777777">
                  <w:pPr>
                    <w:jc w:val="center"/>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0D60ABF8" w14:textId="77777777">
                  <w:pPr>
                    <w:jc w:val="center"/>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50B213A6" w14:textId="77777777">
                  <w:pPr>
                    <w:jc w:val="center"/>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5AA896E1" w14:textId="77777777">
                  <w:pPr>
                    <w:jc w:val="center"/>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10B10BD6" w14:textId="77777777">
                  <w:pPr>
                    <w:jc w:val="center"/>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731FB8E7" w14:textId="77777777">
                  <w:pPr>
                    <w:jc w:val="right"/>
                    <w:rPr>
                      <w:color w:val="000000"/>
                      <w:sz w:val="20"/>
                    </w:rPr>
                  </w:pPr>
                  <w:r w:rsidRPr="002F1697">
                    <w:rPr>
                      <w:color w:val="000000"/>
                      <w:sz w:val="20"/>
                    </w:rPr>
                    <w:t> </w:t>
                  </w:r>
                </w:p>
              </w:tc>
            </w:tr>
            <w:tr w14:paraId="1E79ED17" w14:textId="77777777" w:rsidTr="002F1697">
              <w:tblPrEx>
                <w:tblW w:w="12460" w:type="dxa"/>
                <w:tblLayout w:type="fixed"/>
                <w:tblLook w:val="04A0"/>
              </w:tblPrEx>
              <w:trPr>
                <w:trHeight w:val="50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1FE27F6E" w14:textId="77777777">
                  <w:pPr>
                    <w:rPr>
                      <w:sz w:val="20"/>
                    </w:rPr>
                  </w:pPr>
                  <w:r w:rsidRPr="002F1697">
                    <w:rPr>
                      <w:sz w:val="20"/>
                    </w:rPr>
                    <w:t>Initial NOx Performance Test (kiln)</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4F3F61F2"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4D9D6997"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2AE8962E"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37D631C3"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2F3FD185"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3E55A053"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75F47527"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3E3F53AD" w14:textId="77777777">
                  <w:pPr>
                    <w:jc w:val="right"/>
                    <w:rPr>
                      <w:color w:val="000000"/>
                      <w:sz w:val="20"/>
                    </w:rPr>
                  </w:pPr>
                  <w:r w:rsidRPr="002F1697">
                    <w:rPr>
                      <w:color w:val="000000"/>
                      <w:sz w:val="20"/>
                    </w:rPr>
                    <w:t xml:space="preserve">$0.00 </w:t>
                  </w:r>
                </w:p>
              </w:tc>
            </w:tr>
            <w:tr w14:paraId="50290FF9" w14:textId="77777777" w:rsidTr="002F1697">
              <w:tblPrEx>
                <w:tblW w:w="12460" w:type="dxa"/>
                <w:tblLayout w:type="fixed"/>
                <w:tblLook w:val="04A0"/>
              </w:tblPrEx>
              <w:trPr>
                <w:trHeight w:val="5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46894BA5" w14:textId="77777777">
                  <w:pPr>
                    <w:rPr>
                      <w:sz w:val="20"/>
                    </w:rPr>
                  </w:pPr>
                  <w:r w:rsidRPr="002F1697">
                    <w:rPr>
                      <w:sz w:val="20"/>
                    </w:rPr>
                    <w:t>Repeat NOx Performance Test</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1C27CCF0"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3DEDDE6A"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697A706E"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193829B1"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1AA43D33"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29CC9576"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288E91BB"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0797FD0" w14:textId="77777777">
                  <w:pPr>
                    <w:jc w:val="right"/>
                    <w:rPr>
                      <w:color w:val="000000"/>
                      <w:sz w:val="20"/>
                    </w:rPr>
                  </w:pPr>
                  <w:r w:rsidRPr="002F1697">
                    <w:rPr>
                      <w:color w:val="000000"/>
                      <w:sz w:val="20"/>
                    </w:rPr>
                    <w:t xml:space="preserve">$0.00 </w:t>
                  </w:r>
                </w:p>
              </w:tc>
            </w:tr>
            <w:tr w14:paraId="135A7309" w14:textId="77777777" w:rsidTr="002F1697">
              <w:tblPrEx>
                <w:tblW w:w="12460" w:type="dxa"/>
                <w:tblLayout w:type="fixed"/>
                <w:tblLook w:val="04A0"/>
              </w:tblPrEx>
              <w:trPr>
                <w:trHeight w:val="5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5256B340" w14:textId="77777777">
                  <w:pPr>
                    <w:rPr>
                      <w:color w:val="000000"/>
                      <w:sz w:val="20"/>
                    </w:rPr>
                  </w:pPr>
                  <w:r w:rsidRPr="002F1697">
                    <w:rPr>
                      <w:color w:val="000000"/>
                      <w:sz w:val="20"/>
                    </w:rPr>
                    <w:t>Initial Performance Evaluation of  CPMS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632783DA"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7DFA27B8"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00D2C2C5"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3086BC09"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3BE86F27"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5EFCEDE4"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283F2756"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19D4CA1D" w14:textId="77777777">
                  <w:pPr>
                    <w:jc w:val="right"/>
                    <w:rPr>
                      <w:color w:val="000000"/>
                      <w:sz w:val="20"/>
                    </w:rPr>
                  </w:pPr>
                  <w:r w:rsidRPr="002F1697">
                    <w:rPr>
                      <w:color w:val="000000"/>
                      <w:sz w:val="20"/>
                    </w:rPr>
                    <w:t xml:space="preserve">$0.00 </w:t>
                  </w:r>
                </w:p>
              </w:tc>
            </w:tr>
            <w:tr w14:paraId="5C654E38" w14:textId="77777777" w:rsidTr="002F1697">
              <w:tblPrEx>
                <w:tblW w:w="12460" w:type="dxa"/>
                <w:tblLayout w:type="fixed"/>
                <w:tblLook w:val="04A0"/>
              </w:tblPrEx>
              <w:trPr>
                <w:trHeight w:val="5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0FFBD21A" w14:textId="77777777">
                  <w:pPr>
                    <w:rPr>
                      <w:color w:val="000000"/>
                      <w:sz w:val="20"/>
                    </w:rPr>
                  </w:pPr>
                  <w:r w:rsidRPr="002F1697">
                    <w:rPr>
                      <w:color w:val="000000"/>
                      <w:sz w:val="20"/>
                    </w:rPr>
                    <w:t>Repeat Performance Evaluation of CPMS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4AB7DAE7"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0A55B73F"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1563B1DF"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2CAB8484"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4B0780E3"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79E8627F"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6317A0C4"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1C7F5825" w14:textId="77777777">
                  <w:pPr>
                    <w:jc w:val="right"/>
                    <w:rPr>
                      <w:color w:val="000000"/>
                      <w:sz w:val="20"/>
                    </w:rPr>
                  </w:pPr>
                  <w:r w:rsidRPr="002F1697">
                    <w:rPr>
                      <w:color w:val="000000"/>
                      <w:sz w:val="20"/>
                    </w:rPr>
                    <w:t xml:space="preserve">$0.00 </w:t>
                  </w:r>
                </w:p>
              </w:tc>
            </w:tr>
            <w:tr w14:paraId="3DC55B38" w14:textId="77777777" w:rsidTr="002F1697">
              <w:tblPrEx>
                <w:tblW w:w="12460" w:type="dxa"/>
                <w:tblLayout w:type="fixed"/>
                <w:tblLook w:val="04A0"/>
              </w:tblPrEx>
              <w:trPr>
                <w:trHeight w:val="57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35769ED3" w14:textId="77777777">
                  <w:pPr>
                    <w:rPr>
                      <w:i/>
                      <w:iCs/>
                      <w:color w:val="000000"/>
                      <w:sz w:val="20"/>
                    </w:rPr>
                  </w:pPr>
                  <w:r w:rsidRPr="002F1697">
                    <w:rPr>
                      <w:i/>
                      <w:iCs/>
                      <w:color w:val="000000"/>
                      <w:sz w:val="20"/>
                    </w:rPr>
                    <w:t xml:space="preserve">Existing Sources - Initial Testing </w:t>
                  </w:r>
                  <w:r w:rsidRPr="002F1697">
                    <w:rPr>
                      <w:color w:val="000000"/>
                      <w:sz w:val="20"/>
                      <w:vertAlign w:val="superscript"/>
                    </w:rPr>
                    <w:t>d</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22B7CE62" w14:textId="77777777">
                  <w:pPr>
                    <w:jc w:val="center"/>
                    <w:rPr>
                      <w:sz w:val="20"/>
                    </w:rPr>
                  </w:pPr>
                  <w:r w:rsidRPr="002F1697">
                    <w:rPr>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00755541" w14:textId="77777777">
                  <w:pPr>
                    <w:jc w:val="center"/>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30545550" w14:textId="77777777">
                  <w:pPr>
                    <w:jc w:val="center"/>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2E59A878" w14:textId="77777777">
                  <w:pPr>
                    <w:jc w:val="center"/>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40A0D0BC" w14:textId="77777777">
                  <w:pPr>
                    <w:jc w:val="center"/>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747482EA" w14:textId="77777777">
                  <w:pPr>
                    <w:jc w:val="center"/>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34CF3F99" w14:textId="77777777">
                  <w:pPr>
                    <w:jc w:val="center"/>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DC79C57" w14:textId="77777777">
                  <w:pPr>
                    <w:jc w:val="right"/>
                    <w:rPr>
                      <w:color w:val="000000"/>
                      <w:sz w:val="20"/>
                    </w:rPr>
                  </w:pPr>
                  <w:r w:rsidRPr="002F1697">
                    <w:rPr>
                      <w:color w:val="000000"/>
                      <w:sz w:val="20"/>
                    </w:rPr>
                    <w:t> </w:t>
                  </w:r>
                </w:p>
              </w:tc>
            </w:tr>
            <w:tr w14:paraId="2E62916D" w14:textId="77777777" w:rsidTr="002F1697">
              <w:tblPrEx>
                <w:tblW w:w="12460" w:type="dxa"/>
                <w:tblLayout w:type="fixed"/>
                <w:tblLook w:val="04A0"/>
              </w:tblPrEx>
              <w:trPr>
                <w:trHeight w:val="5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5749543A" w14:textId="77777777">
                  <w:pPr>
                    <w:rPr>
                      <w:color w:val="000000"/>
                      <w:sz w:val="20"/>
                    </w:rPr>
                  </w:pPr>
                  <w:r w:rsidRPr="002F1697">
                    <w:rPr>
                      <w:color w:val="000000"/>
                      <w:sz w:val="20"/>
                    </w:rPr>
                    <w:t>Initial Performance Evaluation of CPMS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33310997"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7B49BB7F"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56AAE894"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75A94FE7"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7B6B3E76"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5C482449"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56A4E241"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E88BA5F" w14:textId="77777777">
                  <w:pPr>
                    <w:jc w:val="right"/>
                    <w:rPr>
                      <w:color w:val="000000"/>
                      <w:sz w:val="20"/>
                    </w:rPr>
                  </w:pPr>
                  <w:r w:rsidRPr="002F1697">
                    <w:rPr>
                      <w:color w:val="000000"/>
                      <w:sz w:val="20"/>
                    </w:rPr>
                    <w:t xml:space="preserve">$0.00 </w:t>
                  </w:r>
                </w:p>
              </w:tc>
            </w:tr>
            <w:tr w14:paraId="6A8CFBD5" w14:textId="77777777" w:rsidTr="002F1697">
              <w:tblPrEx>
                <w:tblW w:w="12460" w:type="dxa"/>
                <w:tblLayout w:type="fixed"/>
                <w:tblLook w:val="04A0"/>
              </w:tblPrEx>
              <w:trPr>
                <w:trHeight w:val="5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1671BDF2" w14:textId="77777777">
                  <w:pPr>
                    <w:rPr>
                      <w:color w:val="000000"/>
                      <w:sz w:val="20"/>
                    </w:rPr>
                  </w:pPr>
                  <w:r w:rsidRPr="002F1697">
                    <w:rPr>
                      <w:color w:val="000000"/>
                      <w:sz w:val="20"/>
                    </w:rPr>
                    <w:t>Repeat Performance Evaluation of CPMS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24909AFF"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5A96F74F"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6C9A8742"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7F43EEF3"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6C32E9C5"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783F1064"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2664C6D6"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32CD8FC" w14:textId="77777777">
                  <w:pPr>
                    <w:jc w:val="right"/>
                    <w:rPr>
                      <w:color w:val="000000"/>
                      <w:sz w:val="20"/>
                    </w:rPr>
                  </w:pPr>
                  <w:r w:rsidRPr="002F1697">
                    <w:rPr>
                      <w:color w:val="000000"/>
                      <w:sz w:val="20"/>
                    </w:rPr>
                    <w:t xml:space="preserve">$0.00 </w:t>
                  </w:r>
                </w:p>
              </w:tc>
            </w:tr>
            <w:tr w14:paraId="73980E47" w14:textId="77777777" w:rsidTr="002F1697">
              <w:tblPrEx>
                <w:tblW w:w="12460" w:type="dxa"/>
                <w:tblLayout w:type="fixed"/>
                <w:tblLook w:val="04A0"/>
              </w:tblPrEx>
              <w:trPr>
                <w:trHeight w:val="57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3DA614BD" w14:textId="77777777">
                  <w:pPr>
                    <w:rPr>
                      <w:i/>
                      <w:iCs/>
                      <w:color w:val="000000"/>
                      <w:sz w:val="20"/>
                    </w:rPr>
                  </w:pPr>
                  <w:r w:rsidRPr="002F1697">
                    <w:rPr>
                      <w:i/>
                      <w:iCs/>
                      <w:color w:val="000000"/>
                      <w:sz w:val="20"/>
                    </w:rPr>
                    <w:t xml:space="preserve">Existing Sources - Annual Testing </w:t>
                  </w:r>
                  <w:r w:rsidRPr="002F1697">
                    <w:rPr>
                      <w:color w:val="000000"/>
                      <w:sz w:val="20"/>
                      <w:vertAlign w:val="superscript"/>
                    </w:rPr>
                    <w:t>d</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277678E5"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0708A1B1" w14:textId="77777777">
                  <w:pPr>
                    <w:jc w:val="center"/>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712FB520" w14:textId="77777777">
                  <w:pPr>
                    <w:jc w:val="center"/>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4E4484CF" w14:textId="77777777">
                  <w:pPr>
                    <w:jc w:val="center"/>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35A7E087" w14:textId="77777777">
                  <w:pPr>
                    <w:jc w:val="center"/>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045D6108" w14:textId="77777777">
                  <w:pPr>
                    <w:jc w:val="center"/>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0D60160C" w14:textId="77777777">
                  <w:pPr>
                    <w:jc w:val="center"/>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3A3A8F4B" w14:textId="77777777">
                  <w:pPr>
                    <w:jc w:val="right"/>
                    <w:rPr>
                      <w:color w:val="000000"/>
                      <w:sz w:val="20"/>
                    </w:rPr>
                  </w:pPr>
                  <w:r w:rsidRPr="002F1697">
                    <w:rPr>
                      <w:color w:val="000000"/>
                      <w:sz w:val="20"/>
                    </w:rPr>
                    <w:t> </w:t>
                  </w:r>
                </w:p>
              </w:tc>
            </w:tr>
            <w:tr w14:paraId="51275717" w14:textId="77777777" w:rsidTr="002F1697">
              <w:tblPrEx>
                <w:tblW w:w="12460" w:type="dxa"/>
                <w:tblLayout w:type="fixed"/>
                <w:tblLook w:val="04A0"/>
              </w:tblPrEx>
              <w:trPr>
                <w:trHeight w:val="5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2B68B86C" w14:textId="77777777">
                  <w:pPr>
                    <w:rPr>
                      <w:color w:val="000000"/>
                      <w:sz w:val="20"/>
                    </w:rPr>
                  </w:pPr>
                  <w:r w:rsidRPr="002F1697">
                    <w:rPr>
                      <w:color w:val="000000"/>
                      <w:sz w:val="20"/>
                    </w:rPr>
                    <w:t>Annual NOx Performance Test (kiln)</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6B77E02C"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70DFE920"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58FF5541"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5676765A"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19A74F70"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429F2F03"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6FDB7030"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506BC312" w14:textId="77777777">
                  <w:pPr>
                    <w:jc w:val="right"/>
                    <w:rPr>
                      <w:color w:val="000000"/>
                      <w:sz w:val="20"/>
                    </w:rPr>
                  </w:pPr>
                  <w:r w:rsidRPr="002F1697">
                    <w:rPr>
                      <w:color w:val="000000"/>
                      <w:sz w:val="20"/>
                    </w:rPr>
                    <w:t xml:space="preserve">$0.00 </w:t>
                  </w:r>
                </w:p>
              </w:tc>
            </w:tr>
            <w:tr w14:paraId="0FE2C88A" w14:textId="77777777" w:rsidTr="002F1697">
              <w:tblPrEx>
                <w:tblW w:w="12460" w:type="dxa"/>
                <w:tblLayout w:type="fixed"/>
                <w:tblLook w:val="04A0"/>
              </w:tblPrEx>
              <w:trPr>
                <w:trHeight w:val="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6D44E71E" w14:textId="77777777">
                  <w:pPr>
                    <w:rPr>
                      <w:color w:val="000000"/>
                      <w:sz w:val="20"/>
                    </w:rPr>
                  </w:pPr>
                  <w:r w:rsidRPr="002F1697">
                    <w:rPr>
                      <w:color w:val="000000"/>
                      <w:sz w:val="20"/>
                    </w:rPr>
                    <w:t xml:space="preserve">Repeat NOx Performance Test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7635AF8"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09A59352"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30115F3F"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257FBF0B"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30D0C397"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53EC5358"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2C46287E"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1A8C353B" w14:textId="77777777">
                  <w:pPr>
                    <w:jc w:val="right"/>
                    <w:rPr>
                      <w:color w:val="000000"/>
                      <w:sz w:val="20"/>
                    </w:rPr>
                  </w:pPr>
                  <w:r w:rsidRPr="002F1697">
                    <w:rPr>
                      <w:color w:val="000000"/>
                      <w:sz w:val="20"/>
                    </w:rPr>
                    <w:t xml:space="preserve">$0.00 </w:t>
                  </w:r>
                </w:p>
              </w:tc>
            </w:tr>
            <w:tr w14:paraId="6C294A7E" w14:textId="77777777" w:rsidTr="002F1697">
              <w:tblPrEx>
                <w:tblW w:w="12460" w:type="dxa"/>
                <w:tblLayout w:type="fixed"/>
                <w:tblLook w:val="04A0"/>
              </w:tblPrEx>
              <w:trPr>
                <w:trHeight w:val="57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0A342124" w14:textId="77777777">
                  <w:pPr>
                    <w:rPr>
                      <w:i/>
                      <w:iCs/>
                      <w:color w:val="000000"/>
                      <w:sz w:val="20"/>
                    </w:rPr>
                  </w:pPr>
                  <w:r w:rsidRPr="002F1697">
                    <w:rPr>
                      <w:i/>
                      <w:iCs/>
                      <w:color w:val="000000"/>
                      <w:sz w:val="20"/>
                    </w:rPr>
                    <w:t xml:space="preserve">New and Existing Sources - Monitoring </w:t>
                  </w:r>
                  <w:r w:rsidRPr="002F1697">
                    <w:rPr>
                      <w:color w:val="000000"/>
                      <w:sz w:val="20"/>
                      <w:vertAlign w:val="superscript"/>
                    </w:rPr>
                    <w:t>e</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CE80EBD"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3D8A2607" w14:textId="77777777">
                  <w:pPr>
                    <w:jc w:val="center"/>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77E1AB50" w14:textId="77777777">
                  <w:pPr>
                    <w:jc w:val="center"/>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277614EC" w14:textId="77777777">
                  <w:pPr>
                    <w:jc w:val="center"/>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780D7B1F" w14:textId="77777777">
                  <w:pPr>
                    <w:jc w:val="center"/>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383948DA" w14:textId="77777777">
                  <w:pPr>
                    <w:jc w:val="center"/>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08AC9EF4" w14:textId="77777777">
                  <w:pPr>
                    <w:jc w:val="center"/>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615A9C41" w14:textId="77777777">
                  <w:pPr>
                    <w:jc w:val="right"/>
                    <w:rPr>
                      <w:color w:val="000000"/>
                      <w:sz w:val="20"/>
                    </w:rPr>
                  </w:pPr>
                  <w:r w:rsidRPr="002F1697">
                    <w:rPr>
                      <w:color w:val="000000"/>
                      <w:sz w:val="20"/>
                    </w:rPr>
                    <w:t> </w:t>
                  </w:r>
                </w:p>
              </w:tc>
            </w:tr>
            <w:tr w14:paraId="1158DA45" w14:textId="77777777" w:rsidTr="002F1697">
              <w:tblPrEx>
                <w:tblW w:w="12460" w:type="dxa"/>
                <w:tblLayout w:type="fixed"/>
                <w:tblLook w:val="04A0"/>
              </w:tblPrEx>
              <w:trPr>
                <w:trHeight w:val="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071BBEA9" w14:textId="77777777">
                  <w:pPr>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4E6E08AC"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6E4F9FEC" w14:textId="77777777">
                  <w:pPr>
                    <w:jc w:val="center"/>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7FB72115" w14:textId="77777777">
                  <w:pPr>
                    <w:jc w:val="center"/>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2F7D28AD" w14:textId="77777777">
                  <w:pPr>
                    <w:jc w:val="center"/>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6F8E4D09" w14:textId="77777777">
                  <w:pPr>
                    <w:jc w:val="center"/>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412E4A74" w14:textId="77777777">
                  <w:pPr>
                    <w:jc w:val="center"/>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27EB2B78" w14:textId="77777777">
                  <w:pPr>
                    <w:jc w:val="center"/>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3EF6095" w14:textId="77777777">
                  <w:pPr>
                    <w:jc w:val="right"/>
                    <w:rPr>
                      <w:color w:val="000000"/>
                      <w:sz w:val="20"/>
                    </w:rPr>
                  </w:pPr>
                  <w:r w:rsidRPr="002F1697">
                    <w:rPr>
                      <w:color w:val="000000"/>
                      <w:sz w:val="20"/>
                    </w:rPr>
                    <w:t> </w:t>
                  </w:r>
                </w:p>
              </w:tc>
            </w:tr>
            <w:tr w14:paraId="35ACCA3A" w14:textId="77777777" w:rsidTr="002F1697">
              <w:tblPrEx>
                <w:tblW w:w="12460" w:type="dxa"/>
                <w:tblLayout w:type="fixed"/>
                <w:tblLook w:val="04A0"/>
              </w:tblPrEx>
              <w:trPr>
                <w:trHeight w:val="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18BA4E01" w14:textId="77777777">
                  <w:pPr>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3E4F3409"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7F8C1588" w14:textId="77777777">
                  <w:pPr>
                    <w:jc w:val="center"/>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3C23018F" w14:textId="77777777">
                  <w:pPr>
                    <w:jc w:val="center"/>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25FFAE3B" w14:textId="77777777">
                  <w:pPr>
                    <w:jc w:val="center"/>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5CCBDAC2" w14:textId="77777777">
                  <w:pPr>
                    <w:jc w:val="center"/>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13942FB4" w14:textId="77777777">
                  <w:pPr>
                    <w:jc w:val="center"/>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36F6BD18" w14:textId="77777777">
                  <w:pPr>
                    <w:jc w:val="center"/>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32C11E1B" w14:textId="77777777">
                  <w:pPr>
                    <w:jc w:val="right"/>
                    <w:rPr>
                      <w:color w:val="000000"/>
                      <w:sz w:val="20"/>
                    </w:rPr>
                  </w:pPr>
                  <w:r w:rsidRPr="002F1697">
                    <w:rPr>
                      <w:color w:val="000000"/>
                      <w:sz w:val="20"/>
                    </w:rPr>
                    <w:t> </w:t>
                  </w:r>
                </w:p>
              </w:tc>
            </w:tr>
            <w:tr w14:paraId="1191C8CF" w14:textId="77777777" w:rsidTr="002F1697">
              <w:tblPrEx>
                <w:tblW w:w="12460" w:type="dxa"/>
                <w:tblLayout w:type="fixed"/>
                <w:tblLook w:val="04A0"/>
              </w:tblPrEx>
              <w:trPr>
                <w:trHeight w:val="5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40D6D36F" w14:textId="77777777">
                  <w:pPr>
                    <w:rPr>
                      <w:color w:val="000000"/>
                      <w:sz w:val="20"/>
                    </w:rPr>
                  </w:pPr>
                  <w:r w:rsidRPr="002F1697">
                    <w:rPr>
                      <w:color w:val="000000"/>
                      <w:sz w:val="20"/>
                    </w:rPr>
                    <w:t>C. Create Information (Included in 4B)</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C7A244A"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44CEF1FD"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52265F36"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251F6E77" w14:textId="77777777">
                  <w:pPr>
                    <w:jc w:val="center"/>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41DD8886" w14:textId="77777777">
                  <w:pPr>
                    <w:jc w:val="center"/>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6ACB467B" w14:textId="77777777">
                  <w:pPr>
                    <w:jc w:val="center"/>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135BD9AB" w14:textId="77777777">
                  <w:pPr>
                    <w:jc w:val="center"/>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45BA27B3" w14:textId="77777777">
                  <w:pPr>
                    <w:jc w:val="right"/>
                    <w:rPr>
                      <w:color w:val="000000"/>
                      <w:sz w:val="20"/>
                    </w:rPr>
                  </w:pPr>
                  <w:r w:rsidRPr="002F1697">
                    <w:rPr>
                      <w:color w:val="000000"/>
                      <w:sz w:val="20"/>
                    </w:rPr>
                    <w:t> </w:t>
                  </w:r>
                </w:p>
              </w:tc>
            </w:tr>
            <w:tr w14:paraId="17DBACA9" w14:textId="77777777" w:rsidTr="002F1697">
              <w:tblPrEx>
                <w:tblW w:w="12460" w:type="dxa"/>
                <w:tblLayout w:type="fixed"/>
                <w:tblLook w:val="04A0"/>
              </w:tblPrEx>
              <w:trPr>
                <w:trHeight w:val="5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20D16B51" w14:textId="77777777">
                  <w:pPr>
                    <w:rPr>
                      <w:color w:val="000000"/>
                      <w:sz w:val="20"/>
                    </w:rPr>
                  </w:pPr>
                  <w:r w:rsidRPr="002F1697">
                    <w:rPr>
                      <w:color w:val="000000"/>
                      <w:sz w:val="20"/>
                    </w:rPr>
                    <w:t>D. Gather Existing Information (Included in 4E)</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1D0ECC28"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5BBAEA2E"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2CB6C3C6"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7A814D55" w14:textId="77777777">
                  <w:pPr>
                    <w:jc w:val="center"/>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4D809DE1" w14:textId="77777777">
                  <w:pPr>
                    <w:jc w:val="center"/>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5A359F12" w14:textId="77777777">
                  <w:pPr>
                    <w:jc w:val="center"/>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562469AD" w14:textId="77777777">
                  <w:pPr>
                    <w:jc w:val="center"/>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4DF70084" w14:textId="77777777">
                  <w:pPr>
                    <w:jc w:val="right"/>
                    <w:rPr>
                      <w:color w:val="000000"/>
                      <w:sz w:val="20"/>
                    </w:rPr>
                  </w:pPr>
                  <w:r w:rsidRPr="002F1697">
                    <w:rPr>
                      <w:color w:val="000000"/>
                      <w:sz w:val="20"/>
                    </w:rPr>
                    <w:t> </w:t>
                  </w:r>
                </w:p>
              </w:tc>
            </w:tr>
            <w:tr w14:paraId="703042E1" w14:textId="77777777" w:rsidTr="002F1697">
              <w:tblPrEx>
                <w:tblW w:w="12460" w:type="dxa"/>
                <w:tblLayout w:type="fixed"/>
                <w:tblLook w:val="04A0"/>
              </w:tblPrEx>
              <w:trPr>
                <w:trHeight w:val="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617B87AA" w14:textId="77777777">
                  <w:pPr>
                    <w:rPr>
                      <w:color w:val="000000"/>
                      <w:sz w:val="20"/>
                    </w:rPr>
                  </w:pPr>
                  <w:r w:rsidRPr="002F1697">
                    <w:rPr>
                      <w:color w:val="000000"/>
                      <w:sz w:val="20"/>
                    </w:rPr>
                    <w:t>E. Write Report</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5B106E68" w14:textId="77777777">
                  <w:pPr>
                    <w:jc w:val="right"/>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206869F8"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60B60EEE"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4367B75F" w14:textId="77777777">
                  <w:pPr>
                    <w:jc w:val="center"/>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7CF29B76" w14:textId="77777777">
                  <w:pPr>
                    <w:jc w:val="center"/>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024309EA" w14:textId="77777777">
                  <w:pPr>
                    <w:jc w:val="center"/>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60DFF5DA" w14:textId="77777777">
                  <w:pPr>
                    <w:jc w:val="center"/>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AE78D9C" w14:textId="77777777">
                  <w:pPr>
                    <w:jc w:val="right"/>
                    <w:rPr>
                      <w:color w:val="000000"/>
                      <w:sz w:val="20"/>
                    </w:rPr>
                  </w:pPr>
                  <w:r w:rsidRPr="002F1697">
                    <w:rPr>
                      <w:color w:val="000000"/>
                      <w:sz w:val="20"/>
                    </w:rPr>
                    <w:t> </w:t>
                  </w:r>
                </w:p>
              </w:tc>
            </w:tr>
            <w:tr w14:paraId="50204561" w14:textId="77777777" w:rsidTr="002F1697">
              <w:tblPrEx>
                <w:tblW w:w="12460" w:type="dxa"/>
                <w:tblLayout w:type="fixed"/>
                <w:tblLook w:val="04A0"/>
              </w:tblPrEx>
              <w:trPr>
                <w:trHeight w:val="523"/>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0682AE33" w14:textId="77777777">
                  <w:pPr>
                    <w:rPr>
                      <w:i/>
                      <w:iCs/>
                      <w:color w:val="000000"/>
                      <w:sz w:val="20"/>
                      <w:u w:val="single"/>
                    </w:rPr>
                  </w:pPr>
                  <w:r w:rsidRPr="002F1697">
                    <w:rPr>
                      <w:i/>
                      <w:iCs/>
                      <w:color w:val="000000"/>
                      <w:sz w:val="20"/>
                      <w:u w:val="single"/>
                    </w:rPr>
                    <w:t>New Sources- Reporting</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5E6182C3"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5DE2616F" w14:textId="77777777">
                  <w:pPr>
                    <w:jc w:val="center"/>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50C0BD0F" w14:textId="77777777">
                  <w:pPr>
                    <w:jc w:val="center"/>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0D21CB35" w14:textId="77777777">
                  <w:pPr>
                    <w:jc w:val="center"/>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647D732A" w14:textId="77777777">
                  <w:pPr>
                    <w:jc w:val="center"/>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3BB7F3F7" w14:textId="77777777">
                  <w:pPr>
                    <w:jc w:val="center"/>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1B171F2D" w14:textId="77777777">
                  <w:pPr>
                    <w:jc w:val="center"/>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6113D005" w14:textId="77777777">
                  <w:pPr>
                    <w:jc w:val="right"/>
                    <w:rPr>
                      <w:color w:val="000000"/>
                      <w:sz w:val="20"/>
                    </w:rPr>
                  </w:pPr>
                  <w:r w:rsidRPr="002F1697">
                    <w:rPr>
                      <w:color w:val="000000"/>
                      <w:sz w:val="20"/>
                    </w:rPr>
                    <w:t> </w:t>
                  </w:r>
                </w:p>
              </w:tc>
            </w:tr>
            <w:tr w14:paraId="42DD0C1B" w14:textId="77777777" w:rsidTr="002F1697">
              <w:tblPrEx>
                <w:tblW w:w="12460" w:type="dxa"/>
                <w:tblLayout w:type="fixed"/>
                <w:tblLook w:val="04A0"/>
              </w:tblPrEx>
              <w:trPr>
                <w:trHeight w:val="523"/>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011273DB" w14:textId="77777777">
                  <w:pPr>
                    <w:rPr>
                      <w:color w:val="000000"/>
                      <w:sz w:val="20"/>
                    </w:rPr>
                  </w:pPr>
                  <w:r w:rsidRPr="002F1697">
                    <w:rPr>
                      <w:color w:val="000000"/>
                      <w:sz w:val="20"/>
                    </w:rPr>
                    <w:t>Notification of Initial Performance Test</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3BF35553"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011D36E9"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58D03AD8"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476E6522"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712AA789"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0C6A18FA"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5D4CD901"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682DDF51" w14:textId="77777777">
                  <w:pPr>
                    <w:jc w:val="right"/>
                    <w:rPr>
                      <w:color w:val="000000"/>
                      <w:sz w:val="20"/>
                    </w:rPr>
                  </w:pPr>
                  <w:r w:rsidRPr="002F1697">
                    <w:rPr>
                      <w:color w:val="000000"/>
                      <w:sz w:val="20"/>
                    </w:rPr>
                    <w:t xml:space="preserve">$0.00 </w:t>
                  </w:r>
                </w:p>
              </w:tc>
            </w:tr>
            <w:tr w14:paraId="0699E1B4" w14:textId="77777777" w:rsidTr="002F1697">
              <w:tblPrEx>
                <w:tblW w:w="12460" w:type="dxa"/>
                <w:tblLayout w:type="fixed"/>
                <w:tblLook w:val="04A0"/>
              </w:tblPrEx>
              <w:trPr>
                <w:trHeight w:val="78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35262DF1" w14:textId="77777777">
                  <w:pPr>
                    <w:rPr>
                      <w:color w:val="000000"/>
                      <w:sz w:val="20"/>
                    </w:rPr>
                  </w:pPr>
                  <w:r w:rsidRPr="002F1697">
                    <w:rPr>
                      <w:color w:val="000000"/>
                      <w:sz w:val="20"/>
                    </w:rPr>
                    <w:t>Report of Performance Test Results via CEDRI or analogous electronic reporting</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14BD50FE"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3DD8DCF7"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43A1CE84"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317C6F2D"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0DC1E74B"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62D2E8D5"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503B233F"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7C408FF" w14:textId="77777777">
                  <w:pPr>
                    <w:jc w:val="right"/>
                    <w:rPr>
                      <w:color w:val="000000"/>
                      <w:sz w:val="20"/>
                    </w:rPr>
                  </w:pPr>
                  <w:r w:rsidRPr="002F1697">
                    <w:rPr>
                      <w:color w:val="000000"/>
                      <w:sz w:val="20"/>
                    </w:rPr>
                    <w:t xml:space="preserve">$0.00 </w:t>
                  </w:r>
                </w:p>
              </w:tc>
            </w:tr>
            <w:tr w14:paraId="3CBE8D49" w14:textId="77777777" w:rsidTr="002F1697">
              <w:tblPrEx>
                <w:tblW w:w="12460" w:type="dxa"/>
                <w:tblLayout w:type="fixed"/>
                <w:tblLook w:val="04A0"/>
              </w:tblPrEx>
              <w:trPr>
                <w:trHeight w:val="5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5874594E" w14:textId="77777777">
                  <w:pPr>
                    <w:rPr>
                      <w:color w:val="000000"/>
                      <w:sz w:val="20"/>
                    </w:rPr>
                  </w:pPr>
                  <w:r w:rsidRPr="002F1697">
                    <w:rPr>
                      <w:color w:val="000000"/>
                      <w:sz w:val="20"/>
                    </w:rPr>
                    <w:t>Notification of Demonstration of CPMS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292F7E8"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5B3D2857"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54418020"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6FDD3964"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14EFB581"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4B12D939"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2D2444DD"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63728E00" w14:textId="77777777">
                  <w:pPr>
                    <w:jc w:val="right"/>
                    <w:rPr>
                      <w:color w:val="000000"/>
                      <w:sz w:val="20"/>
                    </w:rPr>
                  </w:pPr>
                  <w:r w:rsidRPr="002F1697">
                    <w:rPr>
                      <w:color w:val="000000"/>
                      <w:sz w:val="20"/>
                    </w:rPr>
                    <w:t xml:space="preserve">$0.00 </w:t>
                  </w:r>
                </w:p>
              </w:tc>
            </w:tr>
            <w:tr w14:paraId="67833C47" w14:textId="77777777" w:rsidTr="002F1697">
              <w:tblPrEx>
                <w:tblW w:w="12460" w:type="dxa"/>
                <w:tblLayout w:type="fixed"/>
                <w:tblLook w:val="04A0"/>
              </w:tblPrEx>
              <w:trPr>
                <w:trHeight w:val="78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753F09F3" w14:textId="77777777">
                  <w:pPr>
                    <w:rPr>
                      <w:color w:val="000000"/>
                      <w:sz w:val="20"/>
                    </w:rPr>
                  </w:pPr>
                  <w:r w:rsidRPr="002F1697">
                    <w:rPr>
                      <w:color w:val="000000"/>
                      <w:sz w:val="20"/>
                    </w:rPr>
                    <w:t>Notification of Initial Performance Evaluation of CPMS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E6DA6B7"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1FA182A4"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121D7DFC"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1076ED10"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3D714159"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3CE4D890"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3254CF00"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7A95FFCC" w14:textId="77777777">
                  <w:pPr>
                    <w:jc w:val="right"/>
                    <w:rPr>
                      <w:color w:val="000000"/>
                      <w:sz w:val="20"/>
                    </w:rPr>
                  </w:pPr>
                  <w:r w:rsidRPr="002F1697">
                    <w:rPr>
                      <w:color w:val="000000"/>
                      <w:sz w:val="20"/>
                    </w:rPr>
                    <w:t xml:space="preserve">$0.00 </w:t>
                  </w:r>
                </w:p>
              </w:tc>
            </w:tr>
            <w:tr w14:paraId="72366E38" w14:textId="77777777" w:rsidTr="002F1697">
              <w:tblPrEx>
                <w:tblW w:w="12460" w:type="dxa"/>
                <w:tblLayout w:type="fixed"/>
                <w:tblLook w:val="04A0"/>
              </w:tblPrEx>
              <w:trPr>
                <w:trHeight w:val="48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30AC63B5" w14:textId="77777777">
                  <w:pPr>
                    <w:rPr>
                      <w:color w:val="000000"/>
                      <w:sz w:val="20"/>
                    </w:rPr>
                  </w:pPr>
                  <w:r w:rsidRPr="002F1697">
                    <w:rPr>
                      <w:color w:val="000000"/>
                      <w:sz w:val="20"/>
                    </w:rPr>
                    <w:t>Report of Performance Evaluation of CPMS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6079F084"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410CE905"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27544254"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66815E5D"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0C0E0B6D"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11D90ED2"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4F1A46EF"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3E2024F4" w14:textId="77777777">
                  <w:pPr>
                    <w:jc w:val="right"/>
                    <w:rPr>
                      <w:color w:val="000000"/>
                      <w:sz w:val="20"/>
                    </w:rPr>
                  </w:pPr>
                  <w:r w:rsidRPr="002F1697">
                    <w:rPr>
                      <w:color w:val="000000"/>
                      <w:sz w:val="20"/>
                    </w:rPr>
                    <w:t xml:space="preserve">$0.00 </w:t>
                  </w:r>
                </w:p>
              </w:tc>
            </w:tr>
            <w:tr w14:paraId="5636B007" w14:textId="77777777" w:rsidTr="002F1697">
              <w:tblPrEx>
                <w:tblW w:w="12460" w:type="dxa"/>
                <w:tblLayout w:type="fixed"/>
                <w:tblLook w:val="04A0"/>
              </w:tblPrEx>
              <w:trPr>
                <w:trHeight w:val="78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2D2F426C" w14:textId="77777777">
                  <w:pPr>
                    <w:rPr>
                      <w:color w:val="000000"/>
                      <w:sz w:val="20"/>
                    </w:rPr>
                  </w:pPr>
                  <w:r w:rsidRPr="002F1697">
                    <w:rPr>
                      <w:color w:val="000000"/>
                      <w:sz w:val="20"/>
                    </w:rPr>
                    <w:t>Annual Report submitted via CEDRI or analogous electronic reporting</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913E841"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5BC1AFDF"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3084E8F0"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75E8FA61"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05DA481D"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220D312A"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6F23EDAC"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5061E262" w14:textId="77777777">
                  <w:pPr>
                    <w:jc w:val="right"/>
                    <w:rPr>
                      <w:color w:val="000000"/>
                      <w:sz w:val="20"/>
                    </w:rPr>
                  </w:pPr>
                  <w:r w:rsidRPr="002F1697">
                    <w:rPr>
                      <w:color w:val="000000"/>
                      <w:sz w:val="20"/>
                    </w:rPr>
                    <w:t xml:space="preserve">$0.00 </w:t>
                  </w:r>
                </w:p>
              </w:tc>
            </w:tr>
            <w:tr w14:paraId="21FB0038" w14:textId="77777777" w:rsidTr="002F1697">
              <w:tblPrEx>
                <w:tblW w:w="12460" w:type="dxa"/>
                <w:tblLayout w:type="fixed"/>
                <w:tblLook w:val="04A0"/>
              </w:tblPrEx>
              <w:trPr>
                <w:trHeight w:val="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0B0BE200" w14:textId="77777777">
                  <w:pPr>
                    <w:rPr>
                      <w:i/>
                      <w:iCs/>
                      <w:color w:val="000000"/>
                      <w:sz w:val="20"/>
                      <w:u w:val="single"/>
                    </w:rPr>
                  </w:pPr>
                  <w:r w:rsidRPr="002F1697">
                    <w:rPr>
                      <w:i/>
                      <w:iCs/>
                      <w:color w:val="000000"/>
                      <w:sz w:val="20"/>
                      <w:u w:val="single"/>
                    </w:rPr>
                    <w:t>Existing Sources-Reporting</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61E9CB3A" w14:textId="77777777">
                  <w:pPr>
                    <w:jc w:val="right"/>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612656DF"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16DF8AF2"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18E228E7" w14:textId="77777777">
                  <w:pPr>
                    <w:jc w:val="right"/>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3747E83B" w14:textId="77777777">
                  <w:pPr>
                    <w:jc w:val="right"/>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5CA4EFC1" w14:textId="77777777">
                  <w:pPr>
                    <w:jc w:val="right"/>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3E8EB487" w14:textId="77777777">
                  <w:pPr>
                    <w:jc w:val="right"/>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3B06AB9" w14:textId="77777777">
                  <w:pPr>
                    <w:jc w:val="right"/>
                    <w:rPr>
                      <w:color w:val="000000"/>
                      <w:sz w:val="20"/>
                    </w:rPr>
                  </w:pPr>
                  <w:r w:rsidRPr="002F1697">
                    <w:rPr>
                      <w:color w:val="000000"/>
                      <w:sz w:val="20"/>
                    </w:rPr>
                    <w:t> </w:t>
                  </w:r>
                </w:p>
              </w:tc>
            </w:tr>
            <w:tr w14:paraId="754A1387" w14:textId="77777777" w:rsidTr="002F1697">
              <w:tblPrEx>
                <w:tblW w:w="12460" w:type="dxa"/>
                <w:tblLayout w:type="fixed"/>
                <w:tblLook w:val="04A0"/>
              </w:tblPrEx>
              <w:trPr>
                <w:trHeight w:val="5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354422FC" w14:textId="77777777">
                  <w:pPr>
                    <w:rPr>
                      <w:color w:val="000000"/>
                      <w:sz w:val="20"/>
                    </w:rPr>
                  </w:pPr>
                  <w:r w:rsidRPr="002F1697">
                    <w:rPr>
                      <w:color w:val="000000"/>
                      <w:sz w:val="20"/>
                    </w:rPr>
                    <w:t>Notification of annual Performance Test</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11FEF1B2"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7C8AEC76"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789E70E9"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715E9932"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55280B6C"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7C4B1C9A"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68952F23"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3E3E40D5" w14:textId="77777777">
                  <w:pPr>
                    <w:jc w:val="right"/>
                    <w:rPr>
                      <w:color w:val="000000"/>
                      <w:sz w:val="20"/>
                    </w:rPr>
                  </w:pPr>
                  <w:r w:rsidRPr="002F1697">
                    <w:rPr>
                      <w:color w:val="000000"/>
                      <w:sz w:val="20"/>
                    </w:rPr>
                    <w:t xml:space="preserve">$0.00 </w:t>
                  </w:r>
                </w:p>
              </w:tc>
            </w:tr>
            <w:tr w14:paraId="33DFE4C7" w14:textId="77777777" w:rsidTr="002F1697">
              <w:tblPrEx>
                <w:tblW w:w="12460" w:type="dxa"/>
                <w:tblLayout w:type="fixed"/>
                <w:tblLook w:val="04A0"/>
              </w:tblPrEx>
              <w:trPr>
                <w:trHeight w:val="114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35DC0E51" w14:textId="77777777">
                  <w:pPr>
                    <w:rPr>
                      <w:color w:val="000000"/>
                      <w:sz w:val="20"/>
                    </w:rPr>
                  </w:pPr>
                  <w:r w:rsidRPr="002F1697">
                    <w:rPr>
                      <w:color w:val="000000"/>
                      <w:sz w:val="20"/>
                    </w:rPr>
                    <w:t>Report of Annual Performance Test Results via CEDRI or analogous electronic reporting</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561DFF08"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57CDCC4B"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0D2332CA"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1A60252F"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757F3F95"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2DB72A38"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66DB802E"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DD15CC0" w14:textId="77777777">
                  <w:pPr>
                    <w:jc w:val="right"/>
                    <w:rPr>
                      <w:color w:val="000000"/>
                      <w:sz w:val="20"/>
                    </w:rPr>
                  </w:pPr>
                  <w:r w:rsidRPr="002F1697">
                    <w:rPr>
                      <w:color w:val="000000"/>
                      <w:sz w:val="20"/>
                    </w:rPr>
                    <w:t xml:space="preserve">$0.00 </w:t>
                  </w:r>
                </w:p>
              </w:tc>
            </w:tr>
            <w:tr w14:paraId="4573C7E6" w14:textId="77777777" w:rsidTr="002F1697">
              <w:tblPrEx>
                <w:tblW w:w="12460" w:type="dxa"/>
                <w:tblLayout w:type="fixed"/>
                <w:tblLook w:val="04A0"/>
              </w:tblPrEx>
              <w:trPr>
                <w:trHeight w:val="433"/>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2F587485" w14:textId="77777777">
                  <w:pPr>
                    <w:rPr>
                      <w:color w:val="000000"/>
                      <w:sz w:val="20"/>
                    </w:rPr>
                  </w:pPr>
                  <w:r w:rsidRPr="002F1697">
                    <w:rPr>
                      <w:color w:val="000000"/>
                      <w:sz w:val="20"/>
                    </w:rPr>
                    <w:t>Notification of Demonstration of CPMS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6F7ADE11"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57A62484"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1BD3BCFD"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2505F201"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7021DDC3"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5E457407"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298129DB"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5B2F6CF5" w14:textId="77777777">
                  <w:pPr>
                    <w:jc w:val="right"/>
                    <w:rPr>
                      <w:color w:val="000000"/>
                      <w:sz w:val="20"/>
                    </w:rPr>
                  </w:pPr>
                  <w:r w:rsidRPr="002F1697">
                    <w:rPr>
                      <w:color w:val="000000"/>
                      <w:sz w:val="20"/>
                    </w:rPr>
                    <w:t xml:space="preserve">$0.00 </w:t>
                  </w:r>
                </w:p>
              </w:tc>
            </w:tr>
            <w:tr w14:paraId="350473F2" w14:textId="77777777" w:rsidTr="002F1697">
              <w:tblPrEx>
                <w:tblW w:w="12460" w:type="dxa"/>
                <w:tblLayout w:type="fixed"/>
                <w:tblLook w:val="04A0"/>
              </w:tblPrEx>
              <w:trPr>
                <w:trHeight w:val="493"/>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05C894AE" w14:textId="77777777">
                  <w:pPr>
                    <w:rPr>
                      <w:color w:val="000000"/>
                      <w:sz w:val="20"/>
                    </w:rPr>
                  </w:pPr>
                  <w:r w:rsidRPr="002F1697">
                    <w:rPr>
                      <w:color w:val="000000"/>
                      <w:sz w:val="20"/>
                    </w:rPr>
                    <w:t>Notification of Initial Performance Evaluation of CPMS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7AFC8DAE"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45D44E70"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7CD1ECD6"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1C77B8E4"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37FCD314"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793A6E58"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51A81C21"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394C0910" w14:textId="77777777">
                  <w:pPr>
                    <w:jc w:val="right"/>
                    <w:rPr>
                      <w:color w:val="000000"/>
                      <w:sz w:val="20"/>
                    </w:rPr>
                  </w:pPr>
                  <w:r w:rsidRPr="002F1697">
                    <w:rPr>
                      <w:color w:val="000000"/>
                      <w:sz w:val="20"/>
                    </w:rPr>
                    <w:t xml:space="preserve">$0.00 </w:t>
                  </w:r>
                </w:p>
              </w:tc>
            </w:tr>
            <w:tr w14:paraId="5EEA701E" w14:textId="77777777" w:rsidTr="002F1697">
              <w:tblPrEx>
                <w:tblW w:w="12460" w:type="dxa"/>
                <w:tblLayout w:type="fixed"/>
                <w:tblLook w:val="04A0"/>
              </w:tblPrEx>
              <w:trPr>
                <w:trHeight w:val="45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06E0C92F" w14:textId="77777777">
                  <w:pPr>
                    <w:rPr>
                      <w:color w:val="000000"/>
                      <w:sz w:val="20"/>
                    </w:rPr>
                  </w:pPr>
                  <w:r w:rsidRPr="002F1697">
                    <w:rPr>
                      <w:color w:val="000000"/>
                      <w:sz w:val="20"/>
                    </w:rPr>
                    <w:t>Report of Initial Performance Evaluation of CPMS Test Results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7892C160"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31116DA5"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04A830D5"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4365FF58"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3B01B400"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4B634675"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3A92C3E8"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2B72671C" w14:textId="77777777">
                  <w:pPr>
                    <w:jc w:val="right"/>
                    <w:rPr>
                      <w:color w:val="000000"/>
                      <w:sz w:val="20"/>
                    </w:rPr>
                  </w:pPr>
                  <w:r w:rsidRPr="002F1697">
                    <w:rPr>
                      <w:color w:val="000000"/>
                      <w:sz w:val="20"/>
                    </w:rPr>
                    <w:t xml:space="preserve">$0.00 </w:t>
                  </w:r>
                </w:p>
              </w:tc>
            </w:tr>
            <w:tr w14:paraId="121A030B" w14:textId="77777777" w:rsidTr="002F1697">
              <w:tblPrEx>
                <w:tblW w:w="12460" w:type="dxa"/>
                <w:tblLayout w:type="fixed"/>
                <w:tblLook w:val="04A0"/>
              </w:tblPrEx>
              <w:trPr>
                <w:trHeight w:val="45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62DC0BA8" w14:textId="77777777">
                  <w:pPr>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2EB8274A"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69C81401" w14:textId="77777777">
                  <w:pPr>
                    <w:jc w:val="center"/>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3BB44733" w14:textId="77777777">
                  <w:pPr>
                    <w:jc w:val="center"/>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0E1C4B65" w14:textId="77777777">
                  <w:pPr>
                    <w:jc w:val="center"/>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6E850953" w14:textId="77777777">
                  <w:pPr>
                    <w:jc w:val="center"/>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00C3B8BB" w14:textId="77777777">
                  <w:pPr>
                    <w:jc w:val="center"/>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6F928FE8" w14:textId="77777777">
                  <w:pPr>
                    <w:jc w:val="center"/>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64A7BD67" w14:textId="77777777">
                  <w:pPr>
                    <w:jc w:val="right"/>
                    <w:rPr>
                      <w:color w:val="000000"/>
                      <w:sz w:val="20"/>
                    </w:rPr>
                  </w:pPr>
                  <w:r w:rsidRPr="002F1697">
                    <w:rPr>
                      <w:color w:val="000000"/>
                      <w:sz w:val="20"/>
                    </w:rPr>
                    <w:t> </w:t>
                  </w:r>
                </w:p>
              </w:tc>
            </w:tr>
            <w:tr w14:paraId="3FA67F7C" w14:textId="77777777" w:rsidTr="002F1697">
              <w:tblPrEx>
                <w:tblW w:w="12460" w:type="dxa"/>
                <w:tblLayout w:type="fixed"/>
                <w:tblLook w:val="04A0"/>
              </w:tblPrEx>
              <w:trPr>
                <w:trHeight w:val="130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0AF382AF" w14:textId="77777777">
                  <w:pPr>
                    <w:rPr>
                      <w:color w:val="000000"/>
                      <w:sz w:val="20"/>
                    </w:rPr>
                  </w:pPr>
                  <w:r w:rsidRPr="002F1697">
                    <w:rPr>
                      <w:color w:val="000000"/>
                      <w:sz w:val="20"/>
                    </w:rPr>
                    <w:t>Report of Annual Performance Test Results and Annual Report combined via CEDRI or analogous electronic reporting</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3AE92434"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1D1EB450"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3DF8173C"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71A03F25"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2BA3734A"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388AB9AC"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3D01C284"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790234A" w14:textId="77777777">
                  <w:pPr>
                    <w:jc w:val="right"/>
                    <w:rPr>
                      <w:color w:val="000000"/>
                      <w:sz w:val="20"/>
                    </w:rPr>
                  </w:pPr>
                  <w:r w:rsidRPr="002F1697">
                    <w:rPr>
                      <w:color w:val="000000"/>
                      <w:sz w:val="20"/>
                    </w:rPr>
                    <w:t xml:space="preserve">$0.00 </w:t>
                  </w:r>
                </w:p>
              </w:tc>
            </w:tr>
            <w:tr w14:paraId="4354FC6B" w14:textId="77777777" w:rsidTr="002F1697">
              <w:tblPrEx>
                <w:tblW w:w="12460" w:type="dxa"/>
                <w:tblLayout w:type="fixed"/>
                <w:tblLook w:val="04A0"/>
              </w:tblPrEx>
              <w:trPr>
                <w:trHeight w:val="54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71759B53" w14:textId="77777777">
                  <w:pPr>
                    <w:rPr>
                      <w:b/>
                      <w:bCs/>
                      <w:i/>
                      <w:iCs/>
                      <w:color w:val="000000"/>
                      <w:sz w:val="20"/>
                    </w:rPr>
                  </w:pPr>
                  <w:r w:rsidRPr="002F1697">
                    <w:rPr>
                      <w:b/>
                      <w:bCs/>
                      <w:i/>
                      <w:iCs/>
                      <w:color w:val="000000"/>
                      <w:sz w:val="20"/>
                    </w:rPr>
                    <w:t>Subtotal for Reporting Requirements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47D4B2D7" w14:textId="77777777">
                  <w:pPr>
                    <w:jc w:val="right"/>
                    <w:rPr>
                      <w:b/>
                      <w:bCs/>
                      <w:i/>
                      <w:iCs/>
                      <w:color w:val="000000"/>
                      <w:sz w:val="20"/>
                    </w:rPr>
                  </w:pPr>
                  <w:r w:rsidRPr="002F1697">
                    <w:rPr>
                      <w:b/>
                      <w:bCs/>
                      <w:i/>
                      <w:i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45DDCD54" w14:textId="77777777">
                  <w:pPr>
                    <w:jc w:val="right"/>
                    <w:rPr>
                      <w:b/>
                      <w:bCs/>
                      <w:i/>
                      <w:iCs/>
                      <w:sz w:val="20"/>
                    </w:rPr>
                  </w:pPr>
                  <w:r w:rsidRPr="002F1697">
                    <w:rPr>
                      <w:b/>
                      <w:bCs/>
                      <w:i/>
                      <w:i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691AE695" w14:textId="77777777">
                  <w:pPr>
                    <w:jc w:val="right"/>
                    <w:rPr>
                      <w:b/>
                      <w:bCs/>
                      <w:i/>
                      <w:iCs/>
                      <w:color w:val="000000"/>
                      <w:sz w:val="20"/>
                    </w:rPr>
                  </w:pPr>
                  <w:r w:rsidRPr="002F1697">
                    <w:rPr>
                      <w:b/>
                      <w:bCs/>
                      <w:i/>
                      <w:iCs/>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480CBE84" w14:textId="77777777">
                  <w:pPr>
                    <w:jc w:val="right"/>
                    <w:rPr>
                      <w:b/>
                      <w:bCs/>
                      <w:i/>
                      <w:iCs/>
                      <w:sz w:val="20"/>
                    </w:rPr>
                  </w:pPr>
                  <w:r w:rsidRPr="002F1697">
                    <w:rPr>
                      <w:b/>
                      <w:bCs/>
                      <w:i/>
                      <w:iCs/>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2BF5A65F" w14:textId="77777777">
                  <w:pPr>
                    <w:jc w:val="center"/>
                    <w:rPr>
                      <w:b/>
                      <w:bCs/>
                      <w:i/>
                      <w:iCs/>
                      <w:color w:val="000000"/>
                      <w:sz w:val="20"/>
                    </w:rPr>
                  </w:pPr>
                  <w:r w:rsidRPr="002F1697">
                    <w:rPr>
                      <w:b/>
                      <w:bCs/>
                      <w:i/>
                      <w:iCs/>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09FC4AE1" w14:textId="77777777">
                  <w:pPr>
                    <w:jc w:val="center"/>
                    <w:rPr>
                      <w:b/>
                      <w:bCs/>
                      <w:i/>
                      <w:iCs/>
                      <w:color w:val="000000"/>
                      <w:sz w:val="20"/>
                    </w:rPr>
                  </w:pPr>
                  <w:r w:rsidRPr="002F1697">
                    <w:rPr>
                      <w:b/>
                      <w:bCs/>
                      <w:i/>
                      <w:iCs/>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2ED14E57" w14:textId="77777777">
                  <w:pPr>
                    <w:jc w:val="center"/>
                    <w:rPr>
                      <w:b/>
                      <w:bCs/>
                      <w:i/>
                      <w:iCs/>
                      <w:color w:val="000000"/>
                      <w:sz w:val="20"/>
                    </w:rPr>
                  </w:pPr>
                  <w:r w:rsidRPr="002F1697">
                    <w:rPr>
                      <w:b/>
                      <w:bCs/>
                      <w:i/>
                      <w:iCs/>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2EB726B7" w14:textId="77777777">
                  <w:pPr>
                    <w:jc w:val="right"/>
                    <w:rPr>
                      <w:b/>
                      <w:bCs/>
                      <w:i/>
                      <w:iCs/>
                      <w:color w:val="000000"/>
                      <w:sz w:val="20"/>
                    </w:rPr>
                  </w:pPr>
                  <w:r w:rsidRPr="002F1697">
                    <w:rPr>
                      <w:b/>
                      <w:bCs/>
                      <w:i/>
                      <w:iCs/>
                      <w:color w:val="000000"/>
                      <w:sz w:val="20"/>
                    </w:rPr>
                    <w:t xml:space="preserve">$0 </w:t>
                  </w:r>
                </w:p>
              </w:tc>
            </w:tr>
            <w:tr w14:paraId="192764E2" w14:textId="77777777" w:rsidTr="002F1697">
              <w:tblPrEx>
                <w:tblW w:w="12460" w:type="dxa"/>
                <w:tblLayout w:type="fixed"/>
                <w:tblLook w:val="04A0"/>
              </w:tblPrEx>
              <w:trPr>
                <w:trHeight w:val="5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2E6468B8" w14:textId="77777777">
                  <w:pPr>
                    <w:rPr>
                      <w:color w:val="000000"/>
                      <w:sz w:val="20"/>
                    </w:rPr>
                  </w:pPr>
                  <w:r w:rsidRPr="002F1697">
                    <w:rPr>
                      <w:color w:val="000000"/>
                      <w:sz w:val="20"/>
                    </w:rPr>
                    <w:t>5. RECORDKEEPING REQUIREMENTS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5D121822" w14:textId="77777777">
                  <w:pPr>
                    <w:jc w:val="right"/>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1A34C086"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74CA84EE"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185A9DC4" w14:textId="77777777">
                  <w:pPr>
                    <w:jc w:val="right"/>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6763330E" w14:textId="77777777">
                  <w:pPr>
                    <w:jc w:val="right"/>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63AA8B88" w14:textId="77777777">
                  <w:pPr>
                    <w:jc w:val="right"/>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20B7CC61" w14:textId="77777777">
                  <w:pPr>
                    <w:jc w:val="right"/>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46287543" w14:textId="77777777">
                  <w:pPr>
                    <w:jc w:val="right"/>
                    <w:rPr>
                      <w:color w:val="000000"/>
                      <w:sz w:val="20"/>
                    </w:rPr>
                  </w:pPr>
                  <w:r w:rsidRPr="002F1697">
                    <w:rPr>
                      <w:color w:val="000000"/>
                      <w:sz w:val="20"/>
                    </w:rPr>
                    <w:t> </w:t>
                  </w:r>
                </w:p>
              </w:tc>
            </w:tr>
            <w:tr w14:paraId="55279333" w14:textId="77777777" w:rsidTr="002F1697">
              <w:tblPrEx>
                <w:tblW w:w="12460" w:type="dxa"/>
                <w:tblLayout w:type="fixed"/>
                <w:tblLook w:val="04A0"/>
              </w:tblPrEx>
              <w:trPr>
                <w:trHeight w:val="5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1755E7E7" w14:textId="77777777">
                  <w:pPr>
                    <w:rPr>
                      <w:color w:val="000000"/>
                      <w:sz w:val="20"/>
                    </w:rPr>
                  </w:pPr>
                  <w:r w:rsidRPr="002F1697">
                    <w:rPr>
                      <w:color w:val="000000"/>
                      <w:sz w:val="20"/>
                    </w:rPr>
                    <w:t>A. Familiarize with regulatory requirement</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55AE4C6D"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1AB6E4B1"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75700DC6"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66CD5CF6" w14:textId="77777777">
                  <w:pPr>
                    <w:jc w:val="right"/>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6F744944" w14:textId="77777777">
                  <w:pPr>
                    <w:jc w:val="right"/>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5B2BB83A" w14:textId="77777777">
                  <w:pPr>
                    <w:jc w:val="right"/>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37477318" w14:textId="77777777">
                  <w:pPr>
                    <w:jc w:val="right"/>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4B173A62" w14:textId="77777777">
                  <w:pPr>
                    <w:jc w:val="right"/>
                    <w:rPr>
                      <w:color w:val="000000"/>
                      <w:sz w:val="20"/>
                    </w:rPr>
                  </w:pPr>
                  <w:r w:rsidRPr="002F1697">
                    <w:rPr>
                      <w:color w:val="000000"/>
                      <w:sz w:val="20"/>
                    </w:rPr>
                    <w:t> </w:t>
                  </w:r>
                </w:p>
              </w:tc>
            </w:tr>
            <w:tr w14:paraId="6B7D2AC8" w14:textId="77777777" w:rsidTr="002F1697">
              <w:tblPrEx>
                <w:tblW w:w="12460" w:type="dxa"/>
                <w:tblLayout w:type="fixed"/>
                <w:tblLook w:val="04A0"/>
              </w:tblPrEx>
              <w:trPr>
                <w:trHeight w:val="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6A46DDF2" w14:textId="77777777">
                  <w:pPr>
                    <w:rPr>
                      <w:color w:val="000000"/>
                      <w:sz w:val="20"/>
                    </w:rPr>
                  </w:pPr>
                  <w:r w:rsidRPr="002F1697">
                    <w:rPr>
                      <w:color w:val="000000"/>
                      <w:sz w:val="20"/>
                    </w:rPr>
                    <w:t xml:space="preserve">B. Plan Activities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3BBD85A0"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70BC1680"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7AB8225C"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050B18FD" w14:textId="77777777">
                  <w:pPr>
                    <w:jc w:val="right"/>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15CA553D" w14:textId="77777777">
                  <w:pPr>
                    <w:jc w:val="right"/>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0E34C8E6" w14:textId="77777777">
                  <w:pPr>
                    <w:jc w:val="right"/>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1A0BDAD3" w14:textId="77777777">
                  <w:pPr>
                    <w:jc w:val="right"/>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53D69E21" w14:textId="77777777">
                  <w:pPr>
                    <w:jc w:val="right"/>
                    <w:rPr>
                      <w:color w:val="000000"/>
                      <w:sz w:val="20"/>
                    </w:rPr>
                  </w:pPr>
                  <w:r w:rsidRPr="002F1697">
                    <w:rPr>
                      <w:color w:val="000000"/>
                      <w:sz w:val="20"/>
                    </w:rPr>
                    <w:t> </w:t>
                  </w:r>
                </w:p>
              </w:tc>
            </w:tr>
            <w:tr w14:paraId="7FC418B8" w14:textId="77777777" w:rsidTr="002F1697">
              <w:tblPrEx>
                <w:tblW w:w="12460" w:type="dxa"/>
                <w:tblLayout w:type="fixed"/>
                <w:tblLook w:val="04A0"/>
              </w:tblPrEx>
              <w:trPr>
                <w:trHeight w:val="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3BDF2FD8" w14:textId="77777777">
                  <w:pPr>
                    <w:rPr>
                      <w:color w:val="000000"/>
                      <w:sz w:val="20"/>
                    </w:rPr>
                  </w:pPr>
                  <w:r w:rsidRPr="002F1697">
                    <w:rPr>
                      <w:color w:val="000000"/>
                      <w:sz w:val="20"/>
                    </w:rPr>
                    <w:t xml:space="preserve">C. Implement Activities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7C3B4E9A"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0A4361AF"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5607343D"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6D6BF4CE" w14:textId="77777777">
                  <w:pPr>
                    <w:jc w:val="right"/>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619B6B36" w14:textId="77777777">
                  <w:pPr>
                    <w:jc w:val="right"/>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226CD182" w14:textId="77777777">
                  <w:pPr>
                    <w:jc w:val="right"/>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43AE285E" w14:textId="77777777">
                  <w:pPr>
                    <w:jc w:val="right"/>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B4F6436" w14:textId="77777777">
                  <w:pPr>
                    <w:jc w:val="right"/>
                    <w:rPr>
                      <w:color w:val="000000"/>
                      <w:sz w:val="20"/>
                    </w:rPr>
                  </w:pPr>
                  <w:r w:rsidRPr="002F1697">
                    <w:rPr>
                      <w:color w:val="000000"/>
                      <w:sz w:val="20"/>
                    </w:rPr>
                    <w:t> </w:t>
                  </w:r>
                </w:p>
              </w:tc>
            </w:tr>
            <w:tr w14:paraId="20282BF5" w14:textId="77777777" w:rsidTr="002F1697">
              <w:tblPrEx>
                <w:tblW w:w="12460" w:type="dxa"/>
                <w:tblLayout w:type="fixed"/>
                <w:tblLook w:val="04A0"/>
              </w:tblPrEx>
              <w:trPr>
                <w:trHeight w:val="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20F55863" w14:textId="77777777">
                  <w:pPr>
                    <w:rPr>
                      <w:color w:val="000000"/>
                      <w:sz w:val="20"/>
                    </w:rPr>
                  </w:pPr>
                  <w:r w:rsidRPr="002F1697">
                    <w:rPr>
                      <w:color w:val="000000"/>
                      <w:sz w:val="20"/>
                    </w:rPr>
                    <w:t xml:space="preserve">D. Record Data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7F4C8615" w14:textId="77777777">
                  <w:pPr>
                    <w:jc w:val="center"/>
                    <w:rPr>
                      <w:color w:val="000000"/>
                      <w:sz w:val="20"/>
                    </w:rPr>
                  </w:pPr>
                  <w:r w:rsidRPr="002F1697">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35C0D5B5"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41D340D1"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606A7761" w14:textId="77777777">
                  <w:pPr>
                    <w:jc w:val="right"/>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6F729BD4" w14:textId="77777777">
                  <w:pPr>
                    <w:jc w:val="right"/>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1AD0FAD2" w14:textId="77777777">
                  <w:pPr>
                    <w:jc w:val="right"/>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5E3305DB" w14:textId="77777777">
                  <w:pPr>
                    <w:jc w:val="right"/>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66748BE8" w14:textId="77777777">
                  <w:pPr>
                    <w:jc w:val="right"/>
                    <w:rPr>
                      <w:color w:val="000000"/>
                      <w:sz w:val="20"/>
                    </w:rPr>
                  </w:pPr>
                  <w:r w:rsidRPr="002F1697">
                    <w:rPr>
                      <w:color w:val="000000"/>
                      <w:sz w:val="20"/>
                    </w:rPr>
                    <w:t> </w:t>
                  </w:r>
                </w:p>
              </w:tc>
            </w:tr>
            <w:tr w14:paraId="426A346B" w14:textId="77777777" w:rsidTr="002F1697">
              <w:tblPrEx>
                <w:tblW w:w="12460" w:type="dxa"/>
                <w:tblLayout w:type="fixed"/>
                <w:tblLook w:val="04A0"/>
              </w:tblPrEx>
              <w:trPr>
                <w:trHeight w:val="5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402B2654" w14:textId="77777777">
                  <w:pPr>
                    <w:rPr>
                      <w:color w:val="000000"/>
                      <w:sz w:val="20"/>
                    </w:rPr>
                  </w:pPr>
                  <w:r w:rsidRPr="002F1697">
                    <w:rPr>
                      <w:color w:val="000000"/>
                      <w:sz w:val="20"/>
                    </w:rPr>
                    <w:t>E. Time to Transmit or Disclose Information</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526A3390" w14:textId="77777777">
                  <w:pPr>
                    <w:jc w:val="right"/>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4F490D5A"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40922111"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410B6E2E" w14:textId="77777777">
                  <w:pPr>
                    <w:jc w:val="right"/>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6E8EAEDA" w14:textId="77777777">
                  <w:pPr>
                    <w:jc w:val="right"/>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72D6E0B8" w14:textId="77777777">
                  <w:pPr>
                    <w:jc w:val="right"/>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3877F90B" w14:textId="77777777">
                  <w:pPr>
                    <w:jc w:val="right"/>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6D99DAC2" w14:textId="77777777">
                  <w:pPr>
                    <w:jc w:val="right"/>
                    <w:rPr>
                      <w:color w:val="000000"/>
                      <w:sz w:val="20"/>
                    </w:rPr>
                  </w:pPr>
                  <w:r w:rsidRPr="002F1697">
                    <w:rPr>
                      <w:color w:val="000000"/>
                      <w:sz w:val="20"/>
                    </w:rPr>
                    <w:t> </w:t>
                  </w:r>
                </w:p>
              </w:tc>
            </w:tr>
            <w:tr w14:paraId="56D7A67B" w14:textId="77777777" w:rsidTr="002F1697">
              <w:tblPrEx>
                <w:tblW w:w="12460" w:type="dxa"/>
                <w:tblLayout w:type="fixed"/>
                <w:tblLook w:val="04A0"/>
              </w:tblPrEx>
              <w:trPr>
                <w:trHeight w:val="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7F69D518" w14:textId="77777777">
                  <w:pPr>
                    <w:rPr>
                      <w:i/>
                      <w:iCs/>
                      <w:color w:val="000000"/>
                      <w:sz w:val="20"/>
                      <w:u w:val="single"/>
                    </w:rPr>
                  </w:pPr>
                  <w:r w:rsidRPr="002F1697">
                    <w:rPr>
                      <w:i/>
                      <w:iCs/>
                      <w:color w:val="000000"/>
                      <w:sz w:val="20"/>
                      <w:u w:val="single"/>
                    </w:rPr>
                    <w:t>Existing Sources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1A20ECF6" w14:textId="77777777">
                  <w:pPr>
                    <w:jc w:val="right"/>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7C2F5AED"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3FC033D4"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4B911E10" w14:textId="77777777">
                  <w:pPr>
                    <w:jc w:val="right"/>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193B21AF" w14:textId="77777777">
                  <w:pPr>
                    <w:jc w:val="right"/>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0C87F033" w14:textId="77777777">
                  <w:pPr>
                    <w:jc w:val="right"/>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56167BCA" w14:textId="77777777">
                  <w:pPr>
                    <w:jc w:val="right"/>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3797D51E" w14:textId="77777777">
                  <w:pPr>
                    <w:jc w:val="right"/>
                    <w:rPr>
                      <w:color w:val="000000"/>
                      <w:sz w:val="20"/>
                    </w:rPr>
                  </w:pPr>
                  <w:r w:rsidRPr="002F1697">
                    <w:rPr>
                      <w:color w:val="000000"/>
                      <w:sz w:val="20"/>
                    </w:rPr>
                    <w:t> </w:t>
                  </w:r>
                </w:p>
              </w:tc>
            </w:tr>
            <w:tr w14:paraId="4FB95D4C" w14:textId="77777777" w:rsidTr="002F1697">
              <w:tblPrEx>
                <w:tblW w:w="12460" w:type="dxa"/>
                <w:tblLayout w:type="fixed"/>
                <w:tblLook w:val="04A0"/>
              </w:tblPrEx>
              <w:trPr>
                <w:trHeight w:val="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2A1A9A92" w14:textId="77777777">
                  <w:pPr>
                    <w:rPr>
                      <w:color w:val="000000"/>
                      <w:sz w:val="20"/>
                    </w:rPr>
                  </w:pPr>
                  <w:r w:rsidRPr="002F1697">
                    <w:rPr>
                      <w:color w:val="000000"/>
                      <w:sz w:val="20"/>
                    </w:rPr>
                    <w:t>Data Collection</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59A89D5E"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34AA002E"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78D5C72A"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3C468A06"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7929D414"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54BA038B"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7F26C422"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D3F47FD" w14:textId="77777777">
                  <w:pPr>
                    <w:jc w:val="right"/>
                    <w:rPr>
                      <w:color w:val="000000"/>
                      <w:sz w:val="20"/>
                    </w:rPr>
                  </w:pPr>
                  <w:r w:rsidRPr="002F1697">
                    <w:rPr>
                      <w:color w:val="000000"/>
                      <w:sz w:val="20"/>
                    </w:rPr>
                    <w:t xml:space="preserve">$0.00 </w:t>
                  </w:r>
                </w:p>
              </w:tc>
            </w:tr>
            <w:tr w14:paraId="5E212697" w14:textId="77777777" w:rsidTr="002F1697">
              <w:tblPrEx>
                <w:tblW w:w="12460" w:type="dxa"/>
                <w:tblLayout w:type="fixed"/>
                <w:tblLook w:val="04A0"/>
              </w:tblPrEx>
              <w:trPr>
                <w:trHeight w:val="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153D02C8" w14:textId="77777777">
                  <w:pPr>
                    <w:rPr>
                      <w:color w:val="000000"/>
                      <w:sz w:val="20"/>
                    </w:rPr>
                  </w:pPr>
                  <w:r w:rsidRPr="002F1697">
                    <w:rPr>
                      <w:color w:val="000000"/>
                      <w:sz w:val="20"/>
                    </w:rPr>
                    <w:t>Records of Performance Tests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60A061C9"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03D43F87"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0095D9EA"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0FD59E82"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112E930F"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42CC5D69"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352854C2"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67485CE8" w14:textId="77777777">
                  <w:pPr>
                    <w:jc w:val="right"/>
                    <w:rPr>
                      <w:color w:val="000000"/>
                      <w:sz w:val="20"/>
                    </w:rPr>
                  </w:pPr>
                  <w:r w:rsidRPr="002F1697">
                    <w:rPr>
                      <w:color w:val="000000"/>
                      <w:sz w:val="20"/>
                    </w:rPr>
                    <w:t xml:space="preserve">$0.00 </w:t>
                  </w:r>
                </w:p>
              </w:tc>
            </w:tr>
            <w:tr w14:paraId="33B84D2A" w14:textId="77777777" w:rsidTr="002F1697">
              <w:tblPrEx>
                <w:tblW w:w="12460" w:type="dxa"/>
                <w:tblLayout w:type="fixed"/>
                <w:tblLook w:val="04A0"/>
              </w:tblPrEx>
              <w:trPr>
                <w:trHeight w:val="78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38D267CA" w14:textId="77777777">
                  <w:pPr>
                    <w:rPr>
                      <w:color w:val="000000"/>
                      <w:sz w:val="20"/>
                    </w:rPr>
                  </w:pPr>
                  <w:r w:rsidRPr="002F1697">
                    <w:rPr>
                      <w:color w:val="000000"/>
                      <w:sz w:val="20"/>
                    </w:rPr>
                    <w:t>Recordkeeping of NOx emission rate, operating days data, CPMS data</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7AE490AA"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2D8EB342"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567FBB39"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7D3E6826"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5E2E6FF7"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368A41CE"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710B44F7"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58619C5C" w14:textId="77777777">
                  <w:pPr>
                    <w:jc w:val="right"/>
                    <w:rPr>
                      <w:color w:val="000000"/>
                      <w:sz w:val="20"/>
                    </w:rPr>
                  </w:pPr>
                  <w:r w:rsidRPr="002F1697">
                    <w:rPr>
                      <w:color w:val="000000"/>
                      <w:sz w:val="20"/>
                    </w:rPr>
                    <w:t xml:space="preserve">$0.00 </w:t>
                  </w:r>
                </w:p>
              </w:tc>
            </w:tr>
            <w:tr w14:paraId="7A08ED20" w14:textId="77777777" w:rsidTr="002F1697">
              <w:tblPrEx>
                <w:tblW w:w="12460" w:type="dxa"/>
                <w:tblLayout w:type="fixed"/>
                <w:tblLook w:val="04A0"/>
              </w:tblPrEx>
              <w:trPr>
                <w:trHeight w:val="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407512A2" w14:textId="77777777">
                  <w:pPr>
                    <w:rPr>
                      <w:i/>
                      <w:iCs/>
                      <w:color w:val="000000"/>
                      <w:sz w:val="20"/>
                      <w:u w:val="single"/>
                    </w:rPr>
                  </w:pPr>
                  <w:r w:rsidRPr="002F1697">
                    <w:rPr>
                      <w:i/>
                      <w:iCs/>
                      <w:color w:val="000000"/>
                      <w:sz w:val="20"/>
                      <w:u w:val="single"/>
                    </w:rPr>
                    <w:t>New Sources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6658AA8A"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72935A3A" w14:textId="77777777">
                  <w:pPr>
                    <w:jc w:val="center"/>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19F96B11" w14:textId="77777777">
                  <w:pPr>
                    <w:jc w:val="center"/>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108D38BB" w14:textId="77777777">
                  <w:pPr>
                    <w:jc w:val="center"/>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14C61156" w14:textId="77777777">
                  <w:pPr>
                    <w:jc w:val="center"/>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0D93DAF3" w14:textId="77777777">
                  <w:pPr>
                    <w:jc w:val="center"/>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7C43536C" w14:textId="77777777">
                  <w:pPr>
                    <w:jc w:val="center"/>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3DE44A73" w14:textId="77777777">
                  <w:pPr>
                    <w:jc w:val="right"/>
                    <w:rPr>
                      <w:color w:val="000000"/>
                      <w:sz w:val="20"/>
                    </w:rPr>
                  </w:pPr>
                  <w:r w:rsidRPr="002F1697">
                    <w:rPr>
                      <w:color w:val="000000"/>
                      <w:sz w:val="20"/>
                    </w:rPr>
                    <w:t> </w:t>
                  </w:r>
                </w:p>
              </w:tc>
            </w:tr>
            <w:tr w14:paraId="6E373648" w14:textId="77777777" w:rsidTr="002F1697">
              <w:tblPrEx>
                <w:tblW w:w="12460" w:type="dxa"/>
                <w:tblLayout w:type="fixed"/>
                <w:tblLook w:val="04A0"/>
              </w:tblPrEx>
              <w:trPr>
                <w:trHeight w:val="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437DCC2D" w14:textId="77777777">
                  <w:pPr>
                    <w:rPr>
                      <w:color w:val="000000"/>
                      <w:sz w:val="20"/>
                    </w:rPr>
                  </w:pPr>
                  <w:r w:rsidRPr="002F1697">
                    <w:rPr>
                      <w:color w:val="000000"/>
                      <w:sz w:val="20"/>
                    </w:rPr>
                    <w:t>Data Collection</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4C0EB563"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6B51650A"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2C9E14D0"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479143DB"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2AE50FA9"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30969DD6"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1D31F39C"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205B6B7C" w14:textId="77777777">
                  <w:pPr>
                    <w:jc w:val="right"/>
                    <w:rPr>
                      <w:color w:val="000000"/>
                      <w:sz w:val="20"/>
                    </w:rPr>
                  </w:pPr>
                  <w:r w:rsidRPr="002F1697">
                    <w:rPr>
                      <w:color w:val="000000"/>
                      <w:sz w:val="20"/>
                    </w:rPr>
                    <w:t xml:space="preserve">$0 </w:t>
                  </w:r>
                </w:p>
              </w:tc>
            </w:tr>
            <w:tr w14:paraId="389D59CA" w14:textId="77777777" w:rsidTr="002F1697">
              <w:tblPrEx>
                <w:tblW w:w="12460" w:type="dxa"/>
                <w:tblLayout w:type="fixed"/>
                <w:tblLook w:val="04A0"/>
              </w:tblPrEx>
              <w:trPr>
                <w:trHeight w:val="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572A57E0" w14:textId="77777777">
                  <w:pPr>
                    <w:rPr>
                      <w:color w:val="000000"/>
                      <w:sz w:val="20"/>
                    </w:rPr>
                  </w:pPr>
                  <w:r w:rsidRPr="002F1697">
                    <w:rPr>
                      <w:color w:val="000000"/>
                      <w:sz w:val="20"/>
                    </w:rPr>
                    <w:t>Records of Performance Tests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E79FFA0"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79504908"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180EA2AF"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0483C0E9"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4D8C5A00"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1C65840D"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7D879639"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559B0F0D" w14:textId="77777777">
                  <w:pPr>
                    <w:jc w:val="right"/>
                    <w:rPr>
                      <w:color w:val="000000"/>
                      <w:sz w:val="20"/>
                    </w:rPr>
                  </w:pPr>
                  <w:r w:rsidRPr="002F1697">
                    <w:rPr>
                      <w:color w:val="000000"/>
                      <w:sz w:val="20"/>
                    </w:rPr>
                    <w:t xml:space="preserve">$0 </w:t>
                  </w:r>
                </w:p>
              </w:tc>
            </w:tr>
            <w:tr w14:paraId="025C55AF" w14:textId="77777777" w:rsidTr="002F1697">
              <w:tblPrEx>
                <w:tblW w:w="12460" w:type="dxa"/>
                <w:tblLayout w:type="fixed"/>
                <w:tblLook w:val="04A0"/>
              </w:tblPrEx>
              <w:trPr>
                <w:trHeight w:val="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078A5BB9" w14:textId="77777777">
                  <w:pPr>
                    <w:rPr>
                      <w:color w:val="000000"/>
                      <w:sz w:val="20"/>
                    </w:rPr>
                  </w:pPr>
                  <w:r w:rsidRPr="002F1697">
                    <w:rPr>
                      <w:color w:val="000000"/>
                      <w:sz w:val="20"/>
                    </w:rPr>
                    <w:t>CPMS Recordkeeping</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61ED8AAB"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70EDA061"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672E9668"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014D06A7"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0304D33E"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6B28A932"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11EFC6EF"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36AF6902" w14:textId="77777777">
                  <w:pPr>
                    <w:jc w:val="right"/>
                    <w:rPr>
                      <w:color w:val="000000"/>
                      <w:sz w:val="20"/>
                    </w:rPr>
                  </w:pPr>
                  <w:r w:rsidRPr="002F1697">
                    <w:rPr>
                      <w:color w:val="000000"/>
                      <w:sz w:val="20"/>
                    </w:rPr>
                    <w:t xml:space="preserve">$0 </w:t>
                  </w:r>
                </w:p>
              </w:tc>
            </w:tr>
            <w:tr w14:paraId="287D8BBC" w14:textId="77777777" w:rsidTr="002F1697">
              <w:tblPrEx>
                <w:tblW w:w="12460" w:type="dxa"/>
                <w:tblLayout w:type="fixed"/>
                <w:tblLook w:val="04A0"/>
              </w:tblPrEx>
              <w:trPr>
                <w:trHeight w:val="345"/>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2B4FD9E4" w14:textId="77777777">
                  <w:pPr>
                    <w:rPr>
                      <w:color w:val="000000"/>
                      <w:sz w:val="20"/>
                    </w:rPr>
                  </w:pPr>
                  <w:r w:rsidRPr="002F1697">
                    <w:rPr>
                      <w:color w:val="000000"/>
                      <w:sz w:val="20"/>
                    </w:rPr>
                    <w:t>F. Time to Train Personnel</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3166C5F7"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4EC55FCF"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04F96231"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6E38AB0B"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0F06BC83"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107A9647"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49E3ED78"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4819FFF7" w14:textId="77777777">
                  <w:pPr>
                    <w:jc w:val="right"/>
                    <w:rPr>
                      <w:color w:val="000000"/>
                      <w:sz w:val="20"/>
                    </w:rPr>
                  </w:pPr>
                  <w:r w:rsidRPr="002F1697">
                    <w:rPr>
                      <w:color w:val="000000"/>
                      <w:sz w:val="20"/>
                    </w:rPr>
                    <w:t xml:space="preserve">$0 </w:t>
                  </w:r>
                </w:p>
              </w:tc>
            </w:tr>
            <w:tr w14:paraId="34D9C47B" w14:textId="77777777" w:rsidTr="002F1697">
              <w:tblPrEx>
                <w:tblW w:w="12460" w:type="dxa"/>
                <w:tblLayout w:type="fixed"/>
                <w:tblLook w:val="04A0"/>
              </w:tblPrEx>
              <w:trPr>
                <w:trHeight w:val="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73667F70" w14:textId="77777777">
                  <w:pPr>
                    <w:rPr>
                      <w:color w:val="000000"/>
                      <w:sz w:val="20"/>
                    </w:rPr>
                  </w:pPr>
                  <w:r w:rsidRPr="002F1697">
                    <w:rPr>
                      <w:color w:val="000000"/>
                      <w:sz w:val="20"/>
                    </w:rPr>
                    <w:t xml:space="preserve">G. Time for Audits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3E33EB37" w14:textId="77777777">
                  <w:pPr>
                    <w:jc w:val="center"/>
                    <w:rPr>
                      <w:color w:val="000000"/>
                      <w:sz w:val="20"/>
                    </w:rPr>
                  </w:pPr>
                  <w:r w:rsidRPr="002F1697">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68D37CD0"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14681D9E"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7944F902" w14:textId="77777777">
                  <w:pPr>
                    <w:jc w:val="right"/>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6611ADEC" w14:textId="77777777">
                  <w:pPr>
                    <w:jc w:val="right"/>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4F4A1BAA" w14:textId="77777777">
                  <w:pPr>
                    <w:jc w:val="right"/>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691415EF" w14:textId="77777777">
                  <w:pPr>
                    <w:jc w:val="right"/>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429A4F1C" w14:textId="77777777">
                  <w:pPr>
                    <w:jc w:val="right"/>
                    <w:rPr>
                      <w:color w:val="000000"/>
                      <w:sz w:val="20"/>
                    </w:rPr>
                  </w:pPr>
                  <w:r w:rsidRPr="002F1697">
                    <w:rPr>
                      <w:color w:val="000000"/>
                      <w:sz w:val="20"/>
                    </w:rPr>
                    <w:t> </w:t>
                  </w:r>
                </w:p>
              </w:tc>
            </w:tr>
            <w:tr w14:paraId="6EE26EFA" w14:textId="77777777" w:rsidTr="002F1697">
              <w:tblPrEx>
                <w:tblW w:w="12460" w:type="dxa"/>
                <w:tblLayout w:type="fixed"/>
                <w:tblLook w:val="04A0"/>
              </w:tblPrEx>
              <w:trPr>
                <w:trHeight w:val="54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21537E53" w14:textId="77777777">
                  <w:pPr>
                    <w:rPr>
                      <w:b/>
                      <w:bCs/>
                      <w:i/>
                      <w:iCs/>
                      <w:color w:val="000000"/>
                      <w:sz w:val="20"/>
                    </w:rPr>
                  </w:pPr>
                  <w:r w:rsidRPr="002F1697">
                    <w:rPr>
                      <w:b/>
                      <w:bCs/>
                      <w:i/>
                      <w:iCs/>
                      <w:color w:val="000000"/>
                      <w:sz w:val="20"/>
                    </w:rPr>
                    <w:t>Subtotal for Recordkeeping Requirements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1B21EF40" w14:textId="77777777">
                  <w:pPr>
                    <w:jc w:val="right"/>
                    <w:rPr>
                      <w:b/>
                      <w:bCs/>
                      <w:i/>
                      <w:iCs/>
                      <w:color w:val="000000"/>
                      <w:sz w:val="20"/>
                    </w:rPr>
                  </w:pPr>
                  <w:r w:rsidRPr="002F1697">
                    <w:rPr>
                      <w:b/>
                      <w:bCs/>
                      <w:i/>
                      <w:i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7FE42D75" w14:textId="77777777">
                  <w:pPr>
                    <w:jc w:val="right"/>
                    <w:rPr>
                      <w:b/>
                      <w:bCs/>
                      <w:i/>
                      <w:iCs/>
                      <w:sz w:val="20"/>
                    </w:rPr>
                  </w:pPr>
                  <w:r w:rsidRPr="002F1697">
                    <w:rPr>
                      <w:b/>
                      <w:bCs/>
                      <w:i/>
                      <w:i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6FB0DF15" w14:textId="77777777">
                  <w:pPr>
                    <w:jc w:val="right"/>
                    <w:rPr>
                      <w:b/>
                      <w:bCs/>
                      <w:i/>
                      <w:iCs/>
                      <w:color w:val="000000"/>
                      <w:sz w:val="20"/>
                    </w:rPr>
                  </w:pPr>
                  <w:r w:rsidRPr="002F1697">
                    <w:rPr>
                      <w:b/>
                      <w:bCs/>
                      <w:i/>
                      <w:iCs/>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6F6B12F3" w14:textId="77777777">
                  <w:pPr>
                    <w:jc w:val="right"/>
                    <w:rPr>
                      <w:b/>
                      <w:bCs/>
                      <w:i/>
                      <w:iCs/>
                      <w:sz w:val="20"/>
                    </w:rPr>
                  </w:pPr>
                  <w:r w:rsidRPr="002F1697">
                    <w:rPr>
                      <w:b/>
                      <w:bCs/>
                      <w:i/>
                      <w:iCs/>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79C2EAE3" w14:textId="77777777">
                  <w:pPr>
                    <w:jc w:val="center"/>
                    <w:rPr>
                      <w:b/>
                      <w:bCs/>
                      <w:i/>
                      <w:iCs/>
                      <w:color w:val="000000"/>
                      <w:sz w:val="20"/>
                    </w:rPr>
                  </w:pPr>
                  <w:r w:rsidRPr="002F1697">
                    <w:rPr>
                      <w:b/>
                      <w:bCs/>
                      <w:i/>
                      <w:iCs/>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45B9F4FC" w14:textId="77777777">
                  <w:pPr>
                    <w:jc w:val="center"/>
                    <w:rPr>
                      <w:b/>
                      <w:bCs/>
                      <w:i/>
                      <w:iCs/>
                      <w:color w:val="000000"/>
                      <w:sz w:val="20"/>
                    </w:rPr>
                  </w:pPr>
                  <w:r w:rsidRPr="002F1697">
                    <w:rPr>
                      <w:b/>
                      <w:bCs/>
                      <w:i/>
                      <w:iCs/>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09F83E64" w14:textId="77777777">
                  <w:pPr>
                    <w:jc w:val="center"/>
                    <w:rPr>
                      <w:b/>
                      <w:bCs/>
                      <w:i/>
                      <w:iCs/>
                      <w:color w:val="000000"/>
                      <w:sz w:val="20"/>
                    </w:rPr>
                  </w:pPr>
                  <w:r w:rsidRPr="002F1697">
                    <w:rPr>
                      <w:b/>
                      <w:bCs/>
                      <w:i/>
                      <w:iCs/>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137E49D0" w14:textId="77777777">
                  <w:pPr>
                    <w:jc w:val="right"/>
                    <w:rPr>
                      <w:b/>
                      <w:bCs/>
                      <w:i/>
                      <w:iCs/>
                      <w:color w:val="000000"/>
                      <w:sz w:val="20"/>
                    </w:rPr>
                  </w:pPr>
                  <w:r w:rsidRPr="002F1697">
                    <w:rPr>
                      <w:b/>
                      <w:bCs/>
                      <w:i/>
                      <w:iCs/>
                      <w:color w:val="000000"/>
                      <w:sz w:val="20"/>
                    </w:rPr>
                    <w:t xml:space="preserve">$0 </w:t>
                  </w:r>
                </w:p>
              </w:tc>
            </w:tr>
            <w:tr w14:paraId="47F5D9FE" w14:textId="77777777" w:rsidTr="002F1697">
              <w:tblPrEx>
                <w:tblW w:w="12460" w:type="dxa"/>
                <w:tblLayout w:type="fixed"/>
                <w:tblLook w:val="04A0"/>
              </w:tblPrEx>
              <w:trPr>
                <w:trHeight w:val="5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7FC8526B" w14:textId="77777777">
                  <w:pPr>
                    <w:rPr>
                      <w:b/>
                      <w:bCs/>
                      <w:color w:val="000000"/>
                      <w:sz w:val="20"/>
                    </w:rPr>
                  </w:pPr>
                  <w:r w:rsidRPr="002F1697">
                    <w:rPr>
                      <w:b/>
                      <w:bCs/>
                      <w:color w:val="000000"/>
                      <w:sz w:val="20"/>
                    </w:rPr>
                    <w:t xml:space="preserve">Total Labor Burden and Cost (rounded) </w:t>
                  </w:r>
                  <w:r w:rsidRPr="002F1697">
                    <w:rPr>
                      <w:b/>
                      <w:bCs/>
                      <w:color w:val="000000"/>
                      <w:sz w:val="20"/>
                      <w:vertAlign w:val="superscript"/>
                    </w:rPr>
                    <w:t>e</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430EDEC3" w14:textId="77777777">
                  <w:pPr>
                    <w:jc w:val="right"/>
                    <w:rPr>
                      <w:b/>
                      <w:bCs/>
                      <w:color w:val="000000"/>
                      <w:sz w:val="20"/>
                    </w:rPr>
                  </w:pPr>
                  <w:r w:rsidRPr="002F1697">
                    <w:rPr>
                      <w:b/>
                      <w:b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2C84BD7A" w14:textId="77777777">
                  <w:pPr>
                    <w:jc w:val="center"/>
                    <w:rPr>
                      <w:b/>
                      <w:bCs/>
                      <w:sz w:val="20"/>
                    </w:rPr>
                  </w:pPr>
                  <w:r w:rsidRPr="002F1697">
                    <w:rPr>
                      <w:b/>
                      <w:b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7B65B49A" w14:textId="77777777">
                  <w:pPr>
                    <w:jc w:val="right"/>
                    <w:rPr>
                      <w:b/>
                      <w:bCs/>
                      <w:color w:val="000000"/>
                      <w:sz w:val="20"/>
                    </w:rPr>
                  </w:pPr>
                  <w:r w:rsidRPr="002F1697">
                    <w:rPr>
                      <w:b/>
                      <w:bCs/>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07CE7C7F" w14:textId="77777777">
                  <w:pPr>
                    <w:jc w:val="right"/>
                    <w:rPr>
                      <w:b/>
                      <w:bCs/>
                      <w:sz w:val="20"/>
                    </w:rPr>
                  </w:pPr>
                  <w:r w:rsidRPr="002F1697">
                    <w:rPr>
                      <w:b/>
                      <w:bCs/>
                      <w:sz w:val="20"/>
                    </w:rPr>
                    <w:t> </w:t>
                  </w:r>
                </w:p>
              </w:tc>
              <w:tc>
                <w:tcPr>
                  <w:tcW w:w="3700" w:type="dxa"/>
                  <w:gridSpan w:val="3"/>
                  <w:tcBorders>
                    <w:top w:val="single" w:sz="4" w:space="0" w:color="auto"/>
                    <w:left w:val="nil"/>
                    <w:bottom w:val="single" w:sz="4" w:space="0" w:color="auto"/>
                    <w:right w:val="single" w:sz="4" w:space="0" w:color="auto"/>
                  </w:tcBorders>
                  <w:shd w:val="clear" w:color="auto" w:fill="auto"/>
                  <w:vAlign w:val="center"/>
                  <w:hideMark/>
                </w:tcPr>
                <w:p w:rsidR="002F1697" w:rsidRPr="002F1697" w:rsidP="002F1697" w14:paraId="178AD40E" w14:textId="77777777">
                  <w:pPr>
                    <w:jc w:val="center"/>
                    <w:rPr>
                      <w:b/>
                      <w:bCs/>
                      <w:color w:val="000000"/>
                      <w:sz w:val="20"/>
                    </w:rPr>
                  </w:pPr>
                  <w:r w:rsidRPr="002F1697">
                    <w:rPr>
                      <w:b/>
                      <w:bCs/>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43F5CE3D" w14:textId="77777777">
                  <w:pPr>
                    <w:jc w:val="right"/>
                    <w:rPr>
                      <w:b/>
                      <w:bCs/>
                      <w:color w:val="000000"/>
                      <w:sz w:val="20"/>
                    </w:rPr>
                  </w:pPr>
                  <w:r w:rsidRPr="002F1697">
                    <w:rPr>
                      <w:b/>
                      <w:bCs/>
                      <w:color w:val="000000"/>
                      <w:sz w:val="20"/>
                    </w:rPr>
                    <w:t xml:space="preserve">$0 </w:t>
                  </w:r>
                </w:p>
              </w:tc>
            </w:tr>
            <w:tr w14:paraId="58BF0F7A" w14:textId="77777777" w:rsidTr="002F1697">
              <w:tblPrEx>
                <w:tblW w:w="12460" w:type="dxa"/>
                <w:tblLayout w:type="fixed"/>
                <w:tblLook w:val="04A0"/>
              </w:tblPrEx>
              <w:trPr>
                <w:trHeight w:val="5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3DB8CB54" w14:textId="77777777">
                  <w:pPr>
                    <w:rPr>
                      <w:b/>
                      <w:bCs/>
                      <w:sz w:val="20"/>
                    </w:rPr>
                  </w:pPr>
                  <w:r w:rsidRPr="002F1697">
                    <w:rPr>
                      <w:b/>
                      <w:bCs/>
                      <w:sz w:val="20"/>
                    </w:rPr>
                    <w:t xml:space="preserve">Total Capital and O&amp;M Cost (rounded) </w:t>
                  </w:r>
                  <w:r w:rsidRPr="002F1697">
                    <w:rPr>
                      <w:b/>
                      <w:bCs/>
                      <w:sz w:val="20"/>
                      <w:vertAlign w:val="superscript"/>
                    </w:rPr>
                    <w:t>e</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755D1820" w14:textId="77777777">
                  <w:pPr>
                    <w:jc w:val="right"/>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0F736FD3"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5A95B037"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3B962185" w14:textId="77777777">
                  <w:pPr>
                    <w:jc w:val="right"/>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0990C89B" w14:textId="77777777">
                  <w:pPr>
                    <w:jc w:val="right"/>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126C9B42" w14:textId="77777777">
                  <w:pPr>
                    <w:jc w:val="right"/>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6B8CE840" w14:textId="77777777">
                  <w:pPr>
                    <w:jc w:val="right"/>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17B6BEB6" w14:textId="77777777">
                  <w:pPr>
                    <w:jc w:val="right"/>
                    <w:rPr>
                      <w:b/>
                      <w:bCs/>
                      <w:color w:val="000000"/>
                      <w:sz w:val="20"/>
                    </w:rPr>
                  </w:pPr>
                  <w:r w:rsidRPr="002F1697">
                    <w:rPr>
                      <w:b/>
                      <w:bCs/>
                      <w:color w:val="000000"/>
                      <w:sz w:val="20"/>
                    </w:rPr>
                    <w:t> </w:t>
                  </w:r>
                </w:p>
              </w:tc>
            </w:tr>
            <w:tr w14:paraId="42FF59C3" w14:textId="77777777" w:rsidTr="002F1697">
              <w:tblPrEx>
                <w:tblW w:w="12460" w:type="dxa"/>
                <w:tblLayout w:type="fixed"/>
                <w:tblLook w:val="04A0"/>
              </w:tblPrEx>
              <w:trPr>
                <w:trHeight w:val="30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34C1A079" w14:textId="77777777">
                  <w:pPr>
                    <w:rPr>
                      <w:b/>
                      <w:bCs/>
                      <w:sz w:val="20"/>
                    </w:rPr>
                  </w:pPr>
                  <w:r w:rsidRPr="002F1697">
                    <w:rPr>
                      <w:b/>
                      <w:bCs/>
                      <w:sz w:val="20"/>
                    </w:rPr>
                    <w:t xml:space="preserve">Grand TOTAL (rounded) </w:t>
                  </w:r>
                  <w:r w:rsidRPr="002F1697">
                    <w:rPr>
                      <w:b/>
                      <w:bCs/>
                      <w:sz w:val="20"/>
                      <w:vertAlign w:val="superscript"/>
                    </w:rPr>
                    <w:t>e</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336240B" w14:textId="77777777">
                  <w:pPr>
                    <w:jc w:val="right"/>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4F11648E"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694B7C05"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0FE1B3E5" w14:textId="77777777">
                  <w:pPr>
                    <w:jc w:val="right"/>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60BF1721" w14:textId="77777777">
                  <w:pPr>
                    <w:jc w:val="right"/>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1DE73D02" w14:textId="77777777">
                  <w:pPr>
                    <w:jc w:val="right"/>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4B1C3E68" w14:textId="77777777">
                  <w:pPr>
                    <w:jc w:val="right"/>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1592FCF7" w14:textId="77777777">
                  <w:pPr>
                    <w:jc w:val="right"/>
                    <w:rPr>
                      <w:b/>
                      <w:bCs/>
                      <w:color w:val="000000"/>
                      <w:sz w:val="20"/>
                    </w:rPr>
                  </w:pPr>
                  <w:r w:rsidRPr="002F1697">
                    <w:rPr>
                      <w:b/>
                      <w:bCs/>
                      <w:color w:val="000000"/>
                      <w:sz w:val="20"/>
                    </w:rPr>
                    <w:t xml:space="preserve">$0 </w:t>
                  </w:r>
                </w:p>
              </w:tc>
            </w:tr>
            <w:tr w14:paraId="74421B2F" w14:textId="77777777" w:rsidTr="002F1697">
              <w:tblPrEx>
                <w:tblW w:w="12460" w:type="dxa"/>
                <w:tblLayout w:type="fixed"/>
                <w:tblLook w:val="04A0"/>
              </w:tblPrEx>
              <w:trPr>
                <w:trHeight w:val="210"/>
              </w:trPr>
              <w:tc>
                <w:tcPr>
                  <w:tcW w:w="2620" w:type="dxa"/>
                  <w:tcBorders>
                    <w:top w:val="nil"/>
                    <w:left w:val="nil"/>
                    <w:bottom w:val="nil"/>
                    <w:right w:val="nil"/>
                  </w:tcBorders>
                  <w:shd w:val="clear" w:color="auto" w:fill="auto"/>
                  <w:noWrap/>
                  <w:vAlign w:val="bottom"/>
                  <w:hideMark/>
                </w:tcPr>
                <w:p w:rsidR="002F1697" w:rsidRPr="002F1697" w:rsidP="002F1697" w14:paraId="592352FF" w14:textId="77777777">
                  <w:pPr>
                    <w:jc w:val="right"/>
                    <w:rPr>
                      <w:b/>
                      <w:bCs/>
                      <w:color w:val="000000"/>
                      <w:sz w:val="20"/>
                    </w:rPr>
                  </w:pPr>
                </w:p>
              </w:tc>
              <w:tc>
                <w:tcPr>
                  <w:tcW w:w="1120" w:type="dxa"/>
                  <w:tcBorders>
                    <w:top w:val="nil"/>
                    <w:left w:val="nil"/>
                    <w:bottom w:val="nil"/>
                    <w:right w:val="nil"/>
                  </w:tcBorders>
                  <w:shd w:val="clear" w:color="auto" w:fill="auto"/>
                  <w:noWrap/>
                  <w:vAlign w:val="bottom"/>
                  <w:hideMark/>
                </w:tcPr>
                <w:p w:rsidR="002F1697" w:rsidRPr="002F1697" w:rsidP="002F1697" w14:paraId="3B33F394" w14:textId="77777777">
                  <w:pPr>
                    <w:rPr>
                      <w:sz w:val="20"/>
                    </w:rPr>
                  </w:pPr>
                </w:p>
              </w:tc>
              <w:tc>
                <w:tcPr>
                  <w:tcW w:w="1320" w:type="dxa"/>
                  <w:tcBorders>
                    <w:top w:val="nil"/>
                    <w:left w:val="nil"/>
                    <w:bottom w:val="nil"/>
                    <w:right w:val="nil"/>
                  </w:tcBorders>
                  <w:shd w:val="clear" w:color="auto" w:fill="auto"/>
                  <w:noWrap/>
                  <w:vAlign w:val="bottom"/>
                  <w:hideMark/>
                </w:tcPr>
                <w:p w:rsidR="002F1697" w:rsidRPr="002F1697" w:rsidP="002F1697" w14:paraId="531440AB" w14:textId="77777777">
                  <w:pPr>
                    <w:rPr>
                      <w:sz w:val="20"/>
                    </w:rPr>
                  </w:pPr>
                </w:p>
              </w:tc>
              <w:tc>
                <w:tcPr>
                  <w:tcW w:w="1240" w:type="dxa"/>
                  <w:tcBorders>
                    <w:top w:val="nil"/>
                    <w:left w:val="nil"/>
                    <w:bottom w:val="nil"/>
                    <w:right w:val="nil"/>
                  </w:tcBorders>
                  <w:shd w:val="clear" w:color="auto" w:fill="auto"/>
                  <w:noWrap/>
                  <w:vAlign w:val="bottom"/>
                  <w:hideMark/>
                </w:tcPr>
                <w:p w:rsidR="002F1697" w:rsidRPr="002F1697" w:rsidP="002F1697" w14:paraId="4B01BA09" w14:textId="77777777">
                  <w:pPr>
                    <w:rPr>
                      <w:sz w:val="20"/>
                    </w:rPr>
                  </w:pPr>
                </w:p>
              </w:tc>
              <w:tc>
                <w:tcPr>
                  <w:tcW w:w="1340" w:type="dxa"/>
                  <w:tcBorders>
                    <w:top w:val="nil"/>
                    <w:left w:val="nil"/>
                    <w:bottom w:val="nil"/>
                    <w:right w:val="nil"/>
                  </w:tcBorders>
                  <w:shd w:val="clear" w:color="auto" w:fill="auto"/>
                  <w:noWrap/>
                  <w:vAlign w:val="bottom"/>
                  <w:hideMark/>
                </w:tcPr>
                <w:p w:rsidR="002F1697" w:rsidRPr="002F1697" w:rsidP="002F1697" w14:paraId="1C4AC3EA" w14:textId="77777777">
                  <w:pPr>
                    <w:rPr>
                      <w:sz w:val="20"/>
                    </w:rPr>
                  </w:pPr>
                </w:p>
              </w:tc>
              <w:tc>
                <w:tcPr>
                  <w:tcW w:w="1160" w:type="dxa"/>
                  <w:tcBorders>
                    <w:top w:val="nil"/>
                    <w:left w:val="nil"/>
                    <w:bottom w:val="nil"/>
                    <w:right w:val="nil"/>
                  </w:tcBorders>
                  <w:shd w:val="clear" w:color="auto" w:fill="auto"/>
                  <w:noWrap/>
                  <w:vAlign w:val="bottom"/>
                  <w:hideMark/>
                </w:tcPr>
                <w:p w:rsidR="002F1697" w:rsidRPr="002F1697" w:rsidP="002F1697" w14:paraId="7B4A96E9" w14:textId="77777777">
                  <w:pPr>
                    <w:rPr>
                      <w:sz w:val="20"/>
                    </w:rPr>
                  </w:pPr>
                </w:p>
              </w:tc>
              <w:tc>
                <w:tcPr>
                  <w:tcW w:w="1280" w:type="dxa"/>
                  <w:tcBorders>
                    <w:top w:val="nil"/>
                    <w:left w:val="nil"/>
                    <w:bottom w:val="nil"/>
                    <w:right w:val="nil"/>
                  </w:tcBorders>
                  <w:shd w:val="clear" w:color="auto" w:fill="auto"/>
                  <w:noWrap/>
                  <w:vAlign w:val="bottom"/>
                  <w:hideMark/>
                </w:tcPr>
                <w:p w:rsidR="002F1697" w:rsidRPr="002F1697" w:rsidP="002F1697" w14:paraId="778C5D9B" w14:textId="77777777">
                  <w:pPr>
                    <w:rPr>
                      <w:sz w:val="20"/>
                    </w:rPr>
                  </w:pPr>
                </w:p>
              </w:tc>
              <w:tc>
                <w:tcPr>
                  <w:tcW w:w="1260" w:type="dxa"/>
                  <w:tcBorders>
                    <w:top w:val="nil"/>
                    <w:left w:val="nil"/>
                    <w:bottom w:val="nil"/>
                    <w:right w:val="nil"/>
                  </w:tcBorders>
                  <w:shd w:val="clear" w:color="auto" w:fill="auto"/>
                  <w:noWrap/>
                  <w:vAlign w:val="bottom"/>
                  <w:hideMark/>
                </w:tcPr>
                <w:p w:rsidR="002F1697" w:rsidRPr="002F1697" w:rsidP="002F1697" w14:paraId="5EEFF1FA" w14:textId="77777777">
                  <w:pPr>
                    <w:rPr>
                      <w:sz w:val="20"/>
                    </w:rPr>
                  </w:pPr>
                </w:p>
              </w:tc>
              <w:tc>
                <w:tcPr>
                  <w:tcW w:w="1120" w:type="dxa"/>
                  <w:tcBorders>
                    <w:top w:val="nil"/>
                    <w:left w:val="nil"/>
                    <w:bottom w:val="nil"/>
                    <w:right w:val="nil"/>
                  </w:tcBorders>
                  <w:shd w:val="clear" w:color="auto" w:fill="auto"/>
                  <w:noWrap/>
                  <w:vAlign w:val="bottom"/>
                  <w:hideMark/>
                </w:tcPr>
                <w:p w:rsidR="002F1697" w:rsidRPr="002F1697" w:rsidP="002F1697" w14:paraId="3622E89A" w14:textId="77777777">
                  <w:pPr>
                    <w:rPr>
                      <w:sz w:val="20"/>
                    </w:rPr>
                  </w:pPr>
                </w:p>
              </w:tc>
            </w:tr>
            <w:tr w14:paraId="21D85595" w14:textId="77777777" w:rsidTr="002F1697">
              <w:tblPrEx>
                <w:tblW w:w="12460" w:type="dxa"/>
                <w:tblLayout w:type="fixed"/>
                <w:tblLook w:val="04A0"/>
              </w:tblPrEx>
              <w:trPr>
                <w:trHeight w:val="210"/>
              </w:trPr>
              <w:tc>
                <w:tcPr>
                  <w:tcW w:w="12460" w:type="dxa"/>
                  <w:gridSpan w:val="9"/>
                  <w:tcBorders>
                    <w:top w:val="nil"/>
                    <w:left w:val="nil"/>
                    <w:bottom w:val="nil"/>
                    <w:right w:val="nil"/>
                  </w:tcBorders>
                  <w:shd w:val="clear" w:color="auto" w:fill="auto"/>
                  <w:vAlign w:val="center"/>
                  <w:hideMark/>
                </w:tcPr>
                <w:p w:rsidR="002F1697" w:rsidRPr="002F1697" w:rsidP="002F1697" w14:paraId="2719BF9B" w14:textId="77777777">
                  <w:pPr>
                    <w:rPr>
                      <w:color w:val="000000"/>
                      <w:sz w:val="20"/>
                    </w:rPr>
                  </w:pPr>
                  <w:r w:rsidRPr="002F1697">
                    <w:rPr>
                      <w:color w:val="000000"/>
                      <w:sz w:val="20"/>
                      <w:vertAlign w:val="superscript"/>
                    </w:rPr>
                    <w:t>a</w:t>
                  </w:r>
                  <w:r w:rsidRPr="002F1697">
                    <w:rPr>
                      <w:color w:val="000000"/>
                      <w:sz w:val="20"/>
                    </w:rPr>
                    <w:t xml:space="preserve">  We have assumed that there are approximately 79 affected kilns and that 10% of the existing units will have new construction/reconstruction.</w:t>
                  </w:r>
                </w:p>
              </w:tc>
            </w:tr>
            <w:tr w14:paraId="60E1D8B1" w14:textId="77777777" w:rsidTr="002F1697">
              <w:tblPrEx>
                <w:tblW w:w="12460" w:type="dxa"/>
                <w:tblLayout w:type="fixed"/>
                <w:tblLook w:val="04A0"/>
              </w:tblPrEx>
              <w:trPr>
                <w:trHeight w:val="1490"/>
              </w:trPr>
              <w:tc>
                <w:tcPr>
                  <w:tcW w:w="12460" w:type="dxa"/>
                  <w:gridSpan w:val="9"/>
                  <w:tcBorders>
                    <w:top w:val="nil"/>
                    <w:left w:val="nil"/>
                    <w:bottom w:val="nil"/>
                    <w:right w:val="nil"/>
                  </w:tcBorders>
                  <w:shd w:val="clear" w:color="auto" w:fill="auto"/>
                  <w:vAlign w:val="bottom"/>
                  <w:hideMark/>
                </w:tcPr>
                <w:p w:rsidR="002F1697" w:rsidRPr="002F1697" w:rsidP="002F1697" w14:paraId="0357F86B" w14:textId="77777777">
                  <w:pPr>
                    <w:rPr>
                      <w:color w:val="000000"/>
                      <w:sz w:val="20"/>
                    </w:rPr>
                  </w:pPr>
                  <w:r w:rsidRPr="002F1697">
                    <w:rPr>
                      <w:color w:val="000000"/>
                      <w:sz w:val="20"/>
                      <w:vertAlign w:val="superscript"/>
                    </w:rPr>
                    <w:t>b</w:t>
                  </w:r>
                  <w:r w:rsidRPr="002F1697">
                    <w:rPr>
                      <w:color w:val="000000"/>
                      <w:sz w:val="20"/>
                    </w:rPr>
                    <w:t xml:space="preserve">  This ICR uses the following labor rates: $161.62 per hour for Executive, Administrative, and Managerial labor; $127.68 per hour for Technical labor, and $64.22 per hour for Clerical labor.  These rates are from the United States Department of Labor, Bureau of Labor Statistics, June 2022, “Table 2. Civilian Workers, by Occupational and Industry group.”  The rates are from column 1, “Total Compensation.”  The rates have been increased by 110 percent to account for the benefit packages available to those employed by private industry.  Archived report releases can be accessed from https://www.bls.gov/bls/news-release/ecec.htm#2021;  from homepage, select Economic Releases, Archived News Releases, Employer Costs for Employee Compensation, Select a past year, Select a published report.</w:t>
                  </w:r>
                </w:p>
              </w:tc>
            </w:tr>
            <w:tr w14:paraId="4844F969" w14:textId="77777777" w:rsidTr="002F1697">
              <w:tblPrEx>
                <w:tblW w:w="12460" w:type="dxa"/>
                <w:tblLayout w:type="fixed"/>
                <w:tblLook w:val="04A0"/>
              </w:tblPrEx>
              <w:trPr>
                <w:trHeight w:val="283"/>
              </w:trPr>
              <w:tc>
                <w:tcPr>
                  <w:tcW w:w="12460" w:type="dxa"/>
                  <w:gridSpan w:val="9"/>
                  <w:tcBorders>
                    <w:top w:val="nil"/>
                    <w:left w:val="nil"/>
                    <w:bottom w:val="nil"/>
                    <w:right w:val="nil"/>
                  </w:tcBorders>
                  <w:shd w:val="clear" w:color="auto" w:fill="auto"/>
                  <w:vAlign w:val="center"/>
                  <w:hideMark/>
                </w:tcPr>
                <w:p w:rsidR="002F1697" w:rsidRPr="002F1697" w:rsidP="002F1697" w14:paraId="5342E481" w14:textId="77777777">
                  <w:pPr>
                    <w:rPr>
                      <w:color w:val="000000"/>
                      <w:sz w:val="20"/>
                    </w:rPr>
                  </w:pPr>
                  <w:r w:rsidRPr="002F1697">
                    <w:rPr>
                      <w:color w:val="000000"/>
                      <w:sz w:val="20"/>
                      <w:vertAlign w:val="superscript"/>
                    </w:rPr>
                    <w:t>c</w:t>
                  </w:r>
                  <w:r w:rsidRPr="002F1697">
                    <w:rPr>
                      <w:color w:val="000000"/>
                      <w:sz w:val="20"/>
                    </w:rPr>
                    <w:t xml:space="preserve">  New kilns test for NOx. We have assumed that 5 percent of respondents would repeat initial performance test due to failure.</w:t>
                  </w:r>
                </w:p>
              </w:tc>
            </w:tr>
            <w:tr w14:paraId="253345C3" w14:textId="77777777" w:rsidTr="002F1697">
              <w:tblPrEx>
                <w:tblW w:w="12460" w:type="dxa"/>
                <w:tblLayout w:type="fixed"/>
                <w:tblLook w:val="04A0"/>
              </w:tblPrEx>
              <w:trPr>
                <w:trHeight w:val="310"/>
              </w:trPr>
              <w:tc>
                <w:tcPr>
                  <w:tcW w:w="12460" w:type="dxa"/>
                  <w:gridSpan w:val="9"/>
                  <w:tcBorders>
                    <w:top w:val="nil"/>
                    <w:left w:val="nil"/>
                    <w:bottom w:val="nil"/>
                    <w:right w:val="nil"/>
                  </w:tcBorders>
                  <w:shd w:val="clear" w:color="auto" w:fill="auto"/>
                  <w:vAlign w:val="center"/>
                  <w:hideMark/>
                </w:tcPr>
                <w:p w:rsidR="002F1697" w:rsidRPr="002F1697" w:rsidP="002F1697" w14:paraId="1921151A" w14:textId="77777777">
                  <w:pPr>
                    <w:rPr>
                      <w:sz w:val="20"/>
                    </w:rPr>
                  </w:pPr>
                  <w:r w:rsidRPr="002F1697">
                    <w:rPr>
                      <w:sz w:val="20"/>
                      <w:vertAlign w:val="superscript"/>
                    </w:rPr>
                    <w:t>d</w:t>
                  </w:r>
                  <w:r w:rsidRPr="002F1697">
                    <w:rPr>
                      <w:sz w:val="20"/>
                    </w:rPr>
                    <w:t xml:space="preserve">  The rule requires existing kilns re-test annually for NOx. </w:t>
                  </w:r>
                </w:p>
              </w:tc>
            </w:tr>
            <w:tr w14:paraId="3F599DE5" w14:textId="77777777" w:rsidTr="002F1697">
              <w:tblPrEx>
                <w:tblW w:w="12460" w:type="dxa"/>
                <w:tblLayout w:type="fixed"/>
                <w:tblLook w:val="04A0"/>
              </w:tblPrEx>
              <w:trPr>
                <w:trHeight w:val="433"/>
              </w:trPr>
              <w:tc>
                <w:tcPr>
                  <w:tcW w:w="12460" w:type="dxa"/>
                  <w:gridSpan w:val="9"/>
                  <w:tcBorders>
                    <w:top w:val="nil"/>
                    <w:left w:val="nil"/>
                    <w:bottom w:val="nil"/>
                    <w:right w:val="nil"/>
                  </w:tcBorders>
                  <w:shd w:val="clear" w:color="auto" w:fill="auto"/>
                  <w:hideMark/>
                </w:tcPr>
                <w:p w:rsidR="002F1697" w:rsidRPr="002F1697" w:rsidP="002F1697" w14:paraId="3B080FF9" w14:textId="77777777">
                  <w:pPr>
                    <w:rPr>
                      <w:color w:val="000000"/>
                      <w:sz w:val="20"/>
                    </w:rPr>
                  </w:pPr>
                  <w:r w:rsidRPr="002F1697">
                    <w:rPr>
                      <w:color w:val="000000"/>
                      <w:sz w:val="20"/>
                      <w:vertAlign w:val="superscript"/>
                    </w:rPr>
                    <w:t>e</w:t>
                  </w:r>
                  <w:r w:rsidRPr="002F1697">
                    <w:rPr>
                      <w:color w:val="000000"/>
                      <w:sz w:val="20"/>
                    </w:rPr>
                    <w:t xml:space="preserve">  Totals have been rounded to 3 significant figures.  Figures may not add exactly due to rounding.</w:t>
                  </w:r>
                </w:p>
              </w:tc>
            </w:tr>
          </w:tbl>
          <w:p w:rsidR="002F1697" w:rsidP="00A83512" w14:paraId="0A6E6213" w14:textId="77777777">
            <w:pPr>
              <w:rPr>
                <w:b/>
                <w:bCs/>
                <w:szCs w:val="24"/>
              </w:rPr>
            </w:pPr>
          </w:p>
          <w:p w:rsidR="00036248" w:rsidP="00036248" w14:paraId="0023DE49" w14:textId="47B53331">
            <w:pPr>
              <w:ind w:firstLine="153"/>
              <w:rPr>
                <w:b/>
                <w:bCs/>
                <w:szCs w:val="24"/>
              </w:rPr>
            </w:pPr>
            <w:r w:rsidRPr="00D17F6A">
              <w:rPr>
                <w:b/>
                <w:bCs/>
                <w:szCs w:val="24"/>
              </w:rPr>
              <w:t xml:space="preserve">Table </w:t>
            </w:r>
            <w:r>
              <w:rPr>
                <w:b/>
                <w:bCs/>
                <w:szCs w:val="24"/>
              </w:rPr>
              <w:t>6</w:t>
            </w:r>
            <w:r w:rsidRPr="00D17F6A">
              <w:rPr>
                <w:b/>
                <w:bCs/>
                <w:szCs w:val="24"/>
              </w:rPr>
              <w:t xml:space="preserve">: </w:t>
            </w:r>
            <w:r>
              <w:rPr>
                <w:b/>
                <w:bCs/>
                <w:szCs w:val="24"/>
              </w:rPr>
              <w:t xml:space="preserve">Annual </w:t>
            </w:r>
            <w:r w:rsidRPr="00D17F6A">
              <w:rPr>
                <w:b/>
                <w:bCs/>
                <w:szCs w:val="24"/>
              </w:rPr>
              <w:t xml:space="preserve">Respondent Burden and Cost – </w:t>
            </w:r>
            <w:r>
              <w:rPr>
                <w:b/>
                <w:bCs/>
                <w:szCs w:val="24"/>
              </w:rPr>
              <w:t>Cement and Concrete Manufacturing, Year 3</w:t>
            </w:r>
          </w:p>
          <w:p w:rsidR="002F1697" w:rsidP="00036248" w14:paraId="0D79B2CC" w14:textId="77777777">
            <w:pPr>
              <w:ind w:firstLine="153"/>
              <w:rPr>
                <w:b/>
                <w:bCs/>
                <w:szCs w:val="24"/>
              </w:rPr>
            </w:pPr>
          </w:p>
          <w:tbl>
            <w:tblPr>
              <w:tblW w:w="12540" w:type="dxa"/>
              <w:tblLayout w:type="fixed"/>
              <w:tblLook w:val="04A0"/>
            </w:tblPr>
            <w:tblGrid>
              <w:gridCol w:w="2700"/>
              <w:gridCol w:w="1120"/>
              <w:gridCol w:w="1320"/>
              <w:gridCol w:w="1240"/>
              <w:gridCol w:w="1340"/>
              <w:gridCol w:w="1160"/>
              <w:gridCol w:w="1280"/>
              <w:gridCol w:w="1260"/>
              <w:gridCol w:w="1120"/>
            </w:tblGrid>
            <w:tr w14:paraId="01AD52A5" w14:textId="77777777" w:rsidTr="002F1697">
              <w:tblPrEx>
                <w:tblW w:w="12540" w:type="dxa"/>
                <w:tblLayout w:type="fixed"/>
                <w:tblLook w:val="04A0"/>
              </w:tblPrEx>
              <w:trPr>
                <w:trHeight w:val="1300"/>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1697" w:rsidRPr="002F1697" w:rsidP="002F1697" w14:paraId="60E8C700" w14:textId="77777777">
                  <w:pPr>
                    <w:jc w:val="center"/>
                    <w:rPr>
                      <w:b/>
                      <w:bCs/>
                      <w:color w:val="000000"/>
                      <w:sz w:val="20"/>
                    </w:rPr>
                  </w:pPr>
                  <w:r w:rsidRPr="002F1697">
                    <w:rPr>
                      <w:b/>
                      <w:bCs/>
                      <w:color w:val="000000"/>
                      <w:sz w:val="20"/>
                    </w:rPr>
                    <w:t>Burden Item</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2F1697" w:rsidRPr="002F1697" w:rsidP="002F1697" w14:paraId="5D273FD0" w14:textId="77777777">
                  <w:pPr>
                    <w:jc w:val="center"/>
                    <w:rPr>
                      <w:color w:val="000000"/>
                      <w:sz w:val="20"/>
                    </w:rPr>
                  </w:pPr>
                  <w:r w:rsidRPr="002F1697">
                    <w:rPr>
                      <w:color w:val="000000"/>
                      <w:sz w:val="20"/>
                    </w:rPr>
                    <w:t>(A)</w:t>
                  </w:r>
                  <w:r w:rsidRPr="002F1697">
                    <w:rPr>
                      <w:color w:val="000000"/>
                      <w:sz w:val="20"/>
                    </w:rPr>
                    <w:br/>
                  </w:r>
                  <w:r w:rsidRPr="002F1697">
                    <w:rPr>
                      <w:color w:val="000000"/>
                      <w:sz w:val="20"/>
                    </w:rPr>
                    <w:t>Hours per Occurrence</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2F1697" w:rsidRPr="002F1697" w:rsidP="002F1697" w14:paraId="45C7EF38" w14:textId="77777777">
                  <w:pPr>
                    <w:jc w:val="center"/>
                    <w:rPr>
                      <w:sz w:val="20"/>
                    </w:rPr>
                  </w:pPr>
                  <w:r w:rsidRPr="002F1697">
                    <w:rPr>
                      <w:sz w:val="20"/>
                    </w:rPr>
                    <w:t>(B)</w:t>
                  </w:r>
                  <w:r w:rsidRPr="002F1697">
                    <w:rPr>
                      <w:sz w:val="20"/>
                    </w:rPr>
                    <w:br/>
                  </w:r>
                  <w:r w:rsidRPr="002F1697">
                    <w:rPr>
                      <w:sz w:val="20"/>
                    </w:rPr>
                    <w:t>Occurrences/ Respondent/ Year</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2F1697" w:rsidRPr="002F1697" w:rsidP="002F1697" w14:paraId="22311D53" w14:textId="77777777">
                  <w:pPr>
                    <w:jc w:val="center"/>
                    <w:rPr>
                      <w:color w:val="000000"/>
                      <w:sz w:val="20"/>
                    </w:rPr>
                  </w:pPr>
                  <w:r w:rsidRPr="002F1697">
                    <w:rPr>
                      <w:color w:val="000000"/>
                      <w:sz w:val="20"/>
                    </w:rPr>
                    <w:t>(C)</w:t>
                  </w:r>
                  <w:r w:rsidRPr="002F1697">
                    <w:rPr>
                      <w:color w:val="000000"/>
                      <w:sz w:val="20"/>
                    </w:rPr>
                    <w:br/>
                  </w:r>
                  <w:r w:rsidRPr="002F1697">
                    <w:rPr>
                      <w:color w:val="000000"/>
                      <w:sz w:val="20"/>
                    </w:rPr>
                    <w:t xml:space="preserve">Hours/ Respondent/ Year </w:t>
                  </w:r>
                  <w:r w:rsidRPr="002F1697">
                    <w:rPr>
                      <w:color w:val="000000"/>
                      <w:sz w:val="20"/>
                    </w:rPr>
                    <w:br/>
                  </w:r>
                  <w:r w:rsidRPr="002F1697">
                    <w:rPr>
                      <w:color w:val="000000"/>
                      <w:sz w:val="20"/>
                    </w:rPr>
                    <w:t>(A x B)</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2F1697" w:rsidRPr="002F1697" w:rsidP="002F1697" w14:paraId="513EB4CB" w14:textId="77777777">
                  <w:pPr>
                    <w:jc w:val="center"/>
                    <w:rPr>
                      <w:sz w:val="20"/>
                    </w:rPr>
                  </w:pPr>
                  <w:r w:rsidRPr="002F1697">
                    <w:rPr>
                      <w:sz w:val="20"/>
                    </w:rPr>
                    <w:t>(D)</w:t>
                  </w:r>
                  <w:r w:rsidRPr="002F1697">
                    <w:rPr>
                      <w:sz w:val="20"/>
                    </w:rPr>
                    <w:br/>
                  </w:r>
                  <w:r w:rsidRPr="002F1697">
                    <w:rPr>
                      <w:sz w:val="20"/>
                    </w:rPr>
                    <w:t>Respondents/</w:t>
                  </w:r>
                  <w:r w:rsidRPr="002F1697">
                    <w:rPr>
                      <w:sz w:val="20"/>
                    </w:rPr>
                    <w:br/>
                  </w:r>
                  <w:r w:rsidRPr="002F1697">
                    <w:rPr>
                      <w:sz w:val="20"/>
                    </w:rPr>
                    <w:t>Year</w:t>
                  </w:r>
                  <w:r w:rsidRPr="002F1697">
                    <w:rPr>
                      <w:sz w:val="20"/>
                      <w:vertAlign w:val="superscript"/>
                    </w:rPr>
                    <w:t>a</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2F1697" w:rsidRPr="002F1697" w:rsidP="002F1697" w14:paraId="6DAAC010" w14:textId="77777777">
                  <w:pPr>
                    <w:jc w:val="center"/>
                    <w:rPr>
                      <w:color w:val="000000"/>
                      <w:sz w:val="20"/>
                    </w:rPr>
                  </w:pPr>
                  <w:r w:rsidRPr="002F1697">
                    <w:rPr>
                      <w:color w:val="000000"/>
                      <w:sz w:val="20"/>
                    </w:rPr>
                    <w:t>(E)</w:t>
                  </w:r>
                  <w:r w:rsidRPr="002F1697">
                    <w:rPr>
                      <w:color w:val="000000"/>
                      <w:sz w:val="20"/>
                    </w:rPr>
                    <w:br/>
                  </w:r>
                  <w:r w:rsidRPr="002F1697">
                    <w:rPr>
                      <w:color w:val="000000"/>
                      <w:sz w:val="20"/>
                    </w:rPr>
                    <w:t xml:space="preserve">Technical Hours/Year </w:t>
                  </w:r>
                  <w:r w:rsidRPr="002F1697">
                    <w:rPr>
                      <w:color w:val="000000"/>
                      <w:sz w:val="20"/>
                    </w:rPr>
                    <w:br/>
                  </w:r>
                  <w:r w:rsidRPr="002F1697">
                    <w:rPr>
                      <w:color w:val="000000"/>
                      <w:sz w:val="20"/>
                    </w:rPr>
                    <w:t>(C x D)</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2F1697" w:rsidRPr="002F1697" w:rsidP="002F1697" w14:paraId="4A970A5E" w14:textId="77777777">
                  <w:pPr>
                    <w:jc w:val="center"/>
                    <w:rPr>
                      <w:color w:val="000000"/>
                      <w:sz w:val="20"/>
                    </w:rPr>
                  </w:pPr>
                  <w:r w:rsidRPr="002F1697">
                    <w:rPr>
                      <w:color w:val="000000"/>
                      <w:sz w:val="20"/>
                    </w:rPr>
                    <w:t xml:space="preserve">(F) Managerial Hours/Year </w:t>
                  </w:r>
                  <w:r w:rsidRPr="002F1697">
                    <w:rPr>
                      <w:color w:val="000000"/>
                      <w:sz w:val="20"/>
                    </w:rPr>
                    <w:br/>
                  </w:r>
                  <w:r w:rsidRPr="002F1697">
                    <w:rPr>
                      <w:color w:val="000000"/>
                      <w:sz w:val="20"/>
                    </w:rPr>
                    <w:t>(E x 0.05)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2F1697" w:rsidRPr="002F1697" w:rsidP="002F1697" w14:paraId="1F758900" w14:textId="77777777">
                  <w:pPr>
                    <w:jc w:val="center"/>
                    <w:rPr>
                      <w:color w:val="000000"/>
                      <w:sz w:val="20"/>
                    </w:rPr>
                  </w:pPr>
                  <w:r w:rsidRPr="002F1697">
                    <w:rPr>
                      <w:color w:val="000000"/>
                      <w:sz w:val="20"/>
                    </w:rPr>
                    <w:t xml:space="preserve">(G) </w:t>
                  </w:r>
                  <w:r w:rsidRPr="002F1697">
                    <w:rPr>
                      <w:color w:val="000000"/>
                      <w:sz w:val="20"/>
                    </w:rPr>
                    <w:br/>
                  </w:r>
                  <w:r w:rsidRPr="002F1697">
                    <w:rPr>
                      <w:color w:val="000000"/>
                      <w:sz w:val="20"/>
                    </w:rPr>
                    <w:t xml:space="preserve">Clerical Hours/Year </w:t>
                  </w:r>
                  <w:r w:rsidRPr="002F1697">
                    <w:rPr>
                      <w:color w:val="000000"/>
                      <w:sz w:val="20"/>
                    </w:rPr>
                    <w:br/>
                  </w:r>
                  <w:r w:rsidRPr="002F1697">
                    <w:rPr>
                      <w:color w:val="000000"/>
                      <w:sz w:val="20"/>
                    </w:rPr>
                    <w:t>(E x 0.10)</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2F1697" w:rsidRPr="002F1697" w:rsidP="002F1697" w14:paraId="7B157819" w14:textId="77777777">
                  <w:pPr>
                    <w:jc w:val="center"/>
                    <w:rPr>
                      <w:color w:val="000000"/>
                      <w:sz w:val="20"/>
                    </w:rPr>
                  </w:pPr>
                  <w:r w:rsidRPr="002F1697">
                    <w:rPr>
                      <w:color w:val="000000"/>
                      <w:sz w:val="20"/>
                    </w:rPr>
                    <w:t>(H)</w:t>
                  </w:r>
                  <w:r w:rsidRPr="002F1697">
                    <w:rPr>
                      <w:color w:val="000000"/>
                      <w:sz w:val="20"/>
                    </w:rPr>
                    <w:br/>
                  </w:r>
                  <w:r w:rsidRPr="002F1697">
                    <w:rPr>
                      <w:color w:val="000000"/>
                      <w:sz w:val="20"/>
                    </w:rPr>
                    <w:t>Cost/ Year</w:t>
                  </w:r>
                  <w:r w:rsidRPr="002F1697">
                    <w:rPr>
                      <w:color w:val="000000"/>
                      <w:sz w:val="20"/>
                      <w:vertAlign w:val="superscript"/>
                    </w:rPr>
                    <w:t>b</w:t>
                  </w:r>
                </w:p>
              </w:tc>
            </w:tr>
            <w:tr w14:paraId="084B6D7F" w14:textId="77777777" w:rsidTr="002F1697">
              <w:tblPrEx>
                <w:tblW w:w="12540" w:type="dxa"/>
                <w:tblLayout w:type="fixed"/>
                <w:tblLook w:val="04A0"/>
              </w:tblPrEx>
              <w:trPr>
                <w:trHeight w:val="26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71482548" w14:textId="77777777">
                  <w:pPr>
                    <w:rPr>
                      <w:color w:val="000000"/>
                      <w:sz w:val="20"/>
                    </w:rPr>
                  </w:pPr>
                  <w:r w:rsidRPr="002F1697">
                    <w:rPr>
                      <w:color w:val="000000"/>
                      <w:sz w:val="20"/>
                    </w:rPr>
                    <w:t xml:space="preserve">1. APPLICATIONS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77CB34D7" w14:textId="77777777">
                  <w:pPr>
                    <w:jc w:val="center"/>
                    <w:rPr>
                      <w:color w:val="000000"/>
                      <w:sz w:val="20"/>
                    </w:rPr>
                  </w:pPr>
                  <w:r w:rsidRPr="002F1697">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49B70C6C"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0E646FDE"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3E2448F4" w14:textId="77777777">
                  <w:pPr>
                    <w:jc w:val="right"/>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110F800D" w14:textId="77777777">
                  <w:pPr>
                    <w:jc w:val="right"/>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1AB02A2C" w14:textId="77777777">
                  <w:pPr>
                    <w:jc w:val="right"/>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734E9D58" w14:textId="77777777">
                  <w:pPr>
                    <w:jc w:val="right"/>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29F71E20" w14:textId="77777777">
                  <w:pPr>
                    <w:jc w:val="right"/>
                    <w:rPr>
                      <w:color w:val="000000"/>
                      <w:sz w:val="20"/>
                    </w:rPr>
                  </w:pPr>
                  <w:r w:rsidRPr="002F1697">
                    <w:rPr>
                      <w:color w:val="000000"/>
                      <w:sz w:val="20"/>
                    </w:rPr>
                    <w:t> </w:t>
                  </w:r>
                </w:p>
              </w:tc>
            </w:tr>
            <w:tr w14:paraId="186E6131" w14:textId="77777777" w:rsidTr="002F1697">
              <w:tblPrEx>
                <w:tblW w:w="12540" w:type="dxa"/>
                <w:tblLayout w:type="fixed"/>
                <w:tblLook w:val="04A0"/>
              </w:tblPrEx>
              <w:trPr>
                <w:trHeight w:val="72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50B459A2" w14:textId="77777777">
                  <w:pPr>
                    <w:rPr>
                      <w:color w:val="000000"/>
                      <w:sz w:val="20"/>
                    </w:rPr>
                  </w:pPr>
                  <w:r w:rsidRPr="002F1697">
                    <w:rPr>
                      <w:color w:val="000000"/>
                      <w:sz w:val="20"/>
                    </w:rPr>
                    <w:t xml:space="preserve">2. SURVEY AND STUDIES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31DF740B" w14:textId="77777777">
                  <w:pPr>
                    <w:jc w:val="center"/>
                    <w:rPr>
                      <w:color w:val="000000"/>
                      <w:sz w:val="20"/>
                    </w:rPr>
                  </w:pPr>
                  <w:r w:rsidRPr="002F1697">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64739BD1"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422D8841"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67D0EB98" w14:textId="77777777">
                  <w:pPr>
                    <w:jc w:val="right"/>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54EB1915" w14:textId="77777777">
                  <w:pPr>
                    <w:jc w:val="right"/>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5A2E25ED" w14:textId="77777777">
                  <w:pPr>
                    <w:jc w:val="right"/>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3771D322" w14:textId="77777777">
                  <w:pPr>
                    <w:jc w:val="right"/>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24BD979E" w14:textId="77777777">
                  <w:pPr>
                    <w:jc w:val="right"/>
                    <w:rPr>
                      <w:color w:val="000000"/>
                      <w:sz w:val="20"/>
                    </w:rPr>
                  </w:pPr>
                  <w:r w:rsidRPr="002F1697">
                    <w:rPr>
                      <w:color w:val="000000"/>
                      <w:sz w:val="20"/>
                    </w:rPr>
                    <w:t> </w:t>
                  </w:r>
                </w:p>
              </w:tc>
            </w:tr>
            <w:tr w14:paraId="69BC1F14" w14:textId="77777777" w:rsidTr="002F1697">
              <w:tblPrEx>
                <w:tblW w:w="12540" w:type="dxa"/>
                <w:tblLayout w:type="fixed"/>
                <w:tblLook w:val="04A0"/>
              </w:tblPrEx>
              <w:trPr>
                <w:trHeight w:val="1123"/>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5D9351A4" w14:textId="77777777">
                  <w:pPr>
                    <w:rPr>
                      <w:color w:val="000000"/>
                      <w:sz w:val="20"/>
                    </w:rPr>
                  </w:pPr>
                  <w:r w:rsidRPr="002F1697">
                    <w:rPr>
                      <w:color w:val="000000"/>
                      <w:sz w:val="20"/>
                    </w:rPr>
                    <w:t>3.ACQUISITION, INSTALLATION, AND UTILIZATION OF TECHNOLOGY AND SYSTEMS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77AFED4C"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332F6BF4"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3D4D467C"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5895CA87" w14:textId="77777777">
                  <w:pPr>
                    <w:jc w:val="center"/>
                    <w:rPr>
                      <w:color w:val="000000"/>
                      <w:sz w:val="20"/>
                    </w:rPr>
                  </w:pPr>
                  <w:r w:rsidRPr="002F1697">
                    <w:rPr>
                      <w:color w:val="000000"/>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058781D3"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3A8C3AE4"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30BC225B"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3C7EDB9E" w14:textId="77777777">
                  <w:pPr>
                    <w:jc w:val="right"/>
                    <w:rPr>
                      <w:color w:val="000000"/>
                      <w:sz w:val="20"/>
                    </w:rPr>
                  </w:pPr>
                  <w:r w:rsidRPr="002F1697">
                    <w:rPr>
                      <w:color w:val="000000"/>
                      <w:sz w:val="20"/>
                    </w:rPr>
                    <w:t xml:space="preserve">$0 </w:t>
                  </w:r>
                </w:p>
              </w:tc>
            </w:tr>
            <w:tr w14:paraId="6FD70480" w14:textId="77777777" w:rsidTr="002F1697">
              <w:tblPrEx>
                <w:tblW w:w="12540" w:type="dxa"/>
                <w:tblLayout w:type="fixed"/>
                <w:tblLook w:val="04A0"/>
              </w:tblPrEx>
              <w:trPr>
                <w:trHeight w:val="26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71012492" w14:textId="77777777">
                  <w:pPr>
                    <w:rPr>
                      <w:color w:val="000000"/>
                      <w:sz w:val="20"/>
                    </w:rPr>
                  </w:pPr>
                  <w:r w:rsidRPr="002F1697">
                    <w:rPr>
                      <w:color w:val="000000"/>
                      <w:sz w:val="20"/>
                    </w:rPr>
                    <w:t>4. REPORT REQUIREMENTS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53E4DADE"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0DAD4ACC" w14:textId="77777777">
                  <w:pPr>
                    <w:jc w:val="center"/>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4C1B26E9" w14:textId="77777777">
                  <w:pPr>
                    <w:jc w:val="center"/>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48B09854" w14:textId="77777777">
                  <w:pPr>
                    <w:jc w:val="center"/>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39D0A6A2" w14:textId="77777777">
                  <w:pPr>
                    <w:jc w:val="center"/>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14955FB5" w14:textId="77777777">
                  <w:pPr>
                    <w:jc w:val="center"/>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418567D7" w14:textId="77777777">
                  <w:pPr>
                    <w:jc w:val="center"/>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35ED68B7" w14:textId="77777777">
                  <w:pPr>
                    <w:jc w:val="right"/>
                    <w:rPr>
                      <w:color w:val="000000"/>
                      <w:sz w:val="20"/>
                    </w:rPr>
                  </w:pPr>
                  <w:r w:rsidRPr="002F1697">
                    <w:rPr>
                      <w:color w:val="000000"/>
                      <w:sz w:val="20"/>
                    </w:rPr>
                    <w:t> </w:t>
                  </w:r>
                </w:p>
              </w:tc>
            </w:tr>
            <w:tr w14:paraId="4EA25D1C" w14:textId="77777777" w:rsidTr="002F1697">
              <w:tblPrEx>
                <w:tblW w:w="12540" w:type="dxa"/>
                <w:tblLayout w:type="fixed"/>
                <w:tblLook w:val="04A0"/>
              </w:tblPrEx>
              <w:trPr>
                <w:trHeight w:val="104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26D4A268" w14:textId="77777777">
                  <w:pPr>
                    <w:rPr>
                      <w:color w:val="000000"/>
                      <w:sz w:val="20"/>
                    </w:rPr>
                  </w:pPr>
                  <w:r w:rsidRPr="002F1697">
                    <w:rPr>
                      <w:color w:val="000000"/>
                      <w:sz w:val="20"/>
                    </w:rPr>
                    <w:t xml:space="preserve">REQUEST FOR EXTENSION OF COMPLIANCE - Per 52.40(d);  (based on BACT analysis of 2020 NSR ICR)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466725A8" w14:textId="77777777">
                  <w:pPr>
                    <w:jc w:val="center"/>
                    <w:rPr>
                      <w:color w:val="000000"/>
                      <w:sz w:val="20"/>
                    </w:rPr>
                  </w:pPr>
                  <w:r w:rsidRPr="002F1697">
                    <w:rPr>
                      <w:color w:val="000000"/>
                      <w:sz w:val="20"/>
                    </w:rPr>
                    <w:t>156</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7E1C6882" w14:textId="77777777">
                  <w:pPr>
                    <w:jc w:val="center"/>
                    <w:rPr>
                      <w:sz w:val="20"/>
                    </w:rPr>
                  </w:pPr>
                  <w:r w:rsidRPr="002F1697">
                    <w:rPr>
                      <w:sz w:val="20"/>
                    </w:rPr>
                    <w:t>1</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22E23233" w14:textId="77777777">
                  <w:pPr>
                    <w:jc w:val="center"/>
                    <w:rPr>
                      <w:color w:val="000000"/>
                      <w:sz w:val="20"/>
                    </w:rPr>
                  </w:pPr>
                  <w:r w:rsidRPr="002F1697">
                    <w:rPr>
                      <w:color w:val="000000"/>
                      <w:sz w:val="20"/>
                    </w:rPr>
                    <w:t>156</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5AAC8274" w14:textId="77777777">
                  <w:pPr>
                    <w:jc w:val="center"/>
                    <w:rPr>
                      <w:sz w:val="20"/>
                    </w:rPr>
                  </w:pPr>
                  <w:r w:rsidRPr="002F1697">
                    <w:rPr>
                      <w:sz w:val="20"/>
                    </w:rPr>
                    <w:t>0.79</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27157143" w14:textId="77777777">
                  <w:pPr>
                    <w:jc w:val="center"/>
                    <w:rPr>
                      <w:color w:val="000000"/>
                      <w:sz w:val="20"/>
                    </w:rPr>
                  </w:pPr>
                  <w:r w:rsidRPr="002F1697">
                    <w:rPr>
                      <w:color w:val="000000"/>
                      <w:sz w:val="20"/>
                    </w:rPr>
                    <w:t>123.24</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7CA6D800" w14:textId="77777777">
                  <w:pPr>
                    <w:jc w:val="center"/>
                    <w:rPr>
                      <w:color w:val="000000"/>
                      <w:sz w:val="20"/>
                    </w:rPr>
                  </w:pPr>
                  <w:r w:rsidRPr="002F1697">
                    <w:rPr>
                      <w:color w:val="000000"/>
                      <w:sz w:val="20"/>
                    </w:rPr>
                    <w:t>6.162</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27B96ED7" w14:textId="77777777">
                  <w:pPr>
                    <w:jc w:val="center"/>
                    <w:rPr>
                      <w:color w:val="000000"/>
                      <w:sz w:val="20"/>
                    </w:rPr>
                  </w:pPr>
                  <w:r w:rsidRPr="002F1697">
                    <w:rPr>
                      <w:color w:val="000000"/>
                      <w:sz w:val="20"/>
                    </w:rPr>
                    <w:t>12.324</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FDDE4E2" w14:textId="77777777">
                  <w:pPr>
                    <w:jc w:val="right"/>
                    <w:rPr>
                      <w:color w:val="000000"/>
                      <w:sz w:val="20"/>
                    </w:rPr>
                  </w:pPr>
                  <w:r w:rsidRPr="002F1697">
                    <w:rPr>
                      <w:color w:val="000000"/>
                      <w:sz w:val="20"/>
                    </w:rPr>
                    <w:t xml:space="preserve">$17,523 </w:t>
                  </w:r>
                </w:p>
              </w:tc>
            </w:tr>
            <w:tr w14:paraId="555B29FB" w14:textId="77777777" w:rsidTr="002F1697">
              <w:tblPrEx>
                <w:tblW w:w="12540" w:type="dxa"/>
                <w:tblLayout w:type="fixed"/>
                <w:tblLook w:val="04A0"/>
              </w:tblPrEx>
              <w:trPr>
                <w:trHeight w:val="52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45DADF0D" w14:textId="77777777">
                  <w:pPr>
                    <w:rPr>
                      <w:color w:val="000000"/>
                      <w:sz w:val="20"/>
                    </w:rPr>
                  </w:pPr>
                  <w:r w:rsidRPr="002F1697">
                    <w:rPr>
                      <w:color w:val="000000"/>
                      <w:sz w:val="20"/>
                    </w:rPr>
                    <w:t>A. Familiarize with regulatory requirement</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78ABD46E" w14:textId="77777777">
                  <w:pPr>
                    <w:jc w:val="center"/>
                    <w:rPr>
                      <w:color w:val="000000"/>
                      <w:sz w:val="20"/>
                    </w:rPr>
                  </w:pPr>
                  <w:r w:rsidRPr="002F1697">
                    <w:rPr>
                      <w:color w:val="000000"/>
                      <w:sz w:val="20"/>
                    </w:rPr>
                    <w:t>1</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73017093" w14:textId="77777777">
                  <w:pPr>
                    <w:jc w:val="center"/>
                    <w:rPr>
                      <w:sz w:val="20"/>
                    </w:rPr>
                  </w:pPr>
                  <w:r w:rsidRPr="002F1697">
                    <w:rPr>
                      <w:sz w:val="20"/>
                    </w:rPr>
                    <w:t>1</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1948B7E8" w14:textId="77777777">
                  <w:pPr>
                    <w:jc w:val="center"/>
                    <w:rPr>
                      <w:color w:val="000000"/>
                      <w:sz w:val="20"/>
                    </w:rPr>
                  </w:pPr>
                  <w:r w:rsidRPr="002F1697">
                    <w:rPr>
                      <w:color w:val="000000"/>
                      <w:sz w:val="20"/>
                    </w:rPr>
                    <w:t>1</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15C4068A" w14:textId="77777777">
                  <w:pPr>
                    <w:jc w:val="center"/>
                    <w:rPr>
                      <w:color w:val="000000"/>
                      <w:sz w:val="20"/>
                    </w:rPr>
                  </w:pPr>
                  <w:r w:rsidRPr="002F1697">
                    <w:rPr>
                      <w:color w:val="000000"/>
                      <w:sz w:val="20"/>
                    </w:rPr>
                    <w:t>79</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1C3BAC02" w14:textId="77777777">
                  <w:pPr>
                    <w:jc w:val="center"/>
                    <w:rPr>
                      <w:color w:val="000000"/>
                      <w:sz w:val="20"/>
                    </w:rPr>
                  </w:pPr>
                  <w:r w:rsidRPr="002F1697">
                    <w:rPr>
                      <w:color w:val="000000"/>
                      <w:sz w:val="20"/>
                    </w:rPr>
                    <w:t>79</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38429454" w14:textId="77777777">
                  <w:pPr>
                    <w:jc w:val="center"/>
                    <w:rPr>
                      <w:color w:val="000000"/>
                      <w:sz w:val="20"/>
                    </w:rPr>
                  </w:pPr>
                  <w:r w:rsidRPr="002F1697">
                    <w:rPr>
                      <w:color w:val="000000"/>
                      <w:sz w:val="20"/>
                    </w:rPr>
                    <w:t>3.95</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6D413EEB" w14:textId="77777777">
                  <w:pPr>
                    <w:jc w:val="center"/>
                    <w:rPr>
                      <w:color w:val="000000"/>
                      <w:sz w:val="20"/>
                    </w:rPr>
                  </w:pPr>
                  <w:r w:rsidRPr="002F1697">
                    <w:rPr>
                      <w:color w:val="000000"/>
                      <w:sz w:val="20"/>
                    </w:rPr>
                    <w:t>7.9</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7B17A67E" w14:textId="77777777">
                  <w:pPr>
                    <w:jc w:val="right"/>
                    <w:rPr>
                      <w:color w:val="000000"/>
                      <w:sz w:val="20"/>
                    </w:rPr>
                  </w:pPr>
                  <w:r w:rsidRPr="002F1697">
                    <w:rPr>
                      <w:color w:val="000000"/>
                      <w:sz w:val="20"/>
                    </w:rPr>
                    <w:t xml:space="preserve">$11,232 </w:t>
                  </w:r>
                </w:p>
              </w:tc>
            </w:tr>
            <w:tr w14:paraId="03D4425D" w14:textId="77777777" w:rsidTr="002F1697">
              <w:tblPrEx>
                <w:tblW w:w="12540" w:type="dxa"/>
                <w:tblLayout w:type="fixed"/>
                <w:tblLook w:val="04A0"/>
              </w:tblPrEx>
              <w:trPr>
                <w:trHeight w:val="52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256665EA" w14:textId="77777777">
                  <w:pPr>
                    <w:rPr>
                      <w:color w:val="000000"/>
                      <w:sz w:val="20"/>
                    </w:rPr>
                  </w:pPr>
                  <w:r w:rsidRPr="002F1697">
                    <w:rPr>
                      <w:color w:val="000000"/>
                      <w:sz w:val="20"/>
                    </w:rPr>
                    <w:t>Initial Notification Form of Applicability</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646092C7"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67EBD526"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5D5D127B"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569AE64D"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0F820E36"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0B67F939"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2ED0BDC0"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190C3184" w14:textId="77777777">
                  <w:pPr>
                    <w:jc w:val="right"/>
                    <w:rPr>
                      <w:color w:val="000000"/>
                      <w:sz w:val="20"/>
                    </w:rPr>
                  </w:pPr>
                  <w:r w:rsidRPr="002F1697">
                    <w:rPr>
                      <w:color w:val="000000"/>
                      <w:sz w:val="20"/>
                    </w:rPr>
                    <w:t xml:space="preserve">$0.00 </w:t>
                  </w:r>
                </w:p>
              </w:tc>
            </w:tr>
            <w:tr w14:paraId="3AED1817" w14:textId="77777777" w:rsidTr="002F1697">
              <w:tblPrEx>
                <w:tblW w:w="12540" w:type="dxa"/>
                <w:tblLayout w:type="fixed"/>
                <w:tblLook w:val="04A0"/>
              </w:tblPrEx>
              <w:trPr>
                <w:trHeight w:val="315"/>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0102A01D" w14:textId="77777777">
                  <w:pPr>
                    <w:rPr>
                      <w:color w:val="000000"/>
                      <w:sz w:val="20"/>
                    </w:rPr>
                  </w:pPr>
                  <w:r w:rsidRPr="002F1697">
                    <w:rPr>
                      <w:color w:val="000000"/>
                      <w:sz w:val="20"/>
                    </w:rPr>
                    <w:t>B. Required Activities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5CC52019"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116D3554" w14:textId="77777777">
                  <w:pPr>
                    <w:jc w:val="center"/>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25A39914" w14:textId="77777777">
                  <w:pPr>
                    <w:jc w:val="center"/>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10346BA3" w14:textId="77777777">
                  <w:pPr>
                    <w:jc w:val="center"/>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4611F7C0" w14:textId="77777777">
                  <w:pPr>
                    <w:jc w:val="center"/>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3A5A48AF" w14:textId="77777777">
                  <w:pPr>
                    <w:jc w:val="center"/>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34A32370" w14:textId="77777777">
                  <w:pPr>
                    <w:jc w:val="center"/>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71934C90" w14:textId="77777777">
                  <w:pPr>
                    <w:jc w:val="right"/>
                    <w:rPr>
                      <w:color w:val="000000"/>
                      <w:sz w:val="20"/>
                    </w:rPr>
                  </w:pPr>
                  <w:r w:rsidRPr="002F1697">
                    <w:rPr>
                      <w:color w:val="000000"/>
                      <w:sz w:val="20"/>
                    </w:rPr>
                    <w:t> </w:t>
                  </w:r>
                </w:p>
              </w:tc>
            </w:tr>
            <w:tr w14:paraId="19BF1906" w14:textId="77777777" w:rsidTr="002F1697">
              <w:tblPrEx>
                <w:tblW w:w="12540" w:type="dxa"/>
                <w:tblLayout w:type="fixed"/>
                <w:tblLook w:val="04A0"/>
              </w:tblPrEx>
              <w:trPr>
                <w:trHeight w:val="31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34C1F3DC" w14:textId="77777777">
                  <w:pPr>
                    <w:rPr>
                      <w:i/>
                      <w:iCs/>
                      <w:color w:val="000000"/>
                      <w:sz w:val="20"/>
                    </w:rPr>
                  </w:pPr>
                  <w:r w:rsidRPr="002F1697">
                    <w:rPr>
                      <w:i/>
                      <w:iCs/>
                      <w:color w:val="000000"/>
                      <w:sz w:val="20"/>
                    </w:rPr>
                    <w:t xml:space="preserve">New Sources - Testing </w:t>
                  </w:r>
                  <w:r w:rsidRPr="002F1697">
                    <w:rPr>
                      <w:color w:val="000000"/>
                      <w:sz w:val="20"/>
                      <w:vertAlign w:val="superscript"/>
                    </w:rPr>
                    <w:t>c</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FB52008"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329A95F8" w14:textId="77777777">
                  <w:pPr>
                    <w:jc w:val="center"/>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6F78145F" w14:textId="77777777">
                  <w:pPr>
                    <w:jc w:val="center"/>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6CB27313" w14:textId="77777777">
                  <w:pPr>
                    <w:jc w:val="center"/>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14F595C4" w14:textId="77777777">
                  <w:pPr>
                    <w:jc w:val="center"/>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2C7F4F67" w14:textId="77777777">
                  <w:pPr>
                    <w:jc w:val="center"/>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2B15FC09" w14:textId="77777777">
                  <w:pPr>
                    <w:jc w:val="center"/>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572A20A" w14:textId="77777777">
                  <w:pPr>
                    <w:jc w:val="right"/>
                    <w:rPr>
                      <w:color w:val="000000"/>
                      <w:sz w:val="20"/>
                    </w:rPr>
                  </w:pPr>
                  <w:r w:rsidRPr="002F1697">
                    <w:rPr>
                      <w:color w:val="000000"/>
                      <w:sz w:val="20"/>
                    </w:rPr>
                    <w:t> </w:t>
                  </w:r>
                </w:p>
              </w:tc>
            </w:tr>
            <w:tr w14:paraId="76984664" w14:textId="77777777" w:rsidTr="002F1697">
              <w:tblPrEx>
                <w:tblW w:w="12540" w:type="dxa"/>
                <w:tblLayout w:type="fixed"/>
                <w:tblLook w:val="04A0"/>
              </w:tblPrEx>
              <w:trPr>
                <w:trHeight w:val="50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532FC848" w14:textId="77777777">
                  <w:pPr>
                    <w:rPr>
                      <w:sz w:val="20"/>
                    </w:rPr>
                  </w:pPr>
                  <w:r w:rsidRPr="002F1697">
                    <w:rPr>
                      <w:sz w:val="20"/>
                    </w:rPr>
                    <w:t>Initial NOx Performance Test (kiln)</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6B234879"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43A02D63"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72FA0A4D"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7D6A15EB"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69D7D294"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17B65B7F"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49E0E7E9"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542DA824" w14:textId="77777777">
                  <w:pPr>
                    <w:jc w:val="right"/>
                    <w:rPr>
                      <w:color w:val="000000"/>
                      <w:sz w:val="20"/>
                    </w:rPr>
                  </w:pPr>
                  <w:r w:rsidRPr="002F1697">
                    <w:rPr>
                      <w:color w:val="000000"/>
                      <w:sz w:val="20"/>
                    </w:rPr>
                    <w:t xml:space="preserve">$0.00 </w:t>
                  </w:r>
                </w:p>
              </w:tc>
            </w:tr>
            <w:tr w14:paraId="734D2BF5" w14:textId="77777777" w:rsidTr="002F1697">
              <w:tblPrEx>
                <w:tblW w:w="12540" w:type="dxa"/>
                <w:tblLayout w:type="fixed"/>
                <w:tblLook w:val="04A0"/>
              </w:tblPrEx>
              <w:trPr>
                <w:trHeight w:val="52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4AD157F3" w14:textId="77777777">
                  <w:pPr>
                    <w:rPr>
                      <w:sz w:val="20"/>
                    </w:rPr>
                  </w:pPr>
                  <w:r w:rsidRPr="002F1697">
                    <w:rPr>
                      <w:sz w:val="20"/>
                    </w:rPr>
                    <w:t>Repeat NOx Performance Test</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5C27D539"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7F2BE4A3"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51EF47DC"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63A4AC7E"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3F7A5B5B"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540F7605"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702F6DFD"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669B6A62" w14:textId="77777777">
                  <w:pPr>
                    <w:jc w:val="right"/>
                    <w:rPr>
                      <w:color w:val="000000"/>
                      <w:sz w:val="20"/>
                    </w:rPr>
                  </w:pPr>
                  <w:r w:rsidRPr="002F1697">
                    <w:rPr>
                      <w:color w:val="000000"/>
                      <w:sz w:val="20"/>
                    </w:rPr>
                    <w:t xml:space="preserve">$0.00 </w:t>
                  </w:r>
                </w:p>
              </w:tc>
            </w:tr>
            <w:tr w14:paraId="166290EE" w14:textId="77777777" w:rsidTr="002F1697">
              <w:tblPrEx>
                <w:tblW w:w="12540" w:type="dxa"/>
                <w:tblLayout w:type="fixed"/>
                <w:tblLook w:val="04A0"/>
              </w:tblPrEx>
              <w:trPr>
                <w:trHeight w:val="52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729C4798" w14:textId="77777777">
                  <w:pPr>
                    <w:rPr>
                      <w:color w:val="000000"/>
                      <w:sz w:val="20"/>
                    </w:rPr>
                  </w:pPr>
                  <w:r w:rsidRPr="002F1697">
                    <w:rPr>
                      <w:color w:val="000000"/>
                      <w:sz w:val="20"/>
                    </w:rPr>
                    <w:t>Initial Performance Evaluation of CPMS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70737A24"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1921B4E3"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3D251B0B"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538B3FC6"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201A7369"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31CA4CE0"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38F3FD06"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33EAC3F" w14:textId="77777777">
                  <w:pPr>
                    <w:jc w:val="right"/>
                    <w:rPr>
                      <w:color w:val="000000"/>
                      <w:sz w:val="20"/>
                    </w:rPr>
                  </w:pPr>
                  <w:r w:rsidRPr="002F1697">
                    <w:rPr>
                      <w:color w:val="000000"/>
                      <w:sz w:val="20"/>
                    </w:rPr>
                    <w:t xml:space="preserve">$0.00 </w:t>
                  </w:r>
                </w:p>
              </w:tc>
            </w:tr>
            <w:tr w14:paraId="02B20CCF" w14:textId="77777777" w:rsidTr="002F1697">
              <w:tblPrEx>
                <w:tblW w:w="12540" w:type="dxa"/>
                <w:tblLayout w:type="fixed"/>
                <w:tblLook w:val="04A0"/>
              </w:tblPrEx>
              <w:trPr>
                <w:trHeight w:val="52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5E5EBC19" w14:textId="77777777">
                  <w:pPr>
                    <w:rPr>
                      <w:color w:val="000000"/>
                      <w:sz w:val="20"/>
                    </w:rPr>
                  </w:pPr>
                  <w:r w:rsidRPr="002F1697">
                    <w:rPr>
                      <w:color w:val="000000"/>
                      <w:sz w:val="20"/>
                    </w:rPr>
                    <w:t>Repeat Performance Evaluation of CPMS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7363006B"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3813F3F2"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7082541E"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52E1EE7F" w14:textId="77777777">
                  <w:pPr>
                    <w:jc w:val="center"/>
                    <w:rPr>
                      <w:sz w:val="20"/>
                    </w:rPr>
                  </w:pPr>
                  <w:r w:rsidRPr="002F1697">
                    <w:rPr>
                      <w:sz w:val="20"/>
                    </w:rPr>
                    <w:t>0.00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408751AF"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22556E5C"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42777359"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7B90F272" w14:textId="77777777">
                  <w:pPr>
                    <w:jc w:val="right"/>
                    <w:rPr>
                      <w:color w:val="000000"/>
                      <w:sz w:val="20"/>
                    </w:rPr>
                  </w:pPr>
                  <w:r w:rsidRPr="002F1697">
                    <w:rPr>
                      <w:color w:val="000000"/>
                      <w:sz w:val="20"/>
                    </w:rPr>
                    <w:t xml:space="preserve">$0.00 </w:t>
                  </w:r>
                </w:p>
              </w:tc>
            </w:tr>
            <w:tr w14:paraId="556C04BA" w14:textId="77777777" w:rsidTr="002F1697">
              <w:tblPrEx>
                <w:tblW w:w="12540" w:type="dxa"/>
                <w:tblLayout w:type="fixed"/>
                <w:tblLook w:val="04A0"/>
              </w:tblPrEx>
              <w:trPr>
                <w:trHeight w:val="57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03A20B63" w14:textId="77777777">
                  <w:pPr>
                    <w:rPr>
                      <w:i/>
                      <w:iCs/>
                      <w:color w:val="000000"/>
                      <w:sz w:val="20"/>
                    </w:rPr>
                  </w:pPr>
                  <w:r w:rsidRPr="002F1697">
                    <w:rPr>
                      <w:i/>
                      <w:iCs/>
                      <w:color w:val="000000"/>
                      <w:sz w:val="20"/>
                    </w:rPr>
                    <w:t xml:space="preserve">Existing Sources - Initial Testing </w:t>
                  </w:r>
                  <w:r w:rsidRPr="002F1697">
                    <w:rPr>
                      <w:color w:val="000000"/>
                      <w:sz w:val="20"/>
                      <w:vertAlign w:val="superscript"/>
                    </w:rPr>
                    <w:t>d</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7A9B928E" w14:textId="77777777">
                  <w:pPr>
                    <w:jc w:val="center"/>
                    <w:rPr>
                      <w:sz w:val="20"/>
                    </w:rPr>
                  </w:pPr>
                  <w:r w:rsidRPr="002F1697">
                    <w:rPr>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3D524E42" w14:textId="77777777">
                  <w:pPr>
                    <w:jc w:val="center"/>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19910E46" w14:textId="77777777">
                  <w:pPr>
                    <w:jc w:val="center"/>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6CDD542A" w14:textId="77777777">
                  <w:pPr>
                    <w:jc w:val="center"/>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01F2CD11" w14:textId="77777777">
                  <w:pPr>
                    <w:jc w:val="center"/>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5AB1B7C0" w14:textId="77777777">
                  <w:pPr>
                    <w:jc w:val="center"/>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6EE331E4" w14:textId="77777777">
                  <w:pPr>
                    <w:jc w:val="center"/>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1CFDF350" w14:textId="77777777">
                  <w:pPr>
                    <w:jc w:val="right"/>
                    <w:rPr>
                      <w:color w:val="000000"/>
                      <w:sz w:val="20"/>
                    </w:rPr>
                  </w:pPr>
                  <w:r w:rsidRPr="002F1697">
                    <w:rPr>
                      <w:color w:val="000000"/>
                      <w:sz w:val="20"/>
                    </w:rPr>
                    <w:t> </w:t>
                  </w:r>
                </w:p>
              </w:tc>
            </w:tr>
            <w:tr w14:paraId="57EB99A8" w14:textId="77777777" w:rsidTr="002F1697">
              <w:tblPrEx>
                <w:tblW w:w="12540" w:type="dxa"/>
                <w:tblLayout w:type="fixed"/>
                <w:tblLook w:val="04A0"/>
              </w:tblPrEx>
              <w:trPr>
                <w:trHeight w:val="52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2BFE240B" w14:textId="77777777">
                  <w:pPr>
                    <w:rPr>
                      <w:color w:val="000000"/>
                      <w:sz w:val="20"/>
                    </w:rPr>
                  </w:pPr>
                  <w:r w:rsidRPr="002F1697">
                    <w:rPr>
                      <w:color w:val="000000"/>
                      <w:sz w:val="20"/>
                    </w:rPr>
                    <w:t>Initial Performance Evaluation of CPMS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4FB996FB"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1DE204FC"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02E5FD4F"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4C33774C"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6D746FE8"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26F60B32"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48185701"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68CE9308" w14:textId="77777777">
                  <w:pPr>
                    <w:jc w:val="right"/>
                    <w:rPr>
                      <w:color w:val="000000"/>
                      <w:sz w:val="20"/>
                    </w:rPr>
                  </w:pPr>
                  <w:r w:rsidRPr="002F1697">
                    <w:rPr>
                      <w:color w:val="000000"/>
                      <w:sz w:val="20"/>
                    </w:rPr>
                    <w:t xml:space="preserve">$0.00 </w:t>
                  </w:r>
                </w:p>
              </w:tc>
            </w:tr>
            <w:tr w14:paraId="2C464E7D" w14:textId="77777777" w:rsidTr="002F1697">
              <w:tblPrEx>
                <w:tblW w:w="12540" w:type="dxa"/>
                <w:tblLayout w:type="fixed"/>
                <w:tblLook w:val="04A0"/>
              </w:tblPrEx>
              <w:trPr>
                <w:trHeight w:val="52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0472B6A0" w14:textId="77777777">
                  <w:pPr>
                    <w:rPr>
                      <w:color w:val="000000"/>
                      <w:sz w:val="20"/>
                    </w:rPr>
                  </w:pPr>
                  <w:r w:rsidRPr="002F1697">
                    <w:rPr>
                      <w:color w:val="000000"/>
                      <w:sz w:val="20"/>
                    </w:rPr>
                    <w:t>Repeat Performance Evaluation of CPMS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3FD4BD84"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5F773CEE"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7C695757"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70489F7C"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2D1B540E"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0C74683E"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68CFCD1D"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6FCD364" w14:textId="77777777">
                  <w:pPr>
                    <w:jc w:val="right"/>
                    <w:rPr>
                      <w:color w:val="000000"/>
                      <w:sz w:val="20"/>
                    </w:rPr>
                  </w:pPr>
                  <w:r w:rsidRPr="002F1697">
                    <w:rPr>
                      <w:color w:val="000000"/>
                      <w:sz w:val="20"/>
                    </w:rPr>
                    <w:t xml:space="preserve">$0.00 </w:t>
                  </w:r>
                </w:p>
              </w:tc>
            </w:tr>
            <w:tr w14:paraId="6A39A616" w14:textId="77777777" w:rsidTr="002F1697">
              <w:tblPrEx>
                <w:tblW w:w="12540" w:type="dxa"/>
                <w:tblLayout w:type="fixed"/>
                <w:tblLook w:val="04A0"/>
              </w:tblPrEx>
              <w:trPr>
                <w:trHeight w:val="57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203DDCDD" w14:textId="77777777">
                  <w:pPr>
                    <w:rPr>
                      <w:i/>
                      <w:iCs/>
                      <w:color w:val="000000"/>
                      <w:sz w:val="20"/>
                    </w:rPr>
                  </w:pPr>
                  <w:r w:rsidRPr="002F1697">
                    <w:rPr>
                      <w:i/>
                      <w:iCs/>
                      <w:color w:val="000000"/>
                      <w:sz w:val="20"/>
                    </w:rPr>
                    <w:t xml:space="preserve">Existing Sources - Annual Testing </w:t>
                  </w:r>
                  <w:r w:rsidRPr="002F1697">
                    <w:rPr>
                      <w:color w:val="000000"/>
                      <w:sz w:val="20"/>
                      <w:vertAlign w:val="superscript"/>
                    </w:rPr>
                    <w:t>d</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04EE0C2"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6D11171D" w14:textId="77777777">
                  <w:pPr>
                    <w:jc w:val="center"/>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43B0ACEC" w14:textId="77777777">
                  <w:pPr>
                    <w:jc w:val="center"/>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6BE6A57C" w14:textId="77777777">
                  <w:pPr>
                    <w:jc w:val="center"/>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0A677864" w14:textId="77777777">
                  <w:pPr>
                    <w:jc w:val="center"/>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3E824EFF" w14:textId="77777777">
                  <w:pPr>
                    <w:jc w:val="center"/>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281D6F18" w14:textId="77777777">
                  <w:pPr>
                    <w:jc w:val="center"/>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C3BB920" w14:textId="77777777">
                  <w:pPr>
                    <w:jc w:val="right"/>
                    <w:rPr>
                      <w:color w:val="000000"/>
                      <w:sz w:val="20"/>
                    </w:rPr>
                  </w:pPr>
                  <w:r w:rsidRPr="002F1697">
                    <w:rPr>
                      <w:color w:val="000000"/>
                      <w:sz w:val="20"/>
                    </w:rPr>
                    <w:t> </w:t>
                  </w:r>
                </w:p>
              </w:tc>
            </w:tr>
            <w:tr w14:paraId="1730D35B" w14:textId="77777777" w:rsidTr="002F1697">
              <w:tblPrEx>
                <w:tblW w:w="12540" w:type="dxa"/>
                <w:tblLayout w:type="fixed"/>
                <w:tblLook w:val="04A0"/>
              </w:tblPrEx>
              <w:trPr>
                <w:trHeight w:val="52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40A5934D" w14:textId="77777777">
                  <w:pPr>
                    <w:rPr>
                      <w:color w:val="000000"/>
                      <w:sz w:val="20"/>
                    </w:rPr>
                  </w:pPr>
                  <w:r w:rsidRPr="002F1697">
                    <w:rPr>
                      <w:color w:val="000000"/>
                      <w:sz w:val="20"/>
                    </w:rPr>
                    <w:t>Annual NOx Performance Test (kiln)</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2B10CDBC"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3EB17A31"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39A97BEC"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3603E992"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4F2461E7"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41CCA8EB"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63791C94"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384A5878" w14:textId="77777777">
                  <w:pPr>
                    <w:jc w:val="right"/>
                    <w:rPr>
                      <w:color w:val="000000"/>
                      <w:sz w:val="20"/>
                    </w:rPr>
                  </w:pPr>
                  <w:r w:rsidRPr="002F1697">
                    <w:rPr>
                      <w:color w:val="000000"/>
                      <w:sz w:val="20"/>
                    </w:rPr>
                    <w:t xml:space="preserve">$0.00 </w:t>
                  </w:r>
                </w:p>
              </w:tc>
            </w:tr>
            <w:tr w14:paraId="2F34E7AA" w14:textId="77777777" w:rsidTr="002F1697">
              <w:tblPrEx>
                <w:tblW w:w="12540" w:type="dxa"/>
                <w:tblLayout w:type="fixed"/>
                <w:tblLook w:val="04A0"/>
              </w:tblPrEx>
              <w:trPr>
                <w:trHeight w:val="26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472902C7" w14:textId="77777777">
                  <w:pPr>
                    <w:rPr>
                      <w:color w:val="000000"/>
                      <w:sz w:val="20"/>
                    </w:rPr>
                  </w:pPr>
                  <w:r w:rsidRPr="002F1697">
                    <w:rPr>
                      <w:color w:val="000000"/>
                      <w:sz w:val="20"/>
                    </w:rPr>
                    <w:t xml:space="preserve">Repeat NOx Performance Test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B5C7964"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75A9B6C9"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0AD62579"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54684E86"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40995407"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55397938"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18EC29AB"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3707542C" w14:textId="77777777">
                  <w:pPr>
                    <w:jc w:val="right"/>
                    <w:rPr>
                      <w:color w:val="000000"/>
                      <w:sz w:val="20"/>
                    </w:rPr>
                  </w:pPr>
                  <w:r w:rsidRPr="002F1697">
                    <w:rPr>
                      <w:color w:val="000000"/>
                      <w:sz w:val="20"/>
                    </w:rPr>
                    <w:t xml:space="preserve">$0.00 </w:t>
                  </w:r>
                </w:p>
              </w:tc>
            </w:tr>
            <w:tr w14:paraId="4977FD4A" w14:textId="77777777" w:rsidTr="002F1697">
              <w:tblPrEx>
                <w:tblW w:w="12540" w:type="dxa"/>
                <w:tblLayout w:type="fixed"/>
                <w:tblLook w:val="04A0"/>
              </w:tblPrEx>
              <w:trPr>
                <w:trHeight w:val="57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1BA829C5" w14:textId="77777777">
                  <w:pPr>
                    <w:rPr>
                      <w:i/>
                      <w:iCs/>
                      <w:color w:val="000000"/>
                      <w:sz w:val="20"/>
                    </w:rPr>
                  </w:pPr>
                  <w:r w:rsidRPr="002F1697">
                    <w:rPr>
                      <w:i/>
                      <w:iCs/>
                      <w:color w:val="000000"/>
                      <w:sz w:val="20"/>
                    </w:rPr>
                    <w:t xml:space="preserve">New and Existing Sources - Monitoring </w:t>
                  </w:r>
                  <w:r w:rsidRPr="002F1697">
                    <w:rPr>
                      <w:color w:val="000000"/>
                      <w:sz w:val="20"/>
                      <w:vertAlign w:val="superscript"/>
                    </w:rPr>
                    <w:t>e</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1D572935"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33D4AA66" w14:textId="77777777">
                  <w:pPr>
                    <w:jc w:val="center"/>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0099E439" w14:textId="77777777">
                  <w:pPr>
                    <w:jc w:val="center"/>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2AD51807" w14:textId="77777777">
                  <w:pPr>
                    <w:jc w:val="center"/>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4C079CA9" w14:textId="77777777">
                  <w:pPr>
                    <w:jc w:val="center"/>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5B11D5C0" w14:textId="77777777">
                  <w:pPr>
                    <w:jc w:val="center"/>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5641FA85" w14:textId="77777777">
                  <w:pPr>
                    <w:jc w:val="center"/>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3C349D01" w14:textId="77777777">
                  <w:pPr>
                    <w:jc w:val="right"/>
                    <w:rPr>
                      <w:color w:val="000000"/>
                      <w:sz w:val="20"/>
                    </w:rPr>
                  </w:pPr>
                  <w:r w:rsidRPr="002F1697">
                    <w:rPr>
                      <w:color w:val="000000"/>
                      <w:sz w:val="20"/>
                    </w:rPr>
                    <w:t> </w:t>
                  </w:r>
                </w:p>
              </w:tc>
            </w:tr>
            <w:tr w14:paraId="39972530" w14:textId="77777777" w:rsidTr="002F1697">
              <w:tblPrEx>
                <w:tblW w:w="12540" w:type="dxa"/>
                <w:tblLayout w:type="fixed"/>
                <w:tblLook w:val="04A0"/>
              </w:tblPrEx>
              <w:trPr>
                <w:trHeight w:val="26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1B3CD621" w14:textId="77777777">
                  <w:pPr>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7EF6617"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062C3961" w14:textId="77777777">
                  <w:pPr>
                    <w:jc w:val="center"/>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69A1FA7A" w14:textId="77777777">
                  <w:pPr>
                    <w:jc w:val="center"/>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06131C06" w14:textId="77777777">
                  <w:pPr>
                    <w:jc w:val="center"/>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2626D5C4" w14:textId="77777777">
                  <w:pPr>
                    <w:jc w:val="center"/>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3AE393E6" w14:textId="77777777">
                  <w:pPr>
                    <w:jc w:val="center"/>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47ADB446" w14:textId="77777777">
                  <w:pPr>
                    <w:jc w:val="center"/>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6DE9B379" w14:textId="77777777">
                  <w:pPr>
                    <w:jc w:val="right"/>
                    <w:rPr>
                      <w:color w:val="000000"/>
                      <w:sz w:val="20"/>
                    </w:rPr>
                  </w:pPr>
                  <w:r w:rsidRPr="002F1697">
                    <w:rPr>
                      <w:color w:val="000000"/>
                      <w:sz w:val="20"/>
                    </w:rPr>
                    <w:t> </w:t>
                  </w:r>
                </w:p>
              </w:tc>
            </w:tr>
            <w:tr w14:paraId="5D51E539" w14:textId="77777777" w:rsidTr="002F1697">
              <w:tblPrEx>
                <w:tblW w:w="12540" w:type="dxa"/>
                <w:tblLayout w:type="fixed"/>
                <w:tblLook w:val="04A0"/>
              </w:tblPrEx>
              <w:trPr>
                <w:trHeight w:val="26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767A8291" w14:textId="77777777">
                  <w:pPr>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54EFF69A"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14D44A97" w14:textId="77777777">
                  <w:pPr>
                    <w:jc w:val="center"/>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2F3E31C3" w14:textId="77777777">
                  <w:pPr>
                    <w:jc w:val="center"/>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0007D472" w14:textId="77777777">
                  <w:pPr>
                    <w:jc w:val="center"/>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476DBB48" w14:textId="77777777">
                  <w:pPr>
                    <w:jc w:val="center"/>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57B696E4" w14:textId="77777777">
                  <w:pPr>
                    <w:jc w:val="center"/>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12C79939" w14:textId="77777777">
                  <w:pPr>
                    <w:jc w:val="center"/>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E4DE4DF" w14:textId="77777777">
                  <w:pPr>
                    <w:jc w:val="right"/>
                    <w:rPr>
                      <w:color w:val="000000"/>
                      <w:sz w:val="20"/>
                    </w:rPr>
                  </w:pPr>
                  <w:r w:rsidRPr="002F1697">
                    <w:rPr>
                      <w:color w:val="000000"/>
                      <w:sz w:val="20"/>
                    </w:rPr>
                    <w:t> </w:t>
                  </w:r>
                </w:p>
              </w:tc>
            </w:tr>
            <w:tr w14:paraId="31110498" w14:textId="77777777" w:rsidTr="002F1697">
              <w:tblPrEx>
                <w:tblW w:w="12540" w:type="dxa"/>
                <w:tblLayout w:type="fixed"/>
                <w:tblLook w:val="04A0"/>
              </w:tblPrEx>
              <w:trPr>
                <w:trHeight w:val="52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29D3ADF9" w14:textId="77777777">
                  <w:pPr>
                    <w:rPr>
                      <w:color w:val="000000"/>
                      <w:sz w:val="20"/>
                    </w:rPr>
                  </w:pPr>
                  <w:r w:rsidRPr="002F1697">
                    <w:rPr>
                      <w:color w:val="000000"/>
                      <w:sz w:val="20"/>
                    </w:rPr>
                    <w:t>C. Create Information (Included in 4B)</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38C6035F"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1F7C2C27"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79B6A96F"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6F8EFC49" w14:textId="77777777">
                  <w:pPr>
                    <w:jc w:val="center"/>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5B716B30" w14:textId="77777777">
                  <w:pPr>
                    <w:jc w:val="center"/>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2929F538" w14:textId="77777777">
                  <w:pPr>
                    <w:jc w:val="center"/>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49B12495" w14:textId="77777777">
                  <w:pPr>
                    <w:jc w:val="center"/>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2BD54DA9" w14:textId="77777777">
                  <w:pPr>
                    <w:jc w:val="right"/>
                    <w:rPr>
                      <w:color w:val="000000"/>
                      <w:sz w:val="20"/>
                    </w:rPr>
                  </w:pPr>
                  <w:r w:rsidRPr="002F1697">
                    <w:rPr>
                      <w:color w:val="000000"/>
                      <w:sz w:val="20"/>
                    </w:rPr>
                    <w:t> </w:t>
                  </w:r>
                </w:p>
              </w:tc>
            </w:tr>
            <w:tr w14:paraId="2128A90F" w14:textId="77777777" w:rsidTr="002F1697">
              <w:tblPrEx>
                <w:tblW w:w="12540" w:type="dxa"/>
                <w:tblLayout w:type="fixed"/>
                <w:tblLook w:val="04A0"/>
              </w:tblPrEx>
              <w:trPr>
                <w:trHeight w:val="52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74E9F788" w14:textId="77777777">
                  <w:pPr>
                    <w:rPr>
                      <w:color w:val="000000"/>
                      <w:sz w:val="20"/>
                    </w:rPr>
                  </w:pPr>
                  <w:r w:rsidRPr="002F1697">
                    <w:rPr>
                      <w:color w:val="000000"/>
                      <w:sz w:val="20"/>
                    </w:rPr>
                    <w:t>D. Gather Existing Information (Included in 4E)</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4ECA2513"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3BFD2FBB"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7B1CED00"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1FBD1190" w14:textId="77777777">
                  <w:pPr>
                    <w:jc w:val="center"/>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33577ED4" w14:textId="77777777">
                  <w:pPr>
                    <w:jc w:val="center"/>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3EA969BA" w14:textId="77777777">
                  <w:pPr>
                    <w:jc w:val="center"/>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0449CED4" w14:textId="77777777">
                  <w:pPr>
                    <w:jc w:val="center"/>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1E904EB8" w14:textId="77777777">
                  <w:pPr>
                    <w:jc w:val="right"/>
                    <w:rPr>
                      <w:color w:val="000000"/>
                      <w:sz w:val="20"/>
                    </w:rPr>
                  </w:pPr>
                  <w:r w:rsidRPr="002F1697">
                    <w:rPr>
                      <w:color w:val="000000"/>
                      <w:sz w:val="20"/>
                    </w:rPr>
                    <w:t> </w:t>
                  </w:r>
                </w:p>
              </w:tc>
            </w:tr>
            <w:tr w14:paraId="79765983" w14:textId="77777777" w:rsidTr="002F1697">
              <w:tblPrEx>
                <w:tblW w:w="12540" w:type="dxa"/>
                <w:tblLayout w:type="fixed"/>
                <w:tblLook w:val="04A0"/>
              </w:tblPrEx>
              <w:trPr>
                <w:trHeight w:val="26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2FEA717A" w14:textId="77777777">
                  <w:pPr>
                    <w:rPr>
                      <w:color w:val="000000"/>
                      <w:sz w:val="20"/>
                    </w:rPr>
                  </w:pPr>
                  <w:r w:rsidRPr="002F1697">
                    <w:rPr>
                      <w:color w:val="000000"/>
                      <w:sz w:val="20"/>
                    </w:rPr>
                    <w:t>E. Write Report</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501024AB" w14:textId="77777777">
                  <w:pPr>
                    <w:jc w:val="right"/>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165B9BAD"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536FF05F"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08655304" w14:textId="77777777">
                  <w:pPr>
                    <w:jc w:val="center"/>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322E8683" w14:textId="77777777">
                  <w:pPr>
                    <w:jc w:val="center"/>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3DEB230F" w14:textId="77777777">
                  <w:pPr>
                    <w:jc w:val="center"/>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00ACDDA1" w14:textId="77777777">
                  <w:pPr>
                    <w:jc w:val="center"/>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2BF218A" w14:textId="77777777">
                  <w:pPr>
                    <w:jc w:val="right"/>
                    <w:rPr>
                      <w:color w:val="000000"/>
                      <w:sz w:val="20"/>
                    </w:rPr>
                  </w:pPr>
                  <w:r w:rsidRPr="002F1697">
                    <w:rPr>
                      <w:color w:val="000000"/>
                      <w:sz w:val="20"/>
                    </w:rPr>
                    <w:t> </w:t>
                  </w:r>
                </w:p>
              </w:tc>
            </w:tr>
            <w:tr w14:paraId="7492E899" w14:textId="77777777" w:rsidTr="002F1697">
              <w:tblPrEx>
                <w:tblW w:w="12540" w:type="dxa"/>
                <w:tblLayout w:type="fixed"/>
                <w:tblLook w:val="04A0"/>
              </w:tblPrEx>
              <w:trPr>
                <w:trHeight w:val="523"/>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4C54ECA3" w14:textId="77777777">
                  <w:pPr>
                    <w:rPr>
                      <w:i/>
                      <w:iCs/>
                      <w:color w:val="000000"/>
                      <w:sz w:val="20"/>
                      <w:u w:val="single"/>
                    </w:rPr>
                  </w:pPr>
                  <w:r w:rsidRPr="002F1697">
                    <w:rPr>
                      <w:i/>
                      <w:iCs/>
                      <w:color w:val="000000"/>
                      <w:sz w:val="20"/>
                      <w:u w:val="single"/>
                    </w:rPr>
                    <w:t>New Sources- Reporting</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7107060C"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357FFC96" w14:textId="77777777">
                  <w:pPr>
                    <w:jc w:val="center"/>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0A09D4A5" w14:textId="77777777">
                  <w:pPr>
                    <w:jc w:val="center"/>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362F82BA" w14:textId="77777777">
                  <w:pPr>
                    <w:jc w:val="center"/>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57B6E9AB" w14:textId="77777777">
                  <w:pPr>
                    <w:jc w:val="center"/>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1F2F25A2" w14:textId="77777777">
                  <w:pPr>
                    <w:jc w:val="center"/>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6EC36987" w14:textId="77777777">
                  <w:pPr>
                    <w:jc w:val="center"/>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59B44A4A" w14:textId="77777777">
                  <w:pPr>
                    <w:jc w:val="right"/>
                    <w:rPr>
                      <w:color w:val="000000"/>
                      <w:sz w:val="20"/>
                    </w:rPr>
                  </w:pPr>
                  <w:r w:rsidRPr="002F1697">
                    <w:rPr>
                      <w:color w:val="000000"/>
                      <w:sz w:val="20"/>
                    </w:rPr>
                    <w:t> </w:t>
                  </w:r>
                </w:p>
              </w:tc>
            </w:tr>
            <w:tr w14:paraId="176AE804" w14:textId="77777777" w:rsidTr="002F1697">
              <w:tblPrEx>
                <w:tblW w:w="12540" w:type="dxa"/>
                <w:tblLayout w:type="fixed"/>
                <w:tblLook w:val="04A0"/>
              </w:tblPrEx>
              <w:trPr>
                <w:trHeight w:val="523"/>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42F22F1E" w14:textId="77777777">
                  <w:pPr>
                    <w:rPr>
                      <w:color w:val="000000"/>
                      <w:sz w:val="20"/>
                    </w:rPr>
                  </w:pPr>
                  <w:r w:rsidRPr="002F1697">
                    <w:rPr>
                      <w:color w:val="000000"/>
                      <w:sz w:val="20"/>
                    </w:rPr>
                    <w:t>Notification of Initial Performance Test</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60065D59"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6F381C29"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569D4243"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6A03D76F"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306CA806"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5376BAD5"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0CEA5041"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14157D0C" w14:textId="77777777">
                  <w:pPr>
                    <w:jc w:val="right"/>
                    <w:rPr>
                      <w:color w:val="000000"/>
                      <w:sz w:val="20"/>
                    </w:rPr>
                  </w:pPr>
                  <w:r w:rsidRPr="002F1697">
                    <w:rPr>
                      <w:color w:val="000000"/>
                      <w:sz w:val="20"/>
                    </w:rPr>
                    <w:t xml:space="preserve">$0.00 </w:t>
                  </w:r>
                </w:p>
              </w:tc>
            </w:tr>
            <w:tr w14:paraId="127A7364" w14:textId="77777777" w:rsidTr="002F1697">
              <w:tblPrEx>
                <w:tblW w:w="12540" w:type="dxa"/>
                <w:tblLayout w:type="fixed"/>
                <w:tblLook w:val="04A0"/>
              </w:tblPrEx>
              <w:trPr>
                <w:trHeight w:val="78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7B538CD5" w14:textId="77777777">
                  <w:pPr>
                    <w:rPr>
                      <w:color w:val="000000"/>
                      <w:sz w:val="20"/>
                    </w:rPr>
                  </w:pPr>
                  <w:r w:rsidRPr="002F1697">
                    <w:rPr>
                      <w:color w:val="000000"/>
                      <w:sz w:val="20"/>
                    </w:rPr>
                    <w:t>Report of Performance Test Results via CEDRI or analogous electronic reporting</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4F4ECE19"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1D4585B4"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0F26FE18"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65EE9EEE"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0E5403DB"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4824918B"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3DF0690C"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4AFACC3F" w14:textId="77777777">
                  <w:pPr>
                    <w:jc w:val="right"/>
                    <w:rPr>
                      <w:color w:val="000000"/>
                      <w:sz w:val="20"/>
                    </w:rPr>
                  </w:pPr>
                  <w:r w:rsidRPr="002F1697">
                    <w:rPr>
                      <w:color w:val="000000"/>
                      <w:sz w:val="20"/>
                    </w:rPr>
                    <w:t xml:space="preserve">$0.00 </w:t>
                  </w:r>
                </w:p>
              </w:tc>
            </w:tr>
            <w:tr w14:paraId="126FEE62" w14:textId="77777777" w:rsidTr="002F1697">
              <w:tblPrEx>
                <w:tblW w:w="12540" w:type="dxa"/>
                <w:tblLayout w:type="fixed"/>
                <w:tblLook w:val="04A0"/>
              </w:tblPrEx>
              <w:trPr>
                <w:trHeight w:val="52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7EA98962" w14:textId="77777777">
                  <w:pPr>
                    <w:rPr>
                      <w:color w:val="000000"/>
                      <w:sz w:val="20"/>
                    </w:rPr>
                  </w:pPr>
                  <w:r w:rsidRPr="002F1697">
                    <w:rPr>
                      <w:color w:val="000000"/>
                      <w:sz w:val="20"/>
                    </w:rPr>
                    <w:t>Notification of Demonstration of CPMS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49086E6F"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63817FA6"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7A0AEFA6"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1098A62C"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4B2BAAFE"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654BB746"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24C2F2F0"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65EEBA5A" w14:textId="77777777">
                  <w:pPr>
                    <w:jc w:val="right"/>
                    <w:rPr>
                      <w:color w:val="000000"/>
                      <w:sz w:val="20"/>
                    </w:rPr>
                  </w:pPr>
                  <w:r w:rsidRPr="002F1697">
                    <w:rPr>
                      <w:color w:val="000000"/>
                      <w:sz w:val="20"/>
                    </w:rPr>
                    <w:t xml:space="preserve">$0.00 </w:t>
                  </w:r>
                </w:p>
              </w:tc>
            </w:tr>
            <w:tr w14:paraId="63508CEE" w14:textId="77777777" w:rsidTr="002F1697">
              <w:tblPrEx>
                <w:tblW w:w="12540" w:type="dxa"/>
                <w:tblLayout w:type="fixed"/>
                <w:tblLook w:val="04A0"/>
              </w:tblPrEx>
              <w:trPr>
                <w:trHeight w:val="78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6B18D75A" w14:textId="77777777">
                  <w:pPr>
                    <w:rPr>
                      <w:color w:val="000000"/>
                      <w:sz w:val="20"/>
                    </w:rPr>
                  </w:pPr>
                  <w:r w:rsidRPr="002F1697">
                    <w:rPr>
                      <w:color w:val="000000"/>
                      <w:sz w:val="20"/>
                    </w:rPr>
                    <w:t>Notification of Initial Performance Evaluation of CPMS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330A88EA"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36333E2B"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66E4C432"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7147A46D"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647BE9DF"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00C80F05"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15F4E1B9"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6E8444CE" w14:textId="77777777">
                  <w:pPr>
                    <w:jc w:val="right"/>
                    <w:rPr>
                      <w:color w:val="000000"/>
                      <w:sz w:val="20"/>
                    </w:rPr>
                  </w:pPr>
                  <w:r w:rsidRPr="002F1697">
                    <w:rPr>
                      <w:color w:val="000000"/>
                      <w:sz w:val="20"/>
                    </w:rPr>
                    <w:t xml:space="preserve">$0.00 </w:t>
                  </w:r>
                </w:p>
              </w:tc>
            </w:tr>
            <w:tr w14:paraId="65DFC894" w14:textId="77777777" w:rsidTr="002F1697">
              <w:tblPrEx>
                <w:tblW w:w="12540" w:type="dxa"/>
                <w:tblLayout w:type="fixed"/>
                <w:tblLook w:val="04A0"/>
              </w:tblPrEx>
              <w:trPr>
                <w:trHeight w:val="52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243B72E2" w14:textId="77777777">
                  <w:pPr>
                    <w:rPr>
                      <w:color w:val="000000"/>
                      <w:sz w:val="20"/>
                    </w:rPr>
                  </w:pPr>
                  <w:r w:rsidRPr="002F1697">
                    <w:rPr>
                      <w:color w:val="000000"/>
                      <w:sz w:val="20"/>
                    </w:rPr>
                    <w:t>Report of Performance Evaluation of CPMS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17B31B93"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4D359737"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1BF6F765"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6C7D8C12"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27737917"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13F92639"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583C1B64"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14F3BE7F" w14:textId="77777777">
                  <w:pPr>
                    <w:jc w:val="right"/>
                    <w:rPr>
                      <w:color w:val="000000"/>
                      <w:sz w:val="20"/>
                    </w:rPr>
                  </w:pPr>
                  <w:r w:rsidRPr="002F1697">
                    <w:rPr>
                      <w:color w:val="000000"/>
                      <w:sz w:val="20"/>
                    </w:rPr>
                    <w:t xml:space="preserve">$0.00 </w:t>
                  </w:r>
                </w:p>
              </w:tc>
            </w:tr>
            <w:tr w14:paraId="7EB4C80A" w14:textId="77777777" w:rsidTr="002F1697">
              <w:tblPrEx>
                <w:tblW w:w="12540" w:type="dxa"/>
                <w:tblLayout w:type="fixed"/>
                <w:tblLook w:val="04A0"/>
              </w:tblPrEx>
              <w:trPr>
                <w:trHeight w:val="26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551EC9AE" w14:textId="77777777">
                  <w:pPr>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192BF1FA"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45EECE86" w14:textId="77777777">
                  <w:pPr>
                    <w:jc w:val="center"/>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7575C830" w14:textId="77777777">
                  <w:pPr>
                    <w:jc w:val="center"/>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428DCDA7" w14:textId="77777777">
                  <w:pPr>
                    <w:jc w:val="center"/>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55174F04" w14:textId="77777777">
                  <w:pPr>
                    <w:jc w:val="center"/>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7A3F3400" w14:textId="77777777">
                  <w:pPr>
                    <w:jc w:val="center"/>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65BAE540" w14:textId="77777777">
                  <w:pPr>
                    <w:jc w:val="center"/>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4DF9AED4" w14:textId="77777777">
                  <w:pPr>
                    <w:jc w:val="right"/>
                    <w:rPr>
                      <w:color w:val="000000"/>
                      <w:sz w:val="20"/>
                    </w:rPr>
                  </w:pPr>
                  <w:r w:rsidRPr="002F1697">
                    <w:rPr>
                      <w:color w:val="000000"/>
                      <w:sz w:val="20"/>
                    </w:rPr>
                    <w:t> </w:t>
                  </w:r>
                </w:p>
              </w:tc>
            </w:tr>
            <w:tr w14:paraId="1E029855" w14:textId="77777777" w:rsidTr="002F1697">
              <w:tblPrEx>
                <w:tblW w:w="12540" w:type="dxa"/>
                <w:tblLayout w:type="fixed"/>
                <w:tblLook w:val="04A0"/>
              </w:tblPrEx>
              <w:trPr>
                <w:trHeight w:val="78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786B1D58" w14:textId="77777777">
                  <w:pPr>
                    <w:rPr>
                      <w:color w:val="000000"/>
                      <w:sz w:val="20"/>
                    </w:rPr>
                  </w:pPr>
                  <w:r w:rsidRPr="002F1697">
                    <w:rPr>
                      <w:color w:val="000000"/>
                      <w:sz w:val="20"/>
                    </w:rPr>
                    <w:t>Annual Report submitted via CEDRI or analogous electronic reporting</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4051A098"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168AC927"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6553A027"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5433E0D8"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65458ECA"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3883D0CC"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33EDEDCA"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49C82364" w14:textId="77777777">
                  <w:pPr>
                    <w:jc w:val="right"/>
                    <w:rPr>
                      <w:color w:val="000000"/>
                      <w:sz w:val="20"/>
                    </w:rPr>
                  </w:pPr>
                  <w:r w:rsidRPr="002F1697">
                    <w:rPr>
                      <w:color w:val="000000"/>
                      <w:sz w:val="20"/>
                    </w:rPr>
                    <w:t xml:space="preserve">$0.00 </w:t>
                  </w:r>
                </w:p>
              </w:tc>
            </w:tr>
            <w:tr w14:paraId="65603A47" w14:textId="77777777" w:rsidTr="002F1697">
              <w:tblPrEx>
                <w:tblW w:w="12540" w:type="dxa"/>
                <w:tblLayout w:type="fixed"/>
                <w:tblLook w:val="04A0"/>
              </w:tblPrEx>
              <w:trPr>
                <w:trHeight w:val="26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649AC905" w14:textId="77777777">
                  <w:pPr>
                    <w:rPr>
                      <w:i/>
                      <w:iCs/>
                      <w:color w:val="000000"/>
                      <w:sz w:val="20"/>
                      <w:u w:val="single"/>
                    </w:rPr>
                  </w:pPr>
                  <w:r w:rsidRPr="002F1697">
                    <w:rPr>
                      <w:i/>
                      <w:iCs/>
                      <w:color w:val="000000"/>
                      <w:sz w:val="20"/>
                      <w:u w:val="single"/>
                    </w:rPr>
                    <w:t>Existing Sources-Reporting</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211EC459" w14:textId="77777777">
                  <w:pPr>
                    <w:jc w:val="right"/>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345F43A7"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45B335C9"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07232AE0" w14:textId="77777777">
                  <w:pPr>
                    <w:jc w:val="right"/>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6B309875" w14:textId="77777777">
                  <w:pPr>
                    <w:jc w:val="right"/>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4255AC7A" w14:textId="77777777">
                  <w:pPr>
                    <w:jc w:val="right"/>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6BC6946B" w14:textId="77777777">
                  <w:pPr>
                    <w:jc w:val="right"/>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3C38AD61" w14:textId="77777777">
                  <w:pPr>
                    <w:jc w:val="right"/>
                    <w:rPr>
                      <w:color w:val="000000"/>
                      <w:sz w:val="20"/>
                    </w:rPr>
                  </w:pPr>
                  <w:r w:rsidRPr="002F1697">
                    <w:rPr>
                      <w:color w:val="000000"/>
                      <w:sz w:val="20"/>
                    </w:rPr>
                    <w:t> </w:t>
                  </w:r>
                </w:p>
              </w:tc>
            </w:tr>
            <w:tr w14:paraId="153292E5" w14:textId="77777777" w:rsidTr="002F1697">
              <w:tblPrEx>
                <w:tblW w:w="12540" w:type="dxa"/>
                <w:tblLayout w:type="fixed"/>
                <w:tblLook w:val="04A0"/>
              </w:tblPrEx>
              <w:trPr>
                <w:trHeight w:val="52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37A8A00B" w14:textId="77777777">
                  <w:pPr>
                    <w:rPr>
                      <w:color w:val="000000"/>
                      <w:sz w:val="20"/>
                    </w:rPr>
                  </w:pPr>
                  <w:r w:rsidRPr="002F1697">
                    <w:rPr>
                      <w:color w:val="000000"/>
                      <w:sz w:val="20"/>
                    </w:rPr>
                    <w:t>Notification of annual Performance Test</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5B108F33"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25528320"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697D362B"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0393FDC5"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5F7B227D"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11E710E5"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687FE1DA"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D085F09" w14:textId="77777777">
                  <w:pPr>
                    <w:jc w:val="right"/>
                    <w:rPr>
                      <w:color w:val="000000"/>
                      <w:sz w:val="20"/>
                    </w:rPr>
                  </w:pPr>
                  <w:r w:rsidRPr="002F1697">
                    <w:rPr>
                      <w:color w:val="000000"/>
                      <w:sz w:val="20"/>
                    </w:rPr>
                    <w:t xml:space="preserve">$0.00 </w:t>
                  </w:r>
                </w:p>
              </w:tc>
            </w:tr>
            <w:tr w14:paraId="5DAA074E" w14:textId="77777777" w:rsidTr="002F1697">
              <w:tblPrEx>
                <w:tblW w:w="12540" w:type="dxa"/>
                <w:tblLayout w:type="fixed"/>
                <w:tblLook w:val="04A0"/>
              </w:tblPrEx>
              <w:trPr>
                <w:trHeight w:val="114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503A1EA0" w14:textId="77777777">
                  <w:pPr>
                    <w:rPr>
                      <w:color w:val="000000"/>
                      <w:sz w:val="20"/>
                    </w:rPr>
                  </w:pPr>
                  <w:r w:rsidRPr="002F1697">
                    <w:rPr>
                      <w:color w:val="000000"/>
                      <w:sz w:val="20"/>
                    </w:rPr>
                    <w:t>Report of Annual Performance Test Results and Annual Report combined via CEDRI or analogous electronic reporting</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60B5CC3F"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39696AD9"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1C34D822"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325446E7"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6630C862"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788447D7"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05C5070F"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72AC78FA" w14:textId="77777777">
                  <w:pPr>
                    <w:jc w:val="right"/>
                    <w:rPr>
                      <w:color w:val="000000"/>
                      <w:sz w:val="20"/>
                    </w:rPr>
                  </w:pPr>
                  <w:r w:rsidRPr="002F1697">
                    <w:rPr>
                      <w:color w:val="000000"/>
                      <w:sz w:val="20"/>
                    </w:rPr>
                    <w:t xml:space="preserve">$0.00 </w:t>
                  </w:r>
                </w:p>
              </w:tc>
            </w:tr>
            <w:tr w14:paraId="238D56BE" w14:textId="77777777" w:rsidTr="002F1697">
              <w:tblPrEx>
                <w:tblW w:w="12540" w:type="dxa"/>
                <w:tblLayout w:type="fixed"/>
                <w:tblLook w:val="04A0"/>
              </w:tblPrEx>
              <w:trPr>
                <w:trHeight w:val="433"/>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5EE7182C" w14:textId="77777777">
                  <w:pPr>
                    <w:rPr>
                      <w:color w:val="000000"/>
                      <w:sz w:val="20"/>
                    </w:rPr>
                  </w:pPr>
                  <w:r w:rsidRPr="002F1697">
                    <w:rPr>
                      <w:color w:val="000000"/>
                      <w:sz w:val="20"/>
                    </w:rPr>
                    <w:t>Notification of Demonstration of CPMS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62972BD8"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5C79F1D5"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4D3F5597" w14:textId="77777777">
                  <w:pPr>
                    <w:jc w:val="center"/>
                    <w:rPr>
                      <w:color w:val="000000"/>
                      <w:sz w:val="20"/>
                    </w:rPr>
                  </w:pPr>
                  <w:r w:rsidRPr="002F1697">
                    <w:rPr>
                      <w:color w:val="000000"/>
                      <w:sz w:val="20"/>
                    </w:rPr>
                    <w:t>2</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11C35A33"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0E680FED"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4937AFD1"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7860D205"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3565F5A4" w14:textId="77777777">
                  <w:pPr>
                    <w:jc w:val="right"/>
                    <w:rPr>
                      <w:color w:val="000000"/>
                      <w:sz w:val="20"/>
                    </w:rPr>
                  </w:pPr>
                  <w:r w:rsidRPr="002F1697">
                    <w:rPr>
                      <w:color w:val="000000"/>
                      <w:sz w:val="20"/>
                    </w:rPr>
                    <w:t xml:space="preserve">$0.00 </w:t>
                  </w:r>
                </w:p>
              </w:tc>
            </w:tr>
            <w:tr w14:paraId="68D386C8" w14:textId="77777777" w:rsidTr="002F1697">
              <w:tblPrEx>
                <w:tblW w:w="12540" w:type="dxa"/>
                <w:tblLayout w:type="fixed"/>
                <w:tblLook w:val="04A0"/>
              </w:tblPrEx>
              <w:trPr>
                <w:trHeight w:val="493"/>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0045796A" w14:textId="77777777">
                  <w:pPr>
                    <w:rPr>
                      <w:color w:val="000000"/>
                      <w:sz w:val="20"/>
                    </w:rPr>
                  </w:pPr>
                  <w:r w:rsidRPr="002F1697">
                    <w:rPr>
                      <w:color w:val="000000"/>
                      <w:sz w:val="20"/>
                    </w:rPr>
                    <w:t>Notification of Initial Performance Evaluation of CPMS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44F8871"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7A31FB9D"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6A8EB6D2" w14:textId="77777777">
                  <w:pPr>
                    <w:jc w:val="center"/>
                    <w:rPr>
                      <w:color w:val="000000"/>
                      <w:sz w:val="20"/>
                    </w:rPr>
                  </w:pPr>
                  <w:r w:rsidRPr="002F1697">
                    <w:rPr>
                      <w:color w:val="000000"/>
                      <w:sz w:val="20"/>
                    </w:rPr>
                    <w:t>2</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000888DC"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627708FB"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0BA073B5"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2583A4CC"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4655E8DF" w14:textId="77777777">
                  <w:pPr>
                    <w:jc w:val="right"/>
                    <w:rPr>
                      <w:color w:val="000000"/>
                      <w:sz w:val="20"/>
                    </w:rPr>
                  </w:pPr>
                  <w:r w:rsidRPr="002F1697">
                    <w:rPr>
                      <w:color w:val="000000"/>
                      <w:sz w:val="20"/>
                    </w:rPr>
                    <w:t xml:space="preserve">$0.00 </w:t>
                  </w:r>
                </w:p>
              </w:tc>
            </w:tr>
            <w:tr w14:paraId="51B0FAF9" w14:textId="77777777" w:rsidTr="002F1697">
              <w:tblPrEx>
                <w:tblW w:w="12540" w:type="dxa"/>
                <w:tblLayout w:type="fixed"/>
                <w:tblLook w:val="04A0"/>
              </w:tblPrEx>
              <w:trPr>
                <w:trHeight w:val="45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15E68358" w14:textId="77777777">
                  <w:pPr>
                    <w:rPr>
                      <w:color w:val="000000"/>
                      <w:sz w:val="20"/>
                    </w:rPr>
                  </w:pPr>
                  <w:r w:rsidRPr="002F1697">
                    <w:rPr>
                      <w:color w:val="000000"/>
                      <w:sz w:val="20"/>
                    </w:rPr>
                    <w:t>Report of Initial Performance Evaluation of NOx CEMS or CPMS Test Results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474994E5"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6CE1EB6E"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3211DDC9" w14:textId="77777777">
                  <w:pPr>
                    <w:jc w:val="center"/>
                    <w:rPr>
                      <w:color w:val="000000"/>
                      <w:sz w:val="20"/>
                    </w:rPr>
                  </w:pPr>
                  <w:r w:rsidRPr="002F1697">
                    <w:rPr>
                      <w:color w:val="000000"/>
                      <w:sz w:val="20"/>
                    </w:rPr>
                    <w:t>2</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7276478D"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3EA3DCC4"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2F591E73"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08F1F40D"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452C5B22" w14:textId="77777777">
                  <w:pPr>
                    <w:jc w:val="right"/>
                    <w:rPr>
                      <w:color w:val="000000"/>
                      <w:sz w:val="20"/>
                    </w:rPr>
                  </w:pPr>
                  <w:r w:rsidRPr="002F1697">
                    <w:rPr>
                      <w:color w:val="000000"/>
                      <w:sz w:val="20"/>
                    </w:rPr>
                    <w:t xml:space="preserve">$0.00 </w:t>
                  </w:r>
                </w:p>
              </w:tc>
            </w:tr>
            <w:tr w14:paraId="68D06F6C" w14:textId="77777777" w:rsidTr="002F1697">
              <w:tblPrEx>
                <w:tblW w:w="12540" w:type="dxa"/>
                <w:tblLayout w:type="fixed"/>
                <w:tblLook w:val="04A0"/>
              </w:tblPrEx>
              <w:trPr>
                <w:trHeight w:val="78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0D98F136" w14:textId="77777777">
                  <w:pPr>
                    <w:rPr>
                      <w:color w:val="000000"/>
                      <w:sz w:val="20"/>
                    </w:rPr>
                  </w:pPr>
                  <w:r w:rsidRPr="002F1697">
                    <w:rPr>
                      <w:color w:val="000000"/>
                      <w:sz w:val="20"/>
                    </w:rPr>
                    <w:t>Annual Report submitted via CEDRI or analogous electronic reporting</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3F6A546C"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6D3588BA"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39CB2B13"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42405A22"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39CEA936"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483E54CF"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1A485B06"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64D8B624" w14:textId="77777777">
                  <w:pPr>
                    <w:jc w:val="right"/>
                    <w:rPr>
                      <w:color w:val="000000"/>
                      <w:sz w:val="20"/>
                    </w:rPr>
                  </w:pPr>
                  <w:r w:rsidRPr="002F1697">
                    <w:rPr>
                      <w:color w:val="000000"/>
                      <w:sz w:val="20"/>
                    </w:rPr>
                    <w:t xml:space="preserve">$0.00 </w:t>
                  </w:r>
                </w:p>
              </w:tc>
            </w:tr>
            <w:tr w14:paraId="1C724872" w14:textId="77777777" w:rsidTr="002F1697">
              <w:tblPrEx>
                <w:tblW w:w="12540" w:type="dxa"/>
                <w:tblLayout w:type="fixed"/>
                <w:tblLook w:val="04A0"/>
              </w:tblPrEx>
              <w:trPr>
                <w:trHeight w:val="54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1F4F751A" w14:textId="77777777">
                  <w:pPr>
                    <w:rPr>
                      <w:b/>
                      <w:bCs/>
                      <w:i/>
                      <w:iCs/>
                      <w:color w:val="000000"/>
                      <w:sz w:val="20"/>
                    </w:rPr>
                  </w:pPr>
                  <w:r w:rsidRPr="002F1697">
                    <w:rPr>
                      <w:b/>
                      <w:bCs/>
                      <w:i/>
                      <w:iCs/>
                      <w:color w:val="000000"/>
                      <w:sz w:val="20"/>
                    </w:rPr>
                    <w:t>Subtotal for Reporting Requirements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464C2B61" w14:textId="77777777">
                  <w:pPr>
                    <w:jc w:val="right"/>
                    <w:rPr>
                      <w:b/>
                      <w:bCs/>
                      <w:i/>
                      <w:iCs/>
                      <w:color w:val="000000"/>
                      <w:sz w:val="20"/>
                    </w:rPr>
                  </w:pPr>
                  <w:r w:rsidRPr="002F1697">
                    <w:rPr>
                      <w:b/>
                      <w:bCs/>
                      <w:i/>
                      <w:i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73290645" w14:textId="77777777">
                  <w:pPr>
                    <w:jc w:val="right"/>
                    <w:rPr>
                      <w:b/>
                      <w:bCs/>
                      <w:i/>
                      <w:iCs/>
                      <w:sz w:val="20"/>
                    </w:rPr>
                  </w:pPr>
                  <w:r w:rsidRPr="002F1697">
                    <w:rPr>
                      <w:b/>
                      <w:bCs/>
                      <w:i/>
                      <w:i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07E283B3" w14:textId="77777777">
                  <w:pPr>
                    <w:jc w:val="right"/>
                    <w:rPr>
                      <w:b/>
                      <w:bCs/>
                      <w:i/>
                      <w:iCs/>
                      <w:color w:val="000000"/>
                      <w:sz w:val="20"/>
                    </w:rPr>
                  </w:pPr>
                  <w:r w:rsidRPr="002F1697">
                    <w:rPr>
                      <w:b/>
                      <w:bCs/>
                      <w:i/>
                      <w:iCs/>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17E31C9B" w14:textId="77777777">
                  <w:pPr>
                    <w:jc w:val="right"/>
                    <w:rPr>
                      <w:b/>
                      <w:bCs/>
                      <w:i/>
                      <w:iCs/>
                      <w:sz w:val="20"/>
                    </w:rPr>
                  </w:pPr>
                  <w:r w:rsidRPr="002F1697">
                    <w:rPr>
                      <w:b/>
                      <w:bCs/>
                      <w:i/>
                      <w:iCs/>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7ECD3115" w14:textId="77777777">
                  <w:pPr>
                    <w:jc w:val="center"/>
                    <w:rPr>
                      <w:b/>
                      <w:bCs/>
                      <w:i/>
                      <w:iCs/>
                      <w:color w:val="000000"/>
                      <w:sz w:val="20"/>
                    </w:rPr>
                  </w:pPr>
                  <w:r w:rsidRPr="002F1697">
                    <w:rPr>
                      <w:b/>
                      <w:bCs/>
                      <w:i/>
                      <w:iCs/>
                      <w:color w:val="000000"/>
                      <w:sz w:val="20"/>
                    </w:rPr>
                    <w:t>233</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20E0FD79" w14:textId="77777777">
                  <w:pPr>
                    <w:jc w:val="center"/>
                    <w:rPr>
                      <w:b/>
                      <w:bCs/>
                      <w:i/>
                      <w:iCs/>
                      <w:color w:val="000000"/>
                      <w:sz w:val="20"/>
                    </w:rPr>
                  </w:pPr>
                  <w:r w:rsidRPr="002F1697">
                    <w:rPr>
                      <w:b/>
                      <w:bCs/>
                      <w:i/>
                      <w:iCs/>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7268D4C2" w14:textId="77777777">
                  <w:pPr>
                    <w:jc w:val="center"/>
                    <w:rPr>
                      <w:b/>
                      <w:bCs/>
                      <w:i/>
                      <w:iCs/>
                      <w:color w:val="000000"/>
                      <w:sz w:val="20"/>
                    </w:rPr>
                  </w:pPr>
                  <w:r w:rsidRPr="002F1697">
                    <w:rPr>
                      <w:b/>
                      <w:bCs/>
                      <w:i/>
                      <w:iCs/>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3AB71375" w14:textId="77777777">
                  <w:pPr>
                    <w:jc w:val="right"/>
                    <w:rPr>
                      <w:b/>
                      <w:bCs/>
                      <w:i/>
                      <w:iCs/>
                      <w:color w:val="000000"/>
                      <w:sz w:val="20"/>
                    </w:rPr>
                  </w:pPr>
                  <w:r w:rsidRPr="002F1697">
                    <w:rPr>
                      <w:b/>
                      <w:bCs/>
                      <w:i/>
                      <w:iCs/>
                      <w:color w:val="000000"/>
                      <w:sz w:val="20"/>
                    </w:rPr>
                    <w:t xml:space="preserve">$28,755 </w:t>
                  </w:r>
                </w:p>
              </w:tc>
            </w:tr>
            <w:tr w14:paraId="24460C10" w14:textId="77777777" w:rsidTr="002F1697">
              <w:tblPrEx>
                <w:tblW w:w="12540" w:type="dxa"/>
                <w:tblLayout w:type="fixed"/>
                <w:tblLook w:val="04A0"/>
              </w:tblPrEx>
              <w:trPr>
                <w:trHeight w:val="52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67520831" w14:textId="77777777">
                  <w:pPr>
                    <w:rPr>
                      <w:color w:val="000000"/>
                      <w:sz w:val="20"/>
                    </w:rPr>
                  </w:pPr>
                  <w:r w:rsidRPr="002F1697">
                    <w:rPr>
                      <w:color w:val="000000"/>
                      <w:sz w:val="20"/>
                    </w:rPr>
                    <w:t>5. RECORDKEEPING REQUIREMENTS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51112447" w14:textId="77777777">
                  <w:pPr>
                    <w:jc w:val="right"/>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19A9A7E3"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1C9A7F1E"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6E0B5898" w14:textId="77777777">
                  <w:pPr>
                    <w:jc w:val="right"/>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4452AFFC" w14:textId="77777777">
                  <w:pPr>
                    <w:jc w:val="right"/>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33363EA0" w14:textId="77777777">
                  <w:pPr>
                    <w:jc w:val="right"/>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430D3F11" w14:textId="77777777">
                  <w:pPr>
                    <w:jc w:val="right"/>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6E3938D4" w14:textId="77777777">
                  <w:pPr>
                    <w:jc w:val="right"/>
                    <w:rPr>
                      <w:color w:val="000000"/>
                      <w:sz w:val="20"/>
                    </w:rPr>
                  </w:pPr>
                  <w:r w:rsidRPr="002F1697">
                    <w:rPr>
                      <w:color w:val="000000"/>
                      <w:sz w:val="20"/>
                    </w:rPr>
                    <w:t> </w:t>
                  </w:r>
                </w:p>
              </w:tc>
            </w:tr>
            <w:tr w14:paraId="5170D33D" w14:textId="77777777" w:rsidTr="002F1697">
              <w:tblPrEx>
                <w:tblW w:w="12540" w:type="dxa"/>
                <w:tblLayout w:type="fixed"/>
                <w:tblLook w:val="04A0"/>
              </w:tblPrEx>
              <w:trPr>
                <w:trHeight w:val="52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2E497CC8" w14:textId="77777777">
                  <w:pPr>
                    <w:rPr>
                      <w:color w:val="000000"/>
                      <w:sz w:val="20"/>
                    </w:rPr>
                  </w:pPr>
                  <w:r w:rsidRPr="002F1697">
                    <w:rPr>
                      <w:color w:val="000000"/>
                      <w:sz w:val="20"/>
                    </w:rPr>
                    <w:t>A. Familiarize with regulatory requirement</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5444DC9F"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70D0A30A"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0F0BAA53"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4D91F703" w14:textId="77777777">
                  <w:pPr>
                    <w:jc w:val="right"/>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73BE0527" w14:textId="77777777">
                  <w:pPr>
                    <w:jc w:val="right"/>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5BD8ABEB" w14:textId="77777777">
                  <w:pPr>
                    <w:jc w:val="right"/>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22482EDD" w14:textId="77777777">
                  <w:pPr>
                    <w:jc w:val="right"/>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463A9B9E" w14:textId="77777777">
                  <w:pPr>
                    <w:jc w:val="right"/>
                    <w:rPr>
                      <w:color w:val="000000"/>
                      <w:sz w:val="20"/>
                    </w:rPr>
                  </w:pPr>
                  <w:r w:rsidRPr="002F1697">
                    <w:rPr>
                      <w:color w:val="000000"/>
                      <w:sz w:val="20"/>
                    </w:rPr>
                    <w:t> </w:t>
                  </w:r>
                </w:p>
              </w:tc>
            </w:tr>
            <w:tr w14:paraId="1153D093" w14:textId="77777777" w:rsidTr="002F1697">
              <w:tblPrEx>
                <w:tblW w:w="12540" w:type="dxa"/>
                <w:tblLayout w:type="fixed"/>
                <w:tblLook w:val="04A0"/>
              </w:tblPrEx>
              <w:trPr>
                <w:trHeight w:val="26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7064B901" w14:textId="77777777">
                  <w:pPr>
                    <w:rPr>
                      <w:color w:val="000000"/>
                      <w:sz w:val="20"/>
                    </w:rPr>
                  </w:pPr>
                  <w:r w:rsidRPr="002F1697">
                    <w:rPr>
                      <w:color w:val="000000"/>
                      <w:sz w:val="20"/>
                    </w:rPr>
                    <w:t xml:space="preserve">B. Plan Activities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631A4024"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011B8AC3"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18A6FA9D"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58E90D1C" w14:textId="77777777">
                  <w:pPr>
                    <w:jc w:val="right"/>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7FA8D9BA" w14:textId="77777777">
                  <w:pPr>
                    <w:jc w:val="right"/>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0BB5A1F8" w14:textId="77777777">
                  <w:pPr>
                    <w:jc w:val="right"/>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52136210" w14:textId="77777777">
                  <w:pPr>
                    <w:jc w:val="right"/>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4CA5D7C7" w14:textId="77777777">
                  <w:pPr>
                    <w:jc w:val="right"/>
                    <w:rPr>
                      <w:color w:val="000000"/>
                      <w:sz w:val="20"/>
                    </w:rPr>
                  </w:pPr>
                  <w:r w:rsidRPr="002F1697">
                    <w:rPr>
                      <w:color w:val="000000"/>
                      <w:sz w:val="20"/>
                    </w:rPr>
                    <w:t> </w:t>
                  </w:r>
                </w:p>
              </w:tc>
            </w:tr>
            <w:tr w14:paraId="1BE16678" w14:textId="77777777" w:rsidTr="002F1697">
              <w:tblPrEx>
                <w:tblW w:w="12540" w:type="dxa"/>
                <w:tblLayout w:type="fixed"/>
                <w:tblLook w:val="04A0"/>
              </w:tblPrEx>
              <w:trPr>
                <w:trHeight w:val="26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577564BA" w14:textId="77777777">
                  <w:pPr>
                    <w:rPr>
                      <w:color w:val="000000"/>
                      <w:sz w:val="20"/>
                    </w:rPr>
                  </w:pPr>
                  <w:r w:rsidRPr="002F1697">
                    <w:rPr>
                      <w:color w:val="000000"/>
                      <w:sz w:val="20"/>
                    </w:rPr>
                    <w:t xml:space="preserve">C. Implement Activities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4DA61ECB"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78F828CF"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63428FF2"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0B9935C5" w14:textId="77777777">
                  <w:pPr>
                    <w:jc w:val="right"/>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0FB08DE7" w14:textId="77777777">
                  <w:pPr>
                    <w:jc w:val="right"/>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03408767" w14:textId="77777777">
                  <w:pPr>
                    <w:jc w:val="right"/>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5D971B89" w14:textId="77777777">
                  <w:pPr>
                    <w:jc w:val="right"/>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9083B8E" w14:textId="77777777">
                  <w:pPr>
                    <w:jc w:val="right"/>
                    <w:rPr>
                      <w:color w:val="000000"/>
                      <w:sz w:val="20"/>
                    </w:rPr>
                  </w:pPr>
                  <w:r w:rsidRPr="002F1697">
                    <w:rPr>
                      <w:color w:val="000000"/>
                      <w:sz w:val="20"/>
                    </w:rPr>
                    <w:t> </w:t>
                  </w:r>
                </w:p>
              </w:tc>
            </w:tr>
            <w:tr w14:paraId="53A44B1A" w14:textId="77777777" w:rsidTr="002F1697">
              <w:tblPrEx>
                <w:tblW w:w="12540" w:type="dxa"/>
                <w:tblLayout w:type="fixed"/>
                <w:tblLook w:val="04A0"/>
              </w:tblPrEx>
              <w:trPr>
                <w:trHeight w:val="26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3124BFB1" w14:textId="77777777">
                  <w:pPr>
                    <w:rPr>
                      <w:color w:val="000000"/>
                      <w:sz w:val="20"/>
                    </w:rPr>
                  </w:pPr>
                  <w:r w:rsidRPr="002F1697">
                    <w:rPr>
                      <w:color w:val="000000"/>
                      <w:sz w:val="20"/>
                    </w:rPr>
                    <w:t xml:space="preserve">D. Record Data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69DAC8AF" w14:textId="77777777">
                  <w:pPr>
                    <w:jc w:val="center"/>
                    <w:rPr>
                      <w:color w:val="000000"/>
                      <w:sz w:val="20"/>
                    </w:rPr>
                  </w:pPr>
                  <w:r w:rsidRPr="002F1697">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0951C42F"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20DFF40D"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4AA25A4F" w14:textId="77777777">
                  <w:pPr>
                    <w:jc w:val="right"/>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516F5C65" w14:textId="77777777">
                  <w:pPr>
                    <w:jc w:val="right"/>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38386469" w14:textId="77777777">
                  <w:pPr>
                    <w:jc w:val="right"/>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6670E230" w14:textId="77777777">
                  <w:pPr>
                    <w:jc w:val="right"/>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13A247AC" w14:textId="77777777">
                  <w:pPr>
                    <w:jc w:val="right"/>
                    <w:rPr>
                      <w:color w:val="000000"/>
                      <w:sz w:val="20"/>
                    </w:rPr>
                  </w:pPr>
                  <w:r w:rsidRPr="002F1697">
                    <w:rPr>
                      <w:color w:val="000000"/>
                      <w:sz w:val="20"/>
                    </w:rPr>
                    <w:t> </w:t>
                  </w:r>
                </w:p>
              </w:tc>
            </w:tr>
            <w:tr w14:paraId="7647E870" w14:textId="77777777" w:rsidTr="002F1697">
              <w:tblPrEx>
                <w:tblW w:w="12540" w:type="dxa"/>
                <w:tblLayout w:type="fixed"/>
                <w:tblLook w:val="04A0"/>
              </w:tblPrEx>
              <w:trPr>
                <w:trHeight w:val="52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60E2186F" w14:textId="77777777">
                  <w:pPr>
                    <w:rPr>
                      <w:color w:val="000000"/>
                      <w:sz w:val="20"/>
                    </w:rPr>
                  </w:pPr>
                  <w:r w:rsidRPr="002F1697">
                    <w:rPr>
                      <w:color w:val="000000"/>
                      <w:sz w:val="20"/>
                    </w:rPr>
                    <w:t>E. Time to Transmit or Disclose Information</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5CD03B0E" w14:textId="77777777">
                  <w:pPr>
                    <w:jc w:val="right"/>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3B767508"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4A7491CB"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7509E312" w14:textId="77777777">
                  <w:pPr>
                    <w:jc w:val="right"/>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175930F0" w14:textId="77777777">
                  <w:pPr>
                    <w:jc w:val="right"/>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53B7235B" w14:textId="77777777">
                  <w:pPr>
                    <w:jc w:val="right"/>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33D42E6E" w14:textId="77777777">
                  <w:pPr>
                    <w:jc w:val="right"/>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6E05F9AA" w14:textId="77777777">
                  <w:pPr>
                    <w:jc w:val="right"/>
                    <w:rPr>
                      <w:color w:val="000000"/>
                      <w:sz w:val="20"/>
                    </w:rPr>
                  </w:pPr>
                  <w:r w:rsidRPr="002F1697">
                    <w:rPr>
                      <w:color w:val="000000"/>
                      <w:sz w:val="20"/>
                    </w:rPr>
                    <w:t> </w:t>
                  </w:r>
                </w:p>
              </w:tc>
            </w:tr>
            <w:tr w14:paraId="23674683" w14:textId="77777777" w:rsidTr="002F1697">
              <w:tblPrEx>
                <w:tblW w:w="12540" w:type="dxa"/>
                <w:tblLayout w:type="fixed"/>
                <w:tblLook w:val="04A0"/>
              </w:tblPrEx>
              <w:trPr>
                <w:trHeight w:val="26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3FAD104A" w14:textId="77777777">
                  <w:pPr>
                    <w:rPr>
                      <w:i/>
                      <w:iCs/>
                      <w:color w:val="000000"/>
                      <w:sz w:val="20"/>
                      <w:u w:val="single"/>
                    </w:rPr>
                  </w:pPr>
                  <w:r w:rsidRPr="002F1697">
                    <w:rPr>
                      <w:i/>
                      <w:iCs/>
                      <w:color w:val="000000"/>
                      <w:sz w:val="20"/>
                      <w:u w:val="single"/>
                    </w:rPr>
                    <w:t>Existing Sources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6D56CD9B" w14:textId="77777777">
                  <w:pPr>
                    <w:jc w:val="right"/>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361AB4A3"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39909879"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7B3629D4" w14:textId="77777777">
                  <w:pPr>
                    <w:jc w:val="right"/>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67EF9BFB" w14:textId="77777777">
                  <w:pPr>
                    <w:jc w:val="right"/>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6E3FD0A9" w14:textId="77777777">
                  <w:pPr>
                    <w:jc w:val="right"/>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2134D37D" w14:textId="77777777">
                  <w:pPr>
                    <w:jc w:val="right"/>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2A23210" w14:textId="77777777">
                  <w:pPr>
                    <w:jc w:val="right"/>
                    <w:rPr>
                      <w:color w:val="000000"/>
                      <w:sz w:val="20"/>
                    </w:rPr>
                  </w:pPr>
                  <w:r w:rsidRPr="002F1697">
                    <w:rPr>
                      <w:color w:val="000000"/>
                      <w:sz w:val="20"/>
                    </w:rPr>
                    <w:t> </w:t>
                  </w:r>
                </w:p>
              </w:tc>
            </w:tr>
            <w:tr w14:paraId="0DD4A964" w14:textId="77777777" w:rsidTr="002F1697">
              <w:tblPrEx>
                <w:tblW w:w="12540" w:type="dxa"/>
                <w:tblLayout w:type="fixed"/>
                <w:tblLook w:val="04A0"/>
              </w:tblPrEx>
              <w:trPr>
                <w:trHeight w:val="26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4C08D9FF" w14:textId="77777777">
                  <w:pPr>
                    <w:rPr>
                      <w:color w:val="000000"/>
                      <w:sz w:val="20"/>
                    </w:rPr>
                  </w:pPr>
                  <w:r w:rsidRPr="002F1697">
                    <w:rPr>
                      <w:color w:val="000000"/>
                      <w:sz w:val="20"/>
                    </w:rPr>
                    <w:t>Data Collection</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A9FE448" w14:textId="77777777">
                  <w:pPr>
                    <w:jc w:val="center"/>
                    <w:rPr>
                      <w:color w:val="000000"/>
                      <w:sz w:val="20"/>
                    </w:rPr>
                  </w:pPr>
                  <w:r w:rsidRPr="002F1697">
                    <w:rPr>
                      <w:color w:val="000000"/>
                      <w:sz w:val="20"/>
                    </w:rPr>
                    <w:t>0.1</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33054D10" w14:textId="77777777">
                  <w:pPr>
                    <w:jc w:val="center"/>
                    <w:rPr>
                      <w:sz w:val="20"/>
                    </w:rPr>
                  </w:pPr>
                  <w:r w:rsidRPr="002F1697">
                    <w:rPr>
                      <w:sz w:val="20"/>
                    </w:rPr>
                    <w:t>1</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6D6A2D69" w14:textId="77777777">
                  <w:pPr>
                    <w:jc w:val="center"/>
                    <w:rPr>
                      <w:color w:val="000000"/>
                      <w:sz w:val="20"/>
                    </w:rPr>
                  </w:pPr>
                  <w:r w:rsidRPr="002F1697">
                    <w:rPr>
                      <w:color w:val="000000"/>
                      <w:sz w:val="20"/>
                    </w:rPr>
                    <w:t>0.1</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1D5D03BE" w14:textId="77777777">
                  <w:pPr>
                    <w:jc w:val="center"/>
                    <w:rPr>
                      <w:sz w:val="20"/>
                    </w:rPr>
                  </w:pPr>
                  <w:r w:rsidRPr="002F1697">
                    <w:rPr>
                      <w:sz w:val="20"/>
                    </w:rPr>
                    <w:t>79</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14654766" w14:textId="77777777">
                  <w:pPr>
                    <w:jc w:val="center"/>
                    <w:rPr>
                      <w:color w:val="000000"/>
                      <w:sz w:val="20"/>
                    </w:rPr>
                  </w:pPr>
                  <w:r w:rsidRPr="002F1697">
                    <w:rPr>
                      <w:color w:val="000000"/>
                      <w:sz w:val="20"/>
                    </w:rPr>
                    <w:t>8</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0C70D073" w14:textId="77777777">
                  <w:pPr>
                    <w:jc w:val="center"/>
                    <w:rPr>
                      <w:color w:val="000000"/>
                      <w:sz w:val="20"/>
                    </w:rPr>
                  </w:pPr>
                  <w:r w:rsidRPr="002F1697">
                    <w:rPr>
                      <w:color w:val="000000"/>
                      <w:sz w:val="20"/>
                    </w:rPr>
                    <w:t>0.395</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5EF98EB0" w14:textId="77777777">
                  <w:pPr>
                    <w:jc w:val="center"/>
                    <w:rPr>
                      <w:color w:val="000000"/>
                      <w:sz w:val="20"/>
                    </w:rPr>
                  </w:pPr>
                  <w:r w:rsidRPr="002F1697">
                    <w:rPr>
                      <w:color w:val="000000"/>
                      <w:sz w:val="20"/>
                    </w:rPr>
                    <w:t>0.79</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26E3D7A5" w14:textId="77777777">
                  <w:pPr>
                    <w:jc w:val="right"/>
                    <w:rPr>
                      <w:color w:val="000000"/>
                      <w:sz w:val="20"/>
                    </w:rPr>
                  </w:pPr>
                  <w:r w:rsidRPr="002F1697">
                    <w:rPr>
                      <w:color w:val="000000"/>
                      <w:sz w:val="20"/>
                    </w:rPr>
                    <w:t xml:space="preserve">$1,123 </w:t>
                  </w:r>
                </w:p>
              </w:tc>
            </w:tr>
            <w:tr w14:paraId="75B806B3" w14:textId="77777777" w:rsidTr="002F1697">
              <w:tblPrEx>
                <w:tblW w:w="12540" w:type="dxa"/>
                <w:tblLayout w:type="fixed"/>
                <w:tblLook w:val="04A0"/>
              </w:tblPrEx>
              <w:trPr>
                <w:trHeight w:val="26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327309A4" w14:textId="77777777">
                  <w:pPr>
                    <w:rPr>
                      <w:color w:val="000000"/>
                      <w:sz w:val="20"/>
                    </w:rPr>
                  </w:pPr>
                  <w:r w:rsidRPr="002F1697">
                    <w:rPr>
                      <w:color w:val="000000"/>
                      <w:sz w:val="20"/>
                    </w:rPr>
                    <w:t>Records of Performance Tests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245A7C8"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454256E8"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1D0CE56B"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12C9E9E7"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671F06F3"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2C5A95C9"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2A30FD03"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34673063" w14:textId="77777777">
                  <w:pPr>
                    <w:jc w:val="right"/>
                    <w:rPr>
                      <w:color w:val="000000"/>
                      <w:sz w:val="20"/>
                    </w:rPr>
                  </w:pPr>
                  <w:r w:rsidRPr="002F1697">
                    <w:rPr>
                      <w:color w:val="000000"/>
                      <w:sz w:val="20"/>
                    </w:rPr>
                    <w:t xml:space="preserve">$0.00 </w:t>
                  </w:r>
                </w:p>
              </w:tc>
            </w:tr>
            <w:tr w14:paraId="5BD44D11" w14:textId="77777777" w:rsidTr="002F1697">
              <w:tblPrEx>
                <w:tblW w:w="12540" w:type="dxa"/>
                <w:tblLayout w:type="fixed"/>
                <w:tblLook w:val="04A0"/>
              </w:tblPrEx>
              <w:trPr>
                <w:trHeight w:val="78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2FE5FED5" w14:textId="77777777">
                  <w:pPr>
                    <w:rPr>
                      <w:color w:val="000000"/>
                      <w:sz w:val="20"/>
                    </w:rPr>
                  </w:pPr>
                  <w:r w:rsidRPr="002F1697">
                    <w:rPr>
                      <w:color w:val="000000"/>
                      <w:sz w:val="20"/>
                    </w:rPr>
                    <w:t>Recordkeeping of NOx emission rate, operating days data, CPMS data</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256E0A52"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098EB692"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42FEBD28"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41AB7143"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6924E6FD"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47BE54F9"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6BCE9EDC"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70B145EB" w14:textId="77777777">
                  <w:pPr>
                    <w:jc w:val="right"/>
                    <w:rPr>
                      <w:color w:val="000000"/>
                      <w:sz w:val="20"/>
                    </w:rPr>
                  </w:pPr>
                  <w:r w:rsidRPr="002F1697">
                    <w:rPr>
                      <w:color w:val="000000"/>
                      <w:sz w:val="20"/>
                    </w:rPr>
                    <w:t xml:space="preserve">$0.00 </w:t>
                  </w:r>
                </w:p>
              </w:tc>
            </w:tr>
            <w:tr w14:paraId="1DE49AD2" w14:textId="77777777" w:rsidTr="002F1697">
              <w:tblPrEx>
                <w:tblW w:w="12540" w:type="dxa"/>
                <w:tblLayout w:type="fixed"/>
                <w:tblLook w:val="04A0"/>
              </w:tblPrEx>
              <w:trPr>
                <w:trHeight w:val="26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7A9D7963" w14:textId="77777777">
                  <w:pPr>
                    <w:rPr>
                      <w:i/>
                      <w:iCs/>
                      <w:color w:val="000000"/>
                      <w:sz w:val="20"/>
                      <w:u w:val="single"/>
                    </w:rPr>
                  </w:pPr>
                  <w:r w:rsidRPr="002F1697">
                    <w:rPr>
                      <w:i/>
                      <w:iCs/>
                      <w:color w:val="000000"/>
                      <w:sz w:val="20"/>
                      <w:u w:val="single"/>
                    </w:rPr>
                    <w:t>New Sources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646C09B"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6357B4AD" w14:textId="77777777">
                  <w:pPr>
                    <w:jc w:val="center"/>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36BB3DCB" w14:textId="77777777">
                  <w:pPr>
                    <w:jc w:val="center"/>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483E72A2" w14:textId="77777777">
                  <w:pPr>
                    <w:jc w:val="center"/>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1EC07B2F" w14:textId="77777777">
                  <w:pPr>
                    <w:jc w:val="center"/>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594274BE" w14:textId="77777777">
                  <w:pPr>
                    <w:jc w:val="center"/>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65857F7A" w14:textId="77777777">
                  <w:pPr>
                    <w:jc w:val="center"/>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4D785F16" w14:textId="77777777">
                  <w:pPr>
                    <w:jc w:val="right"/>
                    <w:rPr>
                      <w:color w:val="000000"/>
                      <w:sz w:val="20"/>
                    </w:rPr>
                  </w:pPr>
                  <w:r w:rsidRPr="002F1697">
                    <w:rPr>
                      <w:color w:val="000000"/>
                      <w:sz w:val="20"/>
                    </w:rPr>
                    <w:t> </w:t>
                  </w:r>
                </w:p>
              </w:tc>
            </w:tr>
            <w:tr w14:paraId="78EB1EF0" w14:textId="77777777" w:rsidTr="002F1697">
              <w:tblPrEx>
                <w:tblW w:w="12540" w:type="dxa"/>
                <w:tblLayout w:type="fixed"/>
                <w:tblLook w:val="04A0"/>
              </w:tblPrEx>
              <w:trPr>
                <w:trHeight w:val="26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66143D3C" w14:textId="77777777">
                  <w:pPr>
                    <w:rPr>
                      <w:color w:val="000000"/>
                      <w:sz w:val="20"/>
                    </w:rPr>
                  </w:pPr>
                  <w:r w:rsidRPr="002F1697">
                    <w:rPr>
                      <w:color w:val="000000"/>
                      <w:sz w:val="20"/>
                    </w:rPr>
                    <w:t>Data Collection</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317E038F" w14:textId="77777777">
                  <w:pPr>
                    <w:jc w:val="center"/>
                    <w:rPr>
                      <w:color w:val="000000"/>
                      <w:sz w:val="20"/>
                    </w:rPr>
                  </w:pPr>
                  <w:r w:rsidRPr="002F1697">
                    <w:rPr>
                      <w:color w:val="000000"/>
                      <w:sz w:val="20"/>
                    </w:rPr>
                    <w:t>1.5</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4A5B59D8" w14:textId="77777777">
                  <w:pPr>
                    <w:jc w:val="center"/>
                    <w:rPr>
                      <w:sz w:val="20"/>
                    </w:rPr>
                  </w:pPr>
                  <w:r w:rsidRPr="002F1697">
                    <w:rPr>
                      <w:sz w:val="20"/>
                    </w:rPr>
                    <w:t>1</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2D928597" w14:textId="77777777">
                  <w:pPr>
                    <w:jc w:val="center"/>
                    <w:rPr>
                      <w:color w:val="000000"/>
                      <w:sz w:val="20"/>
                    </w:rPr>
                  </w:pPr>
                  <w:r w:rsidRPr="002F1697">
                    <w:rPr>
                      <w:color w:val="000000"/>
                      <w:sz w:val="20"/>
                    </w:rPr>
                    <w:t>1.5</w:t>
                  </w:r>
                </w:p>
              </w:tc>
              <w:tc>
                <w:tcPr>
                  <w:tcW w:w="1340" w:type="dxa"/>
                  <w:tcBorders>
                    <w:top w:val="nil"/>
                    <w:left w:val="nil"/>
                    <w:bottom w:val="single" w:sz="4" w:space="0" w:color="auto"/>
                    <w:right w:val="single" w:sz="4" w:space="0" w:color="auto"/>
                  </w:tcBorders>
                  <w:shd w:val="clear" w:color="auto" w:fill="auto"/>
                  <w:noWrap/>
                  <w:vAlign w:val="bottom"/>
                  <w:hideMark/>
                </w:tcPr>
                <w:p w:rsidR="002F1697" w:rsidRPr="002F1697" w:rsidP="002F1697" w14:paraId="691BCEB0" w14:textId="77777777">
                  <w:pPr>
                    <w:jc w:val="right"/>
                    <w:rPr>
                      <w:color w:val="000000"/>
                      <w:sz w:val="20"/>
                    </w:rPr>
                  </w:pPr>
                  <w:r w:rsidRPr="002F1697">
                    <w:rPr>
                      <w:color w:val="000000"/>
                      <w:sz w:val="20"/>
                    </w:rPr>
                    <w:t>5.53</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6AD53829" w14:textId="77777777">
                  <w:pPr>
                    <w:jc w:val="center"/>
                    <w:rPr>
                      <w:color w:val="000000"/>
                      <w:sz w:val="20"/>
                    </w:rPr>
                  </w:pPr>
                  <w:r w:rsidRPr="002F1697">
                    <w:rPr>
                      <w:color w:val="000000"/>
                      <w:sz w:val="20"/>
                    </w:rPr>
                    <w:t>8</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10D87143" w14:textId="77777777">
                  <w:pPr>
                    <w:jc w:val="center"/>
                    <w:rPr>
                      <w:color w:val="000000"/>
                      <w:sz w:val="20"/>
                    </w:rPr>
                  </w:pPr>
                  <w:r w:rsidRPr="002F1697">
                    <w:rPr>
                      <w:color w:val="000000"/>
                      <w:sz w:val="20"/>
                    </w:rPr>
                    <w:t>0.41475</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5A7DCE43" w14:textId="77777777">
                  <w:pPr>
                    <w:jc w:val="center"/>
                    <w:rPr>
                      <w:color w:val="000000"/>
                      <w:sz w:val="20"/>
                    </w:rPr>
                  </w:pPr>
                  <w:r w:rsidRPr="002F1697">
                    <w:rPr>
                      <w:color w:val="000000"/>
                      <w:sz w:val="20"/>
                    </w:rPr>
                    <w:t>0.8295</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275EBFA7" w14:textId="77777777">
                  <w:pPr>
                    <w:jc w:val="right"/>
                    <w:rPr>
                      <w:color w:val="000000"/>
                      <w:sz w:val="20"/>
                    </w:rPr>
                  </w:pPr>
                  <w:r w:rsidRPr="002F1697">
                    <w:rPr>
                      <w:color w:val="000000"/>
                      <w:sz w:val="20"/>
                    </w:rPr>
                    <w:t xml:space="preserve">$1,179 </w:t>
                  </w:r>
                </w:p>
              </w:tc>
            </w:tr>
            <w:tr w14:paraId="22B354E6" w14:textId="77777777" w:rsidTr="002F1697">
              <w:tblPrEx>
                <w:tblW w:w="12540" w:type="dxa"/>
                <w:tblLayout w:type="fixed"/>
                <w:tblLook w:val="04A0"/>
              </w:tblPrEx>
              <w:trPr>
                <w:trHeight w:val="26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6F0EE302" w14:textId="77777777">
                  <w:pPr>
                    <w:rPr>
                      <w:color w:val="000000"/>
                      <w:sz w:val="20"/>
                    </w:rPr>
                  </w:pPr>
                  <w:r w:rsidRPr="002F1697">
                    <w:rPr>
                      <w:color w:val="000000"/>
                      <w:sz w:val="20"/>
                    </w:rPr>
                    <w:t>Records of Performance Tests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2927AD74"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7235FA01"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1BC4E16A"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6B086C75"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3D35B340"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502A63B5"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053FFF35"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32E4FAD" w14:textId="77777777">
                  <w:pPr>
                    <w:jc w:val="right"/>
                    <w:rPr>
                      <w:color w:val="000000"/>
                      <w:sz w:val="20"/>
                    </w:rPr>
                  </w:pPr>
                  <w:r w:rsidRPr="002F1697">
                    <w:rPr>
                      <w:color w:val="000000"/>
                      <w:sz w:val="20"/>
                    </w:rPr>
                    <w:t xml:space="preserve">$0 </w:t>
                  </w:r>
                </w:p>
              </w:tc>
            </w:tr>
            <w:tr w14:paraId="559464D9" w14:textId="77777777" w:rsidTr="002F1697">
              <w:tblPrEx>
                <w:tblW w:w="12540" w:type="dxa"/>
                <w:tblLayout w:type="fixed"/>
                <w:tblLook w:val="04A0"/>
              </w:tblPrEx>
              <w:trPr>
                <w:trHeight w:val="26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54CCC61C" w14:textId="77777777">
                  <w:pPr>
                    <w:rPr>
                      <w:color w:val="000000"/>
                      <w:sz w:val="20"/>
                    </w:rPr>
                  </w:pPr>
                  <w:r w:rsidRPr="002F1697">
                    <w:rPr>
                      <w:color w:val="000000"/>
                      <w:sz w:val="20"/>
                    </w:rPr>
                    <w:t>CPMS Recordkeeping</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4ED906C0"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76E4C0C6"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40C461A4"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48E2B834"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3CC184BF"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670E75C4"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30C8CD00"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226D48F3" w14:textId="77777777">
                  <w:pPr>
                    <w:jc w:val="right"/>
                    <w:rPr>
                      <w:color w:val="000000"/>
                      <w:sz w:val="20"/>
                    </w:rPr>
                  </w:pPr>
                  <w:r w:rsidRPr="002F1697">
                    <w:rPr>
                      <w:color w:val="000000"/>
                      <w:sz w:val="20"/>
                    </w:rPr>
                    <w:t xml:space="preserve">$0 </w:t>
                  </w:r>
                </w:p>
              </w:tc>
            </w:tr>
            <w:tr w14:paraId="227F639F" w14:textId="77777777" w:rsidTr="002F1697">
              <w:tblPrEx>
                <w:tblW w:w="12540" w:type="dxa"/>
                <w:tblLayout w:type="fixed"/>
                <w:tblLook w:val="04A0"/>
              </w:tblPrEx>
              <w:trPr>
                <w:trHeight w:val="345"/>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38EDB91E" w14:textId="77777777">
                  <w:pPr>
                    <w:rPr>
                      <w:color w:val="000000"/>
                      <w:sz w:val="20"/>
                    </w:rPr>
                  </w:pPr>
                  <w:r w:rsidRPr="002F1697">
                    <w:rPr>
                      <w:color w:val="000000"/>
                      <w:sz w:val="20"/>
                    </w:rPr>
                    <w:t>F. Time to Train Personnel</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12E3770A"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3B5A6485"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15CF0A66"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42CEBADA"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0FE32832"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1889C854"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78D700E6" w14:textId="77777777">
                  <w:pPr>
                    <w:jc w:val="center"/>
                    <w:rPr>
                      <w:color w:val="000000"/>
                      <w:sz w:val="20"/>
                    </w:rPr>
                  </w:pPr>
                  <w:r w:rsidRPr="002F1697">
                    <w:rPr>
                      <w:color w:val="000000"/>
                      <w:sz w:val="20"/>
                    </w:rPr>
                    <w:t>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6B4A7535" w14:textId="77777777">
                  <w:pPr>
                    <w:jc w:val="right"/>
                    <w:rPr>
                      <w:color w:val="000000"/>
                      <w:sz w:val="20"/>
                    </w:rPr>
                  </w:pPr>
                  <w:r w:rsidRPr="002F1697">
                    <w:rPr>
                      <w:color w:val="000000"/>
                      <w:sz w:val="20"/>
                    </w:rPr>
                    <w:t xml:space="preserve">$0 </w:t>
                  </w:r>
                </w:p>
              </w:tc>
            </w:tr>
            <w:tr w14:paraId="711868BA" w14:textId="77777777" w:rsidTr="002F1697">
              <w:tblPrEx>
                <w:tblW w:w="12540" w:type="dxa"/>
                <w:tblLayout w:type="fixed"/>
                <w:tblLook w:val="04A0"/>
              </w:tblPrEx>
              <w:trPr>
                <w:trHeight w:val="26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0C1D9DDC" w14:textId="77777777">
                  <w:pPr>
                    <w:rPr>
                      <w:color w:val="000000"/>
                      <w:sz w:val="20"/>
                    </w:rPr>
                  </w:pPr>
                  <w:r w:rsidRPr="002F1697">
                    <w:rPr>
                      <w:color w:val="000000"/>
                      <w:sz w:val="20"/>
                    </w:rPr>
                    <w:t xml:space="preserve">G. Time for Audits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673DC541" w14:textId="77777777">
                  <w:pPr>
                    <w:jc w:val="center"/>
                    <w:rPr>
                      <w:color w:val="000000"/>
                      <w:sz w:val="20"/>
                    </w:rPr>
                  </w:pPr>
                  <w:r w:rsidRPr="002F1697">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47C541A1"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7573905B"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6D75EF36" w14:textId="77777777">
                  <w:pPr>
                    <w:jc w:val="right"/>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6066EA12" w14:textId="77777777">
                  <w:pPr>
                    <w:jc w:val="right"/>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672E8D54" w14:textId="77777777">
                  <w:pPr>
                    <w:jc w:val="right"/>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7FF0B2B8" w14:textId="77777777">
                  <w:pPr>
                    <w:jc w:val="right"/>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50052990" w14:textId="77777777">
                  <w:pPr>
                    <w:jc w:val="right"/>
                    <w:rPr>
                      <w:color w:val="000000"/>
                      <w:sz w:val="20"/>
                    </w:rPr>
                  </w:pPr>
                  <w:r w:rsidRPr="002F1697">
                    <w:rPr>
                      <w:color w:val="000000"/>
                      <w:sz w:val="20"/>
                    </w:rPr>
                    <w:t> </w:t>
                  </w:r>
                </w:p>
              </w:tc>
            </w:tr>
            <w:tr w14:paraId="575DB860" w14:textId="77777777" w:rsidTr="002F1697">
              <w:tblPrEx>
                <w:tblW w:w="12540" w:type="dxa"/>
                <w:tblLayout w:type="fixed"/>
                <w:tblLook w:val="04A0"/>
              </w:tblPrEx>
              <w:trPr>
                <w:trHeight w:val="54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5076AB98" w14:textId="77777777">
                  <w:pPr>
                    <w:rPr>
                      <w:b/>
                      <w:bCs/>
                      <w:i/>
                      <w:iCs/>
                      <w:color w:val="000000"/>
                      <w:sz w:val="20"/>
                    </w:rPr>
                  </w:pPr>
                  <w:r w:rsidRPr="002F1697">
                    <w:rPr>
                      <w:b/>
                      <w:bCs/>
                      <w:i/>
                      <w:iCs/>
                      <w:color w:val="000000"/>
                      <w:sz w:val="20"/>
                    </w:rPr>
                    <w:t>Subtotal for Recordkeeping Requirements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73A1C227" w14:textId="77777777">
                  <w:pPr>
                    <w:jc w:val="right"/>
                    <w:rPr>
                      <w:b/>
                      <w:bCs/>
                      <w:i/>
                      <w:iCs/>
                      <w:color w:val="000000"/>
                      <w:sz w:val="20"/>
                    </w:rPr>
                  </w:pPr>
                  <w:r w:rsidRPr="002F1697">
                    <w:rPr>
                      <w:b/>
                      <w:bCs/>
                      <w:i/>
                      <w:i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1FA24D81" w14:textId="77777777">
                  <w:pPr>
                    <w:jc w:val="right"/>
                    <w:rPr>
                      <w:b/>
                      <w:bCs/>
                      <w:i/>
                      <w:iCs/>
                      <w:sz w:val="20"/>
                    </w:rPr>
                  </w:pPr>
                  <w:r w:rsidRPr="002F1697">
                    <w:rPr>
                      <w:b/>
                      <w:bCs/>
                      <w:i/>
                      <w:i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308400BE" w14:textId="77777777">
                  <w:pPr>
                    <w:jc w:val="right"/>
                    <w:rPr>
                      <w:b/>
                      <w:bCs/>
                      <w:i/>
                      <w:iCs/>
                      <w:color w:val="000000"/>
                      <w:sz w:val="20"/>
                    </w:rPr>
                  </w:pPr>
                  <w:r w:rsidRPr="002F1697">
                    <w:rPr>
                      <w:b/>
                      <w:bCs/>
                      <w:i/>
                      <w:iCs/>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531D3950" w14:textId="77777777">
                  <w:pPr>
                    <w:jc w:val="right"/>
                    <w:rPr>
                      <w:b/>
                      <w:bCs/>
                      <w:i/>
                      <w:iCs/>
                      <w:sz w:val="20"/>
                    </w:rPr>
                  </w:pPr>
                  <w:r w:rsidRPr="002F1697">
                    <w:rPr>
                      <w:b/>
                      <w:bCs/>
                      <w:i/>
                      <w:iCs/>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232C860F" w14:textId="77777777">
                  <w:pPr>
                    <w:jc w:val="center"/>
                    <w:rPr>
                      <w:b/>
                      <w:bCs/>
                      <w:i/>
                      <w:iCs/>
                      <w:color w:val="000000"/>
                      <w:sz w:val="20"/>
                    </w:rPr>
                  </w:pPr>
                  <w:r w:rsidRPr="002F1697">
                    <w:rPr>
                      <w:b/>
                      <w:bCs/>
                      <w:i/>
                      <w:iCs/>
                      <w:color w:val="000000"/>
                      <w:sz w:val="20"/>
                    </w:rPr>
                    <w:t>19</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7E1FB8AC" w14:textId="77777777">
                  <w:pPr>
                    <w:jc w:val="center"/>
                    <w:rPr>
                      <w:b/>
                      <w:bCs/>
                      <w:i/>
                      <w:iCs/>
                      <w:color w:val="000000"/>
                      <w:sz w:val="20"/>
                    </w:rPr>
                  </w:pPr>
                  <w:r w:rsidRPr="002F1697">
                    <w:rPr>
                      <w:b/>
                      <w:bCs/>
                      <w:i/>
                      <w:iCs/>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21FCACC6" w14:textId="77777777">
                  <w:pPr>
                    <w:jc w:val="center"/>
                    <w:rPr>
                      <w:b/>
                      <w:bCs/>
                      <w:i/>
                      <w:iCs/>
                      <w:color w:val="000000"/>
                      <w:sz w:val="20"/>
                    </w:rPr>
                  </w:pPr>
                  <w:r w:rsidRPr="002F1697">
                    <w:rPr>
                      <w:b/>
                      <w:bCs/>
                      <w:i/>
                      <w:iCs/>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757CFF5E" w14:textId="77777777">
                  <w:pPr>
                    <w:jc w:val="right"/>
                    <w:rPr>
                      <w:b/>
                      <w:bCs/>
                      <w:i/>
                      <w:iCs/>
                      <w:color w:val="000000"/>
                      <w:sz w:val="20"/>
                    </w:rPr>
                  </w:pPr>
                  <w:r w:rsidRPr="002F1697">
                    <w:rPr>
                      <w:b/>
                      <w:bCs/>
                      <w:i/>
                      <w:iCs/>
                      <w:color w:val="000000"/>
                      <w:sz w:val="20"/>
                    </w:rPr>
                    <w:t xml:space="preserve">$2,303 </w:t>
                  </w:r>
                </w:p>
              </w:tc>
            </w:tr>
            <w:tr w14:paraId="2411F481" w14:textId="77777777" w:rsidTr="002F1697">
              <w:tblPrEx>
                <w:tblW w:w="12540" w:type="dxa"/>
                <w:tblLayout w:type="fixed"/>
                <w:tblLook w:val="04A0"/>
              </w:tblPrEx>
              <w:trPr>
                <w:trHeight w:val="56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41772533" w14:textId="77777777">
                  <w:pPr>
                    <w:rPr>
                      <w:b/>
                      <w:bCs/>
                      <w:color w:val="000000"/>
                      <w:sz w:val="20"/>
                    </w:rPr>
                  </w:pPr>
                  <w:r w:rsidRPr="002F1697">
                    <w:rPr>
                      <w:b/>
                      <w:bCs/>
                      <w:color w:val="000000"/>
                      <w:sz w:val="20"/>
                    </w:rPr>
                    <w:t xml:space="preserve">Total Labor Burden and Cost (rounded) </w:t>
                  </w:r>
                  <w:r w:rsidRPr="002F1697">
                    <w:rPr>
                      <w:b/>
                      <w:bCs/>
                      <w:color w:val="000000"/>
                      <w:sz w:val="20"/>
                      <w:vertAlign w:val="superscript"/>
                    </w:rPr>
                    <w:t>e</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12DAE5B4" w14:textId="77777777">
                  <w:pPr>
                    <w:jc w:val="right"/>
                    <w:rPr>
                      <w:b/>
                      <w:bCs/>
                      <w:color w:val="000000"/>
                      <w:sz w:val="20"/>
                    </w:rPr>
                  </w:pPr>
                  <w:r w:rsidRPr="002F1697">
                    <w:rPr>
                      <w:b/>
                      <w:b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72AAEB80" w14:textId="77777777">
                  <w:pPr>
                    <w:jc w:val="center"/>
                    <w:rPr>
                      <w:b/>
                      <w:bCs/>
                      <w:sz w:val="20"/>
                    </w:rPr>
                  </w:pPr>
                  <w:r w:rsidRPr="002F1697">
                    <w:rPr>
                      <w:b/>
                      <w:b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221987C9" w14:textId="77777777">
                  <w:pPr>
                    <w:jc w:val="right"/>
                    <w:rPr>
                      <w:b/>
                      <w:bCs/>
                      <w:color w:val="000000"/>
                      <w:sz w:val="20"/>
                    </w:rPr>
                  </w:pPr>
                  <w:r w:rsidRPr="002F1697">
                    <w:rPr>
                      <w:b/>
                      <w:bCs/>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487AEE47" w14:textId="77777777">
                  <w:pPr>
                    <w:jc w:val="right"/>
                    <w:rPr>
                      <w:b/>
                      <w:bCs/>
                      <w:sz w:val="20"/>
                    </w:rPr>
                  </w:pPr>
                  <w:r w:rsidRPr="002F1697">
                    <w:rPr>
                      <w:b/>
                      <w:bCs/>
                      <w:sz w:val="20"/>
                    </w:rPr>
                    <w:t> </w:t>
                  </w:r>
                </w:p>
              </w:tc>
              <w:tc>
                <w:tcPr>
                  <w:tcW w:w="3700" w:type="dxa"/>
                  <w:gridSpan w:val="3"/>
                  <w:tcBorders>
                    <w:top w:val="single" w:sz="4" w:space="0" w:color="auto"/>
                    <w:left w:val="nil"/>
                    <w:bottom w:val="single" w:sz="4" w:space="0" w:color="auto"/>
                    <w:right w:val="single" w:sz="4" w:space="0" w:color="auto"/>
                  </w:tcBorders>
                  <w:shd w:val="clear" w:color="auto" w:fill="auto"/>
                  <w:vAlign w:val="center"/>
                  <w:hideMark/>
                </w:tcPr>
                <w:p w:rsidR="002F1697" w:rsidRPr="002F1697" w:rsidP="002F1697" w14:paraId="2F1405D7" w14:textId="77777777">
                  <w:pPr>
                    <w:jc w:val="center"/>
                    <w:rPr>
                      <w:b/>
                      <w:bCs/>
                      <w:color w:val="000000"/>
                      <w:sz w:val="20"/>
                    </w:rPr>
                  </w:pPr>
                  <w:r w:rsidRPr="002F1697">
                    <w:rPr>
                      <w:b/>
                      <w:bCs/>
                      <w:color w:val="000000"/>
                      <w:sz w:val="20"/>
                    </w:rPr>
                    <w:t>300</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2E30E019" w14:textId="77777777">
                  <w:pPr>
                    <w:jc w:val="right"/>
                    <w:rPr>
                      <w:b/>
                      <w:bCs/>
                      <w:color w:val="000000"/>
                      <w:sz w:val="20"/>
                    </w:rPr>
                  </w:pPr>
                  <w:r w:rsidRPr="002F1697">
                    <w:rPr>
                      <w:b/>
                      <w:bCs/>
                      <w:color w:val="000000"/>
                      <w:sz w:val="20"/>
                    </w:rPr>
                    <w:t xml:space="preserve">$30,000 </w:t>
                  </w:r>
                </w:p>
              </w:tc>
            </w:tr>
            <w:tr w14:paraId="3535BBA4" w14:textId="77777777" w:rsidTr="002F1697">
              <w:tblPrEx>
                <w:tblW w:w="12540" w:type="dxa"/>
                <w:tblLayout w:type="fixed"/>
                <w:tblLook w:val="04A0"/>
              </w:tblPrEx>
              <w:trPr>
                <w:trHeight w:val="56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5FDDAF09" w14:textId="77777777">
                  <w:pPr>
                    <w:rPr>
                      <w:b/>
                      <w:bCs/>
                      <w:sz w:val="20"/>
                    </w:rPr>
                  </w:pPr>
                  <w:r w:rsidRPr="002F1697">
                    <w:rPr>
                      <w:b/>
                      <w:bCs/>
                      <w:sz w:val="20"/>
                    </w:rPr>
                    <w:t xml:space="preserve">Total Capital and O&amp;M Cost (rounded) </w:t>
                  </w:r>
                  <w:r w:rsidRPr="002F1697">
                    <w:rPr>
                      <w:b/>
                      <w:bCs/>
                      <w:sz w:val="20"/>
                      <w:vertAlign w:val="superscript"/>
                    </w:rPr>
                    <w:t>e</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5690D29F" w14:textId="77777777">
                  <w:pPr>
                    <w:jc w:val="right"/>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0CECFC40"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7A95D898"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61A34C02" w14:textId="77777777">
                  <w:pPr>
                    <w:jc w:val="right"/>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50A7CE41" w14:textId="77777777">
                  <w:pPr>
                    <w:jc w:val="right"/>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50A0722C" w14:textId="77777777">
                  <w:pPr>
                    <w:jc w:val="right"/>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3648E4AA" w14:textId="77777777">
                  <w:pPr>
                    <w:jc w:val="right"/>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25793011" w14:textId="77777777">
                  <w:pPr>
                    <w:jc w:val="right"/>
                    <w:rPr>
                      <w:b/>
                      <w:bCs/>
                      <w:color w:val="000000"/>
                      <w:sz w:val="20"/>
                    </w:rPr>
                  </w:pPr>
                  <w:r w:rsidRPr="002F1697">
                    <w:rPr>
                      <w:b/>
                      <w:bCs/>
                      <w:color w:val="000000"/>
                      <w:sz w:val="20"/>
                    </w:rPr>
                    <w:t> </w:t>
                  </w:r>
                </w:p>
              </w:tc>
            </w:tr>
            <w:tr w14:paraId="1A09BF39" w14:textId="77777777" w:rsidTr="002F1697">
              <w:tblPrEx>
                <w:tblW w:w="12540" w:type="dxa"/>
                <w:tblLayout w:type="fixed"/>
                <w:tblLook w:val="04A0"/>
              </w:tblPrEx>
              <w:trPr>
                <w:trHeight w:val="300"/>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696C56A5" w14:textId="77777777">
                  <w:pPr>
                    <w:rPr>
                      <w:b/>
                      <w:bCs/>
                      <w:sz w:val="20"/>
                    </w:rPr>
                  </w:pPr>
                  <w:r w:rsidRPr="002F1697">
                    <w:rPr>
                      <w:b/>
                      <w:bCs/>
                      <w:sz w:val="20"/>
                    </w:rPr>
                    <w:t xml:space="preserve">Grand TOTAL (rounded) </w:t>
                  </w:r>
                  <w:r w:rsidRPr="002F1697">
                    <w:rPr>
                      <w:b/>
                      <w:bCs/>
                      <w:sz w:val="20"/>
                      <w:vertAlign w:val="superscript"/>
                    </w:rPr>
                    <w:t>e</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7C44F07F" w14:textId="77777777">
                  <w:pPr>
                    <w:jc w:val="right"/>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7BCB424D"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3FBB8214"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177A07B8" w14:textId="77777777">
                  <w:pPr>
                    <w:jc w:val="right"/>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3F86D823" w14:textId="77777777">
                  <w:pPr>
                    <w:jc w:val="right"/>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331E9CB2" w14:textId="77777777">
                  <w:pPr>
                    <w:jc w:val="right"/>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386E144F" w14:textId="77777777">
                  <w:pPr>
                    <w:jc w:val="right"/>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720DE4A7" w14:textId="77777777">
                  <w:pPr>
                    <w:jc w:val="right"/>
                    <w:rPr>
                      <w:b/>
                      <w:bCs/>
                      <w:color w:val="000000"/>
                      <w:sz w:val="20"/>
                    </w:rPr>
                  </w:pPr>
                  <w:r w:rsidRPr="002F1697">
                    <w:rPr>
                      <w:b/>
                      <w:bCs/>
                      <w:color w:val="000000"/>
                      <w:sz w:val="20"/>
                    </w:rPr>
                    <w:t xml:space="preserve">$0 </w:t>
                  </w:r>
                </w:p>
              </w:tc>
            </w:tr>
            <w:tr w14:paraId="757D6925" w14:textId="77777777" w:rsidTr="002F1697">
              <w:tblPrEx>
                <w:tblW w:w="12540" w:type="dxa"/>
                <w:tblLayout w:type="fixed"/>
                <w:tblLook w:val="04A0"/>
              </w:tblPrEx>
              <w:trPr>
                <w:trHeight w:val="210"/>
              </w:trPr>
              <w:tc>
                <w:tcPr>
                  <w:tcW w:w="2700" w:type="dxa"/>
                  <w:tcBorders>
                    <w:top w:val="nil"/>
                    <w:left w:val="nil"/>
                    <w:bottom w:val="nil"/>
                    <w:right w:val="nil"/>
                  </w:tcBorders>
                  <w:shd w:val="clear" w:color="auto" w:fill="auto"/>
                  <w:noWrap/>
                  <w:vAlign w:val="bottom"/>
                  <w:hideMark/>
                </w:tcPr>
                <w:p w:rsidR="002F1697" w:rsidRPr="002F1697" w:rsidP="002F1697" w14:paraId="02F9BE8F" w14:textId="77777777">
                  <w:pPr>
                    <w:jc w:val="right"/>
                    <w:rPr>
                      <w:b/>
                      <w:bCs/>
                      <w:color w:val="000000"/>
                      <w:sz w:val="20"/>
                    </w:rPr>
                  </w:pPr>
                </w:p>
              </w:tc>
              <w:tc>
                <w:tcPr>
                  <w:tcW w:w="1120" w:type="dxa"/>
                  <w:tcBorders>
                    <w:top w:val="nil"/>
                    <w:left w:val="nil"/>
                    <w:bottom w:val="nil"/>
                    <w:right w:val="nil"/>
                  </w:tcBorders>
                  <w:shd w:val="clear" w:color="auto" w:fill="auto"/>
                  <w:noWrap/>
                  <w:vAlign w:val="bottom"/>
                  <w:hideMark/>
                </w:tcPr>
                <w:p w:rsidR="002F1697" w:rsidRPr="002F1697" w:rsidP="002F1697" w14:paraId="4210270D" w14:textId="77777777">
                  <w:pPr>
                    <w:rPr>
                      <w:sz w:val="20"/>
                    </w:rPr>
                  </w:pPr>
                </w:p>
              </w:tc>
              <w:tc>
                <w:tcPr>
                  <w:tcW w:w="1320" w:type="dxa"/>
                  <w:tcBorders>
                    <w:top w:val="nil"/>
                    <w:left w:val="nil"/>
                    <w:bottom w:val="nil"/>
                    <w:right w:val="nil"/>
                  </w:tcBorders>
                  <w:shd w:val="clear" w:color="auto" w:fill="auto"/>
                  <w:noWrap/>
                  <w:vAlign w:val="bottom"/>
                  <w:hideMark/>
                </w:tcPr>
                <w:p w:rsidR="002F1697" w:rsidRPr="002F1697" w:rsidP="002F1697" w14:paraId="00B6F2EC" w14:textId="77777777">
                  <w:pPr>
                    <w:rPr>
                      <w:sz w:val="20"/>
                    </w:rPr>
                  </w:pPr>
                </w:p>
              </w:tc>
              <w:tc>
                <w:tcPr>
                  <w:tcW w:w="1240" w:type="dxa"/>
                  <w:tcBorders>
                    <w:top w:val="nil"/>
                    <w:left w:val="nil"/>
                    <w:bottom w:val="nil"/>
                    <w:right w:val="nil"/>
                  </w:tcBorders>
                  <w:shd w:val="clear" w:color="auto" w:fill="auto"/>
                  <w:noWrap/>
                  <w:vAlign w:val="bottom"/>
                  <w:hideMark/>
                </w:tcPr>
                <w:p w:rsidR="002F1697" w:rsidRPr="002F1697" w:rsidP="002F1697" w14:paraId="05920002" w14:textId="77777777">
                  <w:pPr>
                    <w:rPr>
                      <w:sz w:val="20"/>
                    </w:rPr>
                  </w:pPr>
                </w:p>
              </w:tc>
              <w:tc>
                <w:tcPr>
                  <w:tcW w:w="1340" w:type="dxa"/>
                  <w:tcBorders>
                    <w:top w:val="nil"/>
                    <w:left w:val="nil"/>
                    <w:bottom w:val="nil"/>
                    <w:right w:val="nil"/>
                  </w:tcBorders>
                  <w:shd w:val="clear" w:color="auto" w:fill="auto"/>
                  <w:noWrap/>
                  <w:vAlign w:val="bottom"/>
                  <w:hideMark/>
                </w:tcPr>
                <w:p w:rsidR="002F1697" w:rsidRPr="002F1697" w:rsidP="002F1697" w14:paraId="4D171003" w14:textId="77777777">
                  <w:pPr>
                    <w:rPr>
                      <w:sz w:val="20"/>
                    </w:rPr>
                  </w:pPr>
                </w:p>
              </w:tc>
              <w:tc>
                <w:tcPr>
                  <w:tcW w:w="1160" w:type="dxa"/>
                  <w:tcBorders>
                    <w:top w:val="nil"/>
                    <w:left w:val="nil"/>
                    <w:bottom w:val="nil"/>
                    <w:right w:val="nil"/>
                  </w:tcBorders>
                  <w:shd w:val="clear" w:color="auto" w:fill="auto"/>
                  <w:noWrap/>
                  <w:vAlign w:val="bottom"/>
                  <w:hideMark/>
                </w:tcPr>
                <w:p w:rsidR="002F1697" w:rsidRPr="002F1697" w:rsidP="002F1697" w14:paraId="08CE2CC6" w14:textId="77777777">
                  <w:pPr>
                    <w:rPr>
                      <w:sz w:val="20"/>
                    </w:rPr>
                  </w:pPr>
                </w:p>
              </w:tc>
              <w:tc>
                <w:tcPr>
                  <w:tcW w:w="1280" w:type="dxa"/>
                  <w:tcBorders>
                    <w:top w:val="nil"/>
                    <w:left w:val="nil"/>
                    <w:bottom w:val="nil"/>
                    <w:right w:val="nil"/>
                  </w:tcBorders>
                  <w:shd w:val="clear" w:color="auto" w:fill="auto"/>
                  <w:noWrap/>
                  <w:vAlign w:val="bottom"/>
                  <w:hideMark/>
                </w:tcPr>
                <w:p w:rsidR="002F1697" w:rsidRPr="002F1697" w:rsidP="002F1697" w14:paraId="68986ECF" w14:textId="77777777">
                  <w:pPr>
                    <w:rPr>
                      <w:sz w:val="20"/>
                    </w:rPr>
                  </w:pPr>
                </w:p>
              </w:tc>
              <w:tc>
                <w:tcPr>
                  <w:tcW w:w="1260" w:type="dxa"/>
                  <w:tcBorders>
                    <w:top w:val="nil"/>
                    <w:left w:val="nil"/>
                    <w:bottom w:val="nil"/>
                    <w:right w:val="nil"/>
                  </w:tcBorders>
                  <w:shd w:val="clear" w:color="auto" w:fill="auto"/>
                  <w:noWrap/>
                  <w:vAlign w:val="bottom"/>
                  <w:hideMark/>
                </w:tcPr>
                <w:p w:rsidR="002F1697" w:rsidRPr="002F1697" w:rsidP="002F1697" w14:paraId="3ADFF4F5" w14:textId="77777777">
                  <w:pPr>
                    <w:rPr>
                      <w:sz w:val="20"/>
                    </w:rPr>
                  </w:pPr>
                </w:p>
              </w:tc>
              <w:tc>
                <w:tcPr>
                  <w:tcW w:w="1120" w:type="dxa"/>
                  <w:tcBorders>
                    <w:top w:val="nil"/>
                    <w:left w:val="nil"/>
                    <w:bottom w:val="nil"/>
                    <w:right w:val="nil"/>
                  </w:tcBorders>
                  <w:shd w:val="clear" w:color="auto" w:fill="auto"/>
                  <w:noWrap/>
                  <w:vAlign w:val="bottom"/>
                  <w:hideMark/>
                </w:tcPr>
                <w:p w:rsidR="002F1697" w:rsidRPr="002F1697" w:rsidP="002F1697" w14:paraId="3CC53B36" w14:textId="77777777">
                  <w:pPr>
                    <w:rPr>
                      <w:sz w:val="20"/>
                    </w:rPr>
                  </w:pPr>
                </w:p>
              </w:tc>
            </w:tr>
            <w:tr w14:paraId="5DAEA534" w14:textId="77777777" w:rsidTr="002F1697">
              <w:tblPrEx>
                <w:tblW w:w="12540" w:type="dxa"/>
                <w:tblLayout w:type="fixed"/>
                <w:tblLook w:val="04A0"/>
              </w:tblPrEx>
              <w:trPr>
                <w:trHeight w:val="313"/>
              </w:trPr>
              <w:tc>
                <w:tcPr>
                  <w:tcW w:w="12540" w:type="dxa"/>
                  <w:gridSpan w:val="9"/>
                  <w:tcBorders>
                    <w:top w:val="nil"/>
                    <w:left w:val="nil"/>
                    <w:bottom w:val="nil"/>
                    <w:right w:val="nil"/>
                  </w:tcBorders>
                  <w:shd w:val="clear" w:color="auto" w:fill="auto"/>
                  <w:vAlign w:val="center"/>
                  <w:hideMark/>
                </w:tcPr>
                <w:p w:rsidR="002F1697" w:rsidRPr="002F1697" w:rsidP="002F1697" w14:paraId="6737AB2C" w14:textId="77777777">
                  <w:pPr>
                    <w:rPr>
                      <w:color w:val="000000"/>
                      <w:sz w:val="20"/>
                    </w:rPr>
                  </w:pPr>
                  <w:r w:rsidRPr="002F1697">
                    <w:rPr>
                      <w:color w:val="000000"/>
                      <w:sz w:val="20"/>
                      <w:vertAlign w:val="superscript"/>
                    </w:rPr>
                    <w:t>a</w:t>
                  </w:r>
                  <w:r w:rsidRPr="002F1697">
                    <w:rPr>
                      <w:color w:val="000000"/>
                      <w:sz w:val="20"/>
                    </w:rPr>
                    <w:t xml:space="preserve">  We have assumed that there are approximately 79 affected kilns and that 10% of the existing units will have new construction/reconstruction.</w:t>
                  </w:r>
                </w:p>
              </w:tc>
            </w:tr>
            <w:tr w14:paraId="1C0D8BCE" w14:textId="77777777" w:rsidTr="002F1697">
              <w:tblPrEx>
                <w:tblW w:w="12540" w:type="dxa"/>
                <w:tblLayout w:type="fixed"/>
                <w:tblLook w:val="04A0"/>
              </w:tblPrEx>
              <w:trPr>
                <w:trHeight w:val="1490"/>
              </w:trPr>
              <w:tc>
                <w:tcPr>
                  <w:tcW w:w="12540" w:type="dxa"/>
                  <w:gridSpan w:val="9"/>
                  <w:tcBorders>
                    <w:top w:val="nil"/>
                    <w:left w:val="nil"/>
                    <w:bottom w:val="nil"/>
                    <w:right w:val="nil"/>
                  </w:tcBorders>
                  <w:shd w:val="clear" w:color="auto" w:fill="auto"/>
                  <w:vAlign w:val="bottom"/>
                  <w:hideMark/>
                </w:tcPr>
                <w:p w:rsidR="002F1697" w:rsidRPr="002F1697" w:rsidP="002F1697" w14:paraId="10049D27" w14:textId="77777777">
                  <w:pPr>
                    <w:rPr>
                      <w:color w:val="000000"/>
                      <w:sz w:val="20"/>
                    </w:rPr>
                  </w:pPr>
                  <w:r w:rsidRPr="002F1697">
                    <w:rPr>
                      <w:color w:val="000000"/>
                      <w:sz w:val="20"/>
                      <w:vertAlign w:val="superscript"/>
                    </w:rPr>
                    <w:t>b</w:t>
                  </w:r>
                  <w:r w:rsidRPr="002F1697">
                    <w:rPr>
                      <w:color w:val="000000"/>
                      <w:sz w:val="20"/>
                    </w:rPr>
                    <w:t xml:space="preserve">  This ICR uses the following labor rates: $161.62 per hour for Executive, Administrative, and Managerial labor; $127.68 per hour for Technical labor, and $64.22 per hour for Clerical labor.  These rates are from the United States Department of Labor, Bureau of Labor Statistics, June 2022, “Table 2. Civilian Workers, by Occupational and Industry group.”  The rates are from column 1, “Total Compensation.”  The rates have been increased by 110 percent to account for the benefit packages available to those employed by private industry.  Archived report releases can be accessed from https://www.bls.gov/bls/news-release/ecec.htm#2021;  from homepage, select Economic Releases, Archived News Releases, Employer Costs for Employee Compensation, Select a past year, Select a published report.</w:t>
                  </w:r>
                </w:p>
              </w:tc>
            </w:tr>
            <w:tr w14:paraId="2EE24454" w14:textId="77777777" w:rsidTr="002F1697">
              <w:tblPrEx>
                <w:tblW w:w="12540" w:type="dxa"/>
                <w:tblLayout w:type="fixed"/>
                <w:tblLook w:val="04A0"/>
              </w:tblPrEx>
              <w:trPr>
                <w:trHeight w:val="375"/>
              </w:trPr>
              <w:tc>
                <w:tcPr>
                  <w:tcW w:w="12540" w:type="dxa"/>
                  <w:gridSpan w:val="9"/>
                  <w:tcBorders>
                    <w:top w:val="nil"/>
                    <w:left w:val="nil"/>
                    <w:bottom w:val="nil"/>
                    <w:right w:val="nil"/>
                  </w:tcBorders>
                  <w:shd w:val="clear" w:color="auto" w:fill="auto"/>
                  <w:vAlign w:val="center"/>
                  <w:hideMark/>
                </w:tcPr>
                <w:p w:rsidR="002F1697" w:rsidRPr="002F1697" w:rsidP="002F1697" w14:paraId="4EB91EE0" w14:textId="77777777">
                  <w:pPr>
                    <w:rPr>
                      <w:color w:val="000000"/>
                      <w:sz w:val="20"/>
                    </w:rPr>
                  </w:pPr>
                  <w:r w:rsidRPr="002F1697">
                    <w:rPr>
                      <w:color w:val="000000"/>
                      <w:sz w:val="20"/>
                      <w:vertAlign w:val="superscript"/>
                    </w:rPr>
                    <w:t>c</w:t>
                  </w:r>
                  <w:r w:rsidRPr="002F1697">
                    <w:rPr>
                      <w:color w:val="000000"/>
                      <w:sz w:val="20"/>
                    </w:rPr>
                    <w:t xml:space="preserve">  New kilns test for NOx. We have assumed that 5 percent of respondents would repeat initial performance test due to failure.</w:t>
                  </w:r>
                </w:p>
              </w:tc>
            </w:tr>
            <w:tr w14:paraId="4F35C6DD" w14:textId="77777777" w:rsidTr="002F1697">
              <w:tblPrEx>
                <w:tblW w:w="12540" w:type="dxa"/>
                <w:tblLayout w:type="fixed"/>
                <w:tblLook w:val="04A0"/>
              </w:tblPrEx>
              <w:trPr>
                <w:trHeight w:val="310"/>
              </w:trPr>
              <w:tc>
                <w:tcPr>
                  <w:tcW w:w="12540" w:type="dxa"/>
                  <w:gridSpan w:val="9"/>
                  <w:tcBorders>
                    <w:top w:val="nil"/>
                    <w:left w:val="nil"/>
                    <w:bottom w:val="nil"/>
                    <w:right w:val="nil"/>
                  </w:tcBorders>
                  <w:shd w:val="clear" w:color="auto" w:fill="auto"/>
                  <w:vAlign w:val="center"/>
                  <w:hideMark/>
                </w:tcPr>
                <w:p w:rsidR="002F1697" w:rsidRPr="002F1697" w:rsidP="002F1697" w14:paraId="396412E6" w14:textId="77777777">
                  <w:pPr>
                    <w:rPr>
                      <w:sz w:val="20"/>
                    </w:rPr>
                  </w:pPr>
                  <w:r w:rsidRPr="002F1697">
                    <w:rPr>
                      <w:sz w:val="20"/>
                      <w:vertAlign w:val="superscript"/>
                    </w:rPr>
                    <w:t>d</w:t>
                  </w:r>
                  <w:r w:rsidRPr="002F1697">
                    <w:rPr>
                      <w:sz w:val="20"/>
                    </w:rPr>
                    <w:t xml:space="preserve">  The rule requires existing kilns re-test annually for NOx. </w:t>
                  </w:r>
                </w:p>
              </w:tc>
            </w:tr>
            <w:tr w14:paraId="6C150A21" w14:textId="77777777" w:rsidTr="002F1697">
              <w:tblPrEx>
                <w:tblW w:w="12540" w:type="dxa"/>
                <w:tblLayout w:type="fixed"/>
                <w:tblLook w:val="04A0"/>
              </w:tblPrEx>
              <w:trPr>
                <w:trHeight w:val="433"/>
              </w:trPr>
              <w:tc>
                <w:tcPr>
                  <w:tcW w:w="12540" w:type="dxa"/>
                  <w:gridSpan w:val="9"/>
                  <w:tcBorders>
                    <w:top w:val="nil"/>
                    <w:left w:val="nil"/>
                    <w:bottom w:val="nil"/>
                    <w:right w:val="nil"/>
                  </w:tcBorders>
                  <w:shd w:val="clear" w:color="auto" w:fill="auto"/>
                  <w:hideMark/>
                </w:tcPr>
                <w:p w:rsidR="002F1697" w:rsidRPr="002F1697" w:rsidP="002F1697" w14:paraId="5D1AE6CC" w14:textId="77777777">
                  <w:pPr>
                    <w:rPr>
                      <w:color w:val="000000"/>
                      <w:sz w:val="20"/>
                    </w:rPr>
                  </w:pPr>
                  <w:r w:rsidRPr="002F1697">
                    <w:rPr>
                      <w:color w:val="000000"/>
                      <w:sz w:val="20"/>
                      <w:vertAlign w:val="superscript"/>
                    </w:rPr>
                    <w:t>e</w:t>
                  </w:r>
                  <w:r w:rsidRPr="002F1697">
                    <w:rPr>
                      <w:color w:val="000000"/>
                      <w:sz w:val="20"/>
                    </w:rPr>
                    <w:t xml:space="preserve">  Totals have been rounded to 3 significant figures.  Figures may not add exactly due to rounding.</w:t>
                  </w:r>
                </w:p>
              </w:tc>
            </w:tr>
          </w:tbl>
          <w:p w:rsidR="000B0867" w:rsidP="00036248" w14:paraId="2D0DCAB1" w14:textId="77777777">
            <w:pPr>
              <w:ind w:firstLine="153"/>
              <w:rPr>
                <w:b/>
                <w:bCs/>
                <w:szCs w:val="24"/>
              </w:rPr>
            </w:pPr>
          </w:p>
          <w:p w:rsidR="00C4604D" w:rsidP="004E6FDE" w14:paraId="3436E792" w14:textId="06D8BDC0">
            <w:pPr>
              <w:rPr>
                <w:color w:val="000000"/>
                <w:sz w:val="20"/>
              </w:rPr>
            </w:pPr>
          </w:p>
          <w:p w:rsidR="00E0299C" w:rsidP="004E6FDE" w14:paraId="43F42500" w14:textId="77777777">
            <w:pPr>
              <w:rPr>
                <w:color w:val="000000"/>
                <w:sz w:val="20"/>
              </w:rPr>
            </w:pPr>
          </w:p>
          <w:tbl>
            <w:tblPr>
              <w:tblW w:w="12980" w:type="dxa"/>
              <w:tblInd w:w="5" w:type="dxa"/>
              <w:tblLayout w:type="fixed"/>
              <w:tblLook w:val="04A0"/>
            </w:tblPr>
            <w:tblGrid>
              <w:gridCol w:w="12980"/>
            </w:tblGrid>
            <w:tr w14:paraId="0AE8C651" w14:textId="77777777" w:rsidTr="00E0299C">
              <w:tblPrEx>
                <w:tblW w:w="12980" w:type="dxa"/>
                <w:tblInd w:w="5" w:type="dxa"/>
                <w:tblLayout w:type="fixed"/>
                <w:tblLook w:val="04A0"/>
              </w:tblPrEx>
              <w:trPr>
                <w:trHeight w:val="4982"/>
              </w:trPr>
              <w:tc>
                <w:tcPr>
                  <w:tcW w:w="12980" w:type="dxa"/>
                  <w:tcBorders>
                    <w:top w:val="nil"/>
                    <w:left w:val="nil"/>
                    <w:bottom w:val="nil"/>
                    <w:right w:val="nil"/>
                  </w:tcBorders>
                  <w:shd w:val="clear" w:color="auto" w:fill="auto"/>
                  <w:hideMark/>
                </w:tcPr>
                <w:p w:rsidR="003B793B" w:rsidP="005C2AC7" w14:paraId="23A91597" w14:textId="71D87D43">
                  <w:pPr>
                    <w:rPr>
                      <w:color w:val="000000"/>
                      <w:sz w:val="20"/>
                    </w:rPr>
                  </w:pPr>
                </w:p>
                <w:p w:rsidR="005C2AC7" w:rsidP="005C2AC7" w14:paraId="5B5B5736" w14:textId="67B48D5D">
                  <w:pPr>
                    <w:rPr>
                      <w:b/>
                      <w:bCs/>
                      <w:szCs w:val="24"/>
                    </w:rPr>
                  </w:pPr>
                  <w:r w:rsidRPr="00D17F6A">
                    <w:rPr>
                      <w:b/>
                      <w:bCs/>
                      <w:szCs w:val="24"/>
                    </w:rPr>
                    <w:t xml:space="preserve">Table </w:t>
                  </w:r>
                  <w:r w:rsidR="00CD3BBE">
                    <w:rPr>
                      <w:b/>
                      <w:bCs/>
                      <w:szCs w:val="24"/>
                    </w:rPr>
                    <w:t>7</w:t>
                  </w:r>
                  <w:r w:rsidRPr="00D17F6A">
                    <w:rPr>
                      <w:b/>
                      <w:bCs/>
                      <w:szCs w:val="24"/>
                    </w:rPr>
                    <w:t xml:space="preserve">: </w:t>
                  </w:r>
                  <w:r>
                    <w:rPr>
                      <w:b/>
                      <w:bCs/>
                      <w:szCs w:val="24"/>
                    </w:rPr>
                    <w:t xml:space="preserve">Annual </w:t>
                  </w:r>
                  <w:r w:rsidRPr="00D17F6A">
                    <w:rPr>
                      <w:b/>
                      <w:bCs/>
                      <w:szCs w:val="24"/>
                    </w:rPr>
                    <w:t xml:space="preserve">Respondent Burden and Cost – </w:t>
                  </w:r>
                  <w:r w:rsidR="003908F0">
                    <w:rPr>
                      <w:b/>
                      <w:bCs/>
                      <w:szCs w:val="24"/>
                    </w:rPr>
                    <w:t>Iron and Steel Mills and Ferroalloy Manufacturing</w:t>
                  </w:r>
                  <w:r w:rsidRPr="00D17F6A">
                    <w:rPr>
                      <w:b/>
                      <w:bCs/>
                      <w:szCs w:val="24"/>
                    </w:rPr>
                    <w:t xml:space="preserve">, </w:t>
                  </w:r>
                  <w:r>
                    <w:rPr>
                      <w:b/>
                      <w:bCs/>
                      <w:szCs w:val="24"/>
                    </w:rPr>
                    <w:t>Year 1</w:t>
                  </w:r>
                </w:p>
                <w:p w:rsidR="000B0867" w:rsidP="005C2AC7" w14:paraId="14A01A61" w14:textId="77777777">
                  <w:pPr>
                    <w:rPr>
                      <w:b/>
                      <w:bCs/>
                      <w:szCs w:val="24"/>
                    </w:rPr>
                  </w:pPr>
                </w:p>
                <w:tbl>
                  <w:tblPr>
                    <w:tblW w:w="12720" w:type="dxa"/>
                    <w:tblLayout w:type="fixed"/>
                    <w:tblLook w:val="04A0"/>
                  </w:tblPr>
                  <w:tblGrid>
                    <w:gridCol w:w="2660"/>
                    <w:gridCol w:w="1120"/>
                    <w:gridCol w:w="1320"/>
                    <w:gridCol w:w="1240"/>
                    <w:gridCol w:w="1340"/>
                    <w:gridCol w:w="1160"/>
                    <w:gridCol w:w="1280"/>
                    <w:gridCol w:w="1260"/>
                    <w:gridCol w:w="1340"/>
                  </w:tblGrid>
                  <w:tr w14:paraId="7F166B71" w14:textId="77777777" w:rsidTr="00472165">
                    <w:tblPrEx>
                      <w:tblW w:w="12720" w:type="dxa"/>
                      <w:tblLayout w:type="fixed"/>
                      <w:tblLook w:val="04A0"/>
                    </w:tblPrEx>
                    <w:trPr>
                      <w:trHeight w:val="130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165" w:rsidRPr="00472165" w:rsidP="00472165" w14:paraId="158FD688" w14:textId="77777777">
                        <w:pPr>
                          <w:jc w:val="center"/>
                          <w:rPr>
                            <w:b/>
                            <w:bCs/>
                            <w:color w:val="000000"/>
                            <w:sz w:val="20"/>
                          </w:rPr>
                        </w:pPr>
                        <w:r w:rsidRPr="00472165">
                          <w:rPr>
                            <w:b/>
                            <w:bCs/>
                            <w:color w:val="000000"/>
                            <w:sz w:val="20"/>
                          </w:rPr>
                          <w:t>Burden Item</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472165" w:rsidRPr="00472165" w:rsidP="00472165" w14:paraId="4A25D1AF" w14:textId="77777777">
                        <w:pPr>
                          <w:jc w:val="center"/>
                          <w:rPr>
                            <w:color w:val="000000"/>
                            <w:sz w:val="20"/>
                          </w:rPr>
                        </w:pPr>
                        <w:r w:rsidRPr="00472165">
                          <w:rPr>
                            <w:color w:val="000000"/>
                            <w:sz w:val="20"/>
                          </w:rPr>
                          <w:t>(A)</w:t>
                        </w:r>
                        <w:r w:rsidRPr="00472165">
                          <w:rPr>
                            <w:color w:val="000000"/>
                            <w:sz w:val="20"/>
                          </w:rPr>
                          <w:br/>
                        </w:r>
                        <w:r w:rsidRPr="00472165">
                          <w:rPr>
                            <w:color w:val="000000"/>
                            <w:sz w:val="20"/>
                          </w:rPr>
                          <w:t>Hours per Occurrence</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472165" w:rsidRPr="00472165" w:rsidP="00472165" w14:paraId="27E9FBD8" w14:textId="77777777">
                        <w:pPr>
                          <w:jc w:val="center"/>
                          <w:rPr>
                            <w:sz w:val="20"/>
                          </w:rPr>
                        </w:pPr>
                        <w:r w:rsidRPr="00472165">
                          <w:rPr>
                            <w:sz w:val="20"/>
                          </w:rPr>
                          <w:t>(B)</w:t>
                        </w:r>
                        <w:r w:rsidRPr="00472165">
                          <w:rPr>
                            <w:sz w:val="20"/>
                          </w:rPr>
                          <w:br/>
                        </w:r>
                        <w:r w:rsidRPr="00472165">
                          <w:rPr>
                            <w:sz w:val="20"/>
                          </w:rPr>
                          <w:t>Occurrences/ Respondent/ Year</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472165" w:rsidRPr="00472165" w:rsidP="00472165" w14:paraId="566F5C11" w14:textId="77777777">
                        <w:pPr>
                          <w:jc w:val="center"/>
                          <w:rPr>
                            <w:color w:val="000000"/>
                            <w:sz w:val="20"/>
                          </w:rPr>
                        </w:pPr>
                        <w:r w:rsidRPr="00472165">
                          <w:rPr>
                            <w:color w:val="000000"/>
                            <w:sz w:val="20"/>
                          </w:rPr>
                          <w:t>(C)</w:t>
                        </w:r>
                        <w:r w:rsidRPr="00472165">
                          <w:rPr>
                            <w:color w:val="000000"/>
                            <w:sz w:val="20"/>
                          </w:rPr>
                          <w:br/>
                        </w:r>
                        <w:r w:rsidRPr="00472165">
                          <w:rPr>
                            <w:color w:val="000000"/>
                            <w:sz w:val="20"/>
                          </w:rPr>
                          <w:t xml:space="preserve">Hours/ Respondent/ Year </w:t>
                        </w:r>
                        <w:r w:rsidRPr="00472165">
                          <w:rPr>
                            <w:color w:val="000000"/>
                            <w:sz w:val="20"/>
                          </w:rPr>
                          <w:br/>
                        </w:r>
                        <w:r w:rsidRPr="00472165">
                          <w:rPr>
                            <w:color w:val="000000"/>
                            <w:sz w:val="20"/>
                          </w:rPr>
                          <w:t>(A x B)</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72165" w:rsidRPr="00472165" w:rsidP="00472165" w14:paraId="092BE6C6" w14:textId="77777777">
                        <w:pPr>
                          <w:jc w:val="center"/>
                          <w:rPr>
                            <w:sz w:val="20"/>
                          </w:rPr>
                        </w:pPr>
                        <w:r w:rsidRPr="00472165">
                          <w:rPr>
                            <w:sz w:val="20"/>
                          </w:rPr>
                          <w:t>(D)</w:t>
                        </w:r>
                        <w:r w:rsidRPr="00472165">
                          <w:rPr>
                            <w:sz w:val="20"/>
                          </w:rPr>
                          <w:br/>
                        </w:r>
                        <w:r w:rsidRPr="00472165">
                          <w:rPr>
                            <w:sz w:val="20"/>
                          </w:rPr>
                          <w:t>Respondents/</w:t>
                        </w:r>
                        <w:r w:rsidRPr="00472165">
                          <w:rPr>
                            <w:sz w:val="20"/>
                          </w:rPr>
                          <w:br/>
                        </w:r>
                        <w:r w:rsidRPr="00472165">
                          <w:rPr>
                            <w:sz w:val="20"/>
                          </w:rPr>
                          <w:t>Year</w:t>
                        </w:r>
                        <w:r w:rsidRPr="00472165">
                          <w:rPr>
                            <w:sz w:val="20"/>
                            <w:vertAlign w:val="superscript"/>
                          </w:rPr>
                          <w:t>a</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472165" w:rsidRPr="00472165" w:rsidP="00472165" w14:paraId="7440F14D" w14:textId="77777777">
                        <w:pPr>
                          <w:jc w:val="center"/>
                          <w:rPr>
                            <w:color w:val="000000"/>
                            <w:sz w:val="20"/>
                          </w:rPr>
                        </w:pPr>
                        <w:r w:rsidRPr="00472165">
                          <w:rPr>
                            <w:color w:val="000000"/>
                            <w:sz w:val="20"/>
                          </w:rPr>
                          <w:t>(E)</w:t>
                        </w:r>
                        <w:r w:rsidRPr="00472165">
                          <w:rPr>
                            <w:color w:val="000000"/>
                            <w:sz w:val="20"/>
                          </w:rPr>
                          <w:br/>
                        </w:r>
                        <w:r w:rsidRPr="00472165">
                          <w:rPr>
                            <w:color w:val="000000"/>
                            <w:sz w:val="20"/>
                          </w:rPr>
                          <w:t xml:space="preserve">Technical Hours/Year </w:t>
                        </w:r>
                        <w:r w:rsidRPr="00472165">
                          <w:rPr>
                            <w:color w:val="000000"/>
                            <w:sz w:val="20"/>
                          </w:rPr>
                          <w:br/>
                        </w:r>
                        <w:r w:rsidRPr="00472165">
                          <w:rPr>
                            <w:color w:val="000000"/>
                            <w:sz w:val="20"/>
                          </w:rPr>
                          <w:t>(C x D)</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472165" w:rsidRPr="00472165" w:rsidP="00472165" w14:paraId="7A75F9BA" w14:textId="77777777">
                        <w:pPr>
                          <w:jc w:val="center"/>
                          <w:rPr>
                            <w:color w:val="000000"/>
                            <w:sz w:val="20"/>
                          </w:rPr>
                        </w:pPr>
                        <w:r w:rsidRPr="00472165">
                          <w:rPr>
                            <w:color w:val="000000"/>
                            <w:sz w:val="20"/>
                          </w:rPr>
                          <w:t xml:space="preserve">(F) Managerial Hours/Year </w:t>
                        </w:r>
                        <w:r w:rsidRPr="00472165">
                          <w:rPr>
                            <w:color w:val="000000"/>
                            <w:sz w:val="20"/>
                          </w:rPr>
                          <w:br/>
                        </w:r>
                        <w:r w:rsidRPr="00472165">
                          <w:rPr>
                            <w:color w:val="000000"/>
                            <w:sz w:val="20"/>
                          </w:rPr>
                          <w:t>(E x 0.05)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472165" w:rsidRPr="00472165" w:rsidP="00472165" w14:paraId="1AFA3DFF" w14:textId="77777777">
                        <w:pPr>
                          <w:jc w:val="center"/>
                          <w:rPr>
                            <w:color w:val="000000"/>
                            <w:sz w:val="20"/>
                          </w:rPr>
                        </w:pPr>
                        <w:r w:rsidRPr="00472165">
                          <w:rPr>
                            <w:color w:val="000000"/>
                            <w:sz w:val="20"/>
                          </w:rPr>
                          <w:t xml:space="preserve">(G) </w:t>
                        </w:r>
                        <w:r w:rsidRPr="00472165">
                          <w:rPr>
                            <w:color w:val="000000"/>
                            <w:sz w:val="20"/>
                          </w:rPr>
                          <w:br/>
                        </w:r>
                        <w:r w:rsidRPr="00472165">
                          <w:rPr>
                            <w:color w:val="000000"/>
                            <w:sz w:val="20"/>
                          </w:rPr>
                          <w:t xml:space="preserve">Clerical Hours/Year </w:t>
                        </w:r>
                        <w:r w:rsidRPr="00472165">
                          <w:rPr>
                            <w:color w:val="000000"/>
                            <w:sz w:val="20"/>
                          </w:rPr>
                          <w:br/>
                        </w:r>
                        <w:r w:rsidRPr="00472165">
                          <w:rPr>
                            <w:color w:val="000000"/>
                            <w:sz w:val="20"/>
                          </w:rPr>
                          <w:t>(E x 0.10)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72165" w:rsidRPr="00472165" w:rsidP="00472165" w14:paraId="0D2928FF" w14:textId="77777777">
                        <w:pPr>
                          <w:jc w:val="center"/>
                          <w:rPr>
                            <w:color w:val="000000"/>
                            <w:sz w:val="20"/>
                          </w:rPr>
                        </w:pPr>
                        <w:r w:rsidRPr="00472165">
                          <w:rPr>
                            <w:color w:val="000000"/>
                            <w:sz w:val="20"/>
                          </w:rPr>
                          <w:t>(H)</w:t>
                        </w:r>
                        <w:r w:rsidRPr="00472165">
                          <w:rPr>
                            <w:color w:val="000000"/>
                            <w:sz w:val="20"/>
                          </w:rPr>
                          <w:br/>
                        </w:r>
                        <w:r w:rsidRPr="00472165">
                          <w:rPr>
                            <w:color w:val="000000"/>
                            <w:sz w:val="20"/>
                          </w:rPr>
                          <w:t>Cost/ Year</w:t>
                        </w:r>
                        <w:r w:rsidRPr="00472165">
                          <w:rPr>
                            <w:color w:val="000000"/>
                            <w:sz w:val="20"/>
                            <w:vertAlign w:val="superscript"/>
                          </w:rPr>
                          <w:t>b</w:t>
                        </w:r>
                      </w:p>
                    </w:tc>
                  </w:tr>
                  <w:tr w14:paraId="3EE49422" w14:textId="77777777" w:rsidTr="00472165">
                    <w:tblPrEx>
                      <w:tblW w:w="12720" w:type="dxa"/>
                      <w:tblLayout w:type="fixed"/>
                      <w:tblLook w:val="04A0"/>
                    </w:tblPrEx>
                    <w:trPr>
                      <w:trHeight w:val="26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1A24BFB8" w14:textId="77777777">
                        <w:pPr>
                          <w:rPr>
                            <w:color w:val="000000"/>
                            <w:sz w:val="20"/>
                          </w:rPr>
                        </w:pPr>
                        <w:r w:rsidRPr="00472165">
                          <w:rPr>
                            <w:color w:val="000000"/>
                            <w:sz w:val="20"/>
                          </w:rPr>
                          <w:t xml:space="preserve">1. APPLICATIONS </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0EDBBE74" w14:textId="77777777">
                        <w:pPr>
                          <w:jc w:val="center"/>
                          <w:rPr>
                            <w:color w:val="000000"/>
                            <w:sz w:val="20"/>
                          </w:rPr>
                        </w:pPr>
                        <w:r w:rsidRPr="00472165">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1F261BFE" w14:textId="77777777">
                        <w:pPr>
                          <w:jc w:val="right"/>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140CAD6D"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4565F362" w14:textId="77777777">
                        <w:pPr>
                          <w:jc w:val="right"/>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7336C6B2" w14:textId="77777777">
                        <w:pPr>
                          <w:jc w:val="right"/>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1771A18A" w14:textId="77777777">
                        <w:pPr>
                          <w:jc w:val="right"/>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7D4EDCCF"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5579DB72" w14:textId="77777777">
                        <w:pPr>
                          <w:jc w:val="right"/>
                          <w:rPr>
                            <w:color w:val="000000"/>
                            <w:sz w:val="20"/>
                          </w:rPr>
                        </w:pPr>
                        <w:r w:rsidRPr="00472165">
                          <w:rPr>
                            <w:color w:val="000000"/>
                            <w:sz w:val="20"/>
                          </w:rPr>
                          <w:t> </w:t>
                        </w:r>
                      </w:p>
                    </w:tc>
                  </w:tr>
                  <w:tr w14:paraId="7F636690" w14:textId="77777777" w:rsidTr="00472165">
                    <w:tblPrEx>
                      <w:tblW w:w="12720" w:type="dxa"/>
                      <w:tblLayout w:type="fixed"/>
                      <w:tblLook w:val="04A0"/>
                    </w:tblPrEx>
                    <w:trPr>
                      <w:trHeight w:val="87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6213AF85" w14:textId="77777777">
                        <w:pPr>
                          <w:rPr>
                            <w:color w:val="000000"/>
                            <w:sz w:val="20"/>
                          </w:rPr>
                        </w:pPr>
                        <w:r w:rsidRPr="00472165">
                          <w:rPr>
                            <w:color w:val="000000"/>
                            <w:sz w:val="20"/>
                          </w:rPr>
                          <w:t xml:space="preserve">2. SURVEY AND STUDIES </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284172FC" w14:textId="77777777">
                        <w:pPr>
                          <w:jc w:val="center"/>
                          <w:rPr>
                            <w:color w:val="000000"/>
                            <w:sz w:val="20"/>
                          </w:rPr>
                        </w:pPr>
                        <w:r w:rsidRPr="00472165">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71E4F613" w14:textId="77777777">
                        <w:pPr>
                          <w:jc w:val="right"/>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77C13082"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496EE3F0" w14:textId="77777777">
                        <w:pPr>
                          <w:jc w:val="right"/>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3E2B39A4" w14:textId="77777777">
                        <w:pPr>
                          <w:jc w:val="right"/>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1B4F1F0C" w14:textId="77777777">
                        <w:pPr>
                          <w:jc w:val="right"/>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4566DA5D"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15D3F4CF" w14:textId="77777777">
                        <w:pPr>
                          <w:jc w:val="right"/>
                          <w:rPr>
                            <w:color w:val="000000"/>
                            <w:sz w:val="20"/>
                          </w:rPr>
                        </w:pPr>
                        <w:r w:rsidRPr="00472165">
                          <w:rPr>
                            <w:color w:val="000000"/>
                            <w:sz w:val="20"/>
                          </w:rPr>
                          <w:t> </w:t>
                        </w:r>
                      </w:p>
                    </w:tc>
                  </w:tr>
                  <w:tr w14:paraId="06483534" w14:textId="77777777" w:rsidTr="00472165">
                    <w:tblPrEx>
                      <w:tblW w:w="12720" w:type="dxa"/>
                      <w:tblLayout w:type="fixed"/>
                      <w:tblLook w:val="04A0"/>
                    </w:tblPrEx>
                    <w:trPr>
                      <w:trHeight w:val="89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23629973" w14:textId="77777777">
                        <w:pPr>
                          <w:rPr>
                            <w:color w:val="000000"/>
                            <w:sz w:val="20"/>
                          </w:rPr>
                        </w:pPr>
                        <w:r w:rsidRPr="00472165">
                          <w:rPr>
                            <w:color w:val="000000"/>
                            <w:sz w:val="20"/>
                          </w:rPr>
                          <w:t>3.ACQUISITION, INSTALLATION, AND UTILIZATION OF TECHNOLOGY AND SYSTEMS</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18A5A36D" w14:textId="77777777">
                        <w:pPr>
                          <w:jc w:val="center"/>
                          <w:rPr>
                            <w:color w:val="000000"/>
                            <w:sz w:val="20"/>
                          </w:rPr>
                        </w:pPr>
                        <w:r w:rsidRPr="00472165">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257B4D7D" w14:textId="77777777">
                        <w:pPr>
                          <w:jc w:val="center"/>
                          <w:rPr>
                            <w:sz w:val="20"/>
                          </w:rPr>
                        </w:pPr>
                        <w:r w:rsidRPr="00472165">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0658736E" w14:textId="77777777">
                        <w:pPr>
                          <w:jc w:val="center"/>
                          <w:rPr>
                            <w:color w:val="000000"/>
                            <w:sz w:val="20"/>
                          </w:rPr>
                        </w:pPr>
                        <w:r w:rsidRPr="00472165">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0A50ED39" w14:textId="77777777">
                        <w:pPr>
                          <w:jc w:val="center"/>
                          <w:rPr>
                            <w:sz w:val="20"/>
                          </w:rPr>
                        </w:pPr>
                        <w:r w:rsidRPr="00472165">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5DA96844" w14:textId="77777777">
                        <w:pPr>
                          <w:jc w:val="center"/>
                          <w:rPr>
                            <w:color w:val="000000"/>
                            <w:sz w:val="20"/>
                          </w:rPr>
                        </w:pPr>
                        <w:r w:rsidRPr="00472165">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4711DA42" w14:textId="77777777">
                        <w:pPr>
                          <w:jc w:val="center"/>
                          <w:rPr>
                            <w:color w:val="000000"/>
                            <w:sz w:val="20"/>
                          </w:rPr>
                        </w:pPr>
                        <w:r w:rsidRPr="0047216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12EF02DA" w14:textId="77777777">
                        <w:pPr>
                          <w:jc w:val="center"/>
                          <w:rPr>
                            <w:color w:val="000000"/>
                            <w:sz w:val="20"/>
                          </w:rPr>
                        </w:pPr>
                        <w:r w:rsidRPr="00472165">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764D15BF" w14:textId="77777777">
                        <w:pPr>
                          <w:jc w:val="right"/>
                          <w:rPr>
                            <w:color w:val="000000"/>
                            <w:sz w:val="20"/>
                          </w:rPr>
                        </w:pPr>
                        <w:r w:rsidRPr="00472165">
                          <w:rPr>
                            <w:color w:val="000000"/>
                            <w:sz w:val="20"/>
                          </w:rPr>
                          <w:t xml:space="preserve">$0 </w:t>
                        </w:r>
                      </w:p>
                    </w:tc>
                  </w:tr>
                  <w:tr w14:paraId="343CE8AF" w14:textId="77777777" w:rsidTr="00472165">
                    <w:tblPrEx>
                      <w:tblW w:w="12720" w:type="dxa"/>
                      <w:tblLayout w:type="fixed"/>
                      <w:tblLook w:val="04A0"/>
                    </w:tblPrEx>
                    <w:trPr>
                      <w:trHeight w:val="26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1B2DC643" w14:textId="77777777">
                        <w:pPr>
                          <w:rPr>
                            <w:color w:val="000000"/>
                            <w:sz w:val="20"/>
                          </w:rPr>
                        </w:pPr>
                        <w:r w:rsidRPr="00472165">
                          <w:rPr>
                            <w:color w:val="000000"/>
                            <w:sz w:val="20"/>
                          </w:rPr>
                          <w:t>4. REPORT REQUIREMENTS</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461BBEEC" w14:textId="77777777">
                        <w:pPr>
                          <w:jc w:val="center"/>
                          <w:rPr>
                            <w:color w:val="000000"/>
                            <w:sz w:val="20"/>
                          </w:rPr>
                        </w:pPr>
                        <w:r w:rsidRPr="00472165">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3178419F" w14:textId="77777777">
                        <w:pPr>
                          <w:jc w:val="center"/>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6D7A3B17" w14:textId="77777777">
                        <w:pPr>
                          <w:jc w:val="center"/>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0539C264" w14:textId="77777777">
                        <w:pPr>
                          <w:jc w:val="center"/>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13E33280" w14:textId="77777777">
                        <w:pPr>
                          <w:jc w:val="center"/>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0E150682" w14:textId="77777777">
                        <w:pPr>
                          <w:jc w:val="center"/>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57A770EF" w14:textId="77777777">
                        <w:pPr>
                          <w:jc w:val="center"/>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4DA45425" w14:textId="77777777">
                        <w:pPr>
                          <w:jc w:val="right"/>
                          <w:rPr>
                            <w:color w:val="000000"/>
                            <w:sz w:val="20"/>
                          </w:rPr>
                        </w:pPr>
                        <w:r w:rsidRPr="00472165">
                          <w:rPr>
                            <w:color w:val="000000"/>
                            <w:sz w:val="20"/>
                          </w:rPr>
                          <w:t> </w:t>
                        </w:r>
                      </w:p>
                    </w:tc>
                  </w:tr>
                  <w:tr w14:paraId="12E0361E" w14:textId="77777777" w:rsidTr="00472165">
                    <w:tblPrEx>
                      <w:tblW w:w="12720" w:type="dxa"/>
                      <w:tblLayout w:type="fixed"/>
                      <w:tblLook w:val="04A0"/>
                    </w:tblPrEx>
                    <w:trPr>
                      <w:trHeight w:val="104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1FB741DD" w14:textId="77777777">
                        <w:pPr>
                          <w:rPr>
                            <w:color w:val="000000"/>
                            <w:sz w:val="20"/>
                          </w:rPr>
                        </w:pPr>
                        <w:r w:rsidRPr="00472165">
                          <w:rPr>
                            <w:color w:val="000000"/>
                            <w:sz w:val="20"/>
                          </w:rPr>
                          <w:t xml:space="preserve">REQUEST FOR CASE-BY-CASE EMISSION LIMITS - Per 52.40(e);  (based on BACT analysis of 2020 NSR ICR) </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54668F47" w14:textId="77777777">
                        <w:pPr>
                          <w:jc w:val="center"/>
                          <w:rPr>
                            <w:color w:val="000000"/>
                            <w:sz w:val="20"/>
                          </w:rPr>
                        </w:pPr>
                        <w:r w:rsidRPr="00472165">
                          <w:rPr>
                            <w:color w:val="000000"/>
                            <w:sz w:val="20"/>
                          </w:rPr>
                          <w:t>156</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7D938861" w14:textId="77777777">
                        <w:pPr>
                          <w:jc w:val="center"/>
                          <w:rPr>
                            <w:sz w:val="20"/>
                          </w:rPr>
                        </w:pPr>
                        <w:r w:rsidRPr="00472165">
                          <w:rPr>
                            <w:sz w:val="20"/>
                          </w:rPr>
                          <w:t>1</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1FE3FF88" w14:textId="77777777">
                        <w:pPr>
                          <w:jc w:val="center"/>
                          <w:rPr>
                            <w:color w:val="000000"/>
                            <w:sz w:val="20"/>
                          </w:rPr>
                        </w:pPr>
                        <w:r w:rsidRPr="00472165">
                          <w:rPr>
                            <w:color w:val="000000"/>
                            <w:sz w:val="20"/>
                          </w:rPr>
                          <w:t>156</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08CEB57D" w14:textId="77777777">
                        <w:pPr>
                          <w:jc w:val="center"/>
                          <w:rPr>
                            <w:sz w:val="20"/>
                          </w:rPr>
                        </w:pPr>
                        <w:r w:rsidRPr="00472165">
                          <w:rPr>
                            <w:sz w:val="20"/>
                          </w:rPr>
                          <w:t>0.29</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7D152EE9" w14:textId="77777777">
                        <w:pPr>
                          <w:jc w:val="center"/>
                          <w:rPr>
                            <w:color w:val="000000"/>
                            <w:sz w:val="20"/>
                          </w:rPr>
                        </w:pPr>
                        <w:r w:rsidRPr="00472165">
                          <w:rPr>
                            <w:color w:val="000000"/>
                            <w:sz w:val="20"/>
                          </w:rPr>
                          <w:t>45.24</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30B58AD2" w14:textId="77777777">
                        <w:pPr>
                          <w:jc w:val="center"/>
                          <w:rPr>
                            <w:color w:val="000000"/>
                            <w:sz w:val="20"/>
                          </w:rPr>
                        </w:pPr>
                        <w:r w:rsidRPr="00472165">
                          <w:rPr>
                            <w:color w:val="000000"/>
                            <w:sz w:val="20"/>
                          </w:rPr>
                          <w:t>2.262</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3F9B5C9A" w14:textId="77777777">
                        <w:pPr>
                          <w:jc w:val="center"/>
                          <w:rPr>
                            <w:color w:val="000000"/>
                            <w:sz w:val="20"/>
                          </w:rPr>
                        </w:pPr>
                        <w:r w:rsidRPr="00472165">
                          <w:rPr>
                            <w:color w:val="000000"/>
                            <w:sz w:val="20"/>
                          </w:rPr>
                          <w:t>4.524</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463C5045" w14:textId="77777777">
                        <w:pPr>
                          <w:ind w:firstLine="200" w:firstLineChars="100"/>
                          <w:jc w:val="right"/>
                          <w:rPr>
                            <w:sz w:val="20"/>
                          </w:rPr>
                        </w:pPr>
                        <w:r w:rsidRPr="00472165">
                          <w:rPr>
                            <w:sz w:val="20"/>
                          </w:rPr>
                          <w:t xml:space="preserve">$6,432 </w:t>
                        </w:r>
                      </w:p>
                    </w:tc>
                  </w:tr>
                  <w:tr w14:paraId="157E5418" w14:textId="77777777" w:rsidTr="00472165">
                    <w:tblPrEx>
                      <w:tblW w:w="12720" w:type="dxa"/>
                      <w:tblLayout w:type="fixed"/>
                      <w:tblLook w:val="04A0"/>
                    </w:tblPrEx>
                    <w:trPr>
                      <w:trHeight w:val="52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3E88E894" w14:textId="77777777">
                        <w:pPr>
                          <w:rPr>
                            <w:color w:val="000000"/>
                            <w:sz w:val="20"/>
                          </w:rPr>
                        </w:pPr>
                        <w:r w:rsidRPr="00472165">
                          <w:rPr>
                            <w:color w:val="000000"/>
                            <w:sz w:val="20"/>
                          </w:rPr>
                          <w:t>A. Familiarize with regulatory requirement</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254F3AC7" w14:textId="77777777">
                        <w:pPr>
                          <w:jc w:val="center"/>
                          <w:rPr>
                            <w:color w:val="000000"/>
                            <w:sz w:val="20"/>
                          </w:rPr>
                        </w:pPr>
                        <w:r w:rsidRPr="00472165">
                          <w:rPr>
                            <w:color w:val="000000"/>
                            <w:sz w:val="20"/>
                          </w:rPr>
                          <w:t>10</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6B8EA2EE" w14:textId="77777777">
                        <w:pPr>
                          <w:jc w:val="center"/>
                          <w:rPr>
                            <w:sz w:val="20"/>
                          </w:rPr>
                        </w:pPr>
                        <w:r w:rsidRPr="00472165">
                          <w:rPr>
                            <w:sz w:val="20"/>
                          </w:rPr>
                          <w:t>1</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5A0D7EF8" w14:textId="77777777">
                        <w:pPr>
                          <w:jc w:val="center"/>
                          <w:rPr>
                            <w:color w:val="000000"/>
                            <w:sz w:val="20"/>
                          </w:rPr>
                        </w:pPr>
                        <w:r w:rsidRPr="00472165">
                          <w:rPr>
                            <w:color w:val="000000"/>
                            <w:sz w:val="20"/>
                          </w:rPr>
                          <w:t>10</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52CCC955" w14:textId="77777777">
                        <w:pPr>
                          <w:jc w:val="center"/>
                          <w:rPr>
                            <w:sz w:val="20"/>
                          </w:rPr>
                        </w:pPr>
                        <w:r w:rsidRPr="00472165">
                          <w:rPr>
                            <w:sz w:val="20"/>
                          </w:rPr>
                          <w:t>29</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1554A889" w14:textId="77777777">
                        <w:pPr>
                          <w:jc w:val="center"/>
                          <w:rPr>
                            <w:color w:val="000000"/>
                            <w:sz w:val="20"/>
                          </w:rPr>
                        </w:pPr>
                        <w:r w:rsidRPr="00472165">
                          <w:rPr>
                            <w:color w:val="000000"/>
                            <w:sz w:val="20"/>
                          </w:rPr>
                          <w:t>290</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6BD23D66" w14:textId="77777777">
                        <w:pPr>
                          <w:jc w:val="center"/>
                          <w:rPr>
                            <w:color w:val="000000"/>
                            <w:sz w:val="20"/>
                          </w:rPr>
                        </w:pPr>
                        <w:r w:rsidRPr="00472165">
                          <w:rPr>
                            <w:color w:val="000000"/>
                            <w:sz w:val="20"/>
                          </w:rPr>
                          <w:t>14.5</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7B8A63A5" w14:textId="77777777">
                        <w:pPr>
                          <w:jc w:val="center"/>
                          <w:rPr>
                            <w:color w:val="000000"/>
                            <w:sz w:val="20"/>
                          </w:rPr>
                        </w:pPr>
                        <w:r w:rsidRPr="00472165">
                          <w:rPr>
                            <w:color w:val="000000"/>
                            <w:sz w:val="20"/>
                          </w:rPr>
                          <w:t>29</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071D98DF" w14:textId="77777777">
                        <w:pPr>
                          <w:ind w:firstLine="200" w:firstLineChars="100"/>
                          <w:jc w:val="right"/>
                          <w:rPr>
                            <w:sz w:val="20"/>
                          </w:rPr>
                        </w:pPr>
                        <w:r w:rsidRPr="00472165">
                          <w:rPr>
                            <w:sz w:val="20"/>
                          </w:rPr>
                          <w:t xml:space="preserve">$41,233 </w:t>
                        </w:r>
                      </w:p>
                    </w:tc>
                  </w:tr>
                  <w:tr w14:paraId="759ED984" w14:textId="77777777" w:rsidTr="00472165">
                    <w:tblPrEx>
                      <w:tblW w:w="12720" w:type="dxa"/>
                      <w:tblLayout w:type="fixed"/>
                      <w:tblLook w:val="04A0"/>
                    </w:tblPrEx>
                    <w:trPr>
                      <w:trHeight w:val="52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2A6CCF39" w14:textId="77777777">
                        <w:pPr>
                          <w:rPr>
                            <w:color w:val="000000"/>
                            <w:sz w:val="20"/>
                          </w:rPr>
                        </w:pPr>
                        <w:r w:rsidRPr="00472165">
                          <w:rPr>
                            <w:color w:val="000000"/>
                            <w:sz w:val="20"/>
                          </w:rPr>
                          <w:t>Initial Notification Form of Applicability</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2B568185" w14:textId="77777777">
                        <w:pPr>
                          <w:jc w:val="center"/>
                          <w:rPr>
                            <w:color w:val="000000"/>
                            <w:sz w:val="20"/>
                          </w:rPr>
                        </w:pPr>
                        <w:r w:rsidRPr="00472165">
                          <w:rPr>
                            <w:color w:val="000000"/>
                            <w:sz w:val="20"/>
                          </w:rPr>
                          <w:t>0.5</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30B38D8E" w14:textId="77777777">
                        <w:pPr>
                          <w:jc w:val="center"/>
                          <w:rPr>
                            <w:sz w:val="20"/>
                          </w:rPr>
                        </w:pPr>
                        <w:r w:rsidRPr="00472165">
                          <w:rPr>
                            <w:sz w:val="20"/>
                          </w:rPr>
                          <w:t>1</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734A49F0" w14:textId="77777777">
                        <w:pPr>
                          <w:jc w:val="center"/>
                          <w:rPr>
                            <w:color w:val="000000"/>
                            <w:sz w:val="20"/>
                          </w:rPr>
                        </w:pPr>
                        <w:r w:rsidRPr="00472165">
                          <w:rPr>
                            <w:color w:val="000000"/>
                            <w:sz w:val="20"/>
                          </w:rPr>
                          <w:t>0.5</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040375BA" w14:textId="77777777">
                        <w:pPr>
                          <w:jc w:val="center"/>
                          <w:rPr>
                            <w:sz w:val="20"/>
                          </w:rPr>
                        </w:pPr>
                        <w:r w:rsidRPr="00472165">
                          <w:rPr>
                            <w:sz w:val="20"/>
                          </w:rPr>
                          <w:t>29</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13C805AA" w14:textId="77777777">
                        <w:pPr>
                          <w:jc w:val="center"/>
                          <w:rPr>
                            <w:color w:val="000000"/>
                            <w:sz w:val="20"/>
                          </w:rPr>
                        </w:pPr>
                        <w:r w:rsidRPr="00472165">
                          <w:rPr>
                            <w:color w:val="000000"/>
                            <w:sz w:val="20"/>
                          </w:rPr>
                          <w:t>14.5</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7B8DFADC" w14:textId="77777777">
                        <w:pPr>
                          <w:jc w:val="center"/>
                          <w:rPr>
                            <w:color w:val="000000"/>
                            <w:sz w:val="20"/>
                          </w:rPr>
                        </w:pPr>
                        <w:r w:rsidRPr="00472165">
                          <w:rPr>
                            <w:color w:val="000000"/>
                            <w:sz w:val="20"/>
                          </w:rPr>
                          <w:t>0.725</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10DDBB4B" w14:textId="77777777">
                        <w:pPr>
                          <w:jc w:val="center"/>
                          <w:rPr>
                            <w:color w:val="000000"/>
                            <w:sz w:val="20"/>
                          </w:rPr>
                        </w:pPr>
                        <w:r w:rsidRPr="00472165">
                          <w:rPr>
                            <w:color w:val="000000"/>
                            <w:sz w:val="20"/>
                          </w:rPr>
                          <w:t>1.45</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2566D8FB" w14:textId="77777777">
                        <w:pPr>
                          <w:ind w:firstLine="200" w:firstLineChars="100"/>
                          <w:jc w:val="right"/>
                          <w:rPr>
                            <w:sz w:val="20"/>
                          </w:rPr>
                        </w:pPr>
                        <w:r w:rsidRPr="00472165">
                          <w:rPr>
                            <w:sz w:val="20"/>
                          </w:rPr>
                          <w:t xml:space="preserve">$2,062 </w:t>
                        </w:r>
                      </w:p>
                    </w:tc>
                  </w:tr>
                  <w:tr w14:paraId="53122355" w14:textId="77777777" w:rsidTr="00472165">
                    <w:tblPrEx>
                      <w:tblW w:w="12720" w:type="dxa"/>
                      <w:tblLayout w:type="fixed"/>
                      <w:tblLook w:val="04A0"/>
                    </w:tblPrEx>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6A0B8FF7" w14:textId="77777777">
                        <w:pPr>
                          <w:rPr>
                            <w:color w:val="000000"/>
                            <w:sz w:val="20"/>
                          </w:rPr>
                        </w:pPr>
                        <w:r w:rsidRPr="00472165">
                          <w:rPr>
                            <w:color w:val="000000"/>
                            <w:sz w:val="20"/>
                          </w:rPr>
                          <w:t>B. Required Activities</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589EF00A" w14:textId="77777777">
                        <w:pPr>
                          <w:jc w:val="center"/>
                          <w:rPr>
                            <w:color w:val="000000"/>
                            <w:sz w:val="20"/>
                          </w:rPr>
                        </w:pPr>
                        <w:r w:rsidRPr="00472165">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646B8C64" w14:textId="77777777">
                        <w:pPr>
                          <w:jc w:val="center"/>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0CF5D397" w14:textId="77777777">
                        <w:pPr>
                          <w:jc w:val="center"/>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4DC2F39D" w14:textId="77777777">
                        <w:pPr>
                          <w:jc w:val="center"/>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4B08AADF" w14:textId="77777777">
                        <w:pPr>
                          <w:jc w:val="center"/>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269008E0" w14:textId="77777777">
                        <w:pPr>
                          <w:jc w:val="center"/>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7EB1475F" w14:textId="77777777">
                        <w:pPr>
                          <w:jc w:val="center"/>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720C0B15" w14:textId="77777777">
                        <w:pPr>
                          <w:ind w:firstLine="200" w:firstLineChars="100"/>
                          <w:jc w:val="right"/>
                          <w:rPr>
                            <w:sz w:val="20"/>
                          </w:rPr>
                        </w:pPr>
                        <w:r w:rsidRPr="00472165">
                          <w:rPr>
                            <w:sz w:val="20"/>
                          </w:rPr>
                          <w:t> </w:t>
                        </w:r>
                      </w:p>
                    </w:tc>
                  </w:tr>
                  <w:tr w14:paraId="71DBD7C1" w14:textId="77777777" w:rsidTr="00472165">
                    <w:tblPrEx>
                      <w:tblW w:w="12720" w:type="dxa"/>
                      <w:tblLayout w:type="fixed"/>
                      <w:tblLook w:val="04A0"/>
                    </w:tblPrEx>
                    <w:trPr>
                      <w:trHeight w:val="31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79E253B5" w14:textId="77777777">
                        <w:pPr>
                          <w:rPr>
                            <w:i/>
                            <w:iCs/>
                            <w:color w:val="000000"/>
                            <w:sz w:val="20"/>
                          </w:rPr>
                        </w:pPr>
                        <w:r w:rsidRPr="00472165">
                          <w:rPr>
                            <w:i/>
                            <w:iCs/>
                            <w:color w:val="000000"/>
                            <w:sz w:val="20"/>
                          </w:rPr>
                          <w:t xml:space="preserve">New Sources - Testing </w:t>
                        </w:r>
                        <w:r w:rsidRPr="00472165">
                          <w:rPr>
                            <w:color w:val="000000"/>
                            <w:sz w:val="20"/>
                            <w:vertAlign w:val="superscript"/>
                          </w:rPr>
                          <w:t>c</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7AB2532B" w14:textId="77777777">
                        <w:pPr>
                          <w:jc w:val="center"/>
                          <w:rPr>
                            <w:color w:val="000000"/>
                            <w:sz w:val="20"/>
                          </w:rPr>
                        </w:pPr>
                        <w:r w:rsidRPr="00472165">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262D81BF" w14:textId="77777777">
                        <w:pPr>
                          <w:jc w:val="center"/>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3AD7503B" w14:textId="77777777">
                        <w:pPr>
                          <w:jc w:val="center"/>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712DCB16" w14:textId="77777777">
                        <w:pPr>
                          <w:jc w:val="center"/>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04D4FB2A" w14:textId="77777777">
                        <w:pPr>
                          <w:jc w:val="center"/>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79B42A95" w14:textId="77777777">
                        <w:pPr>
                          <w:jc w:val="center"/>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0FD29C67" w14:textId="77777777">
                        <w:pPr>
                          <w:jc w:val="center"/>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1DC6E214" w14:textId="77777777">
                        <w:pPr>
                          <w:ind w:firstLine="200" w:firstLineChars="100"/>
                          <w:jc w:val="right"/>
                          <w:rPr>
                            <w:sz w:val="20"/>
                          </w:rPr>
                        </w:pPr>
                        <w:r w:rsidRPr="00472165">
                          <w:rPr>
                            <w:sz w:val="20"/>
                          </w:rPr>
                          <w:t> </w:t>
                        </w:r>
                      </w:p>
                    </w:tc>
                  </w:tr>
                  <w:tr w14:paraId="30CBA078" w14:textId="77777777" w:rsidTr="00472165">
                    <w:tblPrEx>
                      <w:tblW w:w="12720" w:type="dxa"/>
                      <w:tblLayout w:type="fixed"/>
                      <w:tblLook w:val="04A0"/>
                    </w:tblPrEx>
                    <w:trPr>
                      <w:trHeight w:val="62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19F0F3B0" w14:textId="77777777">
                        <w:pPr>
                          <w:rPr>
                            <w:sz w:val="20"/>
                          </w:rPr>
                        </w:pPr>
                        <w:r w:rsidRPr="00472165">
                          <w:rPr>
                            <w:sz w:val="20"/>
                          </w:rPr>
                          <w:t>Initial Performance Evaluation of CPMS</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4BC1620E" w14:textId="77777777">
                        <w:pPr>
                          <w:jc w:val="center"/>
                          <w:rPr>
                            <w:sz w:val="20"/>
                          </w:rPr>
                        </w:pPr>
                        <w:r w:rsidRPr="00472165">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54DB98FD" w14:textId="77777777">
                        <w:pPr>
                          <w:jc w:val="center"/>
                          <w:rPr>
                            <w:sz w:val="20"/>
                          </w:rPr>
                        </w:pPr>
                        <w:r w:rsidRPr="00472165">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0788FCF4" w14:textId="77777777">
                        <w:pPr>
                          <w:jc w:val="center"/>
                          <w:rPr>
                            <w:color w:val="000000"/>
                            <w:sz w:val="20"/>
                          </w:rPr>
                        </w:pPr>
                        <w:r w:rsidRPr="00472165">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2D5CC45B" w14:textId="77777777">
                        <w:pPr>
                          <w:jc w:val="center"/>
                          <w:rPr>
                            <w:sz w:val="20"/>
                          </w:rPr>
                        </w:pPr>
                        <w:r w:rsidRPr="00472165">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5AE594E0" w14:textId="77777777">
                        <w:pPr>
                          <w:jc w:val="center"/>
                          <w:rPr>
                            <w:color w:val="000000"/>
                            <w:sz w:val="20"/>
                          </w:rPr>
                        </w:pPr>
                        <w:r w:rsidRPr="00472165">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348D2998" w14:textId="77777777">
                        <w:pPr>
                          <w:jc w:val="center"/>
                          <w:rPr>
                            <w:color w:val="000000"/>
                            <w:sz w:val="20"/>
                          </w:rPr>
                        </w:pPr>
                        <w:r w:rsidRPr="0047216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26818C5B" w14:textId="77777777">
                        <w:pPr>
                          <w:jc w:val="center"/>
                          <w:rPr>
                            <w:color w:val="000000"/>
                            <w:sz w:val="20"/>
                          </w:rPr>
                        </w:pPr>
                        <w:r w:rsidRPr="00472165">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52F23442" w14:textId="77777777">
                        <w:pPr>
                          <w:ind w:firstLine="200" w:firstLineChars="100"/>
                          <w:jc w:val="right"/>
                          <w:rPr>
                            <w:sz w:val="20"/>
                          </w:rPr>
                        </w:pPr>
                        <w:r w:rsidRPr="00472165">
                          <w:rPr>
                            <w:sz w:val="20"/>
                          </w:rPr>
                          <w:t xml:space="preserve">$0 </w:t>
                        </w:r>
                      </w:p>
                    </w:tc>
                  </w:tr>
                  <w:tr w14:paraId="643DCA72" w14:textId="77777777" w:rsidTr="00472165">
                    <w:tblPrEx>
                      <w:tblW w:w="12720" w:type="dxa"/>
                      <w:tblLayout w:type="fixed"/>
                      <w:tblLook w:val="04A0"/>
                    </w:tblPrEx>
                    <w:trPr>
                      <w:trHeight w:val="52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0ED7E2EE" w14:textId="77777777">
                        <w:pPr>
                          <w:rPr>
                            <w:sz w:val="20"/>
                          </w:rPr>
                        </w:pPr>
                        <w:r w:rsidRPr="00472165">
                          <w:rPr>
                            <w:sz w:val="20"/>
                          </w:rPr>
                          <w:t>Repeat Performance Evaluation of CPMS</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0B2974F1" w14:textId="77777777">
                        <w:pPr>
                          <w:jc w:val="center"/>
                          <w:rPr>
                            <w:sz w:val="20"/>
                          </w:rPr>
                        </w:pPr>
                        <w:r w:rsidRPr="00472165">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50780908" w14:textId="77777777">
                        <w:pPr>
                          <w:jc w:val="center"/>
                          <w:rPr>
                            <w:sz w:val="20"/>
                          </w:rPr>
                        </w:pPr>
                        <w:r w:rsidRPr="00472165">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27FF5CB0" w14:textId="77777777">
                        <w:pPr>
                          <w:jc w:val="center"/>
                          <w:rPr>
                            <w:color w:val="000000"/>
                            <w:sz w:val="20"/>
                          </w:rPr>
                        </w:pPr>
                        <w:r w:rsidRPr="00472165">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0A938B2E" w14:textId="77777777">
                        <w:pPr>
                          <w:jc w:val="center"/>
                          <w:rPr>
                            <w:sz w:val="20"/>
                          </w:rPr>
                        </w:pPr>
                        <w:r w:rsidRPr="00472165">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594F22E0" w14:textId="77777777">
                        <w:pPr>
                          <w:jc w:val="center"/>
                          <w:rPr>
                            <w:color w:val="000000"/>
                            <w:sz w:val="20"/>
                          </w:rPr>
                        </w:pPr>
                        <w:r w:rsidRPr="00472165">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4BF9C9EF" w14:textId="77777777">
                        <w:pPr>
                          <w:jc w:val="center"/>
                          <w:rPr>
                            <w:color w:val="000000"/>
                            <w:sz w:val="20"/>
                          </w:rPr>
                        </w:pPr>
                        <w:r w:rsidRPr="0047216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48C4B881" w14:textId="77777777">
                        <w:pPr>
                          <w:jc w:val="center"/>
                          <w:rPr>
                            <w:color w:val="000000"/>
                            <w:sz w:val="20"/>
                          </w:rPr>
                        </w:pPr>
                        <w:r w:rsidRPr="00472165">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3DE70F2B" w14:textId="77777777">
                        <w:pPr>
                          <w:ind w:firstLine="200" w:firstLineChars="100"/>
                          <w:jc w:val="right"/>
                          <w:rPr>
                            <w:sz w:val="20"/>
                          </w:rPr>
                        </w:pPr>
                        <w:r w:rsidRPr="00472165">
                          <w:rPr>
                            <w:sz w:val="20"/>
                          </w:rPr>
                          <w:t xml:space="preserve">$0 </w:t>
                        </w:r>
                      </w:p>
                    </w:tc>
                  </w:tr>
                  <w:tr w14:paraId="05E80C39" w14:textId="77777777" w:rsidTr="00472165">
                    <w:tblPrEx>
                      <w:tblW w:w="12720" w:type="dxa"/>
                      <w:tblLayout w:type="fixed"/>
                      <w:tblLook w:val="04A0"/>
                    </w:tblPrEx>
                    <w:trPr>
                      <w:trHeight w:val="57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318C71D9" w14:textId="77777777">
                        <w:pPr>
                          <w:rPr>
                            <w:i/>
                            <w:iCs/>
                            <w:color w:val="000000"/>
                            <w:sz w:val="20"/>
                          </w:rPr>
                        </w:pPr>
                        <w:r w:rsidRPr="00472165">
                          <w:rPr>
                            <w:i/>
                            <w:iCs/>
                            <w:color w:val="000000"/>
                            <w:sz w:val="20"/>
                          </w:rPr>
                          <w:t xml:space="preserve">Existing Sources - Initial Testing </w:t>
                        </w:r>
                        <w:r w:rsidRPr="00472165">
                          <w:rPr>
                            <w:color w:val="000000"/>
                            <w:sz w:val="20"/>
                            <w:vertAlign w:val="superscript"/>
                          </w:rPr>
                          <w:t>d</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73F86407" w14:textId="77777777">
                        <w:pPr>
                          <w:jc w:val="center"/>
                          <w:rPr>
                            <w:color w:val="000000"/>
                            <w:sz w:val="20"/>
                          </w:rPr>
                        </w:pPr>
                        <w:r w:rsidRPr="00472165">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1B22445A" w14:textId="77777777">
                        <w:pPr>
                          <w:jc w:val="center"/>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0CA4E214" w14:textId="77777777">
                        <w:pPr>
                          <w:jc w:val="center"/>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2C81C147" w14:textId="77777777">
                        <w:pPr>
                          <w:jc w:val="center"/>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08E09A7C" w14:textId="77777777">
                        <w:pPr>
                          <w:jc w:val="center"/>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2B934AC9" w14:textId="77777777">
                        <w:pPr>
                          <w:jc w:val="center"/>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4CA8BC4A" w14:textId="77777777">
                        <w:pPr>
                          <w:jc w:val="center"/>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004C305D" w14:textId="77777777">
                        <w:pPr>
                          <w:ind w:firstLine="200" w:firstLineChars="100"/>
                          <w:jc w:val="right"/>
                          <w:rPr>
                            <w:sz w:val="20"/>
                          </w:rPr>
                        </w:pPr>
                        <w:r w:rsidRPr="00472165">
                          <w:rPr>
                            <w:sz w:val="20"/>
                          </w:rPr>
                          <w:t> </w:t>
                        </w:r>
                      </w:p>
                    </w:tc>
                  </w:tr>
                  <w:tr w14:paraId="0E832BB2" w14:textId="77777777" w:rsidTr="00472165">
                    <w:tblPrEx>
                      <w:tblW w:w="12720" w:type="dxa"/>
                      <w:tblLayout w:type="fixed"/>
                      <w:tblLook w:val="04A0"/>
                    </w:tblPrEx>
                    <w:trPr>
                      <w:trHeight w:val="52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32298F2C" w14:textId="77777777">
                        <w:pPr>
                          <w:rPr>
                            <w:color w:val="000000"/>
                            <w:sz w:val="20"/>
                          </w:rPr>
                        </w:pPr>
                        <w:r w:rsidRPr="00472165">
                          <w:rPr>
                            <w:color w:val="000000"/>
                            <w:sz w:val="20"/>
                          </w:rPr>
                          <w:t>Initial Performance Evaluation of CPMS</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7F665020" w14:textId="77777777">
                        <w:pPr>
                          <w:jc w:val="center"/>
                          <w:rPr>
                            <w:sz w:val="20"/>
                          </w:rPr>
                        </w:pPr>
                        <w:r w:rsidRPr="00472165">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131CDE0A" w14:textId="77777777">
                        <w:pPr>
                          <w:jc w:val="center"/>
                          <w:rPr>
                            <w:sz w:val="20"/>
                          </w:rPr>
                        </w:pPr>
                        <w:r w:rsidRPr="00472165">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557EF1FC" w14:textId="77777777">
                        <w:pPr>
                          <w:jc w:val="center"/>
                          <w:rPr>
                            <w:color w:val="000000"/>
                            <w:sz w:val="20"/>
                          </w:rPr>
                        </w:pPr>
                        <w:r w:rsidRPr="00472165">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02162DE9" w14:textId="77777777">
                        <w:pPr>
                          <w:jc w:val="center"/>
                          <w:rPr>
                            <w:sz w:val="20"/>
                          </w:rPr>
                        </w:pPr>
                        <w:r w:rsidRPr="00472165">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27EC038F" w14:textId="77777777">
                        <w:pPr>
                          <w:jc w:val="center"/>
                          <w:rPr>
                            <w:color w:val="000000"/>
                            <w:sz w:val="20"/>
                          </w:rPr>
                        </w:pPr>
                        <w:r w:rsidRPr="00472165">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24515C78" w14:textId="77777777">
                        <w:pPr>
                          <w:jc w:val="center"/>
                          <w:rPr>
                            <w:color w:val="000000"/>
                            <w:sz w:val="20"/>
                          </w:rPr>
                        </w:pPr>
                        <w:r w:rsidRPr="0047216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60553811" w14:textId="77777777">
                        <w:pPr>
                          <w:jc w:val="center"/>
                          <w:rPr>
                            <w:color w:val="000000"/>
                            <w:sz w:val="20"/>
                          </w:rPr>
                        </w:pPr>
                        <w:r w:rsidRPr="00472165">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4054C129" w14:textId="77777777">
                        <w:pPr>
                          <w:ind w:firstLine="200" w:firstLineChars="100"/>
                          <w:jc w:val="right"/>
                          <w:rPr>
                            <w:sz w:val="20"/>
                          </w:rPr>
                        </w:pPr>
                        <w:r w:rsidRPr="00472165">
                          <w:rPr>
                            <w:sz w:val="20"/>
                          </w:rPr>
                          <w:t xml:space="preserve">$0 </w:t>
                        </w:r>
                      </w:p>
                    </w:tc>
                  </w:tr>
                  <w:tr w14:paraId="3D162D41" w14:textId="77777777" w:rsidTr="00472165">
                    <w:tblPrEx>
                      <w:tblW w:w="12720" w:type="dxa"/>
                      <w:tblLayout w:type="fixed"/>
                      <w:tblLook w:val="04A0"/>
                    </w:tblPrEx>
                    <w:trPr>
                      <w:trHeight w:val="52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5930116C" w14:textId="77777777">
                        <w:pPr>
                          <w:rPr>
                            <w:color w:val="000000"/>
                            <w:sz w:val="20"/>
                          </w:rPr>
                        </w:pPr>
                        <w:r w:rsidRPr="00472165">
                          <w:rPr>
                            <w:color w:val="000000"/>
                            <w:sz w:val="20"/>
                          </w:rPr>
                          <w:t>Repeat Performance Evaluation of CPMS</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24193A32" w14:textId="77777777">
                        <w:pPr>
                          <w:jc w:val="center"/>
                          <w:rPr>
                            <w:sz w:val="20"/>
                          </w:rPr>
                        </w:pPr>
                        <w:r w:rsidRPr="00472165">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76DA6175" w14:textId="77777777">
                        <w:pPr>
                          <w:jc w:val="center"/>
                          <w:rPr>
                            <w:sz w:val="20"/>
                          </w:rPr>
                        </w:pPr>
                        <w:r w:rsidRPr="00472165">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32D9C8C8" w14:textId="77777777">
                        <w:pPr>
                          <w:jc w:val="center"/>
                          <w:rPr>
                            <w:color w:val="000000"/>
                            <w:sz w:val="20"/>
                          </w:rPr>
                        </w:pPr>
                        <w:r w:rsidRPr="00472165">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67F85D1F" w14:textId="77777777">
                        <w:pPr>
                          <w:jc w:val="center"/>
                          <w:rPr>
                            <w:sz w:val="20"/>
                          </w:rPr>
                        </w:pPr>
                        <w:r w:rsidRPr="00472165">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3E195E81" w14:textId="77777777">
                        <w:pPr>
                          <w:jc w:val="center"/>
                          <w:rPr>
                            <w:color w:val="000000"/>
                            <w:sz w:val="20"/>
                          </w:rPr>
                        </w:pPr>
                        <w:r w:rsidRPr="00472165">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6E4B5872" w14:textId="77777777">
                        <w:pPr>
                          <w:jc w:val="center"/>
                          <w:rPr>
                            <w:color w:val="000000"/>
                            <w:sz w:val="20"/>
                          </w:rPr>
                        </w:pPr>
                        <w:r w:rsidRPr="0047216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5B8D0898" w14:textId="77777777">
                        <w:pPr>
                          <w:jc w:val="center"/>
                          <w:rPr>
                            <w:color w:val="000000"/>
                            <w:sz w:val="20"/>
                          </w:rPr>
                        </w:pPr>
                        <w:r w:rsidRPr="00472165">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4C8FA0BC" w14:textId="77777777">
                        <w:pPr>
                          <w:ind w:firstLine="200" w:firstLineChars="100"/>
                          <w:jc w:val="right"/>
                          <w:rPr>
                            <w:sz w:val="20"/>
                          </w:rPr>
                        </w:pPr>
                        <w:r w:rsidRPr="00472165">
                          <w:rPr>
                            <w:sz w:val="20"/>
                          </w:rPr>
                          <w:t xml:space="preserve">$0 </w:t>
                        </w:r>
                      </w:p>
                    </w:tc>
                  </w:tr>
                  <w:tr w14:paraId="30D57F72" w14:textId="77777777" w:rsidTr="00472165">
                    <w:tblPrEx>
                      <w:tblW w:w="12720" w:type="dxa"/>
                      <w:tblLayout w:type="fixed"/>
                      <w:tblLook w:val="04A0"/>
                    </w:tblPrEx>
                    <w:trPr>
                      <w:trHeight w:val="57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16D2F21B" w14:textId="77777777">
                        <w:pPr>
                          <w:rPr>
                            <w:i/>
                            <w:iCs/>
                            <w:color w:val="000000"/>
                            <w:sz w:val="20"/>
                          </w:rPr>
                        </w:pPr>
                        <w:r w:rsidRPr="00472165">
                          <w:rPr>
                            <w:i/>
                            <w:iCs/>
                            <w:color w:val="000000"/>
                            <w:sz w:val="20"/>
                          </w:rPr>
                          <w:t xml:space="preserve">New and Existing Sources - Monitoring </w:t>
                        </w:r>
                        <w:r w:rsidRPr="00472165">
                          <w:rPr>
                            <w:color w:val="000000"/>
                            <w:sz w:val="20"/>
                            <w:vertAlign w:val="superscript"/>
                          </w:rPr>
                          <w:t>e</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359EA0F8" w14:textId="77777777">
                        <w:pPr>
                          <w:jc w:val="center"/>
                          <w:rPr>
                            <w:color w:val="000000"/>
                            <w:sz w:val="20"/>
                          </w:rPr>
                        </w:pPr>
                        <w:r w:rsidRPr="00472165">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2192158C" w14:textId="77777777">
                        <w:pPr>
                          <w:jc w:val="center"/>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7C517253" w14:textId="77777777">
                        <w:pPr>
                          <w:jc w:val="center"/>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5B9BCB84" w14:textId="77777777">
                        <w:pPr>
                          <w:jc w:val="center"/>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02DB806A" w14:textId="77777777">
                        <w:pPr>
                          <w:jc w:val="center"/>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39DA26D8" w14:textId="77777777">
                        <w:pPr>
                          <w:jc w:val="center"/>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0110F920" w14:textId="77777777">
                        <w:pPr>
                          <w:jc w:val="center"/>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03320424" w14:textId="77777777">
                        <w:pPr>
                          <w:ind w:firstLine="200" w:firstLineChars="100"/>
                          <w:jc w:val="right"/>
                          <w:rPr>
                            <w:sz w:val="20"/>
                          </w:rPr>
                        </w:pPr>
                        <w:r w:rsidRPr="00472165">
                          <w:rPr>
                            <w:sz w:val="20"/>
                          </w:rPr>
                          <w:t> </w:t>
                        </w:r>
                      </w:p>
                    </w:tc>
                  </w:tr>
                  <w:tr w14:paraId="269E384C" w14:textId="77777777" w:rsidTr="00472165">
                    <w:tblPrEx>
                      <w:tblW w:w="12720" w:type="dxa"/>
                      <w:tblLayout w:type="fixed"/>
                      <w:tblLook w:val="04A0"/>
                    </w:tblPrEx>
                    <w:trPr>
                      <w:trHeight w:val="52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0986F765" w14:textId="77777777">
                        <w:pPr>
                          <w:rPr>
                            <w:color w:val="000000"/>
                            <w:sz w:val="20"/>
                          </w:rPr>
                        </w:pPr>
                        <w:r w:rsidRPr="00472165">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19CD80A6" w14:textId="77777777">
                        <w:pPr>
                          <w:jc w:val="center"/>
                          <w:rPr>
                            <w:color w:val="000000"/>
                            <w:sz w:val="20"/>
                          </w:rPr>
                        </w:pPr>
                        <w:r w:rsidRPr="00472165">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7BCD1CCE" w14:textId="77777777">
                        <w:pPr>
                          <w:jc w:val="center"/>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06D711C0" w14:textId="77777777">
                        <w:pPr>
                          <w:jc w:val="center"/>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03D094D9" w14:textId="77777777">
                        <w:pPr>
                          <w:jc w:val="center"/>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73EAEEBE" w14:textId="77777777">
                        <w:pPr>
                          <w:jc w:val="center"/>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16D5EBC8" w14:textId="77777777">
                        <w:pPr>
                          <w:jc w:val="center"/>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27C31BC5" w14:textId="77777777">
                        <w:pPr>
                          <w:jc w:val="center"/>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030D0C51" w14:textId="77777777">
                        <w:pPr>
                          <w:ind w:firstLine="200" w:firstLineChars="100"/>
                          <w:jc w:val="right"/>
                          <w:rPr>
                            <w:sz w:val="20"/>
                          </w:rPr>
                        </w:pPr>
                        <w:r w:rsidRPr="00472165">
                          <w:rPr>
                            <w:sz w:val="20"/>
                          </w:rPr>
                          <w:t> </w:t>
                        </w:r>
                      </w:p>
                    </w:tc>
                  </w:tr>
                  <w:tr w14:paraId="70ECCD1C" w14:textId="77777777" w:rsidTr="00472165">
                    <w:tblPrEx>
                      <w:tblW w:w="12720" w:type="dxa"/>
                      <w:tblLayout w:type="fixed"/>
                      <w:tblLook w:val="04A0"/>
                    </w:tblPrEx>
                    <w:trPr>
                      <w:trHeight w:val="26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1EE29048" w14:textId="77777777">
                        <w:pPr>
                          <w:rPr>
                            <w:color w:val="000000"/>
                            <w:sz w:val="20"/>
                          </w:rPr>
                        </w:pPr>
                        <w:r w:rsidRPr="00472165">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74C5EE5F" w14:textId="77777777">
                        <w:pPr>
                          <w:jc w:val="center"/>
                          <w:rPr>
                            <w:color w:val="000000"/>
                            <w:sz w:val="20"/>
                          </w:rPr>
                        </w:pPr>
                        <w:r w:rsidRPr="00472165">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6856B902" w14:textId="77777777">
                        <w:pPr>
                          <w:jc w:val="center"/>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62045D5D" w14:textId="77777777">
                        <w:pPr>
                          <w:jc w:val="center"/>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5C7E983E" w14:textId="77777777">
                        <w:pPr>
                          <w:jc w:val="center"/>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7FA36C18" w14:textId="77777777">
                        <w:pPr>
                          <w:jc w:val="center"/>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3B76D24D" w14:textId="77777777">
                        <w:pPr>
                          <w:jc w:val="center"/>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586E97EE" w14:textId="77777777">
                        <w:pPr>
                          <w:jc w:val="center"/>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25C77C00" w14:textId="77777777">
                        <w:pPr>
                          <w:ind w:firstLine="200" w:firstLineChars="100"/>
                          <w:jc w:val="right"/>
                          <w:rPr>
                            <w:sz w:val="20"/>
                          </w:rPr>
                        </w:pPr>
                        <w:r w:rsidRPr="00472165">
                          <w:rPr>
                            <w:sz w:val="20"/>
                          </w:rPr>
                          <w:t> </w:t>
                        </w:r>
                      </w:p>
                    </w:tc>
                  </w:tr>
                  <w:tr w14:paraId="22996974" w14:textId="77777777" w:rsidTr="00472165">
                    <w:tblPrEx>
                      <w:tblW w:w="12720" w:type="dxa"/>
                      <w:tblLayout w:type="fixed"/>
                      <w:tblLook w:val="04A0"/>
                    </w:tblPrEx>
                    <w:trPr>
                      <w:trHeight w:val="52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4785A574" w14:textId="77777777">
                        <w:pPr>
                          <w:rPr>
                            <w:color w:val="000000"/>
                            <w:sz w:val="20"/>
                          </w:rPr>
                        </w:pPr>
                        <w:r w:rsidRPr="00472165">
                          <w:rPr>
                            <w:color w:val="000000"/>
                            <w:sz w:val="20"/>
                          </w:rPr>
                          <w:t>C. Create Information (Included in 4B)</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6D293DC3" w14:textId="77777777">
                        <w:pPr>
                          <w:jc w:val="center"/>
                          <w:rPr>
                            <w:color w:val="000000"/>
                            <w:sz w:val="20"/>
                          </w:rPr>
                        </w:pPr>
                        <w:r w:rsidRPr="00472165">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62334DE2" w14:textId="77777777">
                        <w:pPr>
                          <w:jc w:val="right"/>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653FD49B"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5CCC21A9" w14:textId="77777777">
                        <w:pPr>
                          <w:jc w:val="right"/>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1E344B0E" w14:textId="77777777">
                        <w:pPr>
                          <w:jc w:val="right"/>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573018D3" w14:textId="77777777">
                        <w:pPr>
                          <w:jc w:val="right"/>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6B352E17"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72362795" w14:textId="77777777">
                        <w:pPr>
                          <w:ind w:firstLine="200" w:firstLineChars="100"/>
                          <w:jc w:val="right"/>
                          <w:rPr>
                            <w:sz w:val="20"/>
                          </w:rPr>
                        </w:pPr>
                        <w:r w:rsidRPr="00472165">
                          <w:rPr>
                            <w:sz w:val="20"/>
                          </w:rPr>
                          <w:t> </w:t>
                        </w:r>
                      </w:p>
                    </w:tc>
                  </w:tr>
                  <w:tr w14:paraId="2257D43B" w14:textId="77777777" w:rsidTr="00472165">
                    <w:tblPrEx>
                      <w:tblW w:w="12720" w:type="dxa"/>
                      <w:tblLayout w:type="fixed"/>
                      <w:tblLook w:val="04A0"/>
                    </w:tblPrEx>
                    <w:trPr>
                      <w:trHeight w:val="52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726F5763" w14:textId="77777777">
                        <w:pPr>
                          <w:rPr>
                            <w:color w:val="000000"/>
                            <w:sz w:val="20"/>
                          </w:rPr>
                        </w:pPr>
                        <w:r w:rsidRPr="00472165">
                          <w:rPr>
                            <w:color w:val="000000"/>
                            <w:sz w:val="20"/>
                          </w:rPr>
                          <w:t>D. Gather Existing Information (Included in 4E)</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34785F69" w14:textId="77777777">
                        <w:pPr>
                          <w:jc w:val="center"/>
                          <w:rPr>
                            <w:color w:val="000000"/>
                            <w:sz w:val="20"/>
                          </w:rPr>
                        </w:pPr>
                        <w:r w:rsidRPr="00472165">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08F10F19" w14:textId="77777777">
                        <w:pPr>
                          <w:jc w:val="right"/>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22DCDE4B"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0E489D2B" w14:textId="77777777">
                        <w:pPr>
                          <w:jc w:val="right"/>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12C23DC3" w14:textId="77777777">
                        <w:pPr>
                          <w:jc w:val="right"/>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40C80BBA" w14:textId="77777777">
                        <w:pPr>
                          <w:jc w:val="right"/>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5576A6A6"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43E42477" w14:textId="77777777">
                        <w:pPr>
                          <w:ind w:firstLine="200" w:firstLineChars="100"/>
                          <w:jc w:val="right"/>
                          <w:rPr>
                            <w:sz w:val="20"/>
                          </w:rPr>
                        </w:pPr>
                        <w:r w:rsidRPr="00472165">
                          <w:rPr>
                            <w:sz w:val="20"/>
                          </w:rPr>
                          <w:t> </w:t>
                        </w:r>
                      </w:p>
                    </w:tc>
                  </w:tr>
                  <w:tr w14:paraId="344D0327" w14:textId="77777777" w:rsidTr="00472165">
                    <w:tblPrEx>
                      <w:tblW w:w="12720" w:type="dxa"/>
                      <w:tblLayout w:type="fixed"/>
                      <w:tblLook w:val="04A0"/>
                    </w:tblPrEx>
                    <w:trPr>
                      <w:trHeight w:val="26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1E759D99" w14:textId="77777777">
                        <w:pPr>
                          <w:rPr>
                            <w:color w:val="000000"/>
                            <w:sz w:val="20"/>
                          </w:rPr>
                        </w:pPr>
                        <w:r w:rsidRPr="00472165">
                          <w:rPr>
                            <w:color w:val="000000"/>
                            <w:sz w:val="20"/>
                          </w:rPr>
                          <w:t>E. Write Report</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212BB8F9" w14:textId="77777777">
                        <w:pPr>
                          <w:jc w:val="right"/>
                          <w:rPr>
                            <w:color w:val="000000"/>
                            <w:sz w:val="20"/>
                          </w:rPr>
                        </w:pPr>
                        <w:r w:rsidRPr="00472165">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2563D963" w14:textId="77777777">
                        <w:pPr>
                          <w:jc w:val="right"/>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029775E6"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07929E3F" w14:textId="77777777">
                        <w:pPr>
                          <w:jc w:val="right"/>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1ECD9861" w14:textId="77777777">
                        <w:pPr>
                          <w:jc w:val="right"/>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505B8244" w14:textId="77777777">
                        <w:pPr>
                          <w:jc w:val="right"/>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61A14EC5"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0457B87B" w14:textId="77777777">
                        <w:pPr>
                          <w:ind w:firstLine="200" w:firstLineChars="100"/>
                          <w:jc w:val="right"/>
                          <w:rPr>
                            <w:sz w:val="20"/>
                          </w:rPr>
                        </w:pPr>
                        <w:r w:rsidRPr="00472165">
                          <w:rPr>
                            <w:sz w:val="20"/>
                          </w:rPr>
                          <w:t> </w:t>
                        </w:r>
                      </w:p>
                    </w:tc>
                  </w:tr>
                  <w:tr w14:paraId="19148965" w14:textId="77777777" w:rsidTr="00472165">
                    <w:tblPrEx>
                      <w:tblW w:w="12720" w:type="dxa"/>
                      <w:tblLayout w:type="fixed"/>
                      <w:tblLook w:val="04A0"/>
                    </w:tblPrEx>
                    <w:trPr>
                      <w:trHeight w:val="53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097EB90D" w14:textId="77777777">
                        <w:pPr>
                          <w:rPr>
                            <w:i/>
                            <w:iCs/>
                            <w:color w:val="000000"/>
                            <w:sz w:val="20"/>
                            <w:u w:val="single"/>
                          </w:rPr>
                        </w:pPr>
                        <w:r w:rsidRPr="00472165">
                          <w:rPr>
                            <w:i/>
                            <w:iCs/>
                            <w:color w:val="000000"/>
                            <w:sz w:val="20"/>
                            <w:u w:val="single"/>
                          </w:rPr>
                          <w:t>New Sources</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5D8DDEF1" w14:textId="77777777">
                        <w:pPr>
                          <w:jc w:val="center"/>
                          <w:rPr>
                            <w:color w:val="000000"/>
                            <w:sz w:val="20"/>
                          </w:rPr>
                        </w:pPr>
                        <w:r w:rsidRPr="00472165">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26AEBEBC" w14:textId="77777777">
                        <w:pPr>
                          <w:jc w:val="center"/>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18D7FD74" w14:textId="77777777">
                        <w:pPr>
                          <w:jc w:val="center"/>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312305BC" w14:textId="77777777">
                        <w:pPr>
                          <w:jc w:val="center"/>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279FD8C9" w14:textId="77777777">
                        <w:pPr>
                          <w:jc w:val="center"/>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3A4C688B" w14:textId="77777777">
                        <w:pPr>
                          <w:jc w:val="center"/>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205367F3" w14:textId="77777777">
                        <w:pPr>
                          <w:jc w:val="center"/>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3AC7ABBF" w14:textId="77777777">
                        <w:pPr>
                          <w:ind w:firstLine="200" w:firstLineChars="100"/>
                          <w:jc w:val="right"/>
                          <w:rPr>
                            <w:sz w:val="20"/>
                          </w:rPr>
                        </w:pPr>
                        <w:r w:rsidRPr="00472165">
                          <w:rPr>
                            <w:sz w:val="20"/>
                          </w:rPr>
                          <w:t> </w:t>
                        </w:r>
                      </w:p>
                    </w:tc>
                  </w:tr>
                  <w:tr w14:paraId="15DAC532" w14:textId="77777777" w:rsidTr="00472165">
                    <w:tblPrEx>
                      <w:tblW w:w="12720" w:type="dxa"/>
                      <w:tblLayout w:type="fixed"/>
                      <w:tblLook w:val="04A0"/>
                    </w:tblPrEx>
                    <w:trPr>
                      <w:trHeight w:val="53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43E79459" w14:textId="77777777">
                        <w:pPr>
                          <w:rPr>
                            <w:color w:val="000000"/>
                            <w:sz w:val="20"/>
                          </w:rPr>
                        </w:pPr>
                        <w:r w:rsidRPr="00472165">
                          <w:rPr>
                            <w:color w:val="000000"/>
                            <w:sz w:val="20"/>
                          </w:rPr>
                          <w:t>Notification of Demonstration of CPMS</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2632FE10" w14:textId="77777777">
                        <w:pPr>
                          <w:jc w:val="center"/>
                          <w:rPr>
                            <w:sz w:val="20"/>
                          </w:rPr>
                        </w:pPr>
                        <w:r w:rsidRPr="00472165">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0D497C97" w14:textId="77777777">
                        <w:pPr>
                          <w:jc w:val="center"/>
                          <w:rPr>
                            <w:sz w:val="20"/>
                          </w:rPr>
                        </w:pPr>
                        <w:r w:rsidRPr="00472165">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573D58FD" w14:textId="77777777">
                        <w:pPr>
                          <w:jc w:val="center"/>
                          <w:rPr>
                            <w:color w:val="000000"/>
                            <w:sz w:val="20"/>
                          </w:rPr>
                        </w:pPr>
                        <w:r w:rsidRPr="00472165">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678BBB39" w14:textId="77777777">
                        <w:pPr>
                          <w:jc w:val="center"/>
                          <w:rPr>
                            <w:sz w:val="20"/>
                          </w:rPr>
                        </w:pPr>
                        <w:r w:rsidRPr="00472165">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769A6753" w14:textId="77777777">
                        <w:pPr>
                          <w:jc w:val="center"/>
                          <w:rPr>
                            <w:color w:val="000000"/>
                            <w:sz w:val="20"/>
                          </w:rPr>
                        </w:pPr>
                        <w:r w:rsidRPr="00472165">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1C7AD164" w14:textId="77777777">
                        <w:pPr>
                          <w:jc w:val="center"/>
                          <w:rPr>
                            <w:color w:val="000000"/>
                            <w:sz w:val="20"/>
                          </w:rPr>
                        </w:pPr>
                        <w:r w:rsidRPr="0047216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2EBFB515" w14:textId="77777777">
                        <w:pPr>
                          <w:jc w:val="center"/>
                          <w:rPr>
                            <w:color w:val="000000"/>
                            <w:sz w:val="20"/>
                          </w:rPr>
                        </w:pPr>
                        <w:r w:rsidRPr="00472165">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0B92B29C" w14:textId="77777777">
                        <w:pPr>
                          <w:ind w:firstLine="200" w:firstLineChars="100"/>
                          <w:jc w:val="right"/>
                          <w:rPr>
                            <w:sz w:val="20"/>
                          </w:rPr>
                        </w:pPr>
                        <w:r w:rsidRPr="00472165">
                          <w:rPr>
                            <w:sz w:val="20"/>
                          </w:rPr>
                          <w:t xml:space="preserve">$0 </w:t>
                        </w:r>
                      </w:p>
                    </w:tc>
                  </w:tr>
                  <w:tr w14:paraId="6B4408FF" w14:textId="77777777" w:rsidTr="00472165">
                    <w:tblPrEx>
                      <w:tblW w:w="12720" w:type="dxa"/>
                      <w:tblLayout w:type="fixed"/>
                      <w:tblLook w:val="04A0"/>
                    </w:tblPrEx>
                    <w:trPr>
                      <w:trHeight w:val="78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04CBBD53" w14:textId="77777777">
                        <w:pPr>
                          <w:rPr>
                            <w:color w:val="000000"/>
                            <w:sz w:val="20"/>
                          </w:rPr>
                        </w:pPr>
                        <w:r w:rsidRPr="00472165">
                          <w:rPr>
                            <w:color w:val="000000"/>
                            <w:sz w:val="20"/>
                          </w:rPr>
                          <w:t>Notification of Initial Performance Evaluation of CPMS</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172AC86F" w14:textId="77777777">
                        <w:pPr>
                          <w:jc w:val="center"/>
                          <w:rPr>
                            <w:sz w:val="20"/>
                          </w:rPr>
                        </w:pPr>
                        <w:r w:rsidRPr="00472165">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5F581567" w14:textId="77777777">
                        <w:pPr>
                          <w:jc w:val="center"/>
                          <w:rPr>
                            <w:sz w:val="20"/>
                          </w:rPr>
                        </w:pPr>
                        <w:r w:rsidRPr="00472165">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5139EA68" w14:textId="77777777">
                        <w:pPr>
                          <w:jc w:val="center"/>
                          <w:rPr>
                            <w:color w:val="000000"/>
                            <w:sz w:val="20"/>
                          </w:rPr>
                        </w:pPr>
                        <w:r w:rsidRPr="00472165">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35E27764" w14:textId="77777777">
                        <w:pPr>
                          <w:jc w:val="center"/>
                          <w:rPr>
                            <w:sz w:val="20"/>
                          </w:rPr>
                        </w:pPr>
                        <w:r w:rsidRPr="00472165">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4C0B087A" w14:textId="77777777">
                        <w:pPr>
                          <w:jc w:val="center"/>
                          <w:rPr>
                            <w:color w:val="000000"/>
                            <w:sz w:val="20"/>
                          </w:rPr>
                        </w:pPr>
                        <w:r w:rsidRPr="00472165">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5E50FF4B" w14:textId="77777777">
                        <w:pPr>
                          <w:jc w:val="center"/>
                          <w:rPr>
                            <w:color w:val="000000"/>
                            <w:sz w:val="20"/>
                          </w:rPr>
                        </w:pPr>
                        <w:r w:rsidRPr="0047216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645ECB51" w14:textId="77777777">
                        <w:pPr>
                          <w:jc w:val="center"/>
                          <w:rPr>
                            <w:color w:val="000000"/>
                            <w:sz w:val="20"/>
                          </w:rPr>
                        </w:pPr>
                        <w:r w:rsidRPr="00472165">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23AAD1EC" w14:textId="77777777">
                        <w:pPr>
                          <w:ind w:firstLine="200" w:firstLineChars="100"/>
                          <w:jc w:val="right"/>
                          <w:rPr>
                            <w:sz w:val="20"/>
                          </w:rPr>
                        </w:pPr>
                        <w:r w:rsidRPr="00472165">
                          <w:rPr>
                            <w:sz w:val="20"/>
                          </w:rPr>
                          <w:t xml:space="preserve">$0 </w:t>
                        </w:r>
                      </w:p>
                    </w:tc>
                  </w:tr>
                  <w:tr w14:paraId="036A2FF8" w14:textId="77777777" w:rsidTr="00472165">
                    <w:tblPrEx>
                      <w:tblW w:w="12720" w:type="dxa"/>
                      <w:tblLayout w:type="fixed"/>
                      <w:tblLook w:val="04A0"/>
                    </w:tblPrEx>
                    <w:trPr>
                      <w:trHeight w:val="52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2C1A1CAB" w14:textId="77777777">
                        <w:pPr>
                          <w:rPr>
                            <w:color w:val="000000"/>
                            <w:sz w:val="20"/>
                          </w:rPr>
                        </w:pPr>
                        <w:r w:rsidRPr="00472165">
                          <w:rPr>
                            <w:color w:val="000000"/>
                            <w:sz w:val="20"/>
                          </w:rPr>
                          <w:t>Report of Performance Evaluation of CPMS</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00CA93AF" w14:textId="77777777">
                        <w:pPr>
                          <w:jc w:val="center"/>
                          <w:rPr>
                            <w:sz w:val="20"/>
                          </w:rPr>
                        </w:pPr>
                        <w:r w:rsidRPr="00472165">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76903F97" w14:textId="77777777">
                        <w:pPr>
                          <w:jc w:val="center"/>
                          <w:rPr>
                            <w:sz w:val="20"/>
                          </w:rPr>
                        </w:pPr>
                        <w:r w:rsidRPr="00472165">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16E48BB4" w14:textId="77777777">
                        <w:pPr>
                          <w:jc w:val="center"/>
                          <w:rPr>
                            <w:color w:val="000000"/>
                            <w:sz w:val="20"/>
                          </w:rPr>
                        </w:pPr>
                        <w:r w:rsidRPr="00472165">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58D0438B" w14:textId="77777777">
                        <w:pPr>
                          <w:jc w:val="center"/>
                          <w:rPr>
                            <w:sz w:val="20"/>
                          </w:rPr>
                        </w:pPr>
                        <w:r w:rsidRPr="00472165">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48BC0C74" w14:textId="77777777">
                        <w:pPr>
                          <w:jc w:val="center"/>
                          <w:rPr>
                            <w:color w:val="000000"/>
                            <w:sz w:val="20"/>
                          </w:rPr>
                        </w:pPr>
                        <w:r w:rsidRPr="00472165">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713699A0" w14:textId="77777777">
                        <w:pPr>
                          <w:jc w:val="center"/>
                          <w:rPr>
                            <w:color w:val="000000"/>
                            <w:sz w:val="20"/>
                          </w:rPr>
                        </w:pPr>
                        <w:r w:rsidRPr="0047216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56B08702" w14:textId="77777777">
                        <w:pPr>
                          <w:jc w:val="center"/>
                          <w:rPr>
                            <w:color w:val="000000"/>
                            <w:sz w:val="20"/>
                          </w:rPr>
                        </w:pPr>
                        <w:r w:rsidRPr="00472165">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4D38498B" w14:textId="77777777">
                        <w:pPr>
                          <w:ind w:firstLine="200" w:firstLineChars="100"/>
                          <w:jc w:val="right"/>
                          <w:rPr>
                            <w:sz w:val="20"/>
                          </w:rPr>
                        </w:pPr>
                        <w:r w:rsidRPr="00472165">
                          <w:rPr>
                            <w:sz w:val="20"/>
                          </w:rPr>
                          <w:t xml:space="preserve">$0 </w:t>
                        </w:r>
                      </w:p>
                    </w:tc>
                  </w:tr>
                  <w:tr w14:paraId="22F655D6" w14:textId="77777777" w:rsidTr="00472165">
                    <w:tblPrEx>
                      <w:tblW w:w="12720" w:type="dxa"/>
                      <w:tblLayout w:type="fixed"/>
                      <w:tblLook w:val="04A0"/>
                    </w:tblPrEx>
                    <w:trPr>
                      <w:trHeight w:val="26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1BBEE1BC" w14:textId="77777777">
                        <w:pPr>
                          <w:rPr>
                            <w:color w:val="000000"/>
                            <w:sz w:val="20"/>
                          </w:rPr>
                        </w:pPr>
                        <w:r w:rsidRPr="00472165">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04E6BC52" w14:textId="77777777">
                        <w:pPr>
                          <w:jc w:val="center"/>
                          <w:rPr>
                            <w:color w:val="000000"/>
                            <w:sz w:val="20"/>
                          </w:rPr>
                        </w:pPr>
                        <w:r w:rsidRPr="00472165">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22D35328" w14:textId="77777777">
                        <w:pPr>
                          <w:jc w:val="center"/>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2029F64E" w14:textId="77777777">
                        <w:pPr>
                          <w:jc w:val="center"/>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04DAE0D6" w14:textId="77777777">
                        <w:pPr>
                          <w:jc w:val="center"/>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5BF024B1" w14:textId="77777777">
                        <w:pPr>
                          <w:jc w:val="center"/>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26BC87EC" w14:textId="77777777">
                        <w:pPr>
                          <w:jc w:val="center"/>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29B7389C" w14:textId="77777777">
                        <w:pPr>
                          <w:jc w:val="center"/>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75038446" w14:textId="77777777">
                        <w:pPr>
                          <w:ind w:firstLine="200" w:firstLineChars="100"/>
                          <w:jc w:val="right"/>
                          <w:rPr>
                            <w:sz w:val="20"/>
                          </w:rPr>
                        </w:pPr>
                        <w:r w:rsidRPr="00472165">
                          <w:rPr>
                            <w:sz w:val="20"/>
                          </w:rPr>
                          <w:t> </w:t>
                        </w:r>
                      </w:p>
                    </w:tc>
                  </w:tr>
                  <w:tr w14:paraId="1EFB8660" w14:textId="77777777" w:rsidTr="00472165">
                    <w:tblPrEx>
                      <w:tblW w:w="12720" w:type="dxa"/>
                      <w:tblLayout w:type="fixed"/>
                      <w:tblLook w:val="04A0"/>
                    </w:tblPrEx>
                    <w:trPr>
                      <w:trHeight w:val="52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5F47B580" w14:textId="77777777">
                        <w:pPr>
                          <w:rPr>
                            <w:i/>
                            <w:iCs/>
                            <w:color w:val="000000"/>
                            <w:sz w:val="20"/>
                            <w:u w:val="single"/>
                          </w:rPr>
                        </w:pPr>
                        <w:r w:rsidRPr="00472165">
                          <w:rPr>
                            <w:i/>
                            <w:iCs/>
                            <w:color w:val="000000"/>
                            <w:sz w:val="20"/>
                            <w:u w:val="single"/>
                          </w:rPr>
                          <w:t>Existing Sources</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5D0AE9A2" w14:textId="77777777">
                        <w:pPr>
                          <w:jc w:val="right"/>
                          <w:rPr>
                            <w:color w:val="000000"/>
                            <w:sz w:val="20"/>
                          </w:rPr>
                        </w:pPr>
                        <w:r w:rsidRPr="00472165">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06B1C88B" w14:textId="77777777">
                        <w:pPr>
                          <w:jc w:val="right"/>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6D67240E"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28DF29B2" w14:textId="77777777">
                        <w:pPr>
                          <w:jc w:val="right"/>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144F47D7" w14:textId="77777777">
                        <w:pPr>
                          <w:jc w:val="right"/>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4083C318" w14:textId="77777777">
                        <w:pPr>
                          <w:jc w:val="right"/>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19E04E35"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4D24FC9A" w14:textId="77777777">
                        <w:pPr>
                          <w:ind w:firstLine="200" w:firstLineChars="100"/>
                          <w:jc w:val="right"/>
                          <w:rPr>
                            <w:sz w:val="20"/>
                          </w:rPr>
                        </w:pPr>
                        <w:r w:rsidRPr="00472165">
                          <w:rPr>
                            <w:sz w:val="20"/>
                          </w:rPr>
                          <w:t> </w:t>
                        </w:r>
                      </w:p>
                    </w:tc>
                  </w:tr>
                  <w:tr w14:paraId="7E6C724E" w14:textId="77777777" w:rsidTr="00472165">
                    <w:tblPrEx>
                      <w:tblW w:w="12720" w:type="dxa"/>
                      <w:tblLayout w:type="fixed"/>
                      <w:tblLook w:val="04A0"/>
                    </w:tblPrEx>
                    <w:trPr>
                      <w:trHeight w:val="104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325ECFF7" w14:textId="77777777">
                        <w:pPr>
                          <w:rPr>
                            <w:color w:val="000000"/>
                            <w:sz w:val="20"/>
                          </w:rPr>
                        </w:pPr>
                        <w:r w:rsidRPr="00472165">
                          <w:rPr>
                            <w:color w:val="000000"/>
                            <w:sz w:val="20"/>
                          </w:rPr>
                          <w:t>Work Plan For Reheat Furnaces submitted via CEDRI</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7A5D0E52" w14:textId="77777777">
                        <w:pPr>
                          <w:jc w:val="center"/>
                          <w:rPr>
                            <w:sz w:val="20"/>
                          </w:rPr>
                        </w:pPr>
                        <w:r w:rsidRPr="00472165">
                          <w:rPr>
                            <w:sz w:val="20"/>
                          </w:rPr>
                          <w:t>10</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5EFB4697" w14:textId="77777777">
                        <w:pPr>
                          <w:jc w:val="center"/>
                          <w:rPr>
                            <w:sz w:val="20"/>
                          </w:rPr>
                        </w:pPr>
                        <w:r w:rsidRPr="00472165">
                          <w:rPr>
                            <w:sz w:val="20"/>
                          </w:rPr>
                          <w:t>1</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68CFF0C9" w14:textId="77777777">
                        <w:pPr>
                          <w:jc w:val="center"/>
                          <w:rPr>
                            <w:color w:val="000000"/>
                            <w:sz w:val="20"/>
                          </w:rPr>
                        </w:pPr>
                        <w:r w:rsidRPr="00472165">
                          <w:rPr>
                            <w:color w:val="000000"/>
                            <w:sz w:val="20"/>
                          </w:rPr>
                          <w:t>10</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0C55385F" w14:textId="77777777">
                        <w:pPr>
                          <w:jc w:val="center"/>
                          <w:rPr>
                            <w:sz w:val="20"/>
                          </w:rPr>
                        </w:pPr>
                        <w:r w:rsidRPr="00472165">
                          <w:rPr>
                            <w:sz w:val="20"/>
                          </w:rPr>
                          <w:t>14.5</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3C6056D3" w14:textId="77777777">
                        <w:pPr>
                          <w:jc w:val="center"/>
                          <w:rPr>
                            <w:color w:val="000000"/>
                            <w:sz w:val="20"/>
                          </w:rPr>
                        </w:pPr>
                        <w:r w:rsidRPr="00472165">
                          <w:rPr>
                            <w:color w:val="000000"/>
                            <w:sz w:val="20"/>
                          </w:rPr>
                          <w:t>145</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56EFACF9" w14:textId="77777777">
                        <w:pPr>
                          <w:jc w:val="center"/>
                          <w:rPr>
                            <w:color w:val="000000"/>
                            <w:sz w:val="20"/>
                          </w:rPr>
                        </w:pPr>
                        <w:r w:rsidRPr="00472165">
                          <w:rPr>
                            <w:color w:val="000000"/>
                            <w:sz w:val="20"/>
                          </w:rPr>
                          <w:t>7.25</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43CBC1DF" w14:textId="77777777">
                        <w:pPr>
                          <w:jc w:val="center"/>
                          <w:rPr>
                            <w:color w:val="000000"/>
                            <w:sz w:val="20"/>
                          </w:rPr>
                        </w:pPr>
                        <w:r w:rsidRPr="00472165">
                          <w:rPr>
                            <w:color w:val="000000"/>
                            <w:sz w:val="20"/>
                          </w:rPr>
                          <w:t>14.5</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7AD953B0" w14:textId="77777777">
                        <w:pPr>
                          <w:ind w:firstLine="200" w:firstLineChars="100"/>
                          <w:jc w:val="right"/>
                          <w:rPr>
                            <w:sz w:val="20"/>
                          </w:rPr>
                        </w:pPr>
                        <w:r w:rsidRPr="00472165">
                          <w:rPr>
                            <w:sz w:val="20"/>
                          </w:rPr>
                          <w:t xml:space="preserve">$20,616 </w:t>
                        </w:r>
                      </w:p>
                    </w:tc>
                  </w:tr>
                  <w:tr w14:paraId="3521D7E3" w14:textId="77777777" w:rsidTr="00472165">
                    <w:tblPrEx>
                      <w:tblW w:w="12720" w:type="dxa"/>
                      <w:tblLayout w:type="fixed"/>
                      <w:tblLook w:val="04A0"/>
                    </w:tblPrEx>
                    <w:trPr>
                      <w:trHeight w:val="26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216A25C8" w14:textId="77777777">
                        <w:pPr>
                          <w:rPr>
                            <w:color w:val="000000"/>
                            <w:sz w:val="20"/>
                          </w:rPr>
                        </w:pPr>
                        <w:r w:rsidRPr="00472165">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00381E7C" w14:textId="77777777">
                        <w:pPr>
                          <w:jc w:val="center"/>
                          <w:rPr>
                            <w:sz w:val="20"/>
                          </w:rPr>
                        </w:pPr>
                        <w:r w:rsidRPr="00472165">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03F630B3" w14:textId="77777777">
                        <w:pPr>
                          <w:jc w:val="center"/>
                          <w:rPr>
                            <w:sz w:val="20"/>
                          </w:rPr>
                        </w:pPr>
                        <w:r w:rsidRPr="00472165">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16B6F89B" w14:textId="77777777">
                        <w:pPr>
                          <w:jc w:val="center"/>
                          <w:rPr>
                            <w:color w:val="000000"/>
                            <w:sz w:val="20"/>
                          </w:rPr>
                        </w:pPr>
                        <w:r w:rsidRPr="00472165">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046C0F4A" w14:textId="77777777">
                        <w:pPr>
                          <w:jc w:val="center"/>
                          <w:rPr>
                            <w:sz w:val="20"/>
                          </w:rPr>
                        </w:pPr>
                        <w:r w:rsidRPr="00472165">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40934749" w14:textId="77777777">
                        <w:pPr>
                          <w:jc w:val="center"/>
                          <w:rPr>
                            <w:color w:val="000000"/>
                            <w:sz w:val="20"/>
                          </w:rPr>
                        </w:pPr>
                        <w:r w:rsidRPr="00472165">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6D22A2F5" w14:textId="77777777">
                        <w:pPr>
                          <w:jc w:val="center"/>
                          <w:rPr>
                            <w:color w:val="000000"/>
                            <w:sz w:val="20"/>
                          </w:rPr>
                        </w:pPr>
                        <w:r w:rsidRPr="0047216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64D274A8" w14:textId="77777777">
                        <w:pPr>
                          <w:jc w:val="center"/>
                          <w:rPr>
                            <w:color w:val="000000"/>
                            <w:sz w:val="20"/>
                          </w:rPr>
                        </w:pPr>
                        <w:r w:rsidRPr="00472165">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78D24158" w14:textId="77777777">
                        <w:pPr>
                          <w:ind w:firstLine="200" w:firstLineChars="100"/>
                          <w:jc w:val="right"/>
                          <w:rPr>
                            <w:sz w:val="20"/>
                          </w:rPr>
                        </w:pPr>
                        <w:r w:rsidRPr="00472165">
                          <w:rPr>
                            <w:sz w:val="20"/>
                          </w:rPr>
                          <w:t xml:space="preserve">$0 </w:t>
                        </w:r>
                      </w:p>
                    </w:tc>
                  </w:tr>
                  <w:tr w14:paraId="46E6E08F" w14:textId="77777777" w:rsidTr="00472165">
                    <w:tblPrEx>
                      <w:tblW w:w="12720" w:type="dxa"/>
                      <w:tblLayout w:type="fixed"/>
                      <w:tblLook w:val="04A0"/>
                    </w:tblPrEx>
                    <w:trPr>
                      <w:trHeight w:val="29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6E63F04F" w14:textId="77777777">
                        <w:pPr>
                          <w:rPr>
                            <w:color w:val="000000"/>
                            <w:sz w:val="20"/>
                          </w:rPr>
                        </w:pPr>
                        <w:r w:rsidRPr="00472165">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0B070688" w14:textId="77777777">
                        <w:pPr>
                          <w:jc w:val="center"/>
                          <w:rPr>
                            <w:sz w:val="20"/>
                          </w:rPr>
                        </w:pPr>
                        <w:r w:rsidRPr="00472165">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27923E63" w14:textId="77777777">
                        <w:pPr>
                          <w:jc w:val="center"/>
                          <w:rPr>
                            <w:sz w:val="20"/>
                          </w:rPr>
                        </w:pPr>
                        <w:r w:rsidRPr="00472165">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30703189" w14:textId="77777777">
                        <w:pPr>
                          <w:jc w:val="center"/>
                          <w:rPr>
                            <w:color w:val="000000"/>
                            <w:sz w:val="20"/>
                          </w:rPr>
                        </w:pPr>
                        <w:r w:rsidRPr="00472165">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5B2918E1" w14:textId="77777777">
                        <w:pPr>
                          <w:jc w:val="center"/>
                          <w:rPr>
                            <w:sz w:val="20"/>
                          </w:rPr>
                        </w:pPr>
                        <w:r w:rsidRPr="00472165">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52AC4DD9" w14:textId="77777777">
                        <w:pPr>
                          <w:jc w:val="center"/>
                          <w:rPr>
                            <w:color w:val="000000"/>
                            <w:sz w:val="20"/>
                          </w:rPr>
                        </w:pPr>
                        <w:r w:rsidRPr="00472165">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37335D11" w14:textId="77777777">
                        <w:pPr>
                          <w:jc w:val="center"/>
                          <w:rPr>
                            <w:color w:val="000000"/>
                            <w:sz w:val="20"/>
                          </w:rPr>
                        </w:pPr>
                        <w:r w:rsidRPr="0047216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488629D8" w14:textId="77777777">
                        <w:pPr>
                          <w:jc w:val="center"/>
                          <w:rPr>
                            <w:color w:val="000000"/>
                            <w:sz w:val="20"/>
                          </w:rPr>
                        </w:pPr>
                        <w:r w:rsidRPr="00472165">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5E00270C" w14:textId="77777777">
                        <w:pPr>
                          <w:ind w:firstLine="200" w:firstLineChars="100"/>
                          <w:jc w:val="right"/>
                          <w:rPr>
                            <w:sz w:val="20"/>
                          </w:rPr>
                        </w:pPr>
                        <w:r w:rsidRPr="00472165">
                          <w:rPr>
                            <w:sz w:val="20"/>
                          </w:rPr>
                          <w:t xml:space="preserve">$0 </w:t>
                        </w:r>
                      </w:p>
                    </w:tc>
                  </w:tr>
                  <w:tr w14:paraId="0F697F79" w14:textId="77777777" w:rsidTr="00472165">
                    <w:tblPrEx>
                      <w:tblW w:w="12720" w:type="dxa"/>
                      <w:tblLayout w:type="fixed"/>
                      <w:tblLook w:val="04A0"/>
                    </w:tblPrEx>
                    <w:trPr>
                      <w:trHeight w:val="34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2241A8B1" w14:textId="77777777">
                        <w:pPr>
                          <w:rPr>
                            <w:color w:val="000000"/>
                            <w:sz w:val="20"/>
                          </w:rPr>
                        </w:pPr>
                        <w:r w:rsidRPr="00472165">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4BF14081" w14:textId="77777777">
                        <w:pPr>
                          <w:jc w:val="center"/>
                          <w:rPr>
                            <w:sz w:val="20"/>
                          </w:rPr>
                        </w:pPr>
                        <w:r w:rsidRPr="00472165">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0144632B" w14:textId="77777777">
                        <w:pPr>
                          <w:jc w:val="center"/>
                          <w:rPr>
                            <w:sz w:val="20"/>
                          </w:rPr>
                        </w:pPr>
                        <w:r w:rsidRPr="00472165">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379D14FB" w14:textId="77777777">
                        <w:pPr>
                          <w:jc w:val="center"/>
                          <w:rPr>
                            <w:color w:val="000000"/>
                            <w:sz w:val="20"/>
                          </w:rPr>
                        </w:pPr>
                        <w:r w:rsidRPr="00472165">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203AA90B" w14:textId="77777777">
                        <w:pPr>
                          <w:jc w:val="center"/>
                          <w:rPr>
                            <w:sz w:val="20"/>
                          </w:rPr>
                        </w:pPr>
                        <w:r w:rsidRPr="00472165">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0573D15C" w14:textId="77777777">
                        <w:pPr>
                          <w:jc w:val="center"/>
                          <w:rPr>
                            <w:color w:val="000000"/>
                            <w:sz w:val="20"/>
                          </w:rPr>
                        </w:pPr>
                        <w:r w:rsidRPr="00472165">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4733590A" w14:textId="77777777">
                        <w:pPr>
                          <w:jc w:val="center"/>
                          <w:rPr>
                            <w:color w:val="000000"/>
                            <w:sz w:val="20"/>
                          </w:rPr>
                        </w:pPr>
                        <w:r w:rsidRPr="0047216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17EBAB54" w14:textId="77777777">
                        <w:pPr>
                          <w:jc w:val="center"/>
                          <w:rPr>
                            <w:color w:val="000000"/>
                            <w:sz w:val="20"/>
                          </w:rPr>
                        </w:pPr>
                        <w:r w:rsidRPr="00472165">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47186F0F" w14:textId="77777777">
                        <w:pPr>
                          <w:ind w:firstLine="200" w:firstLineChars="100"/>
                          <w:jc w:val="right"/>
                          <w:rPr>
                            <w:sz w:val="20"/>
                          </w:rPr>
                        </w:pPr>
                        <w:r w:rsidRPr="00472165">
                          <w:rPr>
                            <w:sz w:val="20"/>
                          </w:rPr>
                          <w:t xml:space="preserve">$0 </w:t>
                        </w:r>
                      </w:p>
                    </w:tc>
                  </w:tr>
                  <w:tr w14:paraId="25F3F4C3" w14:textId="77777777" w:rsidTr="00472165">
                    <w:tblPrEx>
                      <w:tblW w:w="12720" w:type="dxa"/>
                      <w:tblLayout w:type="fixed"/>
                      <w:tblLook w:val="04A0"/>
                    </w:tblPrEx>
                    <w:trPr>
                      <w:trHeight w:val="32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5D4C0372" w14:textId="77777777">
                        <w:pPr>
                          <w:rPr>
                            <w:color w:val="000000"/>
                            <w:sz w:val="20"/>
                          </w:rPr>
                        </w:pPr>
                        <w:r w:rsidRPr="00472165">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482D18FC" w14:textId="77777777">
                        <w:pPr>
                          <w:jc w:val="center"/>
                          <w:rPr>
                            <w:color w:val="000000"/>
                            <w:sz w:val="20"/>
                          </w:rPr>
                        </w:pPr>
                        <w:r w:rsidRPr="00472165">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05245CF5" w14:textId="77777777">
                        <w:pPr>
                          <w:jc w:val="center"/>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5F0EDB93" w14:textId="77777777">
                        <w:pPr>
                          <w:jc w:val="center"/>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580A758F" w14:textId="77777777">
                        <w:pPr>
                          <w:jc w:val="center"/>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244CE304" w14:textId="77777777">
                        <w:pPr>
                          <w:jc w:val="center"/>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34ADD1CB" w14:textId="77777777">
                        <w:pPr>
                          <w:jc w:val="center"/>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0B561B36" w14:textId="77777777">
                        <w:pPr>
                          <w:jc w:val="center"/>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015E9E85" w14:textId="77777777">
                        <w:pPr>
                          <w:ind w:firstLine="200" w:firstLineChars="100"/>
                          <w:jc w:val="right"/>
                          <w:rPr>
                            <w:sz w:val="20"/>
                          </w:rPr>
                        </w:pPr>
                        <w:r w:rsidRPr="00472165">
                          <w:rPr>
                            <w:sz w:val="20"/>
                          </w:rPr>
                          <w:t> </w:t>
                        </w:r>
                      </w:p>
                    </w:tc>
                  </w:tr>
                  <w:tr w14:paraId="2CE91A2A" w14:textId="77777777" w:rsidTr="00472165">
                    <w:tblPrEx>
                      <w:tblW w:w="12720" w:type="dxa"/>
                      <w:tblLayout w:type="fixed"/>
                      <w:tblLook w:val="04A0"/>
                    </w:tblPrEx>
                    <w:trPr>
                      <w:trHeight w:val="78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1B01A945" w14:textId="77777777">
                        <w:pPr>
                          <w:rPr>
                            <w:color w:val="000000"/>
                            <w:sz w:val="20"/>
                          </w:rPr>
                        </w:pPr>
                        <w:r w:rsidRPr="00472165">
                          <w:rPr>
                            <w:color w:val="000000"/>
                            <w:sz w:val="20"/>
                          </w:rPr>
                          <w:t>Notification of Initial Performance Evaluation of CPMS</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29C78589" w14:textId="77777777">
                        <w:pPr>
                          <w:jc w:val="center"/>
                          <w:rPr>
                            <w:sz w:val="20"/>
                          </w:rPr>
                        </w:pPr>
                        <w:r w:rsidRPr="00472165">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665AA335" w14:textId="77777777">
                        <w:pPr>
                          <w:jc w:val="center"/>
                          <w:rPr>
                            <w:sz w:val="20"/>
                          </w:rPr>
                        </w:pPr>
                        <w:r w:rsidRPr="00472165">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3E3426EC" w14:textId="77777777">
                        <w:pPr>
                          <w:jc w:val="center"/>
                          <w:rPr>
                            <w:color w:val="000000"/>
                            <w:sz w:val="20"/>
                          </w:rPr>
                        </w:pPr>
                        <w:r w:rsidRPr="00472165">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71C5F4DD" w14:textId="77777777">
                        <w:pPr>
                          <w:jc w:val="center"/>
                          <w:rPr>
                            <w:sz w:val="20"/>
                          </w:rPr>
                        </w:pPr>
                        <w:r w:rsidRPr="00472165">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524FA6EA" w14:textId="77777777">
                        <w:pPr>
                          <w:jc w:val="center"/>
                          <w:rPr>
                            <w:color w:val="000000"/>
                            <w:sz w:val="20"/>
                          </w:rPr>
                        </w:pPr>
                        <w:r w:rsidRPr="00472165">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54C336BF" w14:textId="77777777">
                        <w:pPr>
                          <w:jc w:val="center"/>
                          <w:rPr>
                            <w:color w:val="000000"/>
                            <w:sz w:val="20"/>
                          </w:rPr>
                        </w:pPr>
                        <w:r w:rsidRPr="0047216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60183220" w14:textId="77777777">
                        <w:pPr>
                          <w:jc w:val="center"/>
                          <w:rPr>
                            <w:color w:val="000000"/>
                            <w:sz w:val="20"/>
                          </w:rPr>
                        </w:pPr>
                        <w:r w:rsidRPr="00472165">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1B47CF51" w14:textId="77777777">
                        <w:pPr>
                          <w:ind w:firstLine="200" w:firstLineChars="100"/>
                          <w:jc w:val="right"/>
                          <w:rPr>
                            <w:sz w:val="20"/>
                          </w:rPr>
                        </w:pPr>
                        <w:r w:rsidRPr="00472165">
                          <w:rPr>
                            <w:sz w:val="20"/>
                          </w:rPr>
                          <w:t xml:space="preserve">$0 </w:t>
                        </w:r>
                      </w:p>
                    </w:tc>
                  </w:tr>
                  <w:tr w14:paraId="27937BCF" w14:textId="77777777" w:rsidTr="00472165">
                    <w:tblPrEx>
                      <w:tblW w:w="12720" w:type="dxa"/>
                      <w:tblLayout w:type="fixed"/>
                      <w:tblLook w:val="04A0"/>
                    </w:tblPrEx>
                    <w:trPr>
                      <w:trHeight w:val="78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059D7888" w14:textId="77777777">
                        <w:pPr>
                          <w:rPr>
                            <w:color w:val="000000"/>
                            <w:sz w:val="20"/>
                          </w:rPr>
                        </w:pPr>
                        <w:r w:rsidRPr="00472165">
                          <w:rPr>
                            <w:color w:val="000000"/>
                            <w:sz w:val="20"/>
                          </w:rPr>
                          <w:t>Report of Initial Performance Evaluation of CPMS Test Results</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0525A086" w14:textId="77777777">
                        <w:pPr>
                          <w:jc w:val="center"/>
                          <w:rPr>
                            <w:sz w:val="20"/>
                          </w:rPr>
                        </w:pPr>
                        <w:r w:rsidRPr="00472165">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0F8BE11E" w14:textId="77777777">
                        <w:pPr>
                          <w:jc w:val="center"/>
                          <w:rPr>
                            <w:sz w:val="20"/>
                          </w:rPr>
                        </w:pPr>
                        <w:r w:rsidRPr="00472165">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0447E45D" w14:textId="77777777">
                        <w:pPr>
                          <w:jc w:val="center"/>
                          <w:rPr>
                            <w:color w:val="000000"/>
                            <w:sz w:val="20"/>
                          </w:rPr>
                        </w:pPr>
                        <w:r w:rsidRPr="00472165">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55107A8F" w14:textId="77777777">
                        <w:pPr>
                          <w:jc w:val="center"/>
                          <w:rPr>
                            <w:sz w:val="20"/>
                          </w:rPr>
                        </w:pPr>
                        <w:r w:rsidRPr="00472165">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743A9152" w14:textId="77777777">
                        <w:pPr>
                          <w:jc w:val="center"/>
                          <w:rPr>
                            <w:color w:val="000000"/>
                            <w:sz w:val="20"/>
                          </w:rPr>
                        </w:pPr>
                        <w:r w:rsidRPr="00472165">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05E5DAAC" w14:textId="77777777">
                        <w:pPr>
                          <w:jc w:val="center"/>
                          <w:rPr>
                            <w:color w:val="000000"/>
                            <w:sz w:val="20"/>
                          </w:rPr>
                        </w:pPr>
                        <w:r w:rsidRPr="0047216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5E02B0E7" w14:textId="77777777">
                        <w:pPr>
                          <w:jc w:val="center"/>
                          <w:rPr>
                            <w:color w:val="000000"/>
                            <w:sz w:val="20"/>
                          </w:rPr>
                        </w:pPr>
                        <w:r w:rsidRPr="00472165">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28498581" w14:textId="77777777">
                        <w:pPr>
                          <w:ind w:firstLine="200" w:firstLineChars="100"/>
                          <w:jc w:val="right"/>
                          <w:rPr>
                            <w:sz w:val="20"/>
                          </w:rPr>
                        </w:pPr>
                        <w:r w:rsidRPr="00472165">
                          <w:rPr>
                            <w:sz w:val="20"/>
                          </w:rPr>
                          <w:t xml:space="preserve">$0 </w:t>
                        </w:r>
                      </w:p>
                    </w:tc>
                  </w:tr>
                  <w:tr w14:paraId="22CC7359" w14:textId="77777777" w:rsidTr="00472165">
                    <w:tblPrEx>
                      <w:tblW w:w="12720" w:type="dxa"/>
                      <w:tblLayout w:type="fixed"/>
                      <w:tblLook w:val="04A0"/>
                    </w:tblPrEx>
                    <w:trPr>
                      <w:trHeight w:val="87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600174C9" w14:textId="77777777">
                        <w:pPr>
                          <w:rPr>
                            <w:color w:val="000000"/>
                            <w:sz w:val="20"/>
                          </w:rPr>
                        </w:pPr>
                        <w:r w:rsidRPr="00472165">
                          <w:rPr>
                            <w:color w:val="000000"/>
                            <w:sz w:val="20"/>
                          </w:rPr>
                          <w:t>Annual Report submitted via CEDRI or analogous electronic reporting</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32EA32E3" w14:textId="77777777">
                        <w:pPr>
                          <w:jc w:val="center"/>
                          <w:rPr>
                            <w:sz w:val="20"/>
                          </w:rPr>
                        </w:pPr>
                        <w:r w:rsidRPr="00472165">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5DAF0F92" w14:textId="77777777">
                        <w:pPr>
                          <w:jc w:val="center"/>
                          <w:rPr>
                            <w:sz w:val="20"/>
                          </w:rPr>
                        </w:pPr>
                        <w:r w:rsidRPr="00472165">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1FF53D77" w14:textId="77777777">
                        <w:pPr>
                          <w:jc w:val="center"/>
                          <w:rPr>
                            <w:color w:val="000000"/>
                            <w:sz w:val="20"/>
                          </w:rPr>
                        </w:pPr>
                        <w:r w:rsidRPr="00472165">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1E43C783" w14:textId="77777777">
                        <w:pPr>
                          <w:jc w:val="center"/>
                          <w:rPr>
                            <w:sz w:val="20"/>
                          </w:rPr>
                        </w:pPr>
                        <w:r w:rsidRPr="00472165">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2949B8CB" w14:textId="77777777">
                        <w:pPr>
                          <w:jc w:val="center"/>
                          <w:rPr>
                            <w:color w:val="000000"/>
                            <w:sz w:val="20"/>
                          </w:rPr>
                        </w:pPr>
                        <w:r w:rsidRPr="00472165">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0C43132C" w14:textId="77777777">
                        <w:pPr>
                          <w:jc w:val="center"/>
                          <w:rPr>
                            <w:color w:val="000000"/>
                            <w:sz w:val="20"/>
                          </w:rPr>
                        </w:pPr>
                        <w:r w:rsidRPr="0047216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04434725" w14:textId="77777777">
                        <w:pPr>
                          <w:jc w:val="center"/>
                          <w:rPr>
                            <w:color w:val="000000"/>
                            <w:sz w:val="20"/>
                          </w:rPr>
                        </w:pPr>
                        <w:r w:rsidRPr="00472165">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240D06D9" w14:textId="77777777">
                        <w:pPr>
                          <w:ind w:firstLine="200" w:firstLineChars="100"/>
                          <w:jc w:val="right"/>
                          <w:rPr>
                            <w:sz w:val="20"/>
                          </w:rPr>
                        </w:pPr>
                        <w:r w:rsidRPr="00472165">
                          <w:rPr>
                            <w:sz w:val="20"/>
                          </w:rPr>
                          <w:t xml:space="preserve">$0 </w:t>
                        </w:r>
                      </w:p>
                    </w:tc>
                  </w:tr>
                  <w:tr w14:paraId="4CCB004A" w14:textId="77777777" w:rsidTr="00472165">
                    <w:tblPrEx>
                      <w:tblW w:w="12720" w:type="dxa"/>
                      <w:tblLayout w:type="fixed"/>
                      <w:tblLook w:val="04A0"/>
                    </w:tblPrEx>
                    <w:trPr>
                      <w:trHeight w:val="54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1871DFDF" w14:textId="77777777">
                        <w:pPr>
                          <w:rPr>
                            <w:b/>
                            <w:bCs/>
                            <w:i/>
                            <w:iCs/>
                            <w:color w:val="000000"/>
                            <w:sz w:val="20"/>
                          </w:rPr>
                        </w:pPr>
                        <w:r w:rsidRPr="00472165">
                          <w:rPr>
                            <w:b/>
                            <w:bCs/>
                            <w:i/>
                            <w:iCs/>
                            <w:color w:val="000000"/>
                            <w:sz w:val="20"/>
                          </w:rPr>
                          <w:t>Subtotal for Reporting Requirements</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63A62CE0" w14:textId="77777777">
                        <w:pPr>
                          <w:jc w:val="right"/>
                          <w:rPr>
                            <w:b/>
                            <w:bCs/>
                            <w:i/>
                            <w:iCs/>
                            <w:color w:val="000000"/>
                            <w:sz w:val="20"/>
                          </w:rPr>
                        </w:pPr>
                        <w:r w:rsidRPr="00472165">
                          <w:rPr>
                            <w:b/>
                            <w:bCs/>
                            <w:i/>
                            <w:i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7914766C" w14:textId="77777777">
                        <w:pPr>
                          <w:jc w:val="right"/>
                          <w:rPr>
                            <w:b/>
                            <w:bCs/>
                            <w:i/>
                            <w:iCs/>
                            <w:sz w:val="20"/>
                          </w:rPr>
                        </w:pPr>
                        <w:r w:rsidRPr="00472165">
                          <w:rPr>
                            <w:b/>
                            <w:bCs/>
                            <w:i/>
                            <w:i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21100067" w14:textId="77777777">
                        <w:pPr>
                          <w:jc w:val="right"/>
                          <w:rPr>
                            <w:b/>
                            <w:bCs/>
                            <w:i/>
                            <w:iCs/>
                            <w:color w:val="000000"/>
                            <w:sz w:val="20"/>
                          </w:rPr>
                        </w:pPr>
                        <w:r w:rsidRPr="00472165">
                          <w:rPr>
                            <w:b/>
                            <w:bCs/>
                            <w:i/>
                            <w:iCs/>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7DEC29EF" w14:textId="77777777">
                        <w:pPr>
                          <w:jc w:val="right"/>
                          <w:rPr>
                            <w:b/>
                            <w:bCs/>
                            <w:i/>
                            <w:iCs/>
                            <w:sz w:val="20"/>
                          </w:rPr>
                        </w:pPr>
                        <w:r w:rsidRPr="00472165">
                          <w:rPr>
                            <w:b/>
                            <w:bCs/>
                            <w:i/>
                            <w:iCs/>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6811B0B4" w14:textId="77777777">
                        <w:pPr>
                          <w:jc w:val="center"/>
                          <w:rPr>
                            <w:b/>
                            <w:bCs/>
                            <w:i/>
                            <w:iCs/>
                            <w:color w:val="000000"/>
                            <w:sz w:val="20"/>
                          </w:rPr>
                        </w:pPr>
                        <w:r w:rsidRPr="00472165">
                          <w:rPr>
                            <w:b/>
                            <w:bCs/>
                            <w:i/>
                            <w:iCs/>
                            <w:color w:val="000000"/>
                            <w:sz w:val="20"/>
                          </w:rPr>
                          <w:t>569</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09B4E567" w14:textId="77777777">
                        <w:pPr>
                          <w:jc w:val="center"/>
                          <w:rPr>
                            <w:b/>
                            <w:bCs/>
                            <w:i/>
                            <w:iCs/>
                            <w:color w:val="000000"/>
                            <w:sz w:val="20"/>
                          </w:rPr>
                        </w:pPr>
                        <w:r w:rsidRPr="00472165">
                          <w:rPr>
                            <w:b/>
                            <w:bCs/>
                            <w:i/>
                            <w:iCs/>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7BD14521" w14:textId="77777777">
                        <w:pPr>
                          <w:jc w:val="center"/>
                          <w:rPr>
                            <w:b/>
                            <w:bCs/>
                            <w:i/>
                            <w:iCs/>
                            <w:color w:val="000000"/>
                            <w:sz w:val="20"/>
                          </w:rPr>
                        </w:pPr>
                        <w:r w:rsidRPr="00472165">
                          <w:rPr>
                            <w:b/>
                            <w:bCs/>
                            <w:i/>
                            <w:iCs/>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26560358" w14:textId="77777777">
                        <w:pPr>
                          <w:ind w:firstLine="200" w:firstLineChars="100"/>
                          <w:jc w:val="right"/>
                          <w:rPr>
                            <w:sz w:val="20"/>
                          </w:rPr>
                        </w:pPr>
                        <w:r w:rsidRPr="00472165">
                          <w:rPr>
                            <w:sz w:val="20"/>
                          </w:rPr>
                          <w:t xml:space="preserve">$70,343 </w:t>
                        </w:r>
                      </w:p>
                    </w:tc>
                  </w:tr>
                  <w:tr w14:paraId="2AF35813" w14:textId="77777777" w:rsidTr="00472165">
                    <w:tblPrEx>
                      <w:tblW w:w="12720" w:type="dxa"/>
                      <w:tblLayout w:type="fixed"/>
                      <w:tblLook w:val="04A0"/>
                    </w:tblPrEx>
                    <w:trPr>
                      <w:trHeight w:val="52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22D6EF00" w14:textId="77777777">
                        <w:pPr>
                          <w:rPr>
                            <w:color w:val="000000"/>
                            <w:sz w:val="20"/>
                          </w:rPr>
                        </w:pPr>
                        <w:r w:rsidRPr="00472165">
                          <w:rPr>
                            <w:color w:val="000000"/>
                            <w:sz w:val="20"/>
                          </w:rPr>
                          <w:t>5. RECORDKEEPING REQUIREMENTS</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2A9B9DDB" w14:textId="77777777">
                        <w:pPr>
                          <w:jc w:val="right"/>
                          <w:rPr>
                            <w:color w:val="000000"/>
                            <w:sz w:val="20"/>
                          </w:rPr>
                        </w:pPr>
                        <w:r w:rsidRPr="00472165">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2F039FA5" w14:textId="77777777">
                        <w:pPr>
                          <w:jc w:val="right"/>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3910428D"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3FD5EB3F" w14:textId="77777777">
                        <w:pPr>
                          <w:jc w:val="right"/>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0CAEA96E" w14:textId="77777777">
                        <w:pPr>
                          <w:jc w:val="right"/>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23A696C3" w14:textId="77777777">
                        <w:pPr>
                          <w:jc w:val="right"/>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48F27A5A"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194C9B6D" w14:textId="77777777">
                        <w:pPr>
                          <w:ind w:firstLine="200" w:firstLineChars="100"/>
                          <w:jc w:val="right"/>
                          <w:rPr>
                            <w:sz w:val="20"/>
                          </w:rPr>
                        </w:pPr>
                        <w:r w:rsidRPr="00472165">
                          <w:rPr>
                            <w:sz w:val="20"/>
                          </w:rPr>
                          <w:t> </w:t>
                        </w:r>
                      </w:p>
                    </w:tc>
                  </w:tr>
                  <w:tr w14:paraId="4122F626" w14:textId="77777777" w:rsidTr="00472165">
                    <w:tblPrEx>
                      <w:tblW w:w="12720" w:type="dxa"/>
                      <w:tblLayout w:type="fixed"/>
                      <w:tblLook w:val="04A0"/>
                    </w:tblPrEx>
                    <w:trPr>
                      <w:trHeight w:val="52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5486A293" w14:textId="77777777">
                        <w:pPr>
                          <w:rPr>
                            <w:color w:val="000000"/>
                            <w:sz w:val="20"/>
                          </w:rPr>
                        </w:pPr>
                        <w:r w:rsidRPr="00472165">
                          <w:rPr>
                            <w:color w:val="000000"/>
                            <w:sz w:val="20"/>
                          </w:rPr>
                          <w:t>A. Familiarize with regulatory requirement</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4C17BACB" w14:textId="77777777">
                        <w:pPr>
                          <w:jc w:val="center"/>
                          <w:rPr>
                            <w:color w:val="000000"/>
                            <w:sz w:val="20"/>
                          </w:rPr>
                        </w:pPr>
                        <w:r w:rsidRPr="00472165">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4565CBF9" w14:textId="77777777">
                        <w:pPr>
                          <w:jc w:val="right"/>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6D4EDB35"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053C7299" w14:textId="77777777">
                        <w:pPr>
                          <w:jc w:val="right"/>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7B05123F" w14:textId="77777777">
                        <w:pPr>
                          <w:jc w:val="right"/>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0C9A03B6" w14:textId="77777777">
                        <w:pPr>
                          <w:jc w:val="right"/>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0B8D044F"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3BEAFE1A" w14:textId="77777777">
                        <w:pPr>
                          <w:ind w:firstLine="200" w:firstLineChars="100"/>
                          <w:jc w:val="right"/>
                          <w:rPr>
                            <w:sz w:val="20"/>
                          </w:rPr>
                        </w:pPr>
                        <w:r w:rsidRPr="00472165">
                          <w:rPr>
                            <w:sz w:val="20"/>
                          </w:rPr>
                          <w:t> </w:t>
                        </w:r>
                      </w:p>
                    </w:tc>
                  </w:tr>
                  <w:tr w14:paraId="00E83277" w14:textId="77777777" w:rsidTr="00472165">
                    <w:tblPrEx>
                      <w:tblW w:w="12720" w:type="dxa"/>
                      <w:tblLayout w:type="fixed"/>
                      <w:tblLook w:val="04A0"/>
                    </w:tblPrEx>
                    <w:trPr>
                      <w:trHeight w:val="26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7549ED50" w14:textId="77777777">
                        <w:pPr>
                          <w:rPr>
                            <w:color w:val="000000"/>
                            <w:sz w:val="20"/>
                          </w:rPr>
                        </w:pPr>
                        <w:r w:rsidRPr="00472165">
                          <w:rPr>
                            <w:color w:val="000000"/>
                            <w:sz w:val="20"/>
                          </w:rPr>
                          <w:t xml:space="preserve">B. Plan Activities </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30220A47" w14:textId="77777777">
                        <w:pPr>
                          <w:jc w:val="center"/>
                          <w:rPr>
                            <w:color w:val="000000"/>
                            <w:sz w:val="20"/>
                          </w:rPr>
                        </w:pPr>
                        <w:r w:rsidRPr="00472165">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24F11525" w14:textId="77777777">
                        <w:pPr>
                          <w:jc w:val="right"/>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4FC4EDA1"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50DD1460" w14:textId="77777777">
                        <w:pPr>
                          <w:jc w:val="right"/>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4C638D60" w14:textId="77777777">
                        <w:pPr>
                          <w:jc w:val="right"/>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2233884C" w14:textId="77777777">
                        <w:pPr>
                          <w:jc w:val="right"/>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2E009F15"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68E3A971" w14:textId="77777777">
                        <w:pPr>
                          <w:ind w:firstLine="200" w:firstLineChars="100"/>
                          <w:jc w:val="right"/>
                          <w:rPr>
                            <w:sz w:val="20"/>
                          </w:rPr>
                        </w:pPr>
                        <w:r w:rsidRPr="00472165">
                          <w:rPr>
                            <w:sz w:val="20"/>
                          </w:rPr>
                          <w:t> </w:t>
                        </w:r>
                      </w:p>
                    </w:tc>
                  </w:tr>
                  <w:tr w14:paraId="151F974A" w14:textId="77777777" w:rsidTr="00472165">
                    <w:tblPrEx>
                      <w:tblW w:w="12720" w:type="dxa"/>
                      <w:tblLayout w:type="fixed"/>
                      <w:tblLook w:val="04A0"/>
                    </w:tblPrEx>
                    <w:trPr>
                      <w:trHeight w:val="26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66E4AD9C" w14:textId="77777777">
                        <w:pPr>
                          <w:rPr>
                            <w:color w:val="000000"/>
                            <w:sz w:val="20"/>
                          </w:rPr>
                        </w:pPr>
                        <w:r w:rsidRPr="00472165">
                          <w:rPr>
                            <w:color w:val="000000"/>
                            <w:sz w:val="20"/>
                          </w:rPr>
                          <w:t xml:space="preserve">C. Implement Activities </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6DE52438" w14:textId="77777777">
                        <w:pPr>
                          <w:jc w:val="center"/>
                          <w:rPr>
                            <w:color w:val="000000"/>
                            <w:sz w:val="20"/>
                          </w:rPr>
                        </w:pPr>
                        <w:r w:rsidRPr="00472165">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0AAB68E4" w14:textId="77777777">
                        <w:pPr>
                          <w:jc w:val="right"/>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6CE39FB5"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7372DB63" w14:textId="77777777">
                        <w:pPr>
                          <w:jc w:val="right"/>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18574FE4" w14:textId="77777777">
                        <w:pPr>
                          <w:jc w:val="right"/>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68A09918" w14:textId="77777777">
                        <w:pPr>
                          <w:jc w:val="right"/>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741E218E"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42FA3DBF" w14:textId="77777777">
                        <w:pPr>
                          <w:ind w:firstLine="200" w:firstLineChars="100"/>
                          <w:jc w:val="right"/>
                          <w:rPr>
                            <w:sz w:val="20"/>
                          </w:rPr>
                        </w:pPr>
                        <w:r w:rsidRPr="00472165">
                          <w:rPr>
                            <w:sz w:val="20"/>
                          </w:rPr>
                          <w:t> </w:t>
                        </w:r>
                      </w:p>
                    </w:tc>
                  </w:tr>
                  <w:tr w14:paraId="38B5F2E1" w14:textId="77777777" w:rsidTr="00472165">
                    <w:tblPrEx>
                      <w:tblW w:w="12720" w:type="dxa"/>
                      <w:tblLayout w:type="fixed"/>
                      <w:tblLook w:val="04A0"/>
                    </w:tblPrEx>
                    <w:trPr>
                      <w:trHeight w:val="26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77FBAF9F" w14:textId="77777777">
                        <w:pPr>
                          <w:rPr>
                            <w:color w:val="000000"/>
                            <w:sz w:val="20"/>
                          </w:rPr>
                        </w:pPr>
                        <w:r w:rsidRPr="00472165">
                          <w:rPr>
                            <w:color w:val="000000"/>
                            <w:sz w:val="20"/>
                          </w:rPr>
                          <w:t xml:space="preserve">D. Record Data </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0D8D5A61" w14:textId="77777777">
                        <w:pPr>
                          <w:jc w:val="center"/>
                          <w:rPr>
                            <w:color w:val="000000"/>
                            <w:sz w:val="20"/>
                          </w:rPr>
                        </w:pPr>
                        <w:r w:rsidRPr="00472165">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02D0F935" w14:textId="77777777">
                        <w:pPr>
                          <w:jc w:val="right"/>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25F5220C"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4827FE41" w14:textId="77777777">
                        <w:pPr>
                          <w:jc w:val="right"/>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4151D091" w14:textId="77777777">
                        <w:pPr>
                          <w:jc w:val="right"/>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7ABB130E" w14:textId="77777777">
                        <w:pPr>
                          <w:jc w:val="right"/>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75D6EBC1"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511F4C10" w14:textId="77777777">
                        <w:pPr>
                          <w:ind w:firstLine="200" w:firstLineChars="100"/>
                          <w:jc w:val="right"/>
                          <w:rPr>
                            <w:sz w:val="20"/>
                          </w:rPr>
                        </w:pPr>
                        <w:r w:rsidRPr="00472165">
                          <w:rPr>
                            <w:sz w:val="20"/>
                          </w:rPr>
                          <w:t> </w:t>
                        </w:r>
                      </w:p>
                    </w:tc>
                  </w:tr>
                  <w:tr w14:paraId="030FAF3E" w14:textId="77777777" w:rsidTr="00472165">
                    <w:tblPrEx>
                      <w:tblW w:w="12720" w:type="dxa"/>
                      <w:tblLayout w:type="fixed"/>
                      <w:tblLook w:val="04A0"/>
                    </w:tblPrEx>
                    <w:trPr>
                      <w:trHeight w:val="52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37337F40" w14:textId="77777777">
                        <w:pPr>
                          <w:rPr>
                            <w:color w:val="000000"/>
                            <w:sz w:val="20"/>
                          </w:rPr>
                        </w:pPr>
                        <w:r w:rsidRPr="00472165">
                          <w:rPr>
                            <w:color w:val="000000"/>
                            <w:sz w:val="20"/>
                          </w:rPr>
                          <w:t>E. Time to Transmit or Disclose Information</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4DA5881A" w14:textId="77777777">
                        <w:pPr>
                          <w:jc w:val="right"/>
                          <w:rPr>
                            <w:color w:val="000000"/>
                            <w:sz w:val="20"/>
                          </w:rPr>
                        </w:pPr>
                        <w:r w:rsidRPr="00472165">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62631CB8" w14:textId="77777777">
                        <w:pPr>
                          <w:jc w:val="right"/>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0F519F6E"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495DF79B" w14:textId="77777777">
                        <w:pPr>
                          <w:jc w:val="right"/>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34F0DB70" w14:textId="77777777">
                        <w:pPr>
                          <w:jc w:val="right"/>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171F2145" w14:textId="77777777">
                        <w:pPr>
                          <w:jc w:val="right"/>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204C15C8"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21EC5899" w14:textId="77777777">
                        <w:pPr>
                          <w:ind w:firstLine="200" w:firstLineChars="100"/>
                          <w:jc w:val="right"/>
                          <w:rPr>
                            <w:sz w:val="20"/>
                          </w:rPr>
                        </w:pPr>
                        <w:r w:rsidRPr="00472165">
                          <w:rPr>
                            <w:sz w:val="20"/>
                          </w:rPr>
                          <w:t> </w:t>
                        </w:r>
                      </w:p>
                    </w:tc>
                  </w:tr>
                  <w:tr w14:paraId="75DBDA86" w14:textId="77777777" w:rsidTr="00472165">
                    <w:tblPrEx>
                      <w:tblW w:w="12720" w:type="dxa"/>
                      <w:tblLayout w:type="fixed"/>
                      <w:tblLook w:val="04A0"/>
                    </w:tblPrEx>
                    <w:trPr>
                      <w:trHeight w:val="26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0BC27FD8" w14:textId="77777777">
                        <w:pPr>
                          <w:rPr>
                            <w:i/>
                            <w:iCs/>
                            <w:color w:val="000000"/>
                            <w:sz w:val="20"/>
                            <w:u w:val="single"/>
                          </w:rPr>
                        </w:pPr>
                        <w:r w:rsidRPr="00472165">
                          <w:rPr>
                            <w:i/>
                            <w:iCs/>
                            <w:color w:val="000000"/>
                            <w:sz w:val="20"/>
                            <w:u w:val="single"/>
                          </w:rPr>
                          <w:t>Existing Sources</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3FAF3C4A" w14:textId="77777777">
                        <w:pPr>
                          <w:jc w:val="right"/>
                          <w:rPr>
                            <w:color w:val="000000"/>
                            <w:sz w:val="20"/>
                          </w:rPr>
                        </w:pPr>
                        <w:r w:rsidRPr="00472165">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40A8C3E8" w14:textId="77777777">
                        <w:pPr>
                          <w:jc w:val="right"/>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25706E74"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654A2371" w14:textId="77777777">
                        <w:pPr>
                          <w:jc w:val="right"/>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683E94F1" w14:textId="77777777">
                        <w:pPr>
                          <w:jc w:val="right"/>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43E4DB29" w14:textId="77777777">
                        <w:pPr>
                          <w:jc w:val="right"/>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3DB8862B"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6AFFE407" w14:textId="77777777">
                        <w:pPr>
                          <w:ind w:firstLine="200" w:firstLineChars="100"/>
                          <w:jc w:val="right"/>
                          <w:rPr>
                            <w:sz w:val="20"/>
                          </w:rPr>
                        </w:pPr>
                        <w:r w:rsidRPr="00472165">
                          <w:rPr>
                            <w:sz w:val="20"/>
                          </w:rPr>
                          <w:t> </w:t>
                        </w:r>
                      </w:p>
                    </w:tc>
                  </w:tr>
                  <w:tr w14:paraId="23D3A466" w14:textId="77777777" w:rsidTr="00472165">
                    <w:tblPrEx>
                      <w:tblW w:w="12720" w:type="dxa"/>
                      <w:tblLayout w:type="fixed"/>
                      <w:tblLook w:val="04A0"/>
                    </w:tblPrEx>
                    <w:trPr>
                      <w:trHeight w:val="793"/>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0E5B3BCC" w14:textId="77777777">
                        <w:pPr>
                          <w:rPr>
                            <w:color w:val="000000"/>
                            <w:sz w:val="20"/>
                          </w:rPr>
                        </w:pPr>
                        <w:r w:rsidRPr="00472165">
                          <w:rPr>
                            <w:color w:val="000000"/>
                            <w:sz w:val="20"/>
                          </w:rPr>
                          <w:t>Data Collection</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5D11B0FD" w14:textId="77777777">
                        <w:pPr>
                          <w:jc w:val="center"/>
                          <w:rPr>
                            <w:color w:val="000000"/>
                            <w:sz w:val="20"/>
                          </w:rPr>
                        </w:pPr>
                        <w:r w:rsidRPr="00472165">
                          <w:rPr>
                            <w:color w:val="000000"/>
                            <w:sz w:val="20"/>
                          </w:rPr>
                          <w:t>0.1</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0ABFB660" w14:textId="77777777">
                        <w:pPr>
                          <w:jc w:val="center"/>
                          <w:rPr>
                            <w:sz w:val="20"/>
                          </w:rPr>
                        </w:pPr>
                        <w:r w:rsidRPr="00472165">
                          <w:rPr>
                            <w:sz w:val="20"/>
                          </w:rPr>
                          <w:t>1</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77C439E4" w14:textId="77777777">
                        <w:pPr>
                          <w:jc w:val="center"/>
                          <w:rPr>
                            <w:color w:val="000000"/>
                            <w:sz w:val="20"/>
                          </w:rPr>
                        </w:pPr>
                        <w:r w:rsidRPr="00472165">
                          <w:rPr>
                            <w:color w:val="000000"/>
                            <w:sz w:val="20"/>
                          </w:rPr>
                          <w:t>0.1</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3DEDE8CC" w14:textId="77777777">
                        <w:pPr>
                          <w:jc w:val="center"/>
                          <w:rPr>
                            <w:sz w:val="20"/>
                          </w:rPr>
                        </w:pPr>
                        <w:r w:rsidRPr="00472165">
                          <w:rPr>
                            <w:sz w:val="20"/>
                          </w:rPr>
                          <w:t>29</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6B08B572" w14:textId="77777777">
                        <w:pPr>
                          <w:jc w:val="center"/>
                          <w:rPr>
                            <w:color w:val="000000"/>
                            <w:sz w:val="20"/>
                          </w:rPr>
                        </w:pPr>
                        <w:r w:rsidRPr="00472165">
                          <w:rPr>
                            <w:color w:val="000000"/>
                            <w:sz w:val="20"/>
                          </w:rPr>
                          <w:t>3</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4825C05D" w14:textId="77777777">
                        <w:pPr>
                          <w:jc w:val="center"/>
                          <w:rPr>
                            <w:color w:val="000000"/>
                            <w:sz w:val="20"/>
                          </w:rPr>
                        </w:pPr>
                        <w:r w:rsidRPr="00472165">
                          <w:rPr>
                            <w:color w:val="000000"/>
                            <w:sz w:val="20"/>
                          </w:rPr>
                          <w:t>0.145</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6B5183A1" w14:textId="77777777">
                        <w:pPr>
                          <w:jc w:val="center"/>
                          <w:rPr>
                            <w:color w:val="000000"/>
                            <w:sz w:val="20"/>
                          </w:rPr>
                        </w:pPr>
                        <w:r w:rsidRPr="00472165">
                          <w:rPr>
                            <w:color w:val="000000"/>
                            <w:sz w:val="20"/>
                          </w:rPr>
                          <w:t>0.29</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31339B25" w14:textId="77777777">
                        <w:pPr>
                          <w:ind w:firstLine="200" w:firstLineChars="100"/>
                          <w:jc w:val="right"/>
                          <w:rPr>
                            <w:sz w:val="20"/>
                          </w:rPr>
                        </w:pPr>
                        <w:r w:rsidRPr="00472165">
                          <w:rPr>
                            <w:sz w:val="20"/>
                          </w:rPr>
                          <w:t xml:space="preserve">$412 </w:t>
                        </w:r>
                      </w:p>
                    </w:tc>
                  </w:tr>
                  <w:tr w14:paraId="1C148DCE" w14:textId="77777777" w:rsidTr="00472165">
                    <w:tblPrEx>
                      <w:tblW w:w="12720" w:type="dxa"/>
                      <w:tblLayout w:type="fixed"/>
                      <w:tblLook w:val="04A0"/>
                    </w:tblPrEx>
                    <w:trPr>
                      <w:trHeight w:val="673"/>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09569B40" w14:textId="77777777">
                        <w:pPr>
                          <w:rPr>
                            <w:color w:val="000000"/>
                            <w:sz w:val="20"/>
                          </w:rPr>
                        </w:pPr>
                        <w:r w:rsidRPr="00472165">
                          <w:rPr>
                            <w:color w:val="000000"/>
                            <w:sz w:val="20"/>
                          </w:rPr>
                          <w:t>Recordkeeping of NOx emission rate, operating days data, CPMS data</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5A8E9095" w14:textId="77777777">
                        <w:pPr>
                          <w:jc w:val="center"/>
                          <w:rPr>
                            <w:sz w:val="20"/>
                          </w:rPr>
                        </w:pPr>
                        <w:r w:rsidRPr="00472165">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2A4D9606" w14:textId="77777777">
                        <w:pPr>
                          <w:jc w:val="center"/>
                          <w:rPr>
                            <w:sz w:val="20"/>
                          </w:rPr>
                        </w:pPr>
                        <w:r w:rsidRPr="00472165">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7D811B40" w14:textId="77777777">
                        <w:pPr>
                          <w:jc w:val="center"/>
                          <w:rPr>
                            <w:color w:val="000000"/>
                            <w:sz w:val="20"/>
                          </w:rPr>
                        </w:pPr>
                        <w:r w:rsidRPr="00472165">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5CFF537E" w14:textId="77777777">
                        <w:pPr>
                          <w:jc w:val="center"/>
                          <w:rPr>
                            <w:sz w:val="20"/>
                          </w:rPr>
                        </w:pPr>
                        <w:r w:rsidRPr="00472165">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4A3302AE" w14:textId="77777777">
                        <w:pPr>
                          <w:jc w:val="center"/>
                          <w:rPr>
                            <w:color w:val="000000"/>
                            <w:sz w:val="20"/>
                          </w:rPr>
                        </w:pPr>
                        <w:r w:rsidRPr="00472165">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21FABB5C" w14:textId="77777777">
                        <w:pPr>
                          <w:jc w:val="center"/>
                          <w:rPr>
                            <w:color w:val="000000"/>
                            <w:sz w:val="20"/>
                          </w:rPr>
                        </w:pPr>
                        <w:r w:rsidRPr="0047216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2AF26C59" w14:textId="77777777">
                        <w:pPr>
                          <w:jc w:val="center"/>
                          <w:rPr>
                            <w:color w:val="000000"/>
                            <w:sz w:val="20"/>
                          </w:rPr>
                        </w:pPr>
                        <w:r w:rsidRPr="00472165">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31336774" w14:textId="77777777">
                        <w:pPr>
                          <w:ind w:firstLine="200" w:firstLineChars="100"/>
                          <w:jc w:val="right"/>
                          <w:rPr>
                            <w:sz w:val="20"/>
                          </w:rPr>
                        </w:pPr>
                        <w:r w:rsidRPr="00472165">
                          <w:rPr>
                            <w:sz w:val="20"/>
                          </w:rPr>
                          <w:t xml:space="preserve">$0 </w:t>
                        </w:r>
                      </w:p>
                    </w:tc>
                  </w:tr>
                  <w:tr w14:paraId="1A3F36E0" w14:textId="77777777" w:rsidTr="00472165">
                    <w:tblPrEx>
                      <w:tblW w:w="12720" w:type="dxa"/>
                      <w:tblLayout w:type="fixed"/>
                      <w:tblLook w:val="04A0"/>
                    </w:tblPrEx>
                    <w:trPr>
                      <w:trHeight w:val="26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5B90E84F" w14:textId="77777777">
                        <w:pPr>
                          <w:rPr>
                            <w:i/>
                            <w:iCs/>
                            <w:color w:val="000000"/>
                            <w:sz w:val="20"/>
                            <w:u w:val="single"/>
                          </w:rPr>
                        </w:pPr>
                        <w:r w:rsidRPr="00472165">
                          <w:rPr>
                            <w:i/>
                            <w:iCs/>
                            <w:color w:val="000000"/>
                            <w:sz w:val="20"/>
                            <w:u w:val="single"/>
                          </w:rPr>
                          <w:t>New Sources</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612CFBAF" w14:textId="77777777">
                        <w:pPr>
                          <w:jc w:val="center"/>
                          <w:rPr>
                            <w:color w:val="000000"/>
                            <w:sz w:val="20"/>
                          </w:rPr>
                        </w:pPr>
                        <w:r w:rsidRPr="00472165">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15C05260" w14:textId="77777777">
                        <w:pPr>
                          <w:jc w:val="center"/>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0E24F2A3" w14:textId="77777777">
                        <w:pPr>
                          <w:jc w:val="center"/>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3A7D0ED0" w14:textId="77777777">
                        <w:pPr>
                          <w:jc w:val="center"/>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6AAE12DB" w14:textId="77777777">
                        <w:pPr>
                          <w:jc w:val="center"/>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33165ED6" w14:textId="77777777">
                        <w:pPr>
                          <w:jc w:val="center"/>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7C40F435" w14:textId="77777777">
                        <w:pPr>
                          <w:jc w:val="center"/>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62E5857F" w14:textId="77777777">
                        <w:pPr>
                          <w:ind w:firstLine="200" w:firstLineChars="100"/>
                          <w:jc w:val="right"/>
                          <w:rPr>
                            <w:sz w:val="20"/>
                          </w:rPr>
                        </w:pPr>
                        <w:r w:rsidRPr="00472165">
                          <w:rPr>
                            <w:sz w:val="20"/>
                          </w:rPr>
                          <w:t> </w:t>
                        </w:r>
                      </w:p>
                    </w:tc>
                  </w:tr>
                  <w:tr w14:paraId="0ED095B3" w14:textId="77777777" w:rsidTr="00472165">
                    <w:tblPrEx>
                      <w:tblW w:w="12720" w:type="dxa"/>
                      <w:tblLayout w:type="fixed"/>
                      <w:tblLook w:val="04A0"/>
                    </w:tblPrEx>
                    <w:trPr>
                      <w:trHeight w:val="38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0628EBC5" w14:textId="77777777">
                        <w:pPr>
                          <w:rPr>
                            <w:color w:val="000000"/>
                            <w:sz w:val="20"/>
                          </w:rPr>
                        </w:pPr>
                        <w:r w:rsidRPr="00472165">
                          <w:rPr>
                            <w:color w:val="000000"/>
                            <w:sz w:val="20"/>
                          </w:rPr>
                          <w:t>Data Collection</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6AE9A77A" w14:textId="77777777">
                        <w:pPr>
                          <w:jc w:val="center"/>
                          <w:rPr>
                            <w:color w:val="000000"/>
                            <w:sz w:val="20"/>
                          </w:rPr>
                        </w:pPr>
                        <w:r w:rsidRPr="00472165">
                          <w:rPr>
                            <w:color w:val="000000"/>
                            <w:sz w:val="20"/>
                          </w:rPr>
                          <w:t>1.5</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20CAD507" w14:textId="77777777">
                        <w:pPr>
                          <w:jc w:val="center"/>
                          <w:rPr>
                            <w:sz w:val="20"/>
                          </w:rPr>
                        </w:pPr>
                        <w:r w:rsidRPr="00472165">
                          <w:rPr>
                            <w:sz w:val="20"/>
                          </w:rPr>
                          <w:t>1</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205B41FD" w14:textId="77777777">
                        <w:pPr>
                          <w:jc w:val="center"/>
                          <w:rPr>
                            <w:color w:val="000000"/>
                            <w:sz w:val="20"/>
                          </w:rPr>
                        </w:pPr>
                        <w:r w:rsidRPr="00472165">
                          <w:rPr>
                            <w:color w:val="000000"/>
                            <w:sz w:val="20"/>
                          </w:rPr>
                          <w:t>1.5</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67FF5595" w14:textId="77777777">
                        <w:pPr>
                          <w:jc w:val="center"/>
                          <w:rPr>
                            <w:sz w:val="20"/>
                          </w:rPr>
                        </w:pPr>
                        <w:r w:rsidRPr="00472165">
                          <w:rPr>
                            <w:sz w:val="20"/>
                          </w:rPr>
                          <w:t>2.03</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49832AB1" w14:textId="77777777">
                        <w:pPr>
                          <w:jc w:val="center"/>
                          <w:rPr>
                            <w:color w:val="000000"/>
                            <w:sz w:val="20"/>
                          </w:rPr>
                        </w:pPr>
                        <w:r w:rsidRPr="00472165">
                          <w:rPr>
                            <w:color w:val="000000"/>
                            <w:sz w:val="20"/>
                          </w:rPr>
                          <w:t>3</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4809A1EA" w14:textId="77777777">
                        <w:pPr>
                          <w:jc w:val="center"/>
                          <w:rPr>
                            <w:color w:val="000000"/>
                            <w:sz w:val="20"/>
                          </w:rPr>
                        </w:pPr>
                        <w:r w:rsidRPr="00472165">
                          <w:rPr>
                            <w:color w:val="000000"/>
                            <w:sz w:val="20"/>
                          </w:rPr>
                          <w:t>0.15225</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34957124" w14:textId="77777777">
                        <w:pPr>
                          <w:jc w:val="center"/>
                          <w:rPr>
                            <w:color w:val="000000"/>
                            <w:sz w:val="20"/>
                          </w:rPr>
                        </w:pPr>
                        <w:r w:rsidRPr="00472165">
                          <w:rPr>
                            <w:color w:val="000000"/>
                            <w:sz w:val="20"/>
                          </w:rPr>
                          <w:t>0.3045</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64223177" w14:textId="77777777">
                        <w:pPr>
                          <w:ind w:firstLine="200" w:firstLineChars="100"/>
                          <w:jc w:val="right"/>
                          <w:rPr>
                            <w:sz w:val="20"/>
                          </w:rPr>
                        </w:pPr>
                        <w:r w:rsidRPr="00472165">
                          <w:rPr>
                            <w:sz w:val="20"/>
                          </w:rPr>
                          <w:t xml:space="preserve">$433 </w:t>
                        </w:r>
                      </w:p>
                    </w:tc>
                  </w:tr>
                  <w:tr w14:paraId="0843D93F" w14:textId="77777777" w:rsidTr="00472165">
                    <w:tblPrEx>
                      <w:tblW w:w="12720" w:type="dxa"/>
                      <w:tblLayout w:type="fixed"/>
                      <w:tblLook w:val="04A0"/>
                    </w:tblPrEx>
                    <w:trPr>
                      <w:trHeight w:val="35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730BA3FB" w14:textId="77777777">
                        <w:pPr>
                          <w:rPr>
                            <w:color w:val="000000"/>
                            <w:sz w:val="20"/>
                          </w:rPr>
                        </w:pPr>
                        <w:r w:rsidRPr="00472165">
                          <w:rPr>
                            <w:color w:val="000000"/>
                            <w:sz w:val="20"/>
                          </w:rPr>
                          <w:t>CPMS Recordkeeping</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209EB79E" w14:textId="77777777">
                        <w:pPr>
                          <w:jc w:val="center"/>
                          <w:rPr>
                            <w:sz w:val="20"/>
                          </w:rPr>
                        </w:pPr>
                        <w:r w:rsidRPr="00472165">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03F6DD60" w14:textId="77777777">
                        <w:pPr>
                          <w:jc w:val="center"/>
                          <w:rPr>
                            <w:sz w:val="20"/>
                          </w:rPr>
                        </w:pPr>
                        <w:r w:rsidRPr="00472165">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30976F76" w14:textId="77777777">
                        <w:pPr>
                          <w:jc w:val="center"/>
                          <w:rPr>
                            <w:color w:val="000000"/>
                            <w:sz w:val="20"/>
                          </w:rPr>
                        </w:pPr>
                        <w:r w:rsidRPr="00472165">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3C9BD590" w14:textId="77777777">
                        <w:pPr>
                          <w:jc w:val="center"/>
                          <w:rPr>
                            <w:sz w:val="20"/>
                          </w:rPr>
                        </w:pPr>
                        <w:r w:rsidRPr="00472165">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415CCB08" w14:textId="77777777">
                        <w:pPr>
                          <w:jc w:val="center"/>
                          <w:rPr>
                            <w:color w:val="000000"/>
                            <w:sz w:val="20"/>
                          </w:rPr>
                        </w:pPr>
                        <w:r w:rsidRPr="00472165">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1FE5C3F4" w14:textId="77777777">
                        <w:pPr>
                          <w:jc w:val="center"/>
                          <w:rPr>
                            <w:color w:val="000000"/>
                            <w:sz w:val="20"/>
                          </w:rPr>
                        </w:pPr>
                        <w:r w:rsidRPr="0047216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4C9B3D82" w14:textId="77777777">
                        <w:pPr>
                          <w:jc w:val="center"/>
                          <w:rPr>
                            <w:color w:val="000000"/>
                            <w:sz w:val="20"/>
                          </w:rPr>
                        </w:pPr>
                        <w:r w:rsidRPr="00472165">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7A938435" w14:textId="77777777">
                        <w:pPr>
                          <w:ind w:firstLine="200" w:firstLineChars="100"/>
                          <w:jc w:val="right"/>
                          <w:rPr>
                            <w:sz w:val="20"/>
                          </w:rPr>
                        </w:pPr>
                        <w:r w:rsidRPr="00472165">
                          <w:rPr>
                            <w:sz w:val="20"/>
                          </w:rPr>
                          <w:t xml:space="preserve">$0 </w:t>
                        </w:r>
                      </w:p>
                    </w:tc>
                  </w:tr>
                  <w:tr w14:paraId="24A96B3B" w14:textId="77777777" w:rsidTr="00472165">
                    <w:tblPrEx>
                      <w:tblW w:w="12720" w:type="dxa"/>
                      <w:tblLayout w:type="fixed"/>
                      <w:tblLook w:val="04A0"/>
                    </w:tblPrEx>
                    <w:trPr>
                      <w:trHeight w:val="26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2DF20042" w14:textId="77777777">
                        <w:pPr>
                          <w:rPr>
                            <w:color w:val="000000"/>
                            <w:sz w:val="20"/>
                          </w:rPr>
                        </w:pPr>
                        <w:r w:rsidRPr="00472165">
                          <w:rPr>
                            <w:color w:val="000000"/>
                            <w:sz w:val="20"/>
                          </w:rPr>
                          <w:t>F. Time to Train Personnel</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3800AA8F" w14:textId="77777777">
                        <w:pPr>
                          <w:jc w:val="center"/>
                          <w:rPr>
                            <w:sz w:val="20"/>
                          </w:rPr>
                        </w:pPr>
                        <w:r w:rsidRPr="00472165">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0C9C0DD6" w14:textId="77777777">
                        <w:pPr>
                          <w:jc w:val="center"/>
                          <w:rPr>
                            <w:sz w:val="20"/>
                          </w:rPr>
                        </w:pPr>
                        <w:r w:rsidRPr="00472165">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59CB9512" w14:textId="77777777">
                        <w:pPr>
                          <w:jc w:val="center"/>
                          <w:rPr>
                            <w:color w:val="000000"/>
                            <w:sz w:val="20"/>
                          </w:rPr>
                        </w:pPr>
                        <w:r w:rsidRPr="00472165">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7222B492" w14:textId="77777777">
                        <w:pPr>
                          <w:jc w:val="center"/>
                          <w:rPr>
                            <w:sz w:val="20"/>
                          </w:rPr>
                        </w:pPr>
                        <w:r w:rsidRPr="00472165">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3876277F" w14:textId="77777777">
                        <w:pPr>
                          <w:jc w:val="center"/>
                          <w:rPr>
                            <w:color w:val="000000"/>
                            <w:sz w:val="20"/>
                          </w:rPr>
                        </w:pPr>
                        <w:r w:rsidRPr="00472165">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27D600B0" w14:textId="77777777">
                        <w:pPr>
                          <w:jc w:val="center"/>
                          <w:rPr>
                            <w:color w:val="000000"/>
                            <w:sz w:val="20"/>
                          </w:rPr>
                        </w:pPr>
                        <w:r w:rsidRPr="0047216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57E539B3" w14:textId="77777777">
                        <w:pPr>
                          <w:jc w:val="center"/>
                          <w:rPr>
                            <w:color w:val="000000"/>
                            <w:sz w:val="20"/>
                          </w:rPr>
                        </w:pPr>
                        <w:r w:rsidRPr="00472165">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0FE37919" w14:textId="77777777">
                        <w:pPr>
                          <w:ind w:firstLine="200" w:firstLineChars="100"/>
                          <w:jc w:val="right"/>
                          <w:rPr>
                            <w:sz w:val="20"/>
                          </w:rPr>
                        </w:pPr>
                        <w:r w:rsidRPr="00472165">
                          <w:rPr>
                            <w:sz w:val="20"/>
                          </w:rPr>
                          <w:t xml:space="preserve">$0 </w:t>
                        </w:r>
                      </w:p>
                    </w:tc>
                  </w:tr>
                  <w:tr w14:paraId="6A278ACA" w14:textId="77777777" w:rsidTr="00472165">
                    <w:tblPrEx>
                      <w:tblW w:w="12720" w:type="dxa"/>
                      <w:tblLayout w:type="fixed"/>
                      <w:tblLook w:val="04A0"/>
                    </w:tblPrEx>
                    <w:trPr>
                      <w:trHeight w:val="345"/>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1283844A" w14:textId="77777777">
                        <w:pPr>
                          <w:rPr>
                            <w:color w:val="000000"/>
                            <w:sz w:val="20"/>
                          </w:rPr>
                        </w:pPr>
                        <w:r w:rsidRPr="00472165">
                          <w:rPr>
                            <w:color w:val="000000"/>
                            <w:sz w:val="20"/>
                          </w:rPr>
                          <w:t xml:space="preserve">G. Time for Audits </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5A76B3CB" w14:textId="77777777">
                        <w:pPr>
                          <w:jc w:val="center"/>
                          <w:rPr>
                            <w:color w:val="000000"/>
                            <w:sz w:val="20"/>
                          </w:rPr>
                        </w:pPr>
                        <w:r w:rsidRPr="00472165">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16DC5355" w14:textId="77777777">
                        <w:pPr>
                          <w:jc w:val="right"/>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1D759C87"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4402A6CF" w14:textId="77777777">
                        <w:pPr>
                          <w:jc w:val="right"/>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34C61CC8" w14:textId="77777777">
                        <w:pPr>
                          <w:jc w:val="right"/>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2F4AE65F" w14:textId="77777777">
                        <w:pPr>
                          <w:jc w:val="right"/>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67748973"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7CC9F0CB" w14:textId="77777777">
                        <w:pPr>
                          <w:ind w:firstLine="200" w:firstLineChars="100"/>
                          <w:jc w:val="right"/>
                          <w:rPr>
                            <w:sz w:val="20"/>
                          </w:rPr>
                        </w:pPr>
                        <w:r w:rsidRPr="00472165">
                          <w:rPr>
                            <w:sz w:val="20"/>
                          </w:rPr>
                          <w:t> </w:t>
                        </w:r>
                      </w:p>
                    </w:tc>
                  </w:tr>
                  <w:tr w14:paraId="03FAE50E" w14:textId="77777777" w:rsidTr="00472165">
                    <w:tblPrEx>
                      <w:tblW w:w="12720" w:type="dxa"/>
                      <w:tblLayout w:type="fixed"/>
                      <w:tblLook w:val="04A0"/>
                    </w:tblPrEx>
                    <w:trPr>
                      <w:trHeight w:val="54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0A0448B8" w14:textId="77777777">
                        <w:pPr>
                          <w:rPr>
                            <w:b/>
                            <w:bCs/>
                            <w:i/>
                            <w:iCs/>
                            <w:color w:val="000000"/>
                            <w:sz w:val="20"/>
                          </w:rPr>
                        </w:pPr>
                        <w:r w:rsidRPr="00472165">
                          <w:rPr>
                            <w:b/>
                            <w:bCs/>
                            <w:i/>
                            <w:iCs/>
                            <w:color w:val="000000"/>
                            <w:sz w:val="20"/>
                          </w:rPr>
                          <w:t>Subtotal for Recordkeeping Requirements</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61666C72" w14:textId="77777777">
                        <w:pPr>
                          <w:jc w:val="right"/>
                          <w:rPr>
                            <w:b/>
                            <w:bCs/>
                            <w:i/>
                            <w:iCs/>
                            <w:color w:val="000000"/>
                            <w:sz w:val="20"/>
                          </w:rPr>
                        </w:pPr>
                        <w:r w:rsidRPr="00472165">
                          <w:rPr>
                            <w:b/>
                            <w:bCs/>
                            <w:i/>
                            <w:i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315B34B2" w14:textId="77777777">
                        <w:pPr>
                          <w:jc w:val="right"/>
                          <w:rPr>
                            <w:b/>
                            <w:bCs/>
                            <w:i/>
                            <w:iCs/>
                            <w:sz w:val="20"/>
                          </w:rPr>
                        </w:pPr>
                        <w:r w:rsidRPr="00472165">
                          <w:rPr>
                            <w:b/>
                            <w:bCs/>
                            <w:i/>
                            <w:i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13015DFE" w14:textId="77777777">
                        <w:pPr>
                          <w:jc w:val="right"/>
                          <w:rPr>
                            <w:b/>
                            <w:bCs/>
                            <w:i/>
                            <w:iCs/>
                            <w:color w:val="000000"/>
                            <w:sz w:val="20"/>
                          </w:rPr>
                        </w:pPr>
                        <w:r w:rsidRPr="00472165">
                          <w:rPr>
                            <w:b/>
                            <w:bCs/>
                            <w:i/>
                            <w:iCs/>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367F9E22" w14:textId="77777777">
                        <w:pPr>
                          <w:jc w:val="right"/>
                          <w:rPr>
                            <w:b/>
                            <w:bCs/>
                            <w:i/>
                            <w:iCs/>
                            <w:sz w:val="20"/>
                          </w:rPr>
                        </w:pPr>
                        <w:r w:rsidRPr="00472165">
                          <w:rPr>
                            <w:b/>
                            <w:bCs/>
                            <w:i/>
                            <w:iCs/>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58E2556B" w14:textId="77777777">
                        <w:pPr>
                          <w:jc w:val="center"/>
                          <w:rPr>
                            <w:b/>
                            <w:bCs/>
                            <w:i/>
                            <w:iCs/>
                            <w:color w:val="000000"/>
                            <w:sz w:val="20"/>
                          </w:rPr>
                        </w:pPr>
                        <w:r w:rsidRPr="00472165">
                          <w:rPr>
                            <w:b/>
                            <w:bCs/>
                            <w:i/>
                            <w:iCs/>
                            <w:color w:val="000000"/>
                            <w:sz w:val="20"/>
                          </w:rPr>
                          <w:t>7</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7DF3C641" w14:textId="77777777">
                        <w:pPr>
                          <w:jc w:val="center"/>
                          <w:rPr>
                            <w:b/>
                            <w:bCs/>
                            <w:i/>
                            <w:iCs/>
                            <w:color w:val="000000"/>
                            <w:sz w:val="20"/>
                          </w:rPr>
                        </w:pPr>
                        <w:r w:rsidRPr="00472165">
                          <w:rPr>
                            <w:b/>
                            <w:bCs/>
                            <w:i/>
                            <w:iCs/>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0C09AA65" w14:textId="77777777">
                        <w:pPr>
                          <w:jc w:val="center"/>
                          <w:rPr>
                            <w:b/>
                            <w:bCs/>
                            <w:i/>
                            <w:iCs/>
                            <w:color w:val="000000"/>
                            <w:sz w:val="20"/>
                          </w:rPr>
                        </w:pPr>
                        <w:r w:rsidRPr="00472165">
                          <w:rPr>
                            <w:b/>
                            <w:bCs/>
                            <w:i/>
                            <w:iCs/>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69DAA50D" w14:textId="77777777">
                        <w:pPr>
                          <w:ind w:firstLine="200" w:firstLineChars="100"/>
                          <w:jc w:val="right"/>
                          <w:rPr>
                            <w:sz w:val="20"/>
                          </w:rPr>
                        </w:pPr>
                        <w:r w:rsidRPr="00472165">
                          <w:rPr>
                            <w:sz w:val="20"/>
                          </w:rPr>
                          <w:t xml:space="preserve">$845 </w:t>
                        </w:r>
                      </w:p>
                    </w:tc>
                  </w:tr>
                  <w:tr w14:paraId="7CFA8B70" w14:textId="77777777" w:rsidTr="00472165">
                    <w:tblPrEx>
                      <w:tblW w:w="12720" w:type="dxa"/>
                      <w:tblLayout w:type="fixed"/>
                      <w:tblLook w:val="04A0"/>
                    </w:tblPrEx>
                    <w:trPr>
                      <w:trHeight w:val="56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4B31EAD4" w14:textId="77777777">
                        <w:pPr>
                          <w:rPr>
                            <w:b/>
                            <w:bCs/>
                            <w:color w:val="000000"/>
                            <w:sz w:val="20"/>
                          </w:rPr>
                        </w:pPr>
                        <w:r w:rsidRPr="00472165">
                          <w:rPr>
                            <w:b/>
                            <w:bCs/>
                            <w:color w:val="000000"/>
                            <w:sz w:val="20"/>
                          </w:rPr>
                          <w:t xml:space="preserve">Total Labor Burden and Cost (rounded) </w:t>
                        </w:r>
                        <w:r w:rsidRPr="00472165">
                          <w:rPr>
                            <w:b/>
                            <w:bCs/>
                            <w:color w:val="000000"/>
                            <w:sz w:val="20"/>
                            <w:vertAlign w:val="superscript"/>
                          </w:rPr>
                          <w:t>e</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550AAF51" w14:textId="77777777">
                        <w:pPr>
                          <w:jc w:val="right"/>
                          <w:rPr>
                            <w:b/>
                            <w:bCs/>
                            <w:color w:val="000000"/>
                            <w:sz w:val="20"/>
                          </w:rPr>
                        </w:pPr>
                        <w:r w:rsidRPr="00472165">
                          <w:rPr>
                            <w:b/>
                            <w:b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15F48A46" w14:textId="77777777">
                        <w:pPr>
                          <w:jc w:val="center"/>
                          <w:rPr>
                            <w:b/>
                            <w:bCs/>
                            <w:sz w:val="20"/>
                          </w:rPr>
                        </w:pPr>
                        <w:r w:rsidRPr="00472165">
                          <w:rPr>
                            <w:b/>
                            <w:b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61695CB8" w14:textId="77777777">
                        <w:pPr>
                          <w:jc w:val="right"/>
                          <w:rPr>
                            <w:b/>
                            <w:bCs/>
                            <w:color w:val="000000"/>
                            <w:sz w:val="20"/>
                          </w:rPr>
                        </w:pPr>
                        <w:r w:rsidRPr="00472165">
                          <w:rPr>
                            <w:b/>
                            <w:bCs/>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2216EF03" w14:textId="77777777">
                        <w:pPr>
                          <w:jc w:val="right"/>
                          <w:rPr>
                            <w:b/>
                            <w:bCs/>
                            <w:sz w:val="20"/>
                          </w:rPr>
                        </w:pPr>
                        <w:r w:rsidRPr="00472165">
                          <w:rPr>
                            <w:b/>
                            <w:bCs/>
                            <w:sz w:val="20"/>
                          </w:rPr>
                          <w:t> </w:t>
                        </w:r>
                      </w:p>
                    </w:tc>
                    <w:tc>
                      <w:tcPr>
                        <w:tcW w:w="3700" w:type="dxa"/>
                        <w:gridSpan w:val="3"/>
                        <w:tcBorders>
                          <w:top w:val="single" w:sz="4" w:space="0" w:color="auto"/>
                          <w:left w:val="nil"/>
                          <w:bottom w:val="single" w:sz="4" w:space="0" w:color="auto"/>
                          <w:right w:val="single" w:sz="4" w:space="0" w:color="auto"/>
                        </w:tcBorders>
                        <w:shd w:val="clear" w:color="auto" w:fill="auto"/>
                        <w:vAlign w:val="center"/>
                        <w:hideMark/>
                      </w:tcPr>
                      <w:p w:rsidR="00472165" w:rsidRPr="00472165" w:rsidP="00472165" w14:paraId="64DC1CB4" w14:textId="77777777">
                        <w:pPr>
                          <w:jc w:val="center"/>
                          <w:rPr>
                            <w:b/>
                            <w:bCs/>
                            <w:color w:val="000000"/>
                            <w:sz w:val="20"/>
                          </w:rPr>
                        </w:pPr>
                        <w:r w:rsidRPr="00472165">
                          <w:rPr>
                            <w:b/>
                            <w:bCs/>
                            <w:color w:val="000000"/>
                            <w:sz w:val="20"/>
                          </w:rPr>
                          <w:t>600</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6B4624B1" w14:textId="77777777">
                        <w:pPr>
                          <w:ind w:firstLine="200" w:firstLineChars="100"/>
                          <w:jc w:val="right"/>
                          <w:rPr>
                            <w:sz w:val="20"/>
                          </w:rPr>
                        </w:pPr>
                        <w:r w:rsidRPr="00472165">
                          <w:rPr>
                            <w:sz w:val="20"/>
                          </w:rPr>
                          <w:t xml:space="preserve">$70,000 </w:t>
                        </w:r>
                      </w:p>
                    </w:tc>
                  </w:tr>
                  <w:tr w14:paraId="0FE33190" w14:textId="77777777" w:rsidTr="00472165">
                    <w:tblPrEx>
                      <w:tblW w:w="12720" w:type="dxa"/>
                      <w:tblLayout w:type="fixed"/>
                      <w:tblLook w:val="04A0"/>
                    </w:tblPrEx>
                    <w:trPr>
                      <w:trHeight w:val="56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32C452AE" w14:textId="77777777">
                        <w:pPr>
                          <w:rPr>
                            <w:b/>
                            <w:bCs/>
                            <w:sz w:val="20"/>
                          </w:rPr>
                        </w:pPr>
                        <w:r w:rsidRPr="00472165">
                          <w:rPr>
                            <w:b/>
                            <w:bCs/>
                            <w:sz w:val="20"/>
                          </w:rPr>
                          <w:t xml:space="preserve">Total Capital and O&amp;M Cost (rounded) </w:t>
                        </w:r>
                        <w:r w:rsidRPr="00472165">
                          <w:rPr>
                            <w:b/>
                            <w:bCs/>
                            <w:sz w:val="20"/>
                            <w:vertAlign w:val="superscript"/>
                          </w:rPr>
                          <w:t>e</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30A4B4F4" w14:textId="77777777">
                        <w:pPr>
                          <w:jc w:val="right"/>
                          <w:rPr>
                            <w:color w:val="000000"/>
                            <w:sz w:val="20"/>
                          </w:rPr>
                        </w:pPr>
                        <w:r w:rsidRPr="00472165">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39BEC304" w14:textId="77777777">
                        <w:pPr>
                          <w:jc w:val="right"/>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664C4A24"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17C5312E" w14:textId="77777777">
                        <w:pPr>
                          <w:jc w:val="right"/>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02FC6CFC" w14:textId="77777777">
                        <w:pPr>
                          <w:jc w:val="right"/>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28EDA6A9" w14:textId="77777777">
                        <w:pPr>
                          <w:jc w:val="right"/>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401F7431"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11B961A2" w14:textId="77777777">
                        <w:pPr>
                          <w:ind w:firstLine="200" w:firstLineChars="100"/>
                          <w:jc w:val="right"/>
                          <w:rPr>
                            <w:sz w:val="20"/>
                          </w:rPr>
                        </w:pPr>
                        <w:r w:rsidRPr="00472165">
                          <w:rPr>
                            <w:sz w:val="20"/>
                          </w:rPr>
                          <w:t xml:space="preserve">$0 </w:t>
                        </w:r>
                      </w:p>
                    </w:tc>
                  </w:tr>
                  <w:tr w14:paraId="3068CA30" w14:textId="77777777" w:rsidTr="00472165">
                    <w:tblPrEx>
                      <w:tblW w:w="12720" w:type="dxa"/>
                      <w:tblLayout w:type="fixed"/>
                      <w:tblLook w:val="04A0"/>
                    </w:tblPrEx>
                    <w:trPr>
                      <w:trHeight w:val="30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19F10D26" w14:textId="77777777">
                        <w:pPr>
                          <w:rPr>
                            <w:b/>
                            <w:bCs/>
                            <w:sz w:val="20"/>
                          </w:rPr>
                        </w:pPr>
                        <w:r w:rsidRPr="00472165">
                          <w:rPr>
                            <w:b/>
                            <w:bCs/>
                            <w:sz w:val="20"/>
                          </w:rPr>
                          <w:t xml:space="preserve">Grand TOTAL (rounded) </w:t>
                        </w:r>
                        <w:r w:rsidRPr="00472165">
                          <w:rPr>
                            <w:b/>
                            <w:bCs/>
                            <w:sz w:val="20"/>
                            <w:vertAlign w:val="superscript"/>
                          </w:rPr>
                          <w:t>e</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4F92283F" w14:textId="77777777">
                        <w:pPr>
                          <w:jc w:val="right"/>
                          <w:rPr>
                            <w:color w:val="000000"/>
                            <w:sz w:val="20"/>
                          </w:rPr>
                        </w:pPr>
                        <w:r w:rsidRPr="00472165">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351ED0A1" w14:textId="77777777">
                        <w:pPr>
                          <w:jc w:val="right"/>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7A367EDC"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17ADBDFA" w14:textId="77777777">
                        <w:pPr>
                          <w:jc w:val="right"/>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7F5DE3A0" w14:textId="77777777">
                        <w:pPr>
                          <w:jc w:val="right"/>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4FF28016" w14:textId="77777777">
                        <w:pPr>
                          <w:jc w:val="right"/>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2528BBB6"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26B6084A" w14:textId="77777777">
                        <w:pPr>
                          <w:ind w:firstLine="200" w:firstLineChars="100"/>
                          <w:jc w:val="right"/>
                          <w:rPr>
                            <w:sz w:val="20"/>
                          </w:rPr>
                        </w:pPr>
                        <w:r w:rsidRPr="00472165">
                          <w:rPr>
                            <w:sz w:val="20"/>
                          </w:rPr>
                          <w:t xml:space="preserve">$100,000 </w:t>
                        </w:r>
                      </w:p>
                    </w:tc>
                  </w:tr>
                  <w:tr w14:paraId="33DA19BE" w14:textId="77777777" w:rsidTr="00472165">
                    <w:tblPrEx>
                      <w:tblW w:w="12720" w:type="dxa"/>
                      <w:tblLayout w:type="fixed"/>
                      <w:tblLook w:val="04A0"/>
                    </w:tblPrEx>
                    <w:trPr>
                      <w:trHeight w:val="90"/>
                    </w:trPr>
                    <w:tc>
                      <w:tcPr>
                        <w:tcW w:w="2660" w:type="dxa"/>
                        <w:tcBorders>
                          <w:top w:val="nil"/>
                          <w:left w:val="nil"/>
                          <w:bottom w:val="nil"/>
                          <w:right w:val="nil"/>
                        </w:tcBorders>
                        <w:shd w:val="clear" w:color="auto" w:fill="auto"/>
                        <w:noWrap/>
                        <w:vAlign w:val="bottom"/>
                        <w:hideMark/>
                      </w:tcPr>
                      <w:p w:rsidR="00472165" w:rsidRPr="00472165" w:rsidP="00472165" w14:paraId="3F215BF8" w14:textId="77777777">
                        <w:pPr>
                          <w:ind w:firstLine="200" w:firstLineChars="100"/>
                          <w:jc w:val="right"/>
                          <w:rPr>
                            <w:sz w:val="20"/>
                          </w:rPr>
                        </w:pPr>
                      </w:p>
                    </w:tc>
                    <w:tc>
                      <w:tcPr>
                        <w:tcW w:w="1120" w:type="dxa"/>
                        <w:tcBorders>
                          <w:top w:val="nil"/>
                          <w:left w:val="nil"/>
                          <w:bottom w:val="nil"/>
                          <w:right w:val="nil"/>
                        </w:tcBorders>
                        <w:shd w:val="clear" w:color="auto" w:fill="auto"/>
                        <w:noWrap/>
                        <w:vAlign w:val="bottom"/>
                        <w:hideMark/>
                      </w:tcPr>
                      <w:p w:rsidR="00472165" w:rsidRPr="00472165" w:rsidP="00472165" w14:paraId="7DD20C56" w14:textId="77777777">
                        <w:pPr>
                          <w:rPr>
                            <w:sz w:val="20"/>
                          </w:rPr>
                        </w:pPr>
                      </w:p>
                    </w:tc>
                    <w:tc>
                      <w:tcPr>
                        <w:tcW w:w="1320" w:type="dxa"/>
                        <w:tcBorders>
                          <w:top w:val="nil"/>
                          <w:left w:val="nil"/>
                          <w:bottom w:val="nil"/>
                          <w:right w:val="nil"/>
                        </w:tcBorders>
                        <w:shd w:val="clear" w:color="auto" w:fill="auto"/>
                        <w:noWrap/>
                        <w:vAlign w:val="bottom"/>
                        <w:hideMark/>
                      </w:tcPr>
                      <w:p w:rsidR="00472165" w:rsidRPr="00472165" w:rsidP="00472165" w14:paraId="7E3037E0" w14:textId="77777777">
                        <w:pPr>
                          <w:rPr>
                            <w:sz w:val="20"/>
                          </w:rPr>
                        </w:pPr>
                      </w:p>
                    </w:tc>
                    <w:tc>
                      <w:tcPr>
                        <w:tcW w:w="1240" w:type="dxa"/>
                        <w:tcBorders>
                          <w:top w:val="nil"/>
                          <w:left w:val="nil"/>
                          <w:bottom w:val="nil"/>
                          <w:right w:val="nil"/>
                        </w:tcBorders>
                        <w:shd w:val="clear" w:color="auto" w:fill="auto"/>
                        <w:noWrap/>
                        <w:vAlign w:val="bottom"/>
                        <w:hideMark/>
                      </w:tcPr>
                      <w:p w:rsidR="00472165" w:rsidRPr="00472165" w:rsidP="00472165" w14:paraId="1ADC774D" w14:textId="77777777">
                        <w:pPr>
                          <w:rPr>
                            <w:sz w:val="20"/>
                          </w:rPr>
                        </w:pPr>
                      </w:p>
                    </w:tc>
                    <w:tc>
                      <w:tcPr>
                        <w:tcW w:w="1340" w:type="dxa"/>
                        <w:tcBorders>
                          <w:top w:val="nil"/>
                          <w:left w:val="nil"/>
                          <w:bottom w:val="nil"/>
                          <w:right w:val="nil"/>
                        </w:tcBorders>
                        <w:shd w:val="clear" w:color="auto" w:fill="auto"/>
                        <w:noWrap/>
                        <w:vAlign w:val="bottom"/>
                        <w:hideMark/>
                      </w:tcPr>
                      <w:p w:rsidR="00472165" w:rsidRPr="00472165" w:rsidP="00472165" w14:paraId="16D9803E" w14:textId="77777777">
                        <w:pPr>
                          <w:rPr>
                            <w:sz w:val="20"/>
                          </w:rPr>
                        </w:pPr>
                      </w:p>
                    </w:tc>
                    <w:tc>
                      <w:tcPr>
                        <w:tcW w:w="1160" w:type="dxa"/>
                        <w:tcBorders>
                          <w:top w:val="nil"/>
                          <w:left w:val="nil"/>
                          <w:bottom w:val="nil"/>
                          <w:right w:val="nil"/>
                        </w:tcBorders>
                        <w:shd w:val="clear" w:color="auto" w:fill="auto"/>
                        <w:noWrap/>
                        <w:vAlign w:val="bottom"/>
                        <w:hideMark/>
                      </w:tcPr>
                      <w:p w:rsidR="00472165" w:rsidRPr="00472165" w:rsidP="00472165" w14:paraId="31199800" w14:textId="77777777">
                        <w:pPr>
                          <w:rPr>
                            <w:sz w:val="20"/>
                          </w:rPr>
                        </w:pPr>
                      </w:p>
                    </w:tc>
                    <w:tc>
                      <w:tcPr>
                        <w:tcW w:w="1280" w:type="dxa"/>
                        <w:tcBorders>
                          <w:top w:val="nil"/>
                          <w:left w:val="nil"/>
                          <w:bottom w:val="nil"/>
                          <w:right w:val="nil"/>
                        </w:tcBorders>
                        <w:shd w:val="clear" w:color="auto" w:fill="auto"/>
                        <w:noWrap/>
                        <w:vAlign w:val="bottom"/>
                        <w:hideMark/>
                      </w:tcPr>
                      <w:p w:rsidR="00472165" w:rsidRPr="00472165" w:rsidP="00472165" w14:paraId="3DE90ACC" w14:textId="77777777">
                        <w:pPr>
                          <w:rPr>
                            <w:sz w:val="20"/>
                          </w:rPr>
                        </w:pPr>
                      </w:p>
                    </w:tc>
                    <w:tc>
                      <w:tcPr>
                        <w:tcW w:w="1260" w:type="dxa"/>
                        <w:tcBorders>
                          <w:top w:val="nil"/>
                          <w:left w:val="nil"/>
                          <w:bottom w:val="nil"/>
                          <w:right w:val="nil"/>
                        </w:tcBorders>
                        <w:shd w:val="clear" w:color="auto" w:fill="auto"/>
                        <w:noWrap/>
                        <w:vAlign w:val="bottom"/>
                        <w:hideMark/>
                      </w:tcPr>
                      <w:p w:rsidR="00472165" w:rsidRPr="00472165" w:rsidP="00472165" w14:paraId="305002EF" w14:textId="77777777">
                        <w:pPr>
                          <w:rPr>
                            <w:sz w:val="20"/>
                          </w:rPr>
                        </w:pPr>
                      </w:p>
                    </w:tc>
                    <w:tc>
                      <w:tcPr>
                        <w:tcW w:w="1340" w:type="dxa"/>
                        <w:tcBorders>
                          <w:top w:val="nil"/>
                          <w:left w:val="nil"/>
                          <w:bottom w:val="nil"/>
                          <w:right w:val="nil"/>
                        </w:tcBorders>
                        <w:shd w:val="clear" w:color="auto" w:fill="auto"/>
                        <w:noWrap/>
                        <w:vAlign w:val="bottom"/>
                        <w:hideMark/>
                      </w:tcPr>
                      <w:p w:rsidR="00472165" w:rsidRPr="00472165" w:rsidP="00472165" w14:paraId="088D67F7" w14:textId="77777777">
                        <w:pPr>
                          <w:rPr>
                            <w:sz w:val="20"/>
                          </w:rPr>
                        </w:pPr>
                      </w:p>
                    </w:tc>
                  </w:tr>
                  <w:tr w14:paraId="78D0CBD7" w14:textId="77777777" w:rsidTr="00472165">
                    <w:tblPrEx>
                      <w:tblW w:w="12720" w:type="dxa"/>
                      <w:tblLayout w:type="fixed"/>
                      <w:tblLook w:val="04A0"/>
                    </w:tblPrEx>
                    <w:trPr>
                      <w:trHeight w:val="330"/>
                    </w:trPr>
                    <w:tc>
                      <w:tcPr>
                        <w:tcW w:w="12720" w:type="dxa"/>
                        <w:gridSpan w:val="9"/>
                        <w:tcBorders>
                          <w:top w:val="nil"/>
                          <w:left w:val="nil"/>
                          <w:bottom w:val="nil"/>
                          <w:right w:val="nil"/>
                        </w:tcBorders>
                        <w:shd w:val="clear" w:color="auto" w:fill="auto"/>
                        <w:vAlign w:val="center"/>
                        <w:hideMark/>
                      </w:tcPr>
                      <w:p w:rsidR="00472165" w:rsidRPr="00472165" w:rsidP="00472165" w14:paraId="511A4B8A" w14:textId="77777777">
                        <w:pPr>
                          <w:rPr>
                            <w:color w:val="000000"/>
                            <w:sz w:val="20"/>
                          </w:rPr>
                        </w:pPr>
                        <w:r w:rsidRPr="00472165">
                          <w:rPr>
                            <w:color w:val="000000"/>
                            <w:sz w:val="20"/>
                            <w:vertAlign w:val="superscript"/>
                          </w:rPr>
                          <w:t>a</w:t>
                        </w:r>
                        <w:r w:rsidRPr="00472165">
                          <w:rPr>
                            <w:color w:val="000000"/>
                            <w:sz w:val="20"/>
                          </w:rPr>
                          <w:t xml:space="preserve">  We have assumed that there are approximately 29 affected units and that 10% of the existing units will have new construction/reconstruction.</w:t>
                        </w:r>
                      </w:p>
                    </w:tc>
                  </w:tr>
                  <w:tr w14:paraId="254E7E59" w14:textId="77777777" w:rsidTr="00472165">
                    <w:tblPrEx>
                      <w:tblW w:w="12720" w:type="dxa"/>
                      <w:tblLayout w:type="fixed"/>
                      <w:tblLook w:val="04A0"/>
                    </w:tblPrEx>
                    <w:trPr>
                      <w:trHeight w:val="1550"/>
                    </w:trPr>
                    <w:tc>
                      <w:tcPr>
                        <w:tcW w:w="12720" w:type="dxa"/>
                        <w:gridSpan w:val="9"/>
                        <w:tcBorders>
                          <w:top w:val="nil"/>
                          <w:left w:val="nil"/>
                          <w:bottom w:val="nil"/>
                          <w:right w:val="nil"/>
                        </w:tcBorders>
                        <w:shd w:val="clear" w:color="auto" w:fill="auto"/>
                        <w:vAlign w:val="bottom"/>
                        <w:hideMark/>
                      </w:tcPr>
                      <w:p w:rsidR="00472165" w:rsidRPr="00472165" w:rsidP="00472165" w14:paraId="7D28E7B8" w14:textId="77777777">
                        <w:pPr>
                          <w:rPr>
                            <w:color w:val="000000"/>
                            <w:sz w:val="20"/>
                          </w:rPr>
                        </w:pPr>
                        <w:r w:rsidRPr="00472165">
                          <w:rPr>
                            <w:color w:val="000000"/>
                            <w:sz w:val="20"/>
                            <w:vertAlign w:val="superscript"/>
                          </w:rPr>
                          <w:t>b</w:t>
                        </w:r>
                        <w:r w:rsidRPr="00472165">
                          <w:rPr>
                            <w:color w:val="000000"/>
                            <w:sz w:val="20"/>
                          </w:rPr>
                          <w:t xml:space="preserve">  This ICR uses the following labor rates: $161.62 per hour for Executive, Administrative, and Managerial labor; $127.68 per hour for Technical labor, and $64.22 per hour for Clerical labor.  These rates are from the United States Department of Labor, Bureau of Labor Statistics, June 2022, “Table 2. Civilian Workers, by Occupational and Industry group.”  The rates are from column 1, “Total Compensation.”  The rates have been increased by 110 percent to account for the benefit packages available to those employed by private industry.  Archived report releases can be accessed from https://www.bls.gov/bls/news-release/ecec.htm#2021;  from homepage, select Economic Releases, Archived News Releases, Employer Costs for Employee Compensation, Select a past year, Select a published report.</w:t>
                        </w:r>
                      </w:p>
                    </w:tc>
                  </w:tr>
                  <w:tr w14:paraId="1394E7BB" w14:textId="77777777" w:rsidTr="00472165">
                    <w:tblPrEx>
                      <w:tblW w:w="12720" w:type="dxa"/>
                      <w:tblLayout w:type="fixed"/>
                      <w:tblLook w:val="04A0"/>
                    </w:tblPrEx>
                    <w:trPr>
                      <w:trHeight w:val="253"/>
                    </w:trPr>
                    <w:tc>
                      <w:tcPr>
                        <w:tcW w:w="12720" w:type="dxa"/>
                        <w:gridSpan w:val="9"/>
                        <w:tcBorders>
                          <w:top w:val="nil"/>
                          <w:left w:val="nil"/>
                          <w:bottom w:val="nil"/>
                          <w:right w:val="nil"/>
                        </w:tcBorders>
                        <w:shd w:val="clear" w:color="auto" w:fill="auto"/>
                        <w:vAlign w:val="center"/>
                        <w:hideMark/>
                      </w:tcPr>
                      <w:p w:rsidR="00472165" w:rsidRPr="00472165" w:rsidP="00472165" w14:paraId="4F51E397" w14:textId="77777777">
                        <w:pPr>
                          <w:rPr>
                            <w:color w:val="000000"/>
                            <w:sz w:val="20"/>
                          </w:rPr>
                        </w:pPr>
                        <w:r w:rsidRPr="00472165">
                          <w:rPr>
                            <w:color w:val="000000"/>
                            <w:sz w:val="20"/>
                            <w:vertAlign w:val="superscript"/>
                          </w:rPr>
                          <w:t>c</w:t>
                        </w:r>
                        <w:r w:rsidRPr="00472165">
                          <w:rPr>
                            <w:color w:val="000000"/>
                            <w:sz w:val="20"/>
                          </w:rPr>
                          <w:t xml:space="preserve">  New boilers test for NOx. We have assumed that 5 percent of respondents would repeat initial performance test due to failure.</w:t>
                        </w:r>
                      </w:p>
                    </w:tc>
                  </w:tr>
                  <w:tr w14:paraId="2F6FB82D" w14:textId="77777777" w:rsidTr="00472165">
                    <w:tblPrEx>
                      <w:tblW w:w="12720" w:type="dxa"/>
                      <w:tblLayout w:type="fixed"/>
                      <w:tblLook w:val="04A0"/>
                    </w:tblPrEx>
                    <w:trPr>
                      <w:trHeight w:val="673"/>
                    </w:trPr>
                    <w:tc>
                      <w:tcPr>
                        <w:tcW w:w="12720" w:type="dxa"/>
                        <w:gridSpan w:val="9"/>
                        <w:tcBorders>
                          <w:top w:val="nil"/>
                          <w:left w:val="nil"/>
                          <w:bottom w:val="nil"/>
                          <w:right w:val="nil"/>
                        </w:tcBorders>
                        <w:shd w:val="clear" w:color="auto" w:fill="auto"/>
                        <w:vAlign w:val="center"/>
                        <w:hideMark/>
                      </w:tcPr>
                      <w:p w:rsidR="00472165" w:rsidRPr="00472165" w:rsidP="00472165" w14:paraId="528ABC89" w14:textId="77777777">
                        <w:pPr>
                          <w:rPr>
                            <w:sz w:val="20"/>
                          </w:rPr>
                        </w:pPr>
                        <w:r w:rsidRPr="00472165">
                          <w:rPr>
                            <w:sz w:val="20"/>
                            <w:vertAlign w:val="superscript"/>
                          </w:rPr>
                          <w:t>d</w:t>
                        </w:r>
                        <w:r w:rsidRPr="00472165">
                          <w:rPr>
                            <w:sz w:val="20"/>
                          </w:rPr>
                          <w:t xml:space="preserve">  The rule requires existing boilers to conduct an initial compliance test within 90 days from the installation of the pollution control equipment used to comply with the NOx emission limits. We have assumed that 5 percent of respondents would repeat annual performance test due to failure.</w:t>
                        </w:r>
                      </w:p>
                    </w:tc>
                  </w:tr>
                  <w:tr w14:paraId="57DC5AF1" w14:textId="77777777" w:rsidTr="00472165">
                    <w:tblPrEx>
                      <w:tblW w:w="12720" w:type="dxa"/>
                      <w:tblLayout w:type="fixed"/>
                      <w:tblLook w:val="04A0"/>
                    </w:tblPrEx>
                    <w:trPr>
                      <w:trHeight w:val="230"/>
                    </w:trPr>
                    <w:tc>
                      <w:tcPr>
                        <w:tcW w:w="12720" w:type="dxa"/>
                        <w:gridSpan w:val="9"/>
                        <w:tcBorders>
                          <w:top w:val="nil"/>
                          <w:left w:val="nil"/>
                          <w:bottom w:val="nil"/>
                          <w:right w:val="nil"/>
                        </w:tcBorders>
                        <w:shd w:val="clear" w:color="auto" w:fill="auto"/>
                        <w:hideMark/>
                      </w:tcPr>
                      <w:p w:rsidR="00472165" w:rsidRPr="00472165" w:rsidP="00472165" w14:paraId="6BF9591B" w14:textId="77777777">
                        <w:pPr>
                          <w:rPr>
                            <w:color w:val="000000"/>
                            <w:sz w:val="20"/>
                          </w:rPr>
                        </w:pPr>
                        <w:r w:rsidRPr="00472165">
                          <w:rPr>
                            <w:color w:val="000000"/>
                            <w:sz w:val="20"/>
                            <w:vertAlign w:val="superscript"/>
                          </w:rPr>
                          <w:t>e</w:t>
                        </w:r>
                        <w:r w:rsidRPr="00472165">
                          <w:rPr>
                            <w:color w:val="000000"/>
                            <w:sz w:val="20"/>
                          </w:rPr>
                          <w:t xml:space="preserve">  Totals have been rounded to 3 significant figures.  Figures may not add exactly due to rounding.</w:t>
                        </w:r>
                      </w:p>
                    </w:tc>
                  </w:tr>
                </w:tbl>
                <w:p w:rsidR="00036248" w:rsidP="005C2AC7" w14:paraId="412D1569" w14:textId="77777777">
                  <w:pPr>
                    <w:rPr>
                      <w:b/>
                      <w:bCs/>
                      <w:szCs w:val="24"/>
                    </w:rPr>
                  </w:pPr>
                </w:p>
                <w:p w:rsidR="002F1697" w:rsidP="00036248" w14:paraId="0AF012A4" w14:textId="77777777">
                  <w:pPr>
                    <w:rPr>
                      <w:b/>
                      <w:bCs/>
                      <w:szCs w:val="24"/>
                    </w:rPr>
                  </w:pPr>
                </w:p>
                <w:p w:rsidR="00036248" w:rsidP="00036248" w14:paraId="5D44225D" w14:textId="3707CB96">
                  <w:pPr>
                    <w:rPr>
                      <w:b/>
                      <w:bCs/>
                      <w:szCs w:val="24"/>
                    </w:rPr>
                  </w:pPr>
                  <w:r w:rsidRPr="00D17F6A">
                    <w:rPr>
                      <w:b/>
                      <w:bCs/>
                      <w:szCs w:val="24"/>
                    </w:rPr>
                    <w:t xml:space="preserve">Table </w:t>
                  </w:r>
                  <w:r w:rsidR="00CD3BBE">
                    <w:rPr>
                      <w:b/>
                      <w:bCs/>
                      <w:szCs w:val="24"/>
                    </w:rPr>
                    <w:t>8</w:t>
                  </w:r>
                  <w:r w:rsidRPr="00D17F6A">
                    <w:rPr>
                      <w:b/>
                      <w:bCs/>
                      <w:szCs w:val="24"/>
                    </w:rPr>
                    <w:t xml:space="preserve">: </w:t>
                  </w:r>
                  <w:r>
                    <w:rPr>
                      <w:b/>
                      <w:bCs/>
                      <w:szCs w:val="24"/>
                    </w:rPr>
                    <w:t xml:space="preserve">Annual </w:t>
                  </w:r>
                  <w:r w:rsidRPr="00D17F6A">
                    <w:rPr>
                      <w:b/>
                      <w:bCs/>
                      <w:szCs w:val="24"/>
                    </w:rPr>
                    <w:t xml:space="preserve">Respondent Burden and Cost – </w:t>
                  </w:r>
                  <w:r>
                    <w:rPr>
                      <w:b/>
                      <w:bCs/>
                      <w:szCs w:val="24"/>
                    </w:rPr>
                    <w:t>Iron and Steel Mills and Ferroalloy Manufacturing</w:t>
                  </w:r>
                  <w:r w:rsidRPr="00D17F6A">
                    <w:rPr>
                      <w:b/>
                      <w:bCs/>
                      <w:szCs w:val="24"/>
                    </w:rPr>
                    <w:t xml:space="preserve">, </w:t>
                  </w:r>
                  <w:r>
                    <w:rPr>
                      <w:b/>
                      <w:bCs/>
                      <w:szCs w:val="24"/>
                    </w:rPr>
                    <w:t>Year 2</w:t>
                  </w:r>
                </w:p>
                <w:p w:rsidR="002F1697" w:rsidP="00036248" w14:paraId="411A0133" w14:textId="77777777">
                  <w:pPr>
                    <w:rPr>
                      <w:b/>
                      <w:bCs/>
                      <w:szCs w:val="24"/>
                    </w:rPr>
                  </w:pPr>
                </w:p>
                <w:tbl>
                  <w:tblPr>
                    <w:tblW w:w="12760" w:type="dxa"/>
                    <w:tblLayout w:type="fixed"/>
                    <w:tblLook w:val="04A0"/>
                  </w:tblPr>
                  <w:tblGrid>
                    <w:gridCol w:w="2800"/>
                    <w:gridCol w:w="1120"/>
                    <w:gridCol w:w="1320"/>
                    <w:gridCol w:w="1240"/>
                    <w:gridCol w:w="1340"/>
                    <w:gridCol w:w="1160"/>
                    <w:gridCol w:w="1280"/>
                    <w:gridCol w:w="1260"/>
                    <w:gridCol w:w="1240"/>
                  </w:tblGrid>
                  <w:tr w14:paraId="1C5AD791" w14:textId="77777777" w:rsidTr="00472165">
                    <w:tblPrEx>
                      <w:tblW w:w="12760" w:type="dxa"/>
                      <w:tblLayout w:type="fixed"/>
                      <w:tblLook w:val="04A0"/>
                    </w:tblPrEx>
                    <w:trPr>
                      <w:trHeight w:val="1300"/>
                    </w:trPr>
                    <w:tc>
                      <w:tcPr>
                        <w:tcW w:w="2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165" w:rsidRPr="00472165" w:rsidP="00472165" w14:paraId="60A5C889" w14:textId="77777777">
                        <w:pPr>
                          <w:jc w:val="center"/>
                          <w:rPr>
                            <w:b/>
                            <w:bCs/>
                            <w:color w:val="000000"/>
                            <w:sz w:val="20"/>
                          </w:rPr>
                        </w:pPr>
                        <w:r w:rsidRPr="00472165">
                          <w:rPr>
                            <w:b/>
                            <w:bCs/>
                            <w:color w:val="000000"/>
                            <w:sz w:val="20"/>
                          </w:rPr>
                          <w:t>Burden Item</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472165" w:rsidRPr="00472165" w:rsidP="00472165" w14:paraId="530B16DF" w14:textId="77777777">
                        <w:pPr>
                          <w:jc w:val="center"/>
                          <w:rPr>
                            <w:color w:val="000000"/>
                            <w:sz w:val="20"/>
                          </w:rPr>
                        </w:pPr>
                        <w:r w:rsidRPr="00472165">
                          <w:rPr>
                            <w:color w:val="000000"/>
                            <w:sz w:val="20"/>
                          </w:rPr>
                          <w:t>(A)</w:t>
                        </w:r>
                        <w:r w:rsidRPr="00472165">
                          <w:rPr>
                            <w:color w:val="000000"/>
                            <w:sz w:val="20"/>
                          </w:rPr>
                          <w:br/>
                        </w:r>
                        <w:r w:rsidRPr="00472165">
                          <w:rPr>
                            <w:color w:val="000000"/>
                            <w:sz w:val="20"/>
                          </w:rPr>
                          <w:t>Hours per Occurrence</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472165" w:rsidRPr="00472165" w:rsidP="00472165" w14:paraId="6B794073" w14:textId="77777777">
                        <w:pPr>
                          <w:jc w:val="center"/>
                          <w:rPr>
                            <w:sz w:val="20"/>
                          </w:rPr>
                        </w:pPr>
                        <w:r w:rsidRPr="00472165">
                          <w:rPr>
                            <w:sz w:val="20"/>
                          </w:rPr>
                          <w:t>(B)</w:t>
                        </w:r>
                        <w:r w:rsidRPr="00472165">
                          <w:rPr>
                            <w:sz w:val="20"/>
                          </w:rPr>
                          <w:br/>
                        </w:r>
                        <w:r w:rsidRPr="00472165">
                          <w:rPr>
                            <w:sz w:val="20"/>
                          </w:rPr>
                          <w:t>Occurrences/ Respondent/ Year</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472165" w:rsidRPr="00472165" w:rsidP="00472165" w14:paraId="25AA7B02" w14:textId="77777777">
                        <w:pPr>
                          <w:jc w:val="center"/>
                          <w:rPr>
                            <w:color w:val="000000"/>
                            <w:sz w:val="20"/>
                          </w:rPr>
                        </w:pPr>
                        <w:r w:rsidRPr="00472165">
                          <w:rPr>
                            <w:color w:val="000000"/>
                            <w:sz w:val="20"/>
                          </w:rPr>
                          <w:t>(C)</w:t>
                        </w:r>
                        <w:r w:rsidRPr="00472165">
                          <w:rPr>
                            <w:color w:val="000000"/>
                            <w:sz w:val="20"/>
                          </w:rPr>
                          <w:br/>
                        </w:r>
                        <w:r w:rsidRPr="00472165">
                          <w:rPr>
                            <w:color w:val="000000"/>
                            <w:sz w:val="20"/>
                          </w:rPr>
                          <w:t xml:space="preserve">Hours/ Respondent/ Year </w:t>
                        </w:r>
                        <w:r w:rsidRPr="00472165">
                          <w:rPr>
                            <w:color w:val="000000"/>
                            <w:sz w:val="20"/>
                          </w:rPr>
                          <w:br/>
                        </w:r>
                        <w:r w:rsidRPr="00472165">
                          <w:rPr>
                            <w:color w:val="000000"/>
                            <w:sz w:val="20"/>
                          </w:rPr>
                          <w:t>(A x B)</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472165" w:rsidRPr="00472165" w:rsidP="00472165" w14:paraId="183DBFB0" w14:textId="77777777">
                        <w:pPr>
                          <w:jc w:val="center"/>
                          <w:rPr>
                            <w:sz w:val="20"/>
                          </w:rPr>
                        </w:pPr>
                        <w:r w:rsidRPr="00472165">
                          <w:rPr>
                            <w:sz w:val="20"/>
                          </w:rPr>
                          <w:t>(D)</w:t>
                        </w:r>
                        <w:r w:rsidRPr="00472165">
                          <w:rPr>
                            <w:sz w:val="20"/>
                          </w:rPr>
                          <w:br/>
                        </w:r>
                        <w:r w:rsidRPr="00472165">
                          <w:rPr>
                            <w:sz w:val="20"/>
                          </w:rPr>
                          <w:t>Respondents/</w:t>
                        </w:r>
                        <w:r w:rsidRPr="00472165">
                          <w:rPr>
                            <w:sz w:val="20"/>
                          </w:rPr>
                          <w:br/>
                        </w:r>
                        <w:r w:rsidRPr="00472165">
                          <w:rPr>
                            <w:sz w:val="20"/>
                          </w:rPr>
                          <w:t>Year</w:t>
                        </w:r>
                        <w:r w:rsidRPr="00472165">
                          <w:rPr>
                            <w:sz w:val="20"/>
                            <w:vertAlign w:val="superscript"/>
                          </w:rPr>
                          <w:t>a</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472165" w:rsidRPr="00472165" w:rsidP="00472165" w14:paraId="13EF931D" w14:textId="77777777">
                        <w:pPr>
                          <w:jc w:val="center"/>
                          <w:rPr>
                            <w:color w:val="000000"/>
                            <w:sz w:val="20"/>
                          </w:rPr>
                        </w:pPr>
                        <w:r w:rsidRPr="00472165">
                          <w:rPr>
                            <w:color w:val="000000"/>
                            <w:sz w:val="20"/>
                          </w:rPr>
                          <w:t>(E)</w:t>
                        </w:r>
                        <w:r w:rsidRPr="00472165">
                          <w:rPr>
                            <w:color w:val="000000"/>
                            <w:sz w:val="20"/>
                          </w:rPr>
                          <w:br/>
                        </w:r>
                        <w:r w:rsidRPr="00472165">
                          <w:rPr>
                            <w:color w:val="000000"/>
                            <w:sz w:val="20"/>
                          </w:rPr>
                          <w:t xml:space="preserve">Technical Hours/Year </w:t>
                        </w:r>
                        <w:r w:rsidRPr="00472165">
                          <w:rPr>
                            <w:color w:val="000000"/>
                            <w:sz w:val="20"/>
                          </w:rPr>
                          <w:br/>
                        </w:r>
                        <w:r w:rsidRPr="00472165">
                          <w:rPr>
                            <w:color w:val="000000"/>
                            <w:sz w:val="20"/>
                          </w:rPr>
                          <w:t>(C x D)</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472165" w:rsidRPr="00472165" w:rsidP="00472165" w14:paraId="68EB80A5" w14:textId="77777777">
                        <w:pPr>
                          <w:jc w:val="center"/>
                          <w:rPr>
                            <w:color w:val="000000"/>
                            <w:sz w:val="20"/>
                          </w:rPr>
                        </w:pPr>
                        <w:r w:rsidRPr="00472165">
                          <w:rPr>
                            <w:color w:val="000000"/>
                            <w:sz w:val="20"/>
                          </w:rPr>
                          <w:t xml:space="preserve">(F) Managerial Hours/Year </w:t>
                        </w:r>
                        <w:r w:rsidRPr="00472165">
                          <w:rPr>
                            <w:color w:val="000000"/>
                            <w:sz w:val="20"/>
                          </w:rPr>
                          <w:br/>
                        </w:r>
                        <w:r w:rsidRPr="00472165">
                          <w:rPr>
                            <w:color w:val="000000"/>
                            <w:sz w:val="20"/>
                          </w:rPr>
                          <w:t>(E x 0.05)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472165" w:rsidRPr="00472165" w:rsidP="00472165" w14:paraId="2DB3343A" w14:textId="77777777">
                        <w:pPr>
                          <w:jc w:val="center"/>
                          <w:rPr>
                            <w:color w:val="000000"/>
                            <w:sz w:val="20"/>
                          </w:rPr>
                        </w:pPr>
                        <w:r w:rsidRPr="00472165">
                          <w:rPr>
                            <w:color w:val="000000"/>
                            <w:sz w:val="20"/>
                          </w:rPr>
                          <w:t xml:space="preserve">(G) </w:t>
                        </w:r>
                        <w:r w:rsidRPr="00472165">
                          <w:rPr>
                            <w:color w:val="000000"/>
                            <w:sz w:val="20"/>
                          </w:rPr>
                          <w:br/>
                        </w:r>
                        <w:r w:rsidRPr="00472165">
                          <w:rPr>
                            <w:color w:val="000000"/>
                            <w:sz w:val="20"/>
                          </w:rPr>
                          <w:t xml:space="preserve">Clerical Hours/Year </w:t>
                        </w:r>
                        <w:r w:rsidRPr="00472165">
                          <w:rPr>
                            <w:color w:val="000000"/>
                            <w:sz w:val="20"/>
                          </w:rPr>
                          <w:br/>
                        </w:r>
                        <w:r w:rsidRPr="00472165">
                          <w:rPr>
                            <w:color w:val="000000"/>
                            <w:sz w:val="20"/>
                          </w:rPr>
                          <w:t>(E x 0.10)</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472165" w:rsidRPr="00472165" w:rsidP="00472165" w14:paraId="4EE75954" w14:textId="77777777">
                        <w:pPr>
                          <w:jc w:val="center"/>
                          <w:rPr>
                            <w:color w:val="000000"/>
                            <w:sz w:val="20"/>
                          </w:rPr>
                        </w:pPr>
                        <w:r w:rsidRPr="00472165">
                          <w:rPr>
                            <w:color w:val="000000"/>
                            <w:sz w:val="20"/>
                          </w:rPr>
                          <w:t>(H)</w:t>
                        </w:r>
                        <w:r w:rsidRPr="00472165">
                          <w:rPr>
                            <w:color w:val="000000"/>
                            <w:sz w:val="20"/>
                          </w:rPr>
                          <w:br/>
                        </w:r>
                        <w:r w:rsidRPr="00472165">
                          <w:rPr>
                            <w:color w:val="000000"/>
                            <w:sz w:val="20"/>
                          </w:rPr>
                          <w:t>Cost/ Year</w:t>
                        </w:r>
                        <w:r w:rsidRPr="00472165">
                          <w:rPr>
                            <w:color w:val="000000"/>
                            <w:sz w:val="20"/>
                            <w:vertAlign w:val="superscript"/>
                          </w:rPr>
                          <w:t>b</w:t>
                        </w:r>
                      </w:p>
                    </w:tc>
                  </w:tr>
                  <w:tr w14:paraId="1E99F206" w14:textId="77777777" w:rsidTr="00472165">
                    <w:tblPrEx>
                      <w:tblW w:w="12760" w:type="dxa"/>
                      <w:tblLayout w:type="fixed"/>
                      <w:tblLook w:val="04A0"/>
                    </w:tblPrEx>
                    <w:trPr>
                      <w:trHeight w:val="44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640C864D" w14:textId="77777777">
                        <w:pPr>
                          <w:rPr>
                            <w:color w:val="000000"/>
                            <w:sz w:val="20"/>
                          </w:rPr>
                        </w:pPr>
                        <w:r w:rsidRPr="00472165">
                          <w:rPr>
                            <w:color w:val="000000"/>
                            <w:sz w:val="20"/>
                          </w:rPr>
                          <w:t xml:space="preserve">1. APPLICATIONS </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4F8933C1" w14:textId="77777777">
                        <w:pPr>
                          <w:jc w:val="center"/>
                          <w:rPr>
                            <w:color w:val="000000"/>
                            <w:sz w:val="20"/>
                          </w:rPr>
                        </w:pPr>
                        <w:r w:rsidRPr="00472165">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5D934FA6" w14:textId="77777777">
                        <w:pPr>
                          <w:jc w:val="right"/>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776379A7"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3E3F0084" w14:textId="77777777">
                        <w:pPr>
                          <w:jc w:val="right"/>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1203A3BE" w14:textId="77777777">
                        <w:pPr>
                          <w:jc w:val="right"/>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30AD770F" w14:textId="77777777">
                        <w:pPr>
                          <w:jc w:val="right"/>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09BD356C" w14:textId="77777777">
                        <w:pPr>
                          <w:jc w:val="right"/>
                          <w:rPr>
                            <w:color w:val="000000"/>
                            <w:sz w:val="20"/>
                          </w:rPr>
                        </w:pPr>
                        <w:r w:rsidRPr="00472165">
                          <w:rPr>
                            <w:color w:val="00000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3AB721D6" w14:textId="77777777">
                        <w:pPr>
                          <w:jc w:val="right"/>
                          <w:rPr>
                            <w:color w:val="000000"/>
                            <w:sz w:val="20"/>
                          </w:rPr>
                        </w:pPr>
                        <w:r w:rsidRPr="00472165">
                          <w:rPr>
                            <w:color w:val="000000"/>
                            <w:sz w:val="20"/>
                          </w:rPr>
                          <w:t> </w:t>
                        </w:r>
                      </w:p>
                    </w:tc>
                  </w:tr>
                  <w:tr w14:paraId="30AD30B5" w14:textId="77777777" w:rsidTr="00472165">
                    <w:tblPrEx>
                      <w:tblW w:w="12760" w:type="dxa"/>
                      <w:tblLayout w:type="fixed"/>
                      <w:tblLook w:val="04A0"/>
                    </w:tblPrEx>
                    <w:trPr>
                      <w:trHeight w:val="1273"/>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12E69D82" w14:textId="77777777">
                        <w:pPr>
                          <w:rPr>
                            <w:color w:val="000000"/>
                            <w:sz w:val="20"/>
                          </w:rPr>
                        </w:pPr>
                        <w:r w:rsidRPr="00472165">
                          <w:rPr>
                            <w:color w:val="000000"/>
                            <w:sz w:val="20"/>
                          </w:rPr>
                          <w:t xml:space="preserve">2. SURVEY AND STUDIES </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34354916" w14:textId="77777777">
                        <w:pPr>
                          <w:jc w:val="center"/>
                          <w:rPr>
                            <w:color w:val="000000"/>
                            <w:sz w:val="20"/>
                          </w:rPr>
                        </w:pPr>
                        <w:r w:rsidRPr="00472165">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7B41A80E" w14:textId="77777777">
                        <w:pPr>
                          <w:jc w:val="right"/>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20D923D7"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4540A13C" w14:textId="77777777">
                        <w:pPr>
                          <w:jc w:val="right"/>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5B764221" w14:textId="77777777">
                        <w:pPr>
                          <w:jc w:val="right"/>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62D3C2D4" w14:textId="77777777">
                        <w:pPr>
                          <w:jc w:val="right"/>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70E62CDC" w14:textId="77777777">
                        <w:pPr>
                          <w:jc w:val="right"/>
                          <w:rPr>
                            <w:color w:val="000000"/>
                            <w:sz w:val="20"/>
                          </w:rPr>
                        </w:pPr>
                        <w:r w:rsidRPr="00472165">
                          <w:rPr>
                            <w:color w:val="00000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4953D8B3" w14:textId="77777777">
                        <w:pPr>
                          <w:jc w:val="right"/>
                          <w:rPr>
                            <w:color w:val="000000"/>
                            <w:sz w:val="20"/>
                          </w:rPr>
                        </w:pPr>
                        <w:r w:rsidRPr="00472165">
                          <w:rPr>
                            <w:color w:val="000000"/>
                            <w:sz w:val="20"/>
                          </w:rPr>
                          <w:t> </w:t>
                        </w:r>
                      </w:p>
                    </w:tc>
                  </w:tr>
                  <w:tr w14:paraId="46D79727" w14:textId="77777777" w:rsidTr="00472165">
                    <w:tblPrEx>
                      <w:tblW w:w="12760" w:type="dxa"/>
                      <w:tblLayout w:type="fixed"/>
                      <w:tblLook w:val="04A0"/>
                    </w:tblPrEx>
                    <w:trPr>
                      <w:trHeight w:val="99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7F3255E2" w14:textId="77777777">
                        <w:pPr>
                          <w:rPr>
                            <w:color w:val="000000"/>
                            <w:sz w:val="20"/>
                          </w:rPr>
                        </w:pPr>
                        <w:r w:rsidRPr="00472165">
                          <w:rPr>
                            <w:color w:val="000000"/>
                            <w:sz w:val="20"/>
                          </w:rPr>
                          <w:t>3.ACQUISITION, INSTALLATION, AND UTILIZATION OF TECHNOLOGY AND SYSTEMS</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4915BFE7" w14:textId="77777777">
                        <w:pPr>
                          <w:jc w:val="center"/>
                          <w:rPr>
                            <w:color w:val="000000"/>
                            <w:sz w:val="20"/>
                          </w:rPr>
                        </w:pPr>
                        <w:r w:rsidRPr="00472165">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626FE40C" w14:textId="77777777">
                        <w:pPr>
                          <w:jc w:val="center"/>
                          <w:rPr>
                            <w:sz w:val="20"/>
                          </w:rPr>
                        </w:pPr>
                        <w:r w:rsidRPr="00472165">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798C861C" w14:textId="77777777">
                        <w:pPr>
                          <w:jc w:val="center"/>
                          <w:rPr>
                            <w:color w:val="000000"/>
                            <w:sz w:val="20"/>
                          </w:rPr>
                        </w:pPr>
                        <w:r w:rsidRPr="00472165">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1F01D3A4" w14:textId="77777777">
                        <w:pPr>
                          <w:jc w:val="center"/>
                          <w:rPr>
                            <w:sz w:val="20"/>
                          </w:rPr>
                        </w:pPr>
                        <w:r w:rsidRPr="00472165">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2420EA9C" w14:textId="77777777">
                        <w:pPr>
                          <w:jc w:val="center"/>
                          <w:rPr>
                            <w:color w:val="000000"/>
                            <w:sz w:val="20"/>
                          </w:rPr>
                        </w:pPr>
                        <w:r w:rsidRPr="00472165">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1DD526B6" w14:textId="77777777">
                        <w:pPr>
                          <w:jc w:val="center"/>
                          <w:rPr>
                            <w:color w:val="000000"/>
                            <w:sz w:val="20"/>
                          </w:rPr>
                        </w:pPr>
                        <w:r w:rsidRPr="0047216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153AC4E6" w14:textId="77777777">
                        <w:pPr>
                          <w:jc w:val="center"/>
                          <w:rPr>
                            <w:color w:val="000000"/>
                            <w:sz w:val="20"/>
                          </w:rPr>
                        </w:pPr>
                        <w:r w:rsidRPr="00472165">
                          <w:rPr>
                            <w:color w:val="000000"/>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0AA0688D" w14:textId="77777777">
                        <w:pPr>
                          <w:jc w:val="right"/>
                          <w:rPr>
                            <w:color w:val="000000"/>
                            <w:sz w:val="20"/>
                          </w:rPr>
                        </w:pPr>
                        <w:r w:rsidRPr="00472165">
                          <w:rPr>
                            <w:color w:val="000000"/>
                            <w:sz w:val="20"/>
                          </w:rPr>
                          <w:t xml:space="preserve">$0 </w:t>
                        </w:r>
                      </w:p>
                    </w:tc>
                  </w:tr>
                  <w:tr w14:paraId="3F40BECD" w14:textId="77777777" w:rsidTr="00472165">
                    <w:tblPrEx>
                      <w:tblW w:w="12760" w:type="dxa"/>
                      <w:tblLayout w:type="fixed"/>
                      <w:tblLook w:val="04A0"/>
                    </w:tblPrEx>
                    <w:trPr>
                      <w:trHeight w:val="35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57CE9A45" w14:textId="77777777">
                        <w:pPr>
                          <w:rPr>
                            <w:color w:val="000000"/>
                            <w:sz w:val="20"/>
                          </w:rPr>
                        </w:pPr>
                        <w:r w:rsidRPr="00472165">
                          <w:rPr>
                            <w:color w:val="000000"/>
                            <w:sz w:val="20"/>
                          </w:rPr>
                          <w:t>4. REPORT REQUIREMENTS</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2C012082" w14:textId="77777777">
                        <w:pPr>
                          <w:jc w:val="center"/>
                          <w:rPr>
                            <w:color w:val="000000"/>
                            <w:sz w:val="20"/>
                          </w:rPr>
                        </w:pPr>
                        <w:r w:rsidRPr="00472165">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4248F417" w14:textId="77777777">
                        <w:pPr>
                          <w:jc w:val="center"/>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03C90088" w14:textId="77777777">
                        <w:pPr>
                          <w:jc w:val="center"/>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512623A4" w14:textId="77777777">
                        <w:pPr>
                          <w:jc w:val="center"/>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3F323A4C" w14:textId="77777777">
                        <w:pPr>
                          <w:jc w:val="center"/>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04F348C9" w14:textId="77777777">
                        <w:pPr>
                          <w:jc w:val="center"/>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043BEBF7" w14:textId="77777777">
                        <w:pPr>
                          <w:jc w:val="center"/>
                          <w:rPr>
                            <w:color w:val="000000"/>
                            <w:sz w:val="20"/>
                          </w:rPr>
                        </w:pPr>
                        <w:r w:rsidRPr="00472165">
                          <w:rPr>
                            <w:color w:val="00000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09D804E7" w14:textId="77777777">
                        <w:pPr>
                          <w:jc w:val="right"/>
                          <w:rPr>
                            <w:color w:val="000000"/>
                            <w:sz w:val="20"/>
                          </w:rPr>
                        </w:pPr>
                        <w:r w:rsidRPr="00472165">
                          <w:rPr>
                            <w:color w:val="000000"/>
                            <w:sz w:val="20"/>
                          </w:rPr>
                          <w:t> </w:t>
                        </w:r>
                      </w:p>
                    </w:tc>
                  </w:tr>
                  <w:tr w14:paraId="7F4ACAA0" w14:textId="77777777" w:rsidTr="00472165">
                    <w:tblPrEx>
                      <w:tblW w:w="12760" w:type="dxa"/>
                      <w:tblLayout w:type="fixed"/>
                      <w:tblLook w:val="04A0"/>
                    </w:tblPrEx>
                    <w:trPr>
                      <w:trHeight w:val="52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31E490BF" w14:textId="77777777">
                        <w:pPr>
                          <w:rPr>
                            <w:color w:val="000000"/>
                            <w:sz w:val="20"/>
                          </w:rPr>
                        </w:pPr>
                        <w:r w:rsidRPr="00472165">
                          <w:rPr>
                            <w:color w:val="000000"/>
                            <w:sz w:val="20"/>
                          </w:rPr>
                          <w:t>A. Familiarize with regulatory requirement</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2891B3CC" w14:textId="77777777">
                        <w:pPr>
                          <w:jc w:val="center"/>
                          <w:rPr>
                            <w:color w:val="000000"/>
                            <w:sz w:val="20"/>
                          </w:rPr>
                        </w:pPr>
                        <w:r w:rsidRPr="00472165">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78AB6CBA" w14:textId="77777777">
                        <w:pPr>
                          <w:jc w:val="center"/>
                          <w:rPr>
                            <w:sz w:val="20"/>
                          </w:rPr>
                        </w:pPr>
                        <w:r w:rsidRPr="00472165">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637710AE" w14:textId="77777777">
                        <w:pPr>
                          <w:jc w:val="center"/>
                          <w:rPr>
                            <w:color w:val="000000"/>
                            <w:sz w:val="20"/>
                          </w:rPr>
                        </w:pPr>
                        <w:r w:rsidRPr="00472165">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69C7DFD1" w14:textId="77777777">
                        <w:pPr>
                          <w:jc w:val="center"/>
                          <w:rPr>
                            <w:sz w:val="20"/>
                          </w:rPr>
                        </w:pPr>
                        <w:r w:rsidRPr="00472165">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33E23163" w14:textId="77777777">
                        <w:pPr>
                          <w:jc w:val="center"/>
                          <w:rPr>
                            <w:color w:val="000000"/>
                            <w:sz w:val="20"/>
                          </w:rPr>
                        </w:pPr>
                        <w:r w:rsidRPr="00472165">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078D825A" w14:textId="77777777">
                        <w:pPr>
                          <w:jc w:val="center"/>
                          <w:rPr>
                            <w:color w:val="000000"/>
                            <w:sz w:val="20"/>
                          </w:rPr>
                        </w:pPr>
                        <w:r w:rsidRPr="0047216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5ACE72F0" w14:textId="77777777">
                        <w:pPr>
                          <w:jc w:val="center"/>
                          <w:rPr>
                            <w:color w:val="000000"/>
                            <w:sz w:val="20"/>
                          </w:rPr>
                        </w:pPr>
                        <w:r w:rsidRPr="00472165">
                          <w:rPr>
                            <w:color w:val="000000"/>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3D1C3C87" w14:textId="77777777">
                        <w:pPr>
                          <w:jc w:val="right"/>
                          <w:rPr>
                            <w:color w:val="000000"/>
                            <w:sz w:val="20"/>
                          </w:rPr>
                        </w:pPr>
                        <w:r w:rsidRPr="00472165">
                          <w:rPr>
                            <w:color w:val="000000"/>
                            <w:sz w:val="20"/>
                          </w:rPr>
                          <w:t xml:space="preserve">$0.00 </w:t>
                        </w:r>
                      </w:p>
                    </w:tc>
                  </w:tr>
                  <w:tr w14:paraId="22DA5D6E" w14:textId="77777777" w:rsidTr="00472165">
                    <w:tblPrEx>
                      <w:tblW w:w="12760" w:type="dxa"/>
                      <w:tblLayout w:type="fixed"/>
                      <w:tblLook w:val="04A0"/>
                    </w:tblPrEx>
                    <w:trPr>
                      <w:trHeight w:val="61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734C562E" w14:textId="77777777">
                        <w:pPr>
                          <w:rPr>
                            <w:color w:val="000000"/>
                            <w:sz w:val="20"/>
                          </w:rPr>
                        </w:pPr>
                        <w:r w:rsidRPr="00472165">
                          <w:rPr>
                            <w:color w:val="000000"/>
                            <w:sz w:val="20"/>
                          </w:rPr>
                          <w:t>B. Required Activities</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52931EDE" w14:textId="77777777">
                        <w:pPr>
                          <w:jc w:val="center"/>
                          <w:rPr>
                            <w:color w:val="000000"/>
                            <w:sz w:val="20"/>
                          </w:rPr>
                        </w:pPr>
                        <w:r w:rsidRPr="00472165">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711403BC" w14:textId="77777777">
                        <w:pPr>
                          <w:jc w:val="center"/>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27E04261" w14:textId="77777777">
                        <w:pPr>
                          <w:jc w:val="center"/>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615F391C" w14:textId="77777777">
                        <w:pPr>
                          <w:jc w:val="center"/>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1D1ED804" w14:textId="77777777">
                        <w:pPr>
                          <w:jc w:val="center"/>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4351DA0F" w14:textId="77777777">
                        <w:pPr>
                          <w:jc w:val="center"/>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36274BAA" w14:textId="77777777">
                        <w:pPr>
                          <w:jc w:val="center"/>
                          <w:rPr>
                            <w:color w:val="000000"/>
                            <w:sz w:val="20"/>
                          </w:rPr>
                        </w:pPr>
                        <w:r w:rsidRPr="00472165">
                          <w:rPr>
                            <w:color w:val="00000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1C8E86E9" w14:textId="77777777">
                        <w:pPr>
                          <w:jc w:val="right"/>
                          <w:rPr>
                            <w:color w:val="000000"/>
                            <w:sz w:val="20"/>
                          </w:rPr>
                        </w:pPr>
                        <w:r w:rsidRPr="00472165">
                          <w:rPr>
                            <w:color w:val="000000"/>
                            <w:sz w:val="20"/>
                          </w:rPr>
                          <w:t> </w:t>
                        </w:r>
                      </w:p>
                    </w:tc>
                  </w:tr>
                  <w:tr w14:paraId="192B40F9" w14:textId="77777777" w:rsidTr="00472165">
                    <w:tblPrEx>
                      <w:tblW w:w="12760" w:type="dxa"/>
                      <w:tblLayout w:type="fixed"/>
                      <w:tblLook w:val="04A0"/>
                    </w:tblPrEx>
                    <w:trPr>
                      <w:trHeight w:val="31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2E3F1510" w14:textId="77777777">
                        <w:pPr>
                          <w:rPr>
                            <w:i/>
                            <w:iCs/>
                            <w:color w:val="000000"/>
                            <w:sz w:val="20"/>
                          </w:rPr>
                        </w:pPr>
                        <w:r w:rsidRPr="00472165">
                          <w:rPr>
                            <w:i/>
                            <w:iCs/>
                            <w:color w:val="000000"/>
                            <w:sz w:val="20"/>
                          </w:rPr>
                          <w:t xml:space="preserve">New Sources - Testing </w:t>
                        </w:r>
                        <w:r w:rsidRPr="00472165">
                          <w:rPr>
                            <w:color w:val="000000"/>
                            <w:sz w:val="20"/>
                            <w:vertAlign w:val="superscript"/>
                          </w:rPr>
                          <w:t>c</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4517C0F5" w14:textId="77777777">
                        <w:pPr>
                          <w:jc w:val="center"/>
                          <w:rPr>
                            <w:color w:val="000000"/>
                            <w:sz w:val="20"/>
                          </w:rPr>
                        </w:pPr>
                        <w:r w:rsidRPr="00472165">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3B524F0C" w14:textId="77777777">
                        <w:pPr>
                          <w:jc w:val="center"/>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5FAF433E" w14:textId="77777777">
                        <w:pPr>
                          <w:jc w:val="center"/>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61B39117" w14:textId="77777777">
                        <w:pPr>
                          <w:jc w:val="center"/>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40D20AF4" w14:textId="77777777">
                        <w:pPr>
                          <w:jc w:val="center"/>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54FB062F" w14:textId="77777777">
                        <w:pPr>
                          <w:jc w:val="center"/>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3D292738" w14:textId="77777777">
                        <w:pPr>
                          <w:jc w:val="center"/>
                          <w:rPr>
                            <w:color w:val="000000"/>
                            <w:sz w:val="20"/>
                          </w:rPr>
                        </w:pPr>
                        <w:r w:rsidRPr="00472165">
                          <w:rPr>
                            <w:color w:val="00000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6ED269A1" w14:textId="77777777">
                        <w:pPr>
                          <w:jc w:val="right"/>
                          <w:rPr>
                            <w:color w:val="000000"/>
                            <w:sz w:val="20"/>
                          </w:rPr>
                        </w:pPr>
                        <w:r w:rsidRPr="00472165">
                          <w:rPr>
                            <w:color w:val="000000"/>
                            <w:sz w:val="20"/>
                          </w:rPr>
                          <w:t> </w:t>
                        </w:r>
                      </w:p>
                    </w:tc>
                  </w:tr>
                  <w:tr w14:paraId="0B9D5C46" w14:textId="77777777" w:rsidTr="00472165">
                    <w:tblPrEx>
                      <w:tblW w:w="12760" w:type="dxa"/>
                      <w:tblLayout w:type="fixed"/>
                      <w:tblLook w:val="04A0"/>
                    </w:tblPrEx>
                    <w:trPr>
                      <w:trHeight w:val="493"/>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2B68511F" w14:textId="77777777">
                        <w:pPr>
                          <w:rPr>
                            <w:sz w:val="20"/>
                          </w:rPr>
                        </w:pPr>
                        <w:r w:rsidRPr="00472165">
                          <w:rPr>
                            <w:sz w:val="20"/>
                          </w:rPr>
                          <w:t>Initial Performance Evaluation of CPMS</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5BFCE2BC" w14:textId="77777777">
                        <w:pPr>
                          <w:jc w:val="center"/>
                          <w:rPr>
                            <w:color w:val="000000"/>
                            <w:sz w:val="20"/>
                          </w:rPr>
                        </w:pPr>
                        <w:r w:rsidRPr="00472165">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0F932349" w14:textId="77777777">
                        <w:pPr>
                          <w:jc w:val="center"/>
                          <w:rPr>
                            <w:sz w:val="20"/>
                          </w:rPr>
                        </w:pPr>
                        <w:r w:rsidRPr="00472165">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1ABD6AF5" w14:textId="77777777">
                        <w:pPr>
                          <w:jc w:val="center"/>
                          <w:rPr>
                            <w:color w:val="000000"/>
                            <w:sz w:val="20"/>
                          </w:rPr>
                        </w:pPr>
                        <w:r w:rsidRPr="00472165">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6FBCFEC2" w14:textId="77777777">
                        <w:pPr>
                          <w:jc w:val="center"/>
                          <w:rPr>
                            <w:sz w:val="20"/>
                          </w:rPr>
                        </w:pPr>
                        <w:r w:rsidRPr="00472165">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40865CCD" w14:textId="77777777">
                        <w:pPr>
                          <w:jc w:val="center"/>
                          <w:rPr>
                            <w:color w:val="000000"/>
                            <w:sz w:val="20"/>
                          </w:rPr>
                        </w:pPr>
                        <w:r w:rsidRPr="00472165">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7DA2F5EB" w14:textId="77777777">
                        <w:pPr>
                          <w:jc w:val="center"/>
                          <w:rPr>
                            <w:color w:val="000000"/>
                            <w:sz w:val="20"/>
                          </w:rPr>
                        </w:pPr>
                        <w:r w:rsidRPr="0047216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6FC12337" w14:textId="77777777">
                        <w:pPr>
                          <w:jc w:val="center"/>
                          <w:rPr>
                            <w:color w:val="000000"/>
                            <w:sz w:val="20"/>
                          </w:rPr>
                        </w:pPr>
                        <w:r w:rsidRPr="00472165">
                          <w:rPr>
                            <w:color w:val="000000"/>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5F70F615" w14:textId="77777777">
                        <w:pPr>
                          <w:jc w:val="right"/>
                          <w:rPr>
                            <w:color w:val="000000"/>
                            <w:sz w:val="20"/>
                          </w:rPr>
                        </w:pPr>
                        <w:r w:rsidRPr="00472165">
                          <w:rPr>
                            <w:color w:val="000000"/>
                            <w:sz w:val="20"/>
                          </w:rPr>
                          <w:t xml:space="preserve">$0.00 </w:t>
                        </w:r>
                      </w:p>
                    </w:tc>
                  </w:tr>
                  <w:tr w14:paraId="1C583BDE" w14:textId="77777777" w:rsidTr="00472165">
                    <w:tblPrEx>
                      <w:tblW w:w="12760" w:type="dxa"/>
                      <w:tblLayout w:type="fixed"/>
                      <w:tblLook w:val="04A0"/>
                    </w:tblPrEx>
                    <w:trPr>
                      <w:trHeight w:val="52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2EE99856" w14:textId="77777777">
                        <w:pPr>
                          <w:rPr>
                            <w:sz w:val="20"/>
                          </w:rPr>
                        </w:pPr>
                        <w:r w:rsidRPr="00472165">
                          <w:rPr>
                            <w:sz w:val="20"/>
                          </w:rPr>
                          <w:t>Repeat Performance Evaluation of CPMS</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5285E9D7" w14:textId="77777777">
                        <w:pPr>
                          <w:jc w:val="center"/>
                          <w:rPr>
                            <w:color w:val="000000"/>
                            <w:sz w:val="20"/>
                          </w:rPr>
                        </w:pPr>
                        <w:r w:rsidRPr="00472165">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7668CBB2" w14:textId="77777777">
                        <w:pPr>
                          <w:jc w:val="center"/>
                          <w:rPr>
                            <w:sz w:val="20"/>
                          </w:rPr>
                        </w:pPr>
                        <w:r w:rsidRPr="00472165">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2D5B6FC4" w14:textId="77777777">
                        <w:pPr>
                          <w:jc w:val="center"/>
                          <w:rPr>
                            <w:color w:val="000000"/>
                            <w:sz w:val="20"/>
                          </w:rPr>
                        </w:pPr>
                        <w:r w:rsidRPr="00472165">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27DB6EAC" w14:textId="77777777">
                        <w:pPr>
                          <w:jc w:val="center"/>
                          <w:rPr>
                            <w:sz w:val="20"/>
                          </w:rPr>
                        </w:pPr>
                        <w:r w:rsidRPr="00472165">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2831865E" w14:textId="77777777">
                        <w:pPr>
                          <w:jc w:val="center"/>
                          <w:rPr>
                            <w:color w:val="000000"/>
                            <w:sz w:val="20"/>
                          </w:rPr>
                        </w:pPr>
                        <w:r w:rsidRPr="00472165">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0EFC7B60" w14:textId="77777777">
                        <w:pPr>
                          <w:jc w:val="center"/>
                          <w:rPr>
                            <w:color w:val="000000"/>
                            <w:sz w:val="20"/>
                          </w:rPr>
                        </w:pPr>
                        <w:r w:rsidRPr="0047216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0715C056" w14:textId="77777777">
                        <w:pPr>
                          <w:jc w:val="center"/>
                          <w:rPr>
                            <w:color w:val="000000"/>
                            <w:sz w:val="20"/>
                          </w:rPr>
                        </w:pPr>
                        <w:r w:rsidRPr="00472165">
                          <w:rPr>
                            <w:color w:val="000000"/>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68804808" w14:textId="77777777">
                        <w:pPr>
                          <w:jc w:val="right"/>
                          <w:rPr>
                            <w:color w:val="000000"/>
                            <w:sz w:val="20"/>
                          </w:rPr>
                        </w:pPr>
                        <w:r w:rsidRPr="00472165">
                          <w:rPr>
                            <w:color w:val="000000"/>
                            <w:sz w:val="20"/>
                          </w:rPr>
                          <w:t xml:space="preserve">$0.00 </w:t>
                        </w:r>
                      </w:p>
                    </w:tc>
                  </w:tr>
                  <w:tr w14:paraId="2E24C793" w14:textId="77777777" w:rsidTr="00472165">
                    <w:tblPrEx>
                      <w:tblW w:w="12760" w:type="dxa"/>
                      <w:tblLayout w:type="fixed"/>
                      <w:tblLook w:val="04A0"/>
                    </w:tblPrEx>
                    <w:trPr>
                      <w:trHeight w:val="57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7FFD68C5" w14:textId="77777777">
                        <w:pPr>
                          <w:rPr>
                            <w:i/>
                            <w:iCs/>
                            <w:color w:val="000000"/>
                            <w:sz w:val="20"/>
                          </w:rPr>
                        </w:pPr>
                        <w:r w:rsidRPr="00472165">
                          <w:rPr>
                            <w:i/>
                            <w:iCs/>
                            <w:color w:val="000000"/>
                            <w:sz w:val="20"/>
                          </w:rPr>
                          <w:t xml:space="preserve">Existing Sources - Initial Testing </w:t>
                        </w:r>
                        <w:r w:rsidRPr="00472165">
                          <w:rPr>
                            <w:color w:val="000000"/>
                            <w:sz w:val="20"/>
                            <w:vertAlign w:val="superscript"/>
                          </w:rPr>
                          <w:t>d</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37A94574" w14:textId="77777777">
                        <w:pPr>
                          <w:jc w:val="center"/>
                          <w:rPr>
                            <w:color w:val="000000"/>
                            <w:sz w:val="20"/>
                          </w:rPr>
                        </w:pPr>
                        <w:r w:rsidRPr="00472165">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73DA3E97" w14:textId="77777777">
                        <w:pPr>
                          <w:jc w:val="center"/>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16A023B0" w14:textId="77777777">
                        <w:pPr>
                          <w:jc w:val="center"/>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1885E218" w14:textId="77777777">
                        <w:pPr>
                          <w:jc w:val="center"/>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633F6D50" w14:textId="77777777">
                        <w:pPr>
                          <w:jc w:val="center"/>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1351718E" w14:textId="77777777">
                        <w:pPr>
                          <w:jc w:val="center"/>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367DFFBF" w14:textId="77777777">
                        <w:pPr>
                          <w:jc w:val="center"/>
                          <w:rPr>
                            <w:color w:val="000000"/>
                            <w:sz w:val="20"/>
                          </w:rPr>
                        </w:pPr>
                        <w:r w:rsidRPr="00472165">
                          <w:rPr>
                            <w:color w:val="00000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1AC90DD8" w14:textId="77777777">
                        <w:pPr>
                          <w:jc w:val="right"/>
                          <w:rPr>
                            <w:color w:val="000000"/>
                            <w:sz w:val="20"/>
                          </w:rPr>
                        </w:pPr>
                        <w:r w:rsidRPr="00472165">
                          <w:rPr>
                            <w:color w:val="000000"/>
                            <w:sz w:val="20"/>
                          </w:rPr>
                          <w:t> </w:t>
                        </w:r>
                      </w:p>
                    </w:tc>
                  </w:tr>
                  <w:tr w14:paraId="585E07B6" w14:textId="77777777" w:rsidTr="00472165">
                    <w:tblPrEx>
                      <w:tblW w:w="12760" w:type="dxa"/>
                      <w:tblLayout w:type="fixed"/>
                      <w:tblLook w:val="04A0"/>
                    </w:tblPrEx>
                    <w:trPr>
                      <w:trHeight w:val="52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54091D68" w14:textId="77777777">
                        <w:pPr>
                          <w:rPr>
                            <w:color w:val="000000"/>
                            <w:sz w:val="20"/>
                          </w:rPr>
                        </w:pPr>
                        <w:r w:rsidRPr="00472165">
                          <w:rPr>
                            <w:color w:val="000000"/>
                            <w:sz w:val="20"/>
                          </w:rPr>
                          <w:t>Initial Performance Evaluation of CPMS</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7CB9F1CC" w14:textId="77777777">
                        <w:pPr>
                          <w:jc w:val="center"/>
                          <w:rPr>
                            <w:color w:val="000000"/>
                            <w:sz w:val="20"/>
                          </w:rPr>
                        </w:pPr>
                        <w:r w:rsidRPr="00472165">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047E2935" w14:textId="77777777">
                        <w:pPr>
                          <w:jc w:val="center"/>
                          <w:rPr>
                            <w:sz w:val="20"/>
                          </w:rPr>
                        </w:pPr>
                        <w:r w:rsidRPr="00472165">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76FF80BC" w14:textId="77777777">
                        <w:pPr>
                          <w:jc w:val="center"/>
                          <w:rPr>
                            <w:color w:val="000000"/>
                            <w:sz w:val="20"/>
                          </w:rPr>
                        </w:pPr>
                        <w:r w:rsidRPr="00472165">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42FAAC20" w14:textId="77777777">
                        <w:pPr>
                          <w:jc w:val="center"/>
                          <w:rPr>
                            <w:sz w:val="20"/>
                          </w:rPr>
                        </w:pPr>
                        <w:r w:rsidRPr="00472165">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25AA1CF8" w14:textId="77777777">
                        <w:pPr>
                          <w:jc w:val="center"/>
                          <w:rPr>
                            <w:color w:val="000000"/>
                            <w:sz w:val="20"/>
                          </w:rPr>
                        </w:pPr>
                        <w:r w:rsidRPr="00472165">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0A262BAA" w14:textId="77777777">
                        <w:pPr>
                          <w:jc w:val="center"/>
                          <w:rPr>
                            <w:color w:val="000000"/>
                            <w:sz w:val="20"/>
                          </w:rPr>
                        </w:pPr>
                        <w:r w:rsidRPr="0047216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7565DCDD" w14:textId="77777777">
                        <w:pPr>
                          <w:jc w:val="center"/>
                          <w:rPr>
                            <w:color w:val="000000"/>
                            <w:sz w:val="20"/>
                          </w:rPr>
                        </w:pPr>
                        <w:r w:rsidRPr="00472165">
                          <w:rPr>
                            <w:color w:val="000000"/>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5FD70EC2" w14:textId="77777777">
                        <w:pPr>
                          <w:jc w:val="right"/>
                          <w:rPr>
                            <w:color w:val="000000"/>
                            <w:sz w:val="20"/>
                          </w:rPr>
                        </w:pPr>
                        <w:r w:rsidRPr="00472165">
                          <w:rPr>
                            <w:color w:val="000000"/>
                            <w:sz w:val="20"/>
                          </w:rPr>
                          <w:t xml:space="preserve">$0.00 </w:t>
                        </w:r>
                      </w:p>
                    </w:tc>
                  </w:tr>
                  <w:tr w14:paraId="322FD83E" w14:textId="77777777" w:rsidTr="00472165">
                    <w:tblPrEx>
                      <w:tblW w:w="12760" w:type="dxa"/>
                      <w:tblLayout w:type="fixed"/>
                      <w:tblLook w:val="04A0"/>
                    </w:tblPrEx>
                    <w:trPr>
                      <w:trHeight w:val="52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2A5AA5CA" w14:textId="77777777">
                        <w:pPr>
                          <w:rPr>
                            <w:color w:val="000000"/>
                            <w:sz w:val="20"/>
                          </w:rPr>
                        </w:pPr>
                        <w:r w:rsidRPr="00472165">
                          <w:rPr>
                            <w:color w:val="000000"/>
                            <w:sz w:val="20"/>
                          </w:rPr>
                          <w:t>Repeat Performance Evaluation of CPMS</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7296F399" w14:textId="77777777">
                        <w:pPr>
                          <w:jc w:val="center"/>
                          <w:rPr>
                            <w:color w:val="000000"/>
                            <w:sz w:val="20"/>
                          </w:rPr>
                        </w:pPr>
                        <w:r w:rsidRPr="00472165">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240C1DC9" w14:textId="77777777">
                        <w:pPr>
                          <w:jc w:val="center"/>
                          <w:rPr>
                            <w:sz w:val="20"/>
                          </w:rPr>
                        </w:pPr>
                        <w:r w:rsidRPr="00472165">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7FDF5C64" w14:textId="77777777">
                        <w:pPr>
                          <w:jc w:val="center"/>
                          <w:rPr>
                            <w:color w:val="000000"/>
                            <w:sz w:val="20"/>
                          </w:rPr>
                        </w:pPr>
                        <w:r w:rsidRPr="00472165">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36E86742" w14:textId="77777777">
                        <w:pPr>
                          <w:jc w:val="center"/>
                          <w:rPr>
                            <w:sz w:val="20"/>
                          </w:rPr>
                        </w:pPr>
                        <w:r w:rsidRPr="00472165">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0CCE1D6E" w14:textId="77777777">
                        <w:pPr>
                          <w:jc w:val="center"/>
                          <w:rPr>
                            <w:color w:val="000000"/>
                            <w:sz w:val="20"/>
                          </w:rPr>
                        </w:pPr>
                        <w:r w:rsidRPr="00472165">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5A4BBF41" w14:textId="77777777">
                        <w:pPr>
                          <w:jc w:val="center"/>
                          <w:rPr>
                            <w:color w:val="000000"/>
                            <w:sz w:val="20"/>
                          </w:rPr>
                        </w:pPr>
                        <w:r w:rsidRPr="0047216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26F50698" w14:textId="77777777">
                        <w:pPr>
                          <w:jc w:val="center"/>
                          <w:rPr>
                            <w:color w:val="000000"/>
                            <w:sz w:val="20"/>
                          </w:rPr>
                        </w:pPr>
                        <w:r w:rsidRPr="00472165">
                          <w:rPr>
                            <w:color w:val="000000"/>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210AB0DD" w14:textId="77777777">
                        <w:pPr>
                          <w:jc w:val="right"/>
                          <w:rPr>
                            <w:color w:val="000000"/>
                            <w:sz w:val="20"/>
                          </w:rPr>
                        </w:pPr>
                        <w:r w:rsidRPr="00472165">
                          <w:rPr>
                            <w:color w:val="000000"/>
                            <w:sz w:val="20"/>
                          </w:rPr>
                          <w:t xml:space="preserve">$0.00 </w:t>
                        </w:r>
                      </w:p>
                    </w:tc>
                  </w:tr>
                  <w:tr w14:paraId="79CAAEF3" w14:textId="77777777" w:rsidTr="00472165">
                    <w:tblPrEx>
                      <w:tblW w:w="12760" w:type="dxa"/>
                      <w:tblLayout w:type="fixed"/>
                      <w:tblLook w:val="04A0"/>
                    </w:tblPrEx>
                    <w:trPr>
                      <w:trHeight w:val="57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708780B6" w14:textId="77777777">
                        <w:pPr>
                          <w:rPr>
                            <w:i/>
                            <w:iCs/>
                            <w:color w:val="000000"/>
                            <w:sz w:val="20"/>
                          </w:rPr>
                        </w:pPr>
                        <w:r w:rsidRPr="00472165">
                          <w:rPr>
                            <w:i/>
                            <w:iCs/>
                            <w:color w:val="000000"/>
                            <w:sz w:val="20"/>
                          </w:rPr>
                          <w:t xml:space="preserve">New and Existing Sources - Monitoring </w:t>
                        </w:r>
                        <w:r w:rsidRPr="00472165">
                          <w:rPr>
                            <w:color w:val="000000"/>
                            <w:sz w:val="20"/>
                            <w:vertAlign w:val="superscript"/>
                          </w:rPr>
                          <w:t>e</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1961BD2E" w14:textId="77777777">
                        <w:pPr>
                          <w:jc w:val="center"/>
                          <w:rPr>
                            <w:color w:val="000000"/>
                            <w:sz w:val="20"/>
                          </w:rPr>
                        </w:pPr>
                        <w:r w:rsidRPr="00472165">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55A35950" w14:textId="77777777">
                        <w:pPr>
                          <w:jc w:val="center"/>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76A63677" w14:textId="77777777">
                        <w:pPr>
                          <w:jc w:val="center"/>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61845C5A" w14:textId="77777777">
                        <w:pPr>
                          <w:jc w:val="center"/>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2DD7E2E8" w14:textId="77777777">
                        <w:pPr>
                          <w:jc w:val="center"/>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4E289B92" w14:textId="77777777">
                        <w:pPr>
                          <w:jc w:val="center"/>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06E52036" w14:textId="77777777">
                        <w:pPr>
                          <w:jc w:val="center"/>
                          <w:rPr>
                            <w:color w:val="000000"/>
                            <w:sz w:val="20"/>
                          </w:rPr>
                        </w:pPr>
                        <w:r w:rsidRPr="00472165">
                          <w:rPr>
                            <w:color w:val="00000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1F1167E0" w14:textId="77777777">
                        <w:pPr>
                          <w:jc w:val="right"/>
                          <w:rPr>
                            <w:color w:val="000000"/>
                            <w:sz w:val="20"/>
                          </w:rPr>
                        </w:pPr>
                        <w:r w:rsidRPr="00472165">
                          <w:rPr>
                            <w:color w:val="000000"/>
                            <w:sz w:val="20"/>
                          </w:rPr>
                          <w:t> </w:t>
                        </w:r>
                      </w:p>
                    </w:tc>
                  </w:tr>
                  <w:tr w14:paraId="131E94B9" w14:textId="77777777" w:rsidTr="00472165">
                    <w:tblPrEx>
                      <w:tblW w:w="12760" w:type="dxa"/>
                      <w:tblLayout w:type="fixed"/>
                      <w:tblLook w:val="04A0"/>
                    </w:tblPrEx>
                    <w:trPr>
                      <w:trHeight w:val="26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6FA6916B" w14:textId="77777777">
                        <w:pPr>
                          <w:rPr>
                            <w:color w:val="000000"/>
                            <w:sz w:val="20"/>
                          </w:rPr>
                        </w:pPr>
                        <w:r w:rsidRPr="00472165">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64259A7F" w14:textId="77777777">
                        <w:pPr>
                          <w:jc w:val="center"/>
                          <w:rPr>
                            <w:color w:val="000000"/>
                            <w:sz w:val="20"/>
                          </w:rPr>
                        </w:pPr>
                        <w:r w:rsidRPr="00472165">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11A4F83F" w14:textId="77777777">
                        <w:pPr>
                          <w:jc w:val="center"/>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00D430E7" w14:textId="77777777">
                        <w:pPr>
                          <w:jc w:val="center"/>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6764C13E" w14:textId="77777777">
                        <w:pPr>
                          <w:jc w:val="center"/>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1F5651A0" w14:textId="77777777">
                        <w:pPr>
                          <w:jc w:val="center"/>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4D862DDB" w14:textId="77777777">
                        <w:pPr>
                          <w:jc w:val="center"/>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2F9A1662" w14:textId="77777777">
                        <w:pPr>
                          <w:jc w:val="center"/>
                          <w:rPr>
                            <w:color w:val="000000"/>
                            <w:sz w:val="20"/>
                          </w:rPr>
                        </w:pPr>
                        <w:r w:rsidRPr="00472165">
                          <w:rPr>
                            <w:color w:val="00000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45596FB0" w14:textId="77777777">
                        <w:pPr>
                          <w:jc w:val="right"/>
                          <w:rPr>
                            <w:color w:val="000000"/>
                            <w:sz w:val="20"/>
                          </w:rPr>
                        </w:pPr>
                        <w:r w:rsidRPr="00472165">
                          <w:rPr>
                            <w:color w:val="000000"/>
                            <w:sz w:val="20"/>
                          </w:rPr>
                          <w:t> </w:t>
                        </w:r>
                      </w:p>
                    </w:tc>
                  </w:tr>
                  <w:tr w14:paraId="3C60486B" w14:textId="77777777" w:rsidTr="00472165">
                    <w:tblPrEx>
                      <w:tblW w:w="12760" w:type="dxa"/>
                      <w:tblLayout w:type="fixed"/>
                      <w:tblLook w:val="04A0"/>
                    </w:tblPrEx>
                    <w:trPr>
                      <w:trHeight w:val="26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173C3242" w14:textId="77777777">
                        <w:pPr>
                          <w:rPr>
                            <w:color w:val="000000"/>
                            <w:sz w:val="20"/>
                          </w:rPr>
                        </w:pPr>
                        <w:r w:rsidRPr="00472165">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7B60D887" w14:textId="77777777">
                        <w:pPr>
                          <w:jc w:val="center"/>
                          <w:rPr>
                            <w:color w:val="000000"/>
                            <w:sz w:val="20"/>
                          </w:rPr>
                        </w:pPr>
                        <w:r w:rsidRPr="00472165">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4D5FA8FB" w14:textId="77777777">
                        <w:pPr>
                          <w:jc w:val="center"/>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69E27B6C" w14:textId="77777777">
                        <w:pPr>
                          <w:jc w:val="center"/>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30A5E10F" w14:textId="77777777">
                        <w:pPr>
                          <w:jc w:val="center"/>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66B7DBD5" w14:textId="77777777">
                        <w:pPr>
                          <w:jc w:val="center"/>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36795CFC" w14:textId="77777777">
                        <w:pPr>
                          <w:jc w:val="center"/>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68F10AE2" w14:textId="77777777">
                        <w:pPr>
                          <w:jc w:val="center"/>
                          <w:rPr>
                            <w:color w:val="000000"/>
                            <w:sz w:val="20"/>
                          </w:rPr>
                        </w:pPr>
                        <w:r w:rsidRPr="00472165">
                          <w:rPr>
                            <w:color w:val="00000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023B6A0E" w14:textId="77777777">
                        <w:pPr>
                          <w:jc w:val="right"/>
                          <w:rPr>
                            <w:color w:val="000000"/>
                            <w:sz w:val="20"/>
                          </w:rPr>
                        </w:pPr>
                        <w:r w:rsidRPr="00472165">
                          <w:rPr>
                            <w:color w:val="000000"/>
                            <w:sz w:val="20"/>
                          </w:rPr>
                          <w:t> </w:t>
                        </w:r>
                      </w:p>
                    </w:tc>
                  </w:tr>
                  <w:tr w14:paraId="4440057C" w14:textId="77777777" w:rsidTr="00472165">
                    <w:tblPrEx>
                      <w:tblW w:w="12760" w:type="dxa"/>
                      <w:tblLayout w:type="fixed"/>
                      <w:tblLook w:val="04A0"/>
                    </w:tblPrEx>
                    <w:trPr>
                      <w:trHeight w:val="52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54C70697" w14:textId="77777777">
                        <w:pPr>
                          <w:rPr>
                            <w:color w:val="000000"/>
                            <w:sz w:val="20"/>
                          </w:rPr>
                        </w:pPr>
                        <w:r w:rsidRPr="00472165">
                          <w:rPr>
                            <w:color w:val="000000"/>
                            <w:sz w:val="20"/>
                          </w:rPr>
                          <w:t>C. Create Information (Included in 4B)</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7254B7E7" w14:textId="77777777">
                        <w:pPr>
                          <w:jc w:val="center"/>
                          <w:rPr>
                            <w:color w:val="000000"/>
                            <w:sz w:val="20"/>
                          </w:rPr>
                        </w:pPr>
                        <w:r w:rsidRPr="00472165">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37200C15" w14:textId="77777777">
                        <w:pPr>
                          <w:jc w:val="right"/>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637C6282"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35DC101C" w14:textId="77777777">
                        <w:pPr>
                          <w:jc w:val="right"/>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5662D7D0" w14:textId="77777777">
                        <w:pPr>
                          <w:jc w:val="right"/>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28FE3801" w14:textId="77777777">
                        <w:pPr>
                          <w:jc w:val="right"/>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3BB7585A" w14:textId="77777777">
                        <w:pPr>
                          <w:jc w:val="right"/>
                          <w:rPr>
                            <w:color w:val="000000"/>
                            <w:sz w:val="20"/>
                          </w:rPr>
                        </w:pPr>
                        <w:r w:rsidRPr="00472165">
                          <w:rPr>
                            <w:color w:val="00000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03C5544F" w14:textId="77777777">
                        <w:pPr>
                          <w:jc w:val="right"/>
                          <w:rPr>
                            <w:color w:val="000000"/>
                            <w:sz w:val="20"/>
                          </w:rPr>
                        </w:pPr>
                        <w:r w:rsidRPr="00472165">
                          <w:rPr>
                            <w:color w:val="000000"/>
                            <w:sz w:val="20"/>
                          </w:rPr>
                          <w:t> </w:t>
                        </w:r>
                      </w:p>
                    </w:tc>
                  </w:tr>
                  <w:tr w14:paraId="6DB3C3EF" w14:textId="77777777" w:rsidTr="00472165">
                    <w:tblPrEx>
                      <w:tblW w:w="12760" w:type="dxa"/>
                      <w:tblLayout w:type="fixed"/>
                      <w:tblLook w:val="04A0"/>
                    </w:tblPrEx>
                    <w:trPr>
                      <w:trHeight w:val="52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671F3505" w14:textId="77777777">
                        <w:pPr>
                          <w:rPr>
                            <w:color w:val="000000"/>
                            <w:sz w:val="20"/>
                          </w:rPr>
                        </w:pPr>
                        <w:r w:rsidRPr="00472165">
                          <w:rPr>
                            <w:color w:val="000000"/>
                            <w:sz w:val="20"/>
                          </w:rPr>
                          <w:t>D. Gather Existing Information (Included in 4E)</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3341EBE4" w14:textId="77777777">
                        <w:pPr>
                          <w:jc w:val="center"/>
                          <w:rPr>
                            <w:color w:val="000000"/>
                            <w:sz w:val="20"/>
                          </w:rPr>
                        </w:pPr>
                        <w:r w:rsidRPr="00472165">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030352F6" w14:textId="77777777">
                        <w:pPr>
                          <w:jc w:val="right"/>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319265A2"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5851CF85" w14:textId="77777777">
                        <w:pPr>
                          <w:jc w:val="right"/>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5592FFBA" w14:textId="77777777">
                        <w:pPr>
                          <w:jc w:val="right"/>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03695751" w14:textId="77777777">
                        <w:pPr>
                          <w:jc w:val="right"/>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7B47829B" w14:textId="77777777">
                        <w:pPr>
                          <w:jc w:val="right"/>
                          <w:rPr>
                            <w:color w:val="000000"/>
                            <w:sz w:val="20"/>
                          </w:rPr>
                        </w:pPr>
                        <w:r w:rsidRPr="00472165">
                          <w:rPr>
                            <w:color w:val="00000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016A7FC1" w14:textId="77777777">
                        <w:pPr>
                          <w:jc w:val="right"/>
                          <w:rPr>
                            <w:color w:val="000000"/>
                            <w:sz w:val="20"/>
                          </w:rPr>
                        </w:pPr>
                        <w:r w:rsidRPr="00472165">
                          <w:rPr>
                            <w:color w:val="000000"/>
                            <w:sz w:val="20"/>
                          </w:rPr>
                          <w:t> </w:t>
                        </w:r>
                      </w:p>
                    </w:tc>
                  </w:tr>
                  <w:tr w14:paraId="62F32ADB" w14:textId="77777777" w:rsidTr="00472165">
                    <w:tblPrEx>
                      <w:tblW w:w="12760" w:type="dxa"/>
                      <w:tblLayout w:type="fixed"/>
                      <w:tblLook w:val="04A0"/>
                    </w:tblPrEx>
                    <w:trPr>
                      <w:trHeight w:val="26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2470AA34" w14:textId="77777777">
                        <w:pPr>
                          <w:rPr>
                            <w:color w:val="000000"/>
                            <w:sz w:val="20"/>
                          </w:rPr>
                        </w:pPr>
                        <w:r w:rsidRPr="00472165">
                          <w:rPr>
                            <w:color w:val="000000"/>
                            <w:sz w:val="20"/>
                          </w:rPr>
                          <w:t>E. Write Report</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113E4E02" w14:textId="77777777">
                        <w:pPr>
                          <w:jc w:val="right"/>
                          <w:rPr>
                            <w:color w:val="000000"/>
                            <w:sz w:val="20"/>
                          </w:rPr>
                        </w:pPr>
                        <w:r w:rsidRPr="00472165">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1E435049" w14:textId="77777777">
                        <w:pPr>
                          <w:jc w:val="right"/>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176BC4C8"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1C68F258" w14:textId="77777777">
                        <w:pPr>
                          <w:jc w:val="right"/>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0125CA9A" w14:textId="77777777">
                        <w:pPr>
                          <w:jc w:val="right"/>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21DA2501" w14:textId="77777777">
                        <w:pPr>
                          <w:jc w:val="right"/>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48CA4D8A" w14:textId="77777777">
                        <w:pPr>
                          <w:jc w:val="right"/>
                          <w:rPr>
                            <w:color w:val="000000"/>
                            <w:sz w:val="20"/>
                          </w:rPr>
                        </w:pPr>
                        <w:r w:rsidRPr="00472165">
                          <w:rPr>
                            <w:color w:val="00000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140D72A0" w14:textId="77777777">
                        <w:pPr>
                          <w:jc w:val="right"/>
                          <w:rPr>
                            <w:color w:val="000000"/>
                            <w:sz w:val="20"/>
                          </w:rPr>
                        </w:pPr>
                        <w:r w:rsidRPr="00472165">
                          <w:rPr>
                            <w:color w:val="000000"/>
                            <w:sz w:val="20"/>
                          </w:rPr>
                          <w:t> </w:t>
                        </w:r>
                      </w:p>
                    </w:tc>
                  </w:tr>
                  <w:tr w14:paraId="25BB8195" w14:textId="77777777" w:rsidTr="00472165">
                    <w:tblPrEx>
                      <w:tblW w:w="12760" w:type="dxa"/>
                      <w:tblLayout w:type="fixed"/>
                      <w:tblLook w:val="04A0"/>
                    </w:tblPrEx>
                    <w:trPr>
                      <w:trHeight w:val="26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25BFFF62" w14:textId="77777777">
                        <w:pPr>
                          <w:rPr>
                            <w:i/>
                            <w:iCs/>
                            <w:color w:val="000000"/>
                            <w:sz w:val="20"/>
                            <w:u w:val="single"/>
                          </w:rPr>
                        </w:pPr>
                        <w:r w:rsidRPr="00472165">
                          <w:rPr>
                            <w:i/>
                            <w:iCs/>
                            <w:color w:val="000000"/>
                            <w:sz w:val="20"/>
                            <w:u w:val="single"/>
                          </w:rPr>
                          <w:t>New Sources</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51B514B0" w14:textId="77777777">
                        <w:pPr>
                          <w:jc w:val="center"/>
                          <w:rPr>
                            <w:color w:val="000000"/>
                            <w:sz w:val="20"/>
                          </w:rPr>
                        </w:pPr>
                        <w:r w:rsidRPr="00472165">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2AE785B8" w14:textId="77777777">
                        <w:pPr>
                          <w:jc w:val="center"/>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0F01BF42" w14:textId="77777777">
                        <w:pPr>
                          <w:jc w:val="center"/>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51131188" w14:textId="77777777">
                        <w:pPr>
                          <w:jc w:val="center"/>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63945DFA" w14:textId="77777777">
                        <w:pPr>
                          <w:jc w:val="center"/>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4DE63C47" w14:textId="77777777">
                        <w:pPr>
                          <w:jc w:val="center"/>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14A33E52" w14:textId="77777777">
                        <w:pPr>
                          <w:jc w:val="center"/>
                          <w:rPr>
                            <w:color w:val="000000"/>
                            <w:sz w:val="20"/>
                          </w:rPr>
                        </w:pPr>
                        <w:r w:rsidRPr="00472165">
                          <w:rPr>
                            <w:color w:val="00000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559A910D" w14:textId="77777777">
                        <w:pPr>
                          <w:jc w:val="right"/>
                          <w:rPr>
                            <w:color w:val="000000"/>
                            <w:sz w:val="20"/>
                          </w:rPr>
                        </w:pPr>
                        <w:r w:rsidRPr="00472165">
                          <w:rPr>
                            <w:color w:val="000000"/>
                            <w:sz w:val="20"/>
                          </w:rPr>
                          <w:t> </w:t>
                        </w:r>
                      </w:p>
                    </w:tc>
                  </w:tr>
                  <w:tr w14:paraId="378984CE" w14:textId="77777777" w:rsidTr="00472165">
                    <w:tblPrEx>
                      <w:tblW w:w="12760" w:type="dxa"/>
                      <w:tblLayout w:type="fixed"/>
                      <w:tblLook w:val="04A0"/>
                    </w:tblPrEx>
                    <w:trPr>
                      <w:trHeight w:val="45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2566ED26" w14:textId="77777777">
                        <w:pPr>
                          <w:rPr>
                            <w:color w:val="000000"/>
                            <w:sz w:val="20"/>
                          </w:rPr>
                        </w:pPr>
                        <w:r w:rsidRPr="00472165">
                          <w:rPr>
                            <w:color w:val="000000"/>
                            <w:sz w:val="20"/>
                          </w:rPr>
                          <w:t>Notification of Demonstration of CPMS</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78A4913C" w14:textId="77777777">
                        <w:pPr>
                          <w:jc w:val="center"/>
                          <w:rPr>
                            <w:color w:val="000000"/>
                            <w:sz w:val="20"/>
                          </w:rPr>
                        </w:pPr>
                        <w:r w:rsidRPr="00472165">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5C64A11B" w14:textId="77777777">
                        <w:pPr>
                          <w:jc w:val="center"/>
                          <w:rPr>
                            <w:sz w:val="20"/>
                          </w:rPr>
                        </w:pPr>
                        <w:r w:rsidRPr="00472165">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1B8581D2" w14:textId="77777777">
                        <w:pPr>
                          <w:jc w:val="center"/>
                          <w:rPr>
                            <w:color w:val="000000"/>
                            <w:sz w:val="20"/>
                          </w:rPr>
                        </w:pPr>
                        <w:r w:rsidRPr="00472165">
                          <w:rPr>
                            <w:color w:val="000000"/>
                            <w:sz w:val="20"/>
                          </w:rPr>
                          <w:t>2</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6BD2162D" w14:textId="77777777">
                        <w:pPr>
                          <w:jc w:val="center"/>
                          <w:rPr>
                            <w:sz w:val="20"/>
                          </w:rPr>
                        </w:pPr>
                        <w:r w:rsidRPr="00472165">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75A9A1B9" w14:textId="77777777">
                        <w:pPr>
                          <w:jc w:val="center"/>
                          <w:rPr>
                            <w:color w:val="000000"/>
                            <w:sz w:val="20"/>
                          </w:rPr>
                        </w:pPr>
                        <w:r w:rsidRPr="00472165">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07AE2D46" w14:textId="77777777">
                        <w:pPr>
                          <w:jc w:val="center"/>
                          <w:rPr>
                            <w:color w:val="000000"/>
                            <w:sz w:val="20"/>
                          </w:rPr>
                        </w:pPr>
                        <w:r w:rsidRPr="0047216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400B7BAB" w14:textId="77777777">
                        <w:pPr>
                          <w:jc w:val="center"/>
                          <w:rPr>
                            <w:color w:val="000000"/>
                            <w:sz w:val="20"/>
                          </w:rPr>
                        </w:pPr>
                        <w:r w:rsidRPr="00472165">
                          <w:rPr>
                            <w:color w:val="000000"/>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13943387" w14:textId="77777777">
                        <w:pPr>
                          <w:jc w:val="right"/>
                          <w:rPr>
                            <w:color w:val="000000"/>
                            <w:sz w:val="20"/>
                          </w:rPr>
                        </w:pPr>
                        <w:r w:rsidRPr="00472165">
                          <w:rPr>
                            <w:color w:val="000000"/>
                            <w:sz w:val="20"/>
                          </w:rPr>
                          <w:t xml:space="preserve">$0.00 </w:t>
                        </w:r>
                      </w:p>
                    </w:tc>
                  </w:tr>
                  <w:tr w14:paraId="42B65961" w14:textId="77777777" w:rsidTr="00472165">
                    <w:tblPrEx>
                      <w:tblW w:w="12760" w:type="dxa"/>
                      <w:tblLayout w:type="fixed"/>
                      <w:tblLook w:val="04A0"/>
                    </w:tblPrEx>
                    <w:trPr>
                      <w:trHeight w:val="78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31B8A69B" w14:textId="77777777">
                        <w:pPr>
                          <w:rPr>
                            <w:color w:val="000000"/>
                            <w:sz w:val="20"/>
                          </w:rPr>
                        </w:pPr>
                        <w:r w:rsidRPr="00472165">
                          <w:rPr>
                            <w:color w:val="000000"/>
                            <w:sz w:val="20"/>
                          </w:rPr>
                          <w:t>Notification of Initial Performance Evaluation of CPMS</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13DC64FF" w14:textId="77777777">
                        <w:pPr>
                          <w:jc w:val="center"/>
                          <w:rPr>
                            <w:color w:val="000000"/>
                            <w:sz w:val="20"/>
                          </w:rPr>
                        </w:pPr>
                        <w:r w:rsidRPr="00472165">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091B5891" w14:textId="77777777">
                        <w:pPr>
                          <w:jc w:val="center"/>
                          <w:rPr>
                            <w:sz w:val="20"/>
                          </w:rPr>
                        </w:pPr>
                        <w:r w:rsidRPr="00472165">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7921628D" w14:textId="77777777">
                        <w:pPr>
                          <w:jc w:val="center"/>
                          <w:rPr>
                            <w:color w:val="000000"/>
                            <w:sz w:val="20"/>
                          </w:rPr>
                        </w:pPr>
                        <w:r w:rsidRPr="00472165">
                          <w:rPr>
                            <w:color w:val="000000"/>
                            <w:sz w:val="20"/>
                          </w:rPr>
                          <w:t>2</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10CEBE0D" w14:textId="77777777">
                        <w:pPr>
                          <w:jc w:val="center"/>
                          <w:rPr>
                            <w:sz w:val="20"/>
                          </w:rPr>
                        </w:pPr>
                        <w:r w:rsidRPr="00472165">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665DB1E4" w14:textId="77777777">
                        <w:pPr>
                          <w:jc w:val="center"/>
                          <w:rPr>
                            <w:color w:val="000000"/>
                            <w:sz w:val="20"/>
                          </w:rPr>
                        </w:pPr>
                        <w:r w:rsidRPr="00472165">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337E685F" w14:textId="77777777">
                        <w:pPr>
                          <w:jc w:val="center"/>
                          <w:rPr>
                            <w:color w:val="000000"/>
                            <w:sz w:val="20"/>
                          </w:rPr>
                        </w:pPr>
                        <w:r w:rsidRPr="0047216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1376D79C" w14:textId="77777777">
                        <w:pPr>
                          <w:jc w:val="center"/>
                          <w:rPr>
                            <w:color w:val="000000"/>
                            <w:sz w:val="20"/>
                          </w:rPr>
                        </w:pPr>
                        <w:r w:rsidRPr="00472165">
                          <w:rPr>
                            <w:color w:val="000000"/>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513A4001" w14:textId="77777777">
                        <w:pPr>
                          <w:jc w:val="right"/>
                          <w:rPr>
                            <w:color w:val="000000"/>
                            <w:sz w:val="20"/>
                          </w:rPr>
                        </w:pPr>
                        <w:r w:rsidRPr="00472165">
                          <w:rPr>
                            <w:color w:val="000000"/>
                            <w:sz w:val="20"/>
                          </w:rPr>
                          <w:t xml:space="preserve">$0.00 </w:t>
                        </w:r>
                      </w:p>
                    </w:tc>
                  </w:tr>
                  <w:tr w14:paraId="7699E53A" w14:textId="77777777" w:rsidTr="00472165">
                    <w:tblPrEx>
                      <w:tblW w:w="12760" w:type="dxa"/>
                      <w:tblLayout w:type="fixed"/>
                      <w:tblLook w:val="04A0"/>
                    </w:tblPrEx>
                    <w:trPr>
                      <w:trHeight w:val="52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688FB11B" w14:textId="77777777">
                        <w:pPr>
                          <w:rPr>
                            <w:color w:val="000000"/>
                            <w:sz w:val="20"/>
                          </w:rPr>
                        </w:pPr>
                        <w:r w:rsidRPr="00472165">
                          <w:rPr>
                            <w:color w:val="000000"/>
                            <w:sz w:val="20"/>
                          </w:rPr>
                          <w:t>Report of Performance Evaluation of CPMS</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6B8A54F6" w14:textId="77777777">
                        <w:pPr>
                          <w:jc w:val="center"/>
                          <w:rPr>
                            <w:color w:val="000000"/>
                            <w:sz w:val="20"/>
                          </w:rPr>
                        </w:pPr>
                        <w:r w:rsidRPr="00472165">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34EA60BF" w14:textId="77777777">
                        <w:pPr>
                          <w:jc w:val="center"/>
                          <w:rPr>
                            <w:sz w:val="20"/>
                          </w:rPr>
                        </w:pPr>
                        <w:r w:rsidRPr="00472165">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1E8E5123" w14:textId="77777777">
                        <w:pPr>
                          <w:jc w:val="center"/>
                          <w:rPr>
                            <w:color w:val="000000"/>
                            <w:sz w:val="20"/>
                          </w:rPr>
                        </w:pPr>
                        <w:r w:rsidRPr="00472165">
                          <w:rPr>
                            <w:color w:val="000000"/>
                            <w:sz w:val="20"/>
                          </w:rPr>
                          <w:t>2</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54CB65B5" w14:textId="77777777">
                        <w:pPr>
                          <w:jc w:val="center"/>
                          <w:rPr>
                            <w:sz w:val="20"/>
                          </w:rPr>
                        </w:pPr>
                        <w:r w:rsidRPr="00472165">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1A09C139" w14:textId="77777777">
                        <w:pPr>
                          <w:jc w:val="center"/>
                          <w:rPr>
                            <w:color w:val="000000"/>
                            <w:sz w:val="20"/>
                          </w:rPr>
                        </w:pPr>
                        <w:r w:rsidRPr="00472165">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034673D7" w14:textId="77777777">
                        <w:pPr>
                          <w:jc w:val="center"/>
                          <w:rPr>
                            <w:color w:val="000000"/>
                            <w:sz w:val="20"/>
                          </w:rPr>
                        </w:pPr>
                        <w:r w:rsidRPr="0047216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40D6A133" w14:textId="77777777">
                        <w:pPr>
                          <w:jc w:val="center"/>
                          <w:rPr>
                            <w:color w:val="000000"/>
                            <w:sz w:val="20"/>
                          </w:rPr>
                        </w:pPr>
                        <w:r w:rsidRPr="00472165">
                          <w:rPr>
                            <w:color w:val="000000"/>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04F2EDD0" w14:textId="77777777">
                        <w:pPr>
                          <w:jc w:val="right"/>
                          <w:rPr>
                            <w:color w:val="000000"/>
                            <w:sz w:val="20"/>
                          </w:rPr>
                        </w:pPr>
                        <w:r w:rsidRPr="00472165">
                          <w:rPr>
                            <w:color w:val="000000"/>
                            <w:sz w:val="20"/>
                          </w:rPr>
                          <w:t xml:space="preserve">$0.00 </w:t>
                        </w:r>
                      </w:p>
                    </w:tc>
                  </w:tr>
                  <w:tr w14:paraId="3D302632" w14:textId="77777777" w:rsidTr="00472165">
                    <w:tblPrEx>
                      <w:tblW w:w="12760" w:type="dxa"/>
                      <w:tblLayout w:type="fixed"/>
                      <w:tblLook w:val="04A0"/>
                    </w:tblPrEx>
                    <w:trPr>
                      <w:trHeight w:val="26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08FBE9C5" w14:textId="77777777">
                        <w:pPr>
                          <w:rPr>
                            <w:i/>
                            <w:iCs/>
                            <w:color w:val="000000"/>
                            <w:sz w:val="20"/>
                            <w:u w:val="single"/>
                          </w:rPr>
                        </w:pPr>
                        <w:r w:rsidRPr="00472165">
                          <w:rPr>
                            <w:i/>
                            <w:iCs/>
                            <w:color w:val="000000"/>
                            <w:sz w:val="20"/>
                            <w:u w:val="single"/>
                          </w:rPr>
                          <w:t>Existing Sources</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4343DC3E" w14:textId="77777777">
                        <w:pPr>
                          <w:jc w:val="center"/>
                          <w:rPr>
                            <w:color w:val="000000"/>
                            <w:sz w:val="20"/>
                          </w:rPr>
                        </w:pPr>
                        <w:r w:rsidRPr="00472165">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1D6520C6" w14:textId="77777777">
                        <w:pPr>
                          <w:jc w:val="center"/>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4BA71522" w14:textId="77777777">
                        <w:pPr>
                          <w:jc w:val="center"/>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63E2A4F2" w14:textId="77777777">
                        <w:pPr>
                          <w:jc w:val="center"/>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08DED1D3" w14:textId="77777777">
                        <w:pPr>
                          <w:jc w:val="center"/>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6724536E" w14:textId="77777777">
                        <w:pPr>
                          <w:jc w:val="center"/>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77A1A39C" w14:textId="77777777">
                        <w:pPr>
                          <w:jc w:val="center"/>
                          <w:rPr>
                            <w:color w:val="000000"/>
                            <w:sz w:val="20"/>
                          </w:rPr>
                        </w:pPr>
                        <w:r w:rsidRPr="00472165">
                          <w:rPr>
                            <w:color w:val="00000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0F0E9328" w14:textId="77777777">
                        <w:pPr>
                          <w:jc w:val="right"/>
                          <w:rPr>
                            <w:color w:val="000000"/>
                            <w:sz w:val="20"/>
                          </w:rPr>
                        </w:pPr>
                        <w:r w:rsidRPr="00472165">
                          <w:rPr>
                            <w:color w:val="000000"/>
                            <w:sz w:val="20"/>
                          </w:rPr>
                          <w:t> </w:t>
                        </w:r>
                      </w:p>
                    </w:tc>
                  </w:tr>
                  <w:tr w14:paraId="10EDBA8E" w14:textId="77777777" w:rsidTr="00472165">
                    <w:tblPrEx>
                      <w:tblW w:w="12760" w:type="dxa"/>
                      <w:tblLayout w:type="fixed"/>
                      <w:tblLook w:val="04A0"/>
                    </w:tblPrEx>
                    <w:trPr>
                      <w:trHeight w:val="52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7B361CA2" w14:textId="77777777">
                        <w:pPr>
                          <w:rPr>
                            <w:color w:val="000000"/>
                            <w:sz w:val="20"/>
                          </w:rPr>
                        </w:pPr>
                        <w:r w:rsidRPr="00472165">
                          <w:rPr>
                            <w:color w:val="000000"/>
                            <w:sz w:val="20"/>
                          </w:rPr>
                          <w:t>Work Plan For Reheat Furnaces submitted via CEDRI</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65F57633" w14:textId="77777777">
                        <w:pPr>
                          <w:jc w:val="center"/>
                          <w:rPr>
                            <w:sz w:val="20"/>
                          </w:rPr>
                        </w:pPr>
                        <w:r w:rsidRPr="00472165">
                          <w:rPr>
                            <w:sz w:val="20"/>
                          </w:rPr>
                          <w:t>10</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14C46C67" w14:textId="77777777">
                        <w:pPr>
                          <w:jc w:val="center"/>
                          <w:rPr>
                            <w:sz w:val="20"/>
                          </w:rPr>
                        </w:pPr>
                        <w:r w:rsidRPr="00472165">
                          <w:rPr>
                            <w:sz w:val="20"/>
                          </w:rPr>
                          <w:t>1</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4E7F7825" w14:textId="77777777">
                        <w:pPr>
                          <w:jc w:val="center"/>
                          <w:rPr>
                            <w:color w:val="000000"/>
                            <w:sz w:val="20"/>
                          </w:rPr>
                        </w:pPr>
                        <w:r w:rsidRPr="00472165">
                          <w:rPr>
                            <w:color w:val="000000"/>
                            <w:sz w:val="20"/>
                          </w:rPr>
                          <w:t>10</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0B30FD49" w14:textId="77777777">
                        <w:pPr>
                          <w:jc w:val="center"/>
                          <w:rPr>
                            <w:sz w:val="20"/>
                          </w:rPr>
                        </w:pPr>
                        <w:r w:rsidRPr="00472165">
                          <w:rPr>
                            <w:sz w:val="20"/>
                          </w:rPr>
                          <w:t>14.5</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717184D3" w14:textId="77777777">
                        <w:pPr>
                          <w:jc w:val="center"/>
                          <w:rPr>
                            <w:color w:val="000000"/>
                            <w:sz w:val="20"/>
                          </w:rPr>
                        </w:pPr>
                        <w:r w:rsidRPr="00472165">
                          <w:rPr>
                            <w:color w:val="000000"/>
                            <w:sz w:val="20"/>
                          </w:rPr>
                          <w:t>145</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2B019268" w14:textId="77777777">
                        <w:pPr>
                          <w:jc w:val="center"/>
                          <w:rPr>
                            <w:color w:val="000000"/>
                            <w:sz w:val="20"/>
                          </w:rPr>
                        </w:pPr>
                        <w:r w:rsidRPr="00472165">
                          <w:rPr>
                            <w:color w:val="000000"/>
                            <w:sz w:val="20"/>
                          </w:rPr>
                          <w:t>7.25</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765A6E14" w14:textId="77777777">
                        <w:pPr>
                          <w:jc w:val="center"/>
                          <w:rPr>
                            <w:color w:val="000000"/>
                            <w:sz w:val="20"/>
                          </w:rPr>
                        </w:pPr>
                        <w:r w:rsidRPr="00472165">
                          <w:rPr>
                            <w:color w:val="000000"/>
                            <w:sz w:val="20"/>
                          </w:rPr>
                          <w:t>14.5</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063DEE5B" w14:textId="77777777">
                        <w:pPr>
                          <w:ind w:firstLine="200" w:firstLineChars="100"/>
                          <w:jc w:val="right"/>
                          <w:rPr>
                            <w:sz w:val="20"/>
                          </w:rPr>
                        </w:pPr>
                        <w:r w:rsidRPr="00472165">
                          <w:rPr>
                            <w:sz w:val="20"/>
                          </w:rPr>
                          <w:t xml:space="preserve">$20,616 </w:t>
                        </w:r>
                      </w:p>
                    </w:tc>
                  </w:tr>
                  <w:tr w14:paraId="2789A86D" w14:textId="77777777" w:rsidTr="00472165">
                    <w:tblPrEx>
                      <w:tblW w:w="12760" w:type="dxa"/>
                      <w:tblLayout w:type="fixed"/>
                      <w:tblLook w:val="04A0"/>
                    </w:tblPrEx>
                    <w:trPr>
                      <w:trHeight w:val="52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0B1A947C" w14:textId="77777777">
                        <w:pPr>
                          <w:rPr>
                            <w:color w:val="000000"/>
                            <w:sz w:val="20"/>
                          </w:rPr>
                        </w:pPr>
                        <w:r w:rsidRPr="00472165">
                          <w:rPr>
                            <w:color w:val="000000"/>
                            <w:sz w:val="20"/>
                          </w:rPr>
                          <w:t>Notification of Demonstration of CPMS</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15BF03AF" w14:textId="77777777">
                        <w:pPr>
                          <w:jc w:val="center"/>
                          <w:rPr>
                            <w:color w:val="000000"/>
                            <w:sz w:val="20"/>
                          </w:rPr>
                        </w:pPr>
                        <w:r w:rsidRPr="00472165">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5BFD119C" w14:textId="77777777">
                        <w:pPr>
                          <w:jc w:val="center"/>
                          <w:rPr>
                            <w:sz w:val="20"/>
                          </w:rPr>
                        </w:pPr>
                        <w:r w:rsidRPr="00472165">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169980FD" w14:textId="77777777">
                        <w:pPr>
                          <w:jc w:val="center"/>
                          <w:rPr>
                            <w:color w:val="000000"/>
                            <w:sz w:val="20"/>
                          </w:rPr>
                        </w:pPr>
                        <w:r w:rsidRPr="00472165">
                          <w:rPr>
                            <w:color w:val="000000"/>
                            <w:sz w:val="20"/>
                          </w:rPr>
                          <w:t>2</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19F6324B" w14:textId="77777777">
                        <w:pPr>
                          <w:jc w:val="center"/>
                          <w:rPr>
                            <w:sz w:val="20"/>
                          </w:rPr>
                        </w:pPr>
                        <w:r w:rsidRPr="00472165">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14F42C8F" w14:textId="77777777">
                        <w:pPr>
                          <w:jc w:val="center"/>
                          <w:rPr>
                            <w:color w:val="000000"/>
                            <w:sz w:val="20"/>
                          </w:rPr>
                        </w:pPr>
                        <w:r w:rsidRPr="00472165">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765E1E19" w14:textId="77777777">
                        <w:pPr>
                          <w:jc w:val="center"/>
                          <w:rPr>
                            <w:color w:val="000000"/>
                            <w:sz w:val="20"/>
                          </w:rPr>
                        </w:pPr>
                        <w:r w:rsidRPr="0047216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13B58F1C" w14:textId="77777777">
                        <w:pPr>
                          <w:jc w:val="center"/>
                          <w:rPr>
                            <w:color w:val="000000"/>
                            <w:sz w:val="20"/>
                          </w:rPr>
                        </w:pPr>
                        <w:r w:rsidRPr="00472165">
                          <w:rPr>
                            <w:color w:val="000000"/>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373FD98C" w14:textId="77777777">
                        <w:pPr>
                          <w:jc w:val="right"/>
                          <w:rPr>
                            <w:color w:val="000000"/>
                            <w:sz w:val="20"/>
                          </w:rPr>
                        </w:pPr>
                        <w:r w:rsidRPr="00472165">
                          <w:rPr>
                            <w:color w:val="000000"/>
                            <w:sz w:val="20"/>
                          </w:rPr>
                          <w:t xml:space="preserve">$0.00 </w:t>
                        </w:r>
                      </w:p>
                    </w:tc>
                  </w:tr>
                  <w:tr w14:paraId="5D0DE526" w14:textId="77777777" w:rsidTr="00472165">
                    <w:tblPrEx>
                      <w:tblW w:w="12760" w:type="dxa"/>
                      <w:tblLayout w:type="fixed"/>
                      <w:tblLook w:val="04A0"/>
                    </w:tblPrEx>
                    <w:trPr>
                      <w:trHeight w:val="78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670F2BE5" w14:textId="77777777">
                        <w:pPr>
                          <w:rPr>
                            <w:color w:val="000000"/>
                            <w:sz w:val="20"/>
                          </w:rPr>
                        </w:pPr>
                        <w:r w:rsidRPr="00472165">
                          <w:rPr>
                            <w:color w:val="000000"/>
                            <w:sz w:val="20"/>
                          </w:rPr>
                          <w:t>Notification of Initial Performance Evaluation of CPMS</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4C13E946" w14:textId="77777777">
                        <w:pPr>
                          <w:jc w:val="center"/>
                          <w:rPr>
                            <w:color w:val="000000"/>
                            <w:sz w:val="20"/>
                          </w:rPr>
                        </w:pPr>
                        <w:r w:rsidRPr="00472165">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32E910A6" w14:textId="77777777">
                        <w:pPr>
                          <w:jc w:val="center"/>
                          <w:rPr>
                            <w:sz w:val="20"/>
                          </w:rPr>
                        </w:pPr>
                        <w:r w:rsidRPr="00472165">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32309190" w14:textId="77777777">
                        <w:pPr>
                          <w:jc w:val="center"/>
                          <w:rPr>
                            <w:color w:val="000000"/>
                            <w:sz w:val="20"/>
                          </w:rPr>
                        </w:pPr>
                        <w:r w:rsidRPr="00472165">
                          <w:rPr>
                            <w:color w:val="000000"/>
                            <w:sz w:val="20"/>
                          </w:rPr>
                          <w:t>2</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0C4D1250" w14:textId="77777777">
                        <w:pPr>
                          <w:jc w:val="center"/>
                          <w:rPr>
                            <w:sz w:val="20"/>
                          </w:rPr>
                        </w:pPr>
                        <w:r w:rsidRPr="00472165">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03C4481B" w14:textId="77777777">
                        <w:pPr>
                          <w:jc w:val="center"/>
                          <w:rPr>
                            <w:color w:val="000000"/>
                            <w:sz w:val="20"/>
                          </w:rPr>
                        </w:pPr>
                        <w:r w:rsidRPr="00472165">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1C0EDA66" w14:textId="77777777">
                        <w:pPr>
                          <w:jc w:val="center"/>
                          <w:rPr>
                            <w:color w:val="000000"/>
                            <w:sz w:val="20"/>
                          </w:rPr>
                        </w:pPr>
                        <w:r w:rsidRPr="0047216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00DD4371" w14:textId="77777777">
                        <w:pPr>
                          <w:jc w:val="center"/>
                          <w:rPr>
                            <w:color w:val="000000"/>
                            <w:sz w:val="20"/>
                          </w:rPr>
                        </w:pPr>
                        <w:r w:rsidRPr="00472165">
                          <w:rPr>
                            <w:color w:val="000000"/>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4370E4FF" w14:textId="77777777">
                        <w:pPr>
                          <w:jc w:val="right"/>
                          <w:rPr>
                            <w:color w:val="000000"/>
                            <w:sz w:val="20"/>
                          </w:rPr>
                        </w:pPr>
                        <w:r w:rsidRPr="00472165">
                          <w:rPr>
                            <w:color w:val="000000"/>
                            <w:sz w:val="20"/>
                          </w:rPr>
                          <w:t xml:space="preserve">$0.00 </w:t>
                        </w:r>
                      </w:p>
                    </w:tc>
                  </w:tr>
                  <w:tr w14:paraId="2FE0D198" w14:textId="77777777" w:rsidTr="00472165">
                    <w:tblPrEx>
                      <w:tblW w:w="12760" w:type="dxa"/>
                      <w:tblLayout w:type="fixed"/>
                      <w:tblLook w:val="04A0"/>
                    </w:tblPrEx>
                    <w:trPr>
                      <w:trHeight w:val="78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791CD84A" w14:textId="77777777">
                        <w:pPr>
                          <w:rPr>
                            <w:color w:val="000000"/>
                            <w:sz w:val="20"/>
                          </w:rPr>
                        </w:pPr>
                        <w:r w:rsidRPr="00472165">
                          <w:rPr>
                            <w:color w:val="000000"/>
                            <w:sz w:val="20"/>
                          </w:rPr>
                          <w:t>Report of Initial Performance Evaluation of CPMS Test Results</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62A287E4" w14:textId="77777777">
                        <w:pPr>
                          <w:jc w:val="center"/>
                          <w:rPr>
                            <w:color w:val="000000"/>
                            <w:sz w:val="20"/>
                          </w:rPr>
                        </w:pPr>
                        <w:r w:rsidRPr="00472165">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10441D28" w14:textId="77777777">
                        <w:pPr>
                          <w:jc w:val="center"/>
                          <w:rPr>
                            <w:sz w:val="20"/>
                          </w:rPr>
                        </w:pPr>
                        <w:r w:rsidRPr="00472165">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201F4D84" w14:textId="77777777">
                        <w:pPr>
                          <w:jc w:val="center"/>
                          <w:rPr>
                            <w:color w:val="000000"/>
                            <w:sz w:val="20"/>
                          </w:rPr>
                        </w:pPr>
                        <w:r w:rsidRPr="00472165">
                          <w:rPr>
                            <w:color w:val="000000"/>
                            <w:sz w:val="20"/>
                          </w:rPr>
                          <w:t>2</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6BED8D74" w14:textId="77777777">
                        <w:pPr>
                          <w:jc w:val="center"/>
                          <w:rPr>
                            <w:sz w:val="20"/>
                          </w:rPr>
                        </w:pPr>
                        <w:r w:rsidRPr="00472165">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13588671" w14:textId="77777777">
                        <w:pPr>
                          <w:jc w:val="center"/>
                          <w:rPr>
                            <w:color w:val="000000"/>
                            <w:sz w:val="20"/>
                          </w:rPr>
                        </w:pPr>
                        <w:r w:rsidRPr="00472165">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462A54B9" w14:textId="77777777">
                        <w:pPr>
                          <w:jc w:val="center"/>
                          <w:rPr>
                            <w:color w:val="000000"/>
                            <w:sz w:val="20"/>
                          </w:rPr>
                        </w:pPr>
                        <w:r w:rsidRPr="0047216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61011579" w14:textId="77777777">
                        <w:pPr>
                          <w:jc w:val="center"/>
                          <w:rPr>
                            <w:color w:val="000000"/>
                            <w:sz w:val="20"/>
                          </w:rPr>
                        </w:pPr>
                        <w:r w:rsidRPr="00472165">
                          <w:rPr>
                            <w:color w:val="000000"/>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01A19BC0" w14:textId="77777777">
                        <w:pPr>
                          <w:jc w:val="right"/>
                          <w:rPr>
                            <w:color w:val="000000"/>
                            <w:sz w:val="20"/>
                          </w:rPr>
                        </w:pPr>
                        <w:r w:rsidRPr="00472165">
                          <w:rPr>
                            <w:color w:val="000000"/>
                            <w:sz w:val="20"/>
                          </w:rPr>
                          <w:t xml:space="preserve">$0.00 </w:t>
                        </w:r>
                      </w:p>
                    </w:tc>
                  </w:tr>
                  <w:tr w14:paraId="13DF321B" w14:textId="77777777" w:rsidTr="00472165">
                    <w:tblPrEx>
                      <w:tblW w:w="12760" w:type="dxa"/>
                      <w:tblLayout w:type="fixed"/>
                      <w:tblLook w:val="04A0"/>
                    </w:tblPrEx>
                    <w:trPr>
                      <w:trHeight w:val="78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5ED57A93" w14:textId="77777777">
                        <w:pPr>
                          <w:rPr>
                            <w:color w:val="000000"/>
                            <w:sz w:val="20"/>
                          </w:rPr>
                        </w:pPr>
                        <w:r w:rsidRPr="00472165">
                          <w:rPr>
                            <w:color w:val="000000"/>
                            <w:sz w:val="20"/>
                          </w:rPr>
                          <w:t>Annual Report submitted via CEDRI or analogous electronic reporting</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3ECC543F" w14:textId="77777777">
                        <w:pPr>
                          <w:jc w:val="center"/>
                          <w:rPr>
                            <w:color w:val="000000"/>
                            <w:sz w:val="20"/>
                          </w:rPr>
                        </w:pPr>
                        <w:r w:rsidRPr="00472165">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3FC8DA31" w14:textId="77777777">
                        <w:pPr>
                          <w:jc w:val="center"/>
                          <w:rPr>
                            <w:sz w:val="20"/>
                          </w:rPr>
                        </w:pPr>
                        <w:r w:rsidRPr="00472165">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17675375" w14:textId="77777777">
                        <w:pPr>
                          <w:jc w:val="center"/>
                          <w:rPr>
                            <w:color w:val="000000"/>
                            <w:sz w:val="20"/>
                          </w:rPr>
                        </w:pPr>
                        <w:r w:rsidRPr="00472165">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71F9782E" w14:textId="77777777">
                        <w:pPr>
                          <w:jc w:val="center"/>
                          <w:rPr>
                            <w:sz w:val="20"/>
                          </w:rPr>
                        </w:pPr>
                        <w:r w:rsidRPr="00472165">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0A848443" w14:textId="77777777">
                        <w:pPr>
                          <w:jc w:val="center"/>
                          <w:rPr>
                            <w:color w:val="000000"/>
                            <w:sz w:val="20"/>
                          </w:rPr>
                        </w:pPr>
                        <w:r w:rsidRPr="00472165">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18D2A215" w14:textId="77777777">
                        <w:pPr>
                          <w:jc w:val="center"/>
                          <w:rPr>
                            <w:color w:val="000000"/>
                            <w:sz w:val="20"/>
                          </w:rPr>
                        </w:pPr>
                        <w:r w:rsidRPr="0047216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63A0CBC1" w14:textId="77777777">
                        <w:pPr>
                          <w:jc w:val="center"/>
                          <w:rPr>
                            <w:color w:val="000000"/>
                            <w:sz w:val="20"/>
                          </w:rPr>
                        </w:pPr>
                        <w:r w:rsidRPr="00472165">
                          <w:rPr>
                            <w:color w:val="000000"/>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2AB599EF" w14:textId="77777777">
                        <w:pPr>
                          <w:jc w:val="right"/>
                          <w:rPr>
                            <w:color w:val="000000"/>
                            <w:sz w:val="20"/>
                          </w:rPr>
                        </w:pPr>
                        <w:r w:rsidRPr="00472165">
                          <w:rPr>
                            <w:color w:val="000000"/>
                            <w:sz w:val="20"/>
                          </w:rPr>
                          <w:t xml:space="preserve">$0.00 </w:t>
                        </w:r>
                      </w:p>
                    </w:tc>
                  </w:tr>
                  <w:tr w14:paraId="0844D775" w14:textId="77777777" w:rsidTr="00472165">
                    <w:tblPrEx>
                      <w:tblW w:w="12760" w:type="dxa"/>
                      <w:tblLayout w:type="fixed"/>
                      <w:tblLook w:val="04A0"/>
                    </w:tblPrEx>
                    <w:trPr>
                      <w:trHeight w:val="54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7491E5D6" w14:textId="77777777">
                        <w:pPr>
                          <w:rPr>
                            <w:b/>
                            <w:bCs/>
                            <w:i/>
                            <w:iCs/>
                            <w:color w:val="000000"/>
                            <w:sz w:val="20"/>
                          </w:rPr>
                        </w:pPr>
                        <w:r w:rsidRPr="00472165">
                          <w:rPr>
                            <w:b/>
                            <w:bCs/>
                            <w:i/>
                            <w:iCs/>
                            <w:color w:val="000000"/>
                            <w:sz w:val="20"/>
                          </w:rPr>
                          <w:t>Subtotal for Reporting Requirements</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1C2B2D25" w14:textId="77777777">
                        <w:pPr>
                          <w:jc w:val="right"/>
                          <w:rPr>
                            <w:b/>
                            <w:bCs/>
                            <w:i/>
                            <w:iCs/>
                            <w:color w:val="000000"/>
                            <w:sz w:val="20"/>
                          </w:rPr>
                        </w:pPr>
                        <w:r w:rsidRPr="00472165">
                          <w:rPr>
                            <w:b/>
                            <w:bCs/>
                            <w:i/>
                            <w:i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3F6F9538" w14:textId="77777777">
                        <w:pPr>
                          <w:jc w:val="right"/>
                          <w:rPr>
                            <w:b/>
                            <w:bCs/>
                            <w:i/>
                            <w:iCs/>
                            <w:sz w:val="20"/>
                          </w:rPr>
                        </w:pPr>
                        <w:r w:rsidRPr="00472165">
                          <w:rPr>
                            <w:b/>
                            <w:bCs/>
                            <w:i/>
                            <w:i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36BC68B3" w14:textId="77777777">
                        <w:pPr>
                          <w:jc w:val="right"/>
                          <w:rPr>
                            <w:b/>
                            <w:bCs/>
                            <w:i/>
                            <w:iCs/>
                            <w:color w:val="000000"/>
                            <w:sz w:val="20"/>
                          </w:rPr>
                        </w:pPr>
                        <w:r w:rsidRPr="00472165">
                          <w:rPr>
                            <w:b/>
                            <w:bCs/>
                            <w:i/>
                            <w:iCs/>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75096F52" w14:textId="77777777">
                        <w:pPr>
                          <w:jc w:val="right"/>
                          <w:rPr>
                            <w:b/>
                            <w:bCs/>
                            <w:i/>
                            <w:iCs/>
                            <w:sz w:val="20"/>
                          </w:rPr>
                        </w:pPr>
                        <w:r w:rsidRPr="00472165">
                          <w:rPr>
                            <w:b/>
                            <w:bCs/>
                            <w:i/>
                            <w:iCs/>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060083E5" w14:textId="77777777">
                        <w:pPr>
                          <w:jc w:val="center"/>
                          <w:rPr>
                            <w:b/>
                            <w:bCs/>
                            <w:i/>
                            <w:iCs/>
                            <w:color w:val="000000"/>
                            <w:sz w:val="20"/>
                          </w:rPr>
                        </w:pPr>
                        <w:r w:rsidRPr="00472165">
                          <w:rPr>
                            <w:b/>
                            <w:bCs/>
                            <w:i/>
                            <w:iCs/>
                            <w:color w:val="000000"/>
                            <w:sz w:val="20"/>
                          </w:rPr>
                          <w:t>167</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5CD09945" w14:textId="77777777">
                        <w:pPr>
                          <w:jc w:val="center"/>
                          <w:rPr>
                            <w:b/>
                            <w:bCs/>
                            <w:i/>
                            <w:iCs/>
                            <w:color w:val="000000"/>
                            <w:sz w:val="20"/>
                          </w:rPr>
                        </w:pPr>
                        <w:r w:rsidRPr="00472165">
                          <w:rPr>
                            <w:b/>
                            <w:bCs/>
                            <w:i/>
                            <w:iCs/>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4994C4EE" w14:textId="77777777">
                        <w:pPr>
                          <w:jc w:val="center"/>
                          <w:rPr>
                            <w:b/>
                            <w:bCs/>
                            <w:i/>
                            <w:iCs/>
                            <w:color w:val="000000"/>
                            <w:sz w:val="20"/>
                          </w:rPr>
                        </w:pPr>
                        <w:r w:rsidRPr="00472165">
                          <w:rPr>
                            <w:b/>
                            <w:bCs/>
                            <w:i/>
                            <w:iCs/>
                            <w:color w:val="00000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6B53C8A2" w14:textId="77777777">
                        <w:pPr>
                          <w:jc w:val="right"/>
                          <w:rPr>
                            <w:b/>
                            <w:bCs/>
                            <w:i/>
                            <w:iCs/>
                            <w:color w:val="000000"/>
                            <w:sz w:val="20"/>
                          </w:rPr>
                        </w:pPr>
                        <w:r w:rsidRPr="00472165">
                          <w:rPr>
                            <w:b/>
                            <w:bCs/>
                            <w:i/>
                            <w:iCs/>
                            <w:color w:val="000000"/>
                            <w:sz w:val="20"/>
                          </w:rPr>
                          <w:t xml:space="preserve">$20,616 </w:t>
                        </w:r>
                      </w:p>
                    </w:tc>
                  </w:tr>
                  <w:tr w14:paraId="65F51CA4" w14:textId="77777777" w:rsidTr="00472165">
                    <w:tblPrEx>
                      <w:tblW w:w="12760" w:type="dxa"/>
                      <w:tblLayout w:type="fixed"/>
                      <w:tblLook w:val="04A0"/>
                    </w:tblPrEx>
                    <w:trPr>
                      <w:trHeight w:val="52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540A467F" w14:textId="77777777">
                        <w:pPr>
                          <w:rPr>
                            <w:color w:val="000000"/>
                            <w:sz w:val="20"/>
                          </w:rPr>
                        </w:pPr>
                        <w:r w:rsidRPr="00472165">
                          <w:rPr>
                            <w:color w:val="000000"/>
                            <w:sz w:val="20"/>
                          </w:rPr>
                          <w:t>5. RECORDKEEPING REQUIREMENTS</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293F494F" w14:textId="77777777">
                        <w:pPr>
                          <w:jc w:val="right"/>
                          <w:rPr>
                            <w:color w:val="000000"/>
                            <w:sz w:val="20"/>
                          </w:rPr>
                        </w:pPr>
                        <w:r w:rsidRPr="00472165">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7BEC2700" w14:textId="77777777">
                        <w:pPr>
                          <w:jc w:val="right"/>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2DA119E5"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186B3971" w14:textId="77777777">
                        <w:pPr>
                          <w:jc w:val="right"/>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64874FF5" w14:textId="77777777">
                        <w:pPr>
                          <w:jc w:val="right"/>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361354C7" w14:textId="77777777">
                        <w:pPr>
                          <w:jc w:val="right"/>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1EA829EA" w14:textId="77777777">
                        <w:pPr>
                          <w:jc w:val="right"/>
                          <w:rPr>
                            <w:color w:val="000000"/>
                            <w:sz w:val="20"/>
                          </w:rPr>
                        </w:pPr>
                        <w:r w:rsidRPr="00472165">
                          <w:rPr>
                            <w:color w:val="00000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345CC4C2" w14:textId="77777777">
                        <w:pPr>
                          <w:jc w:val="right"/>
                          <w:rPr>
                            <w:color w:val="000000"/>
                            <w:sz w:val="20"/>
                          </w:rPr>
                        </w:pPr>
                        <w:r w:rsidRPr="00472165">
                          <w:rPr>
                            <w:color w:val="000000"/>
                            <w:sz w:val="20"/>
                          </w:rPr>
                          <w:t> </w:t>
                        </w:r>
                      </w:p>
                    </w:tc>
                  </w:tr>
                  <w:tr w14:paraId="63DF3B54" w14:textId="77777777" w:rsidTr="00472165">
                    <w:tblPrEx>
                      <w:tblW w:w="12760" w:type="dxa"/>
                      <w:tblLayout w:type="fixed"/>
                      <w:tblLook w:val="04A0"/>
                    </w:tblPrEx>
                    <w:trPr>
                      <w:trHeight w:val="52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0758BB70" w14:textId="77777777">
                        <w:pPr>
                          <w:rPr>
                            <w:color w:val="000000"/>
                            <w:sz w:val="20"/>
                          </w:rPr>
                        </w:pPr>
                        <w:r w:rsidRPr="00472165">
                          <w:rPr>
                            <w:color w:val="000000"/>
                            <w:sz w:val="20"/>
                          </w:rPr>
                          <w:t>A. Familiarize with regulatory requirement</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721B74D4" w14:textId="77777777">
                        <w:pPr>
                          <w:jc w:val="center"/>
                          <w:rPr>
                            <w:color w:val="000000"/>
                            <w:sz w:val="20"/>
                          </w:rPr>
                        </w:pPr>
                        <w:r w:rsidRPr="00472165">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225DCB40" w14:textId="77777777">
                        <w:pPr>
                          <w:jc w:val="right"/>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034B0ED3"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71846D72" w14:textId="77777777">
                        <w:pPr>
                          <w:jc w:val="right"/>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0067A27C" w14:textId="77777777">
                        <w:pPr>
                          <w:jc w:val="right"/>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22D12107" w14:textId="77777777">
                        <w:pPr>
                          <w:jc w:val="right"/>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4BECC2F0" w14:textId="77777777">
                        <w:pPr>
                          <w:jc w:val="right"/>
                          <w:rPr>
                            <w:color w:val="000000"/>
                            <w:sz w:val="20"/>
                          </w:rPr>
                        </w:pPr>
                        <w:r w:rsidRPr="00472165">
                          <w:rPr>
                            <w:color w:val="00000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54FF5EA8" w14:textId="77777777">
                        <w:pPr>
                          <w:jc w:val="right"/>
                          <w:rPr>
                            <w:color w:val="000000"/>
                            <w:sz w:val="20"/>
                          </w:rPr>
                        </w:pPr>
                        <w:r w:rsidRPr="00472165">
                          <w:rPr>
                            <w:color w:val="000000"/>
                            <w:sz w:val="20"/>
                          </w:rPr>
                          <w:t> </w:t>
                        </w:r>
                      </w:p>
                    </w:tc>
                  </w:tr>
                  <w:tr w14:paraId="3289F3BC" w14:textId="77777777" w:rsidTr="00472165">
                    <w:tblPrEx>
                      <w:tblW w:w="12760" w:type="dxa"/>
                      <w:tblLayout w:type="fixed"/>
                      <w:tblLook w:val="04A0"/>
                    </w:tblPrEx>
                    <w:trPr>
                      <w:trHeight w:val="26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05F3FFBA" w14:textId="77777777">
                        <w:pPr>
                          <w:rPr>
                            <w:color w:val="000000"/>
                            <w:sz w:val="20"/>
                          </w:rPr>
                        </w:pPr>
                        <w:r w:rsidRPr="00472165">
                          <w:rPr>
                            <w:color w:val="000000"/>
                            <w:sz w:val="20"/>
                          </w:rPr>
                          <w:t xml:space="preserve">B. Plan Activities </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7CA63FDC" w14:textId="77777777">
                        <w:pPr>
                          <w:jc w:val="center"/>
                          <w:rPr>
                            <w:color w:val="000000"/>
                            <w:sz w:val="20"/>
                          </w:rPr>
                        </w:pPr>
                        <w:r w:rsidRPr="00472165">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10ECCB18" w14:textId="77777777">
                        <w:pPr>
                          <w:jc w:val="right"/>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6738080C"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6B999444" w14:textId="77777777">
                        <w:pPr>
                          <w:jc w:val="right"/>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7DD9E1B8" w14:textId="77777777">
                        <w:pPr>
                          <w:jc w:val="right"/>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2AB55B23" w14:textId="77777777">
                        <w:pPr>
                          <w:jc w:val="right"/>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0A761AF8" w14:textId="77777777">
                        <w:pPr>
                          <w:jc w:val="right"/>
                          <w:rPr>
                            <w:color w:val="000000"/>
                            <w:sz w:val="20"/>
                          </w:rPr>
                        </w:pPr>
                        <w:r w:rsidRPr="00472165">
                          <w:rPr>
                            <w:color w:val="00000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6FF559FB" w14:textId="77777777">
                        <w:pPr>
                          <w:jc w:val="right"/>
                          <w:rPr>
                            <w:color w:val="000000"/>
                            <w:sz w:val="20"/>
                          </w:rPr>
                        </w:pPr>
                        <w:r w:rsidRPr="00472165">
                          <w:rPr>
                            <w:color w:val="000000"/>
                            <w:sz w:val="20"/>
                          </w:rPr>
                          <w:t> </w:t>
                        </w:r>
                      </w:p>
                    </w:tc>
                  </w:tr>
                  <w:tr w14:paraId="0BD226EC" w14:textId="77777777" w:rsidTr="00472165">
                    <w:tblPrEx>
                      <w:tblW w:w="12760" w:type="dxa"/>
                      <w:tblLayout w:type="fixed"/>
                      <w:tblLook w:val="04A0"/>
                    </w:tblPrEx>
                    <w:trPr>
                      <w:trHeight w:val="26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71584F62" w14:textId="77777777">
                        <w:pPr>
                          <w:rPr>
                            <w:color w:val="000000"/>
                            <w:sz w:val="20"/>
                          </w:rPr>
                        </w:pPr>
                        <w:r w:rsidRPr="00472165">
                          <w:rPr>
                            <w:color w:val="000000"/>
                            <w:sz w:val="20"/>
                          </w:rPr>
                          <w:t xml:space="preserve">C. Implement Activities </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63EA4581" w14:textId="77777777">
                        <w:pPr>
                          <w:jc w:val="center"/>
                          <w:rPr>
                            <w:color w:val="000000"/>
                            <w:sz w:val="20"/>
                          </w:rPr>
                        </w:pPr>
                        <w:r w:rsidRPr="00472165">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2D795D13" w14:textId="77777777">
                        <w:pPr>
                          <w:jc w:val="right"/>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23F47B5E"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752D9A57" w14:textId="77777777">
                        <w:pPr>
                          <w:jc w:val="right"/>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7186E999" w14:textId="77777777">
                        <w:pPr>
                          <w:jc w:val="right"/>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5FBC854C" w14:textId="77777777">
                        <w:pPr>
                          <w:jc w:val="right"/>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5E52920B" w14:textId="77777777">
                        <w:pPr>
                          <w:jc w:val="right"/>
                          <w:rPr>
                            <w:color w:val="000000"/>
                            <w:sz w:val="20"/>
                          </w:rPr>
                        </w:pPr>
                        <w:r w:rsidRPr="00472165">
                          <w:rPr>
                            <w:color w:val="00000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20B99D3E" w14:textId="77777777">
                        <w:pPr>
                          <w:jc w:val="right"/>
                          <w:rPr>
                            <w:color w:val="000000"/>
                            <w:sz w:val="20"/>
                          </w:rPr>
                        </w:pPr>
                        <w:r w:rsidRPr="00472165">
                          <w:rPr>
                            <w:color w:val="000000"/>
                            <w:sz w:val="20"/>
                          </w:rPr>
                          <w:t> </w:t>
                        </w:r>
                      </w:p>
                    </w:tc>
                  </w:tr>
                  <w:tr w14:paraId="526C1A3C" w14:textId="77777777" w:rsidTr="00472165">
                    <w:tblPrEx>
                      <w:tblW w:w="12760" w:type="dxa"/>
                      <w:tblLayout w:type="fixed"/>
                      <w:tblLook w:val="04A0"/>
                    </w:tblPrEx>
                    <w:trPr>
                      <w:trHeight w:val="26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182BE595" w14:textId="77777777">
                        <w:pPr>
                          <w:rPr>
                            <w:color w:val="000000"/>
                            <w:sz w:val="20"/>
                          </w:rPr>
                        </w:pPr>
                        <w:r w:rsidRPr="00472165">
                          <w:rPr>
                            <w:color w:val="000000"/>
                            <w:sz w:val="20"/>
                          </w:rPr>
                          <w:t xml:space="preserve">D. Record Data </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6713414B" w14:textId="77777777">
                        <w:pPr>
                          <w:jc w:val="center"/>
                          <w:rPr>
                            <w:color w:val="000000"/>
                            <w:sz w:val="20"/>
                          </w:rPr>
                        </w:pPr>
                        <w:r w:rsidRPr="00472165">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68BCD4FA" w14:textId="77777777">
                        <w:pPr>
                          <w:jc w:val="right"/>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2F4368E4"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481BC626" w14:textId="77777777">
                        <w:pPr>
                          <w:jc w:val="right"/>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6C8D790B" w14:textId="77777777">
                        <w:pPr>
                          <w:jc w:val="right"/>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0A6981A7" w14:textId="77777777">
                        <w:pPr>
                          <w:jc w:val="right"/>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0C9F9174" w14:textId="77777777">
                        <w:pPr>
                          <w:jc w:val="right"/>
                          <w:rPr>
                            <w:color w:val="000000"/>
                            <w:sz w:val="20"/>
                          </w:rPr>
                        </w:pPr>
                        <w:r w:rsidRPr="00472165">
                          <w:rPr>
                            <w:color w:val="00000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609BC1F1" w14:textId="77777777">
                        <w:pPr>
                          <w:jc w:val="right"/>
                          <w:rPr>
                            <w:color w:val="000000"/>
                            <w:sz w:val="20"/>
                          </w:rPr>
                        </w:pPr>
                        <w:r w:rsidRPr="00472165">
                          <w:rPr>
                            <w:color w:val="000000"/>
                            <w:sz w:val="20"/>
                          </w:rPr>
                          <w:t> </w:t>
                        </w:r>
                      </w:p>
                    </w:tc>
                  </w:tr>
                  <w:tr w14:paraId="4B57B255" w14:textId="77777777" w:rsidTr="00472165">
                    <w:tblPrEx>
                      <w:tblW w:w="12760" w:type="dxa"/>
                      <w:tblLayout w:type="fixed"/>
                      <w:tblLook w:val="04A0"/>
                    </w:tblPrEx>
                    <w:trPr>
                      <w:trHeight w:val="52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183747EA" w14:textId="77777777">
                        <w:pPr>
                          <w:rPr>
                            <w:color w:val="000000"/>
                            <w:sz w:val="20"/>
                          </w:rPr>
                        </w:pPr>
                        <w:r w:rsidRPr="00472165">
                          <w:rPr>
                            <w:color w:val="000000"/>
                            <w:sz w:val="20"/>
                          </w:rPr>
                          <w:t>E. Time to Transmit or Disclose Information</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1BCEA6DD" w14:textId="77777777">
                        <w:pPr>
                          <w:jc w:val="right"/>
                          <w:rPr>
                            <w:color w:val="000000"/>
                            <w:sz w:val="20"/>
                          </w:rPr>
                        </w:pPr>
                        <w:r w:rsidRPr="00472165">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61E4315E" w14:textId="77777777">
                        <w:pPr>
                          <w:jc w:val="right"/>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0A46CF20"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5984A849" w14:textId="77777777">
                        <w:pPr>
                          <w:jc w:val="right"/>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5138D20F" w14:textId="77777777">
                        <w:pPr>
                          <w:jc w:val="right"/>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0BDF659D" w14:textId="77777777">
                        <w:pPr>
                          <w:jc w:val="right"/>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1449FB8C" w14:textId="77777777">
                        <w:pPr>
                          <w:jc w:val="right"/>
                          <w:rPr>
                            <w:color w:val="000000"/>
                            <w:sz w:val="20"/>
                          </w:rPr>
                        </w:pPr>
                        <w:r w:rsidRPr="00472165">
                          <w:rPr>
                            <w:color w:val="00000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7543F695" w14:textId="77777777">
                        <w:pPr>
                          <w:jc w:val="right"/>
                          <w:rPr>
                            <w:color w:val="000000"/>
                            <w:sz w:val="20"/>
                          </w:rPr>
                        </w:pPr>
                        <w:r w:rsidRPr="00472165">
                          <w:rPr>
                            <w:color w:val="000000"/>
                            <w:sz w:val="20"/>
                          </w:rPr>
                          <w:t> </w:t>
                        </w:r>
                      </w:p>
                    </w:tc>
                  </w:tr>
                  <w:tr w14:paraId="5C6CE51F" w14:textId="77777777" w:rsidTr="00472165">
                    <w:tblPrEx>
                      <w:tblW w:w="12760" w:type="dxa"/>
                      <w:tblLayout w:type="fixed"/>
                      <w:tblLook w:val="04A0"/>
                    </w:tblPrEx>
                    <w:trPr>
                      <w:trHeight w:val="26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7E61389F" w14:textId="77777777">
                        <w:pPr>
                          <w:rPr>
                            <w:i/>
                            <w:iCs/>
                            <w:color w:val="000000"/>
                            <w:sz w:val="20"/>
                            <w:u w:val="single"/>
                          </w:rPr>
                        </w:pPr>
                        <w:r w:rsidRPr="00472165">
                          <w:rPr>
                            <w:i/>
                            <w:iCs/>
                            <w:color w:val="000000"/>
                            <w:sz w:val="20"/>
                            <w:u w:val="single"/>
                          </w:rPr>
                          <w:t>Existing Sources</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72C6327B" w14:textId="77777777">
                        <w:pPr>
                          <w:jc w:val="right"/>
                          <w:rPr>
                            <w:color w:val="000000"/>
                            <w:sz w:val="20"/>
                          </w:rPr>
                        </w:pPr>
                        <w:r w:rsidRPr="00472165">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388B894D" w14:textId="77777777">
                        <w:pPr>
                          <w:jc w:val="right"/>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5C1F291C"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327904B8" w14:textId="77777777">
                        <w:pPr>
                          <w:jc w:val="right"/>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67B6CFBF" w14:textId="77777777">
                        <w:pPr>
                          <w:jc w:val="right"/>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6B4CC879" w14:textId="77777777">
                        <w:pPr>
                          <w:jc w:val="right"/>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7BB3ADFC" w14:textId="77777777">
                        <w:pPr>
                          <w:jc w:val="right"/>
                          <w:rPr>
                            <w:color w:val="000000"/>
                            <w:sz w:val="20"/>
                          </w:rPr>
                        </w:pPr>
                        <w:r w:rsidRPr="00472165">
                          <w:rPr>
                            <w:color w:val="00000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37268945" w14:textId="77777777">
                        <w:pPr>
                          <w:jc w:val="right"/>
                          <w:rPr>
                            <w:color w:val="000000"/>
                            <w:sz w:val="20"/>
                          </w:rPr>
                        </w:pPr>
                        <w:r w:rsidRPr="00472165">
                          <w:rPr>
                            <w:color w:val="000000"/>
                            <w:sz w:val="20"/>
                          </w:rPr>
                          <w:t> </w:t>
                        </w:r>
                      </w:p>
                    </w:tc>
                  </w:tr>
                  <w:tr w14:paraId="07F7C087" w14:textId="77777777" w:rsidTr="00472165">
                    <w:tblPrEx>
                      <w:tblW w:w="12760" w:type="dxa"/>
                      <w:tblLayout w:type="fixed"/>
                      <w:tblLook w:val="04A0"/>
                    </w:tblPrEx>
                    <w:trPr>
                      <w:trHeight w:val="613"/>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589EB3EC" w14:textId="77777777">
                        <w:pPr>
                          <w:rPr>
                            <w:color w:val="000000"/>
                            <w:sz w:val="20"/>
                          </w:rPr>
                        </w:pPr>
                        <w:r w:rsidRPr="00472165">
                          <w:rPr>
                            <w:color w:val="000000"/>
                            <w:sz w:val="20"/>
                          </w:rPr>
                          <w:t>Data Collection</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5B694085" w14:textId="77777777">
                        <w:pPr>
                          <w:jc w:val="center"/>
                          <w:rPr>
                            <w:color w:val="000000"/>
                            <w:sz w:val="20"/>
                          </w:rPr>
                        </w:pPr>
                        <w:r w:rsidRPr="00472165">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6FDD1BB6" w14:textId="77777777">
                        <w:pPr>
                          <w:jc w:val="center"/>
                          <w:rPr>
                            <w:sz w:val="20"/>
                          </w:rPr>
                        </w:pPr>
                        <w:r w:rsidRPr="00472165">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107CF674" w14:textId="77777777">
                        <w:pPr>
                          <w:jc w:val="center"/>
                          <w:rPr>
                            <w:color w:val="000000"/>
                            <w:sz w:val="20"/>
                          </w:rPr>
                        </w:pPr>
                        <w:r w:rsidRPr="00472165">
                          <w:rPr>
                            <w:color w:val="000000"/>
                            <w:sz w:val="20"/>
                          </w:rPr>
                          <w:t>0</w:t>
                        </w:r>
                      </w:p>
                    </w:tc>
                    <w:tc>
                      <w:tcPr>
                        <w:tcW w:w="1340" w:type="dxa"/>
                        <w:tcBorders>
                          <w:top w:val="nil"/>
                          <w:left w:val="nil"/>
                          <w:bottom w:val="single" w:sz="4" w:space="0" w:color="auto"/>
                          <w:right w:val="single" w:sz="4" w:space="0" w:color="auto"/>
                        </w:tcBorders>
                        <w:shd w:val="clear" w:color="auto" w:fill="auto"/>
                        <w:noWrap/>
                        <w:vAlign w:val="bottom"/>
                        <w:hideMark/>
                      </w:tcPr>
                      <w:p w:rsidR="00472165" w:rsidRPr="00472165" w:rsidP="00472165" w14:paraId="250771D2" w14:textId="77777777">
                        <w:pPr>
                          <w:jc w:val="right"/>
                          <w:rPr>
                            <w:color w:val="000000"/>
                            <w:sz w:val="20"/>
                          </w:rPr>
                        </w:pPr>
                        <w:r w:rsidRPr="00472165">
                          <w:rPr>
                            <w:color w:val="000000"/>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29A6492D" w14:textId="77777777">
                        <w:pPr>
                          <w:jc w:val="center"/>
                          <w:rPr>
                            <w:color w:val="000000"/>
                            <w:sz w:val="20"/>
                          </w:rPr>
                        </w:pPr>
                        <w:r w:rsidRPr="00472165">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6B520C8D" w14:textId="77777777">
                        <w:pPr>
                          <w:jc w:val="center"/>
                          <w:rPr>
                            <w:color w:val="000000"/>
                            <w:sz w:val="20"/>
                          </w:rPr>
                        </w:pPr>
                        <w:r w:rsidRPr="0047216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45B868D2" w14:textId="77777777">
                        <w:pPr>
                          <w:jc w:val="center"/>
                          <w:rPr>
                            <w:color w:val="000000"/>
                            <w:sz w:val="20"/>
                          </w:rPr>
                        </w:pPr>
                        <w:r w:rsidRPr="00472165">
                          <w:rPr>
                            <w:color w:val="000000"/>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4E9A13D5" w14:textId="77777777">
                        <w:pPr>
                          <w:jc w:val="right"/>
                          <w:rPr>
                            <w:color w:val="000000"/>
                            <w:sz w:val="20"/>
                          </w:rPr>
                        </w:pPr>
                        <w:r w:rsidRPr="00472165">
                          <w:rPr>
                            <w:color w:val="000000"/>
                            <w:sz w:val="20"/>
                          </w:rPr>
                          <w:t xml:space="preserve">$0.00 </w:t>
                        </w:r>
                      </w:p>
                    </w:tc>
                  </w:tr>
                  <w:tr w14:paraId="02530E37" w14:textId="77777777" w:rsidTr="00472165">
                    <w:tblPrEx>
                      <w:tblW w:w="12760" w:type="dxa"/>
                      <w:tblLayout w:type="fixed"/>
                      <w:tblLook w:val="04A0"/>
                    </w:tblPrEx>
                    <w:trPr>
                      <w:trHeight w:val="78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46A1AEF8" w14:textId="77777777">
                        <w:pPr>
                          <w:rPr>
                            <w:color w:val="000000"/>
                            <w:sz w:val="20"/>
                          </w:rPr>
                        </w:pPr>
                        <w:r w:rsidRPr="00472165">
                          <w:rPr>
                            <w:color w:val="000000"/>
                            <w:sz w:val="20"/>
                          </w:rPr>
                          <w:t>Recordkeeping of NOx emission rate, operating days data, CPMS data</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43C23536" w14:textId="77777777">
                        <w:pPr>
                          <w:jc w:val="center"/>
                          <w:rPr>
                            <w:color w:val="000000"/>
                            <w:sz w:val="20"/>
                          </w:rPr>
                        </w:pPr>
                        <w:r w:rsidRPr="00472165">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0C803FA6" w14:textId="77777777">
                        <w:pPr>
                          <w:jc w:val="center"/>
                          <w:rPr>
                            <w:sz w:val="20"/>
                          </w:rPr>
                        </w:pPr>
                        <w:r w:rsidRPr="00472165">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2F166D6A" w14:textId="77777777">
                        <w:pPr>
                          <w:jc w:val="center"/>
                          <w:rPr>
                            <w:color w:val="000000"/>
                            <w:sz w:val="20"/>
                          </w:rPr>
                        </w:pPr>
                        <w:r w:rsidRPr="00472165">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0A70587F" w14:textId="77777777">
                        <w:pPr>
                          <w:jc w:val="center"/>
                          <w:rPr>
                            <w:sz w:val="20"/>
                          </w:rPr>
                        </w:pPr>
                        <w:r w:rsidRPr="00472165">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12FFC393" w14:textId="77777777">
                        <w:pPr>
                          <w:jc w:val="center"/>
                          <w:rPr>
                            <w:color w:val="000000"/>
                            <w:sz w:val="20"/>
                          </w:rPr>
                        </w:pPr>
                        <w:r w:rsidRPr="00472165">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78FEA428" w14:textId="77777777">
                        <w:pPr>
                          <w:jc w:val="center"/>
                          <w:rPr>
                            <w:color w:val="000000"/>
                            <w:sz w:val="20"/>
                          </w:rPr>
                        </w:pPr>
                        <w:r w:rsidRPr="0047216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5BEC96DA" w14:textId="77777777">
                        <w:pPr>
                          <w:jc w:val="center"/>
                          <w:rPr>
                            <w:color w:val="000000"/>
                            <w:sz w:val="20"/>
                          </w:rPr>
                        </w:pPr>
                        <w:r w:rsidRPr="00472165">
                          <w:rPr>
                            <w:color w:val="000000"/>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1E642102" w14:textId="77777777">
                        <w:pPr>
                          <w:jc w:val="right"/>
                          <w:rPr>
                            <w:color w:val="000000"/>
                            <w:sz w:val="20"/>
                          </w:rPr>
                        </w:pPr>
                        <w:r w:rsidRPr="00472165">
                          <w:rPr>
                            <w:color w:val="000000"/>
                            <w:sz w:val="20"/>
                          </w:rPr>
                          <w:t xml:space="preserve">$0.00 </w:t>
                        </w:r>
                      </w:p>
                    </w:tc>
                  </w:tr>
                  <w:tr w14:paraId="6039CCF3" w14:textId="77777777" w:rsidTr="00472165">
                    <w:tblPrEx>
                      <w:tblW w:w="12760" w:type="dxa"/>
                      <w:tblLayout w:type="fixed"/>
                      <w:tblLook w:val="04A0"/>
                    </w:tblPrEx>
                    <w:trPr>
                      <w:trHeight w:val="26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47550835" w14:textId="77777777">
                        <w:pPr>
                          <w:rPr>
                            <w:i/>
                            <w:iCs/>
                            <w:color w:val="000000"/>
                            <w:sz w:val="20"/>
                            <w:u w:val="single"/>
                          </w:rPr>
                        </w:pPr>
                        <w:r w:rsidRPr="00472165">
                          <w:rPr>
                            <w:i/>
                            <w:iCs/>
                            <w:color w:val="000000"/>
                            <w:sz w:val="20"/>
                            <w:u w:val="single"/>
                          </w:rPr>
                          <w:t>New Sources</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2428A3E3" w14:textId="77777777">
                        <w:pPr>
                          <w:jc w:val="center"/>
                          <w:rPr>
                            <w:color w:val="000000"/>
                            <w:sz w:val="20"/>
                          </w:rPr>
                        </w:pPr>
                        <w:r w:rsidRPr="00472165">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462402A6" w14:textId="77777777">
                        <w:pPr>
                          <w:jc w:val="center"/>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6E866335" w14:textId="77777777">
                        <w:pPr>
                          <w:jc w:val="center"/>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3498DE58" w14:textId="77777777">
                        <w:pPr>
                          <w:jc w:val="center"/>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679693A2" w14:textId="77777777">
                        <w:pPr>
                          <w:jc w:val="center"/>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16AA9A80" w14:textId="77777777">
                        <w:pPr>
                          <w:jc w:val="center"/>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29F5E283" w14:textId="77777777">
                        <w:pPr>
                          <w:jc w:val="center"/>
                          <w:rPr>
                            <w:color w:val="000000"/>
                            <w:sz w:val="20"/>
                          </w:rPr>
                        </w:pPr>
                        <w:r w:rsidRPr="00472165">
                          <w:rPr>
                            <w:color w:val="00000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58FF9667" w14:textId="77777777">
                        <w:pPr>
                          <w:jc w:val="right"/>
                          <w:rPr>
                            <w:color w:val="000000"/>
                            <w:sz w:val="20"/>
                          </w:rPr>
                        </w:pPr>
                        <w:r w:rsidRPr="00472165">
                          <w:rPr>
                            <w:color w:val="000000"/>
                            <w:sz w:val="20"/>
                          </w:rPr>
                          <w:t> </w:t>
                        </w:r>
                      </w:p>
                    </w:tc>
                  </w:tr>
                  <w:tr w14:paraId="4CE81760" w14:textId="77777777" w:rsidTr="00472165">
                    <w:tblPrEx>
                      <w:tblW w:w="12760" w:type="dxa"/>
                      <w:tblLayout w:type="fixed"/>
                      <w:tblLook w:val="04A0"/>
                    </w:tblPrEx>
                    <w:trPr>
                      <w:trHeight w:val="26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247876D2" w14:textId="77777777">
                        <w:pPr>
                          <w:rPr>
                            <w:color w:val="000000"/>
                            <w:sz w:val="20"/>
                          </w:rPr>
                        </w:pPr>
                        <w:r w:rsidRPr="00472165">
                          <w:rPr>
                            <w:color w:val="000000"/>
                            <w:sz w:val="20"/>
                          </w:rPr>
                          <w:t>Data Collection</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3C732963" w14:textId="77777777">
                        <w:pPr>
                          <w:jc w:val="center"/>
                          <w:rPr>
                            <w:color w:val="000000"/>
                            <w:sz w:val="20"/>
                          </w:rPr>
                        </w:pPr>
                        <w:r w:rsidRPr="00472165">
                          <w:rPr>
                            <w:color w:val="000000"/>
                            <w:sz w:val="20"/>
                          </w:rPr>
                          <w:t>1.5</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29077F4D" w14:textId="77777777">
                        <w:pPr>
                          <w:jc w:val="center"/>
                          <w:rPr>
                            <w:sz w:val="20"/>
                          </w:rPr>
                        </w:pPr>
                        <w:r w:rsidRPr="00472165">
                          <w:rPr>
                            <w:sz w:val="20"/>
                          </w:rPr>
                          <w:t>1</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1FAB79A0" w14:textId="77777777">
                        <w:pPr>
                          <w:jc w:val="center"/>
                          <w:rPr>
                            <w:color w:val="000000"/>
                            <w:sz w:val="20"/>
                          </w:rPr>
                        </w:pPr>
                        <w:r w:rsidRPr="00472165">
                          <w:rPr>
                            <w:color w:val="000000"/>
                            <w:sz w:val="20"/>
                          </w:rPr>
                          <w:t>1.5</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1065C200" w14:textId="77777777">
                        <w:pPr>
                          <w:jc w:val="center"/>
                          <w:rPr>
                            <w:sz w:val="20"/>
                          </w:rPr>
                        </w:pPr>
                        <w:r w:rsidRPr="00472165">
                          <w:rPr>
                            <w:sz w:val="20"/>
                          </w:rPr>
                          <w:t>2.03</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2AD0296E" w14:textId="77777777">
                        <w:pPr>
                          <w:jc w:val="center"/>
                          <w:rPr>
                            <w:color w:val="000000"/>
                            <w:sz w:val="20"/>
                          </w:rPr>
                        </w:pPr>
                        <w:r w:rsidRPr="00472165">
                          <w:rPr>
                            <w:color w:val="000000"/>
                            <w:sz w:val="20"/>
                          </w:rPr>
                          <w:t>3</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0ED239FB" w14:textId="77777777">
                        <w:pPr>
                          <w:jc w:val="center"/>
                          <w:rPr>
                            <w:color w:val="000000"/>
                            <w:sz w:val="20"/>
                          </w:rPr>
                        </w:pPr>
                        <w:r w:rsidRPr="00472165">
                          <w:rPr>
                            <w:color w:val="000000"/>
                            <w:sz w:val="20"/>
                          </w:rPr>
                          <w:t>0.15225</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3206FD91" w14:textId="77777777">
                        <w:pPr>
                          <w:jc w:val="center"/>
                          <w:rPr>
                            <w:color w:val="000000"/>
                            <w:sz w:val="20"/>
                          </w:rPr>
                        </w:pPr>
                        <w:r w:rsidRPr="00472165">
                          <w:rPr>
                            <w:color w:val="000000"/>
                            <w:sz w:val="20"/>
                          </w:rPr>
                          <w:t>0.3045</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513A8408" w14:textId="77777777">
                        <w:pPr>
                          <w:jc w:val="right"/>
                          <w:rPr>
                            <w:color w:val="000000"/>
                            <w:sz w:val="20"/>
                          </w:rPr>
                        </w:pPr>
                        <w:r w:rsidRPr="00472165">
                          <w:rPr>
                            <w:color w:val="000000"/>
                            <w:sz w:val="20"/>
                          </w:rPr>
                          <w:t xml:space="preserve">$433 </w:t>
                        </w:r>
                      </w:p>
                    </w:tc>
                  </w:tr>
                  <w:tr w14:paraId="2B2C6A53" w14:textId="77777777" w:rsidTr="00472165">
                    <w:tblPrEx>
                      <w:tblW w:w="12760" w:type="dxa"/>
                      <w:tblLayout w:type="fixed"/>
                      <w:tblLook w:val="04A0"/>
                    </w:tblPrEx>
                    <w:trPr>
                      <w:trHeight w:val="26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7ED58A00" w14:textId="77777777">
                        <w:pPr>
                          <w:rPr>
                            <w:color w:val="000000"/>
                            <w:sz w:val="20"/>
                          </w:rPr>
                        </w:pPr>
                        <w:r w:rsidRPr="00472165">
                          <w:rPr>
                            <w:color w:val="000000"/>
                            <w:sz w:val="20"/>
                          </w:rPr>
                          <w:t>CPMS Recordkeeping</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611C10D1" w14:textId="77777777">
                        <w:pPr>
                          <w:jc w:val="center"/>
                          <w:rPr>
                            <w:color w:val="000000"/>
                            <w:sz w:val="20"/>
                          </w:rPr>
                        </w:pPr>
                        <w:r w:rsidRPr="00472165">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0CBE14A5" w14:textId="77777777">
                        <w:pPr>
                          <w:jc w:val="center"/>
                          <w:rPr>
                            <w:sz w:val="20"/>
                          </w:rPr>
                        </w:pPr>
                        <w:r w:rsidRPr="00472165">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732AB4F0" w14:textId="77777777">
                        <w:pPr>
                          <w:jc w:val="center"/>
                          <w:rPr>
                            <w:color w:val="000000"/>
                            <w:sz w:val="20"/>
                          </w:rPr>
                        </w:pPr>
                        <w:r w:rsidRPr="00472165">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486C4177" w14:textId="77777777">
                        <w:pPr>
                          <w:jc w:val="center"/>
                          <w:rPr>
                            <w:sz w:val="20"/>
                          </w:rPr>
                        </w:pPr>
                        <w:r w:rsidRPr="00472165">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7C1849D1" w14:textId="77777777">
                        <w:pPr>
                          <w:jc w:val="center"/>
                          <w:rPr>
                            <w:color w:val="000000"/>
                            <w:sz w:val="20"/>
                          </w:rPr>
                        </w:pPr>
                        <w:r w:rsidRPr="00472165">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4AD4E417" w14:textId="77777777">
                        <w:pPr>
                          <w:jc w:val="center"/>
                          <w:rPr>
                            <w:color w:val="000000"/>
                            <w:sz w:val="20"/>
                          </w:rPr>
                        </w:pPr>
                        <w:r w:rsidRPr="0047216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643F2849" w14:textId="77777777">
                        <w:pPr>
                          <w:jc w:val="center"/>
                          <w:rPr>
                            <w:color w:val="000000"/>
                            <w:sz w:val="20"/>
                          </w:rPr>
                        </w:pPr>
                        <w:r w:rsidRPr="00472165">
                          <w:rPr>
                            <w:color w:val="000000"/>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65F961DE" w14:textId="77777777">
                        <w:pPr>
                          <w:jc w:val="right"/>
                          <w:rPr>
                            <w:color w:val="000000"/>
                            <w:sz w:val="20"/>
                          </w:rPr>
                        </w:pPr>
                        <w:r w:rsidRPr="00472165">
                          <w:rPr>
                            <w:color w:val="000000"/>
                            <w:sz w:val="20"/>
                          </w:rPr>
                          <w:t xml:space="preserve">$0 </w:t>
                        </w:r>
                      </w:p>
                    </w:tc>
                  </w:tr>
                  <w:tr w14:paraId="21C7AF81" w14:textId="77777777" w:rsidTr="00472165">
                    <w:tblPrEx>
                      <w:tblW w:w="12760" w:type="dxa"/>
                      <w:tblLayout w:type="fixed"/>
                      <w:tblLook w:val="04A0"/>
                    </w:tblPrEx>
                    <w:trPr>
                      <w:trHeight w:val="26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61F7C279" w14:textId="77777777">
                        <w:pPr>
                          <w:rPr>
                            <w:color w:val="000000"/>
                            <w:sz w:val="20"/>
                          </w:rPr>
                        </w:pPr>
                        <w:r w:rsidRPr="00472165">
                          <w:rPr>
                            <w:color w:val="000000"/>
                            <w:sz w:val="20"/>
                          </w:rPr>
                          <w:t>F. Time to Train Personnel</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78EC915E" w14:textId="77777777">
                        <w:pPr>
                          <w:jc w:val="center"/>
                          <w:rPr>
                            <w:color w:val="000000"/>
                            <w:sz w:val="20"/>
                          </w:rPr>
                        </w:pPr>
                        <w:r w:rsidRPr="00472165">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2691B531" w14:textId="77777777">
                        <w:pPr>
                          <w:jc w:val="center"/>
                          <w:rPr>
                            <w:sz w:val="20"/>
                          </w:rPr>
                        </w:pPr>
                        <w:r w:rsidRPr="00472165">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3EE0DDF6" w14:textId="77777777">
                        <w:pPr>
                          <w:jc w:val="center"/>
                          <w:rPr>
                            <w:color w:val="000000"/>
                            <w:sz w:val="20"/>
                          </w:rPr>
                        </w:pPr>
                        <w:r w:rsidRPr="00472165">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53AFF2F1" w14:textId="77777777">
                        <w:pPr>
                          <w:jc w:val="center"/>
                          <w:rPr>
                            <w:sz w:val="20"/>
                          </w:rPr>
                        </w:pPr>
                        <w:r w:rsidRPr="00472165">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2007F9D2" w14:textId="77777777">
                        <w:pPr>
                          <w:jc w:val="center"/>
                          <w:rPr>
                            <w:color w:val="000000"/>
                            <w:sz w:val="20"/>
                          </w:rPr>
                        </w:pPr>
                        <w:r w:rsidRPr="00472165">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6D07A0D6" w14:textId="77777777">
                        <w:pPr>
                          <w:jc w:val="center"/>
                          <w:rPr>
                            <w:color w:val="000000"/>
                            <w:sz w:val="20"/>
                          </w:rPr>
                        </w:pPr>
                        <w:r w:rsidRPr="00472165">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58B230BF" w14:textId="77777777">
                        <w:pPr>
                          <w:jc w:val="center"/>
                          <w:rPr>
                            <w:color w:val="000000"/>
                            <w:sz w:val="20"/>
                          </w:rPr>
                        </w:pPr>
                        <w:r w:rsidRPr="00472165">
                          <w:rPr>
                            <w:color w:val="000000"/>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4704E4BB" w14:textId="77777777">
                        <w:pPr>
                          <w:jc w:val="right"/>
                          <w:rPr>
                            <w:color w:val="000000"/>
                            <w:sz w:val="20"/>
                          </w:rPr>
                        </w:pPr>
                        <w:r w:rsidRPr="00472165">
                          <w:rPr>
                            <w:color w:val="000000"/>
                            <w:sz w:val="20"/>
                          </w:rPr>
                          <w:t xml:space="preserve">$0 </w:t>
                        </w:r>
                      </w:p>
                    </w:tc>
                  </w:tr>
                  <w:tr w14:paraId="5CAC3B37" w14:textId="77777777" w:rsidTr="00472165">
                    <w:tblPrEx>
                      <w:tblW w:w="12760" w:type="dxa"/>
                      <w:tblLayout w:type="fixed"/>
                      <w:tblLook w:val="04A0"/>
                    </w:tblPrEx>
                    <w:trPr>
                      <w:trHeight w:val="345"/>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04A4ABFA" w14:textId="77777777">
                        <w:pPr>
                          <w:rPr>
                            <w:color w:val="000000"/>
                            <w:sz w:val="20"/>
                          </w:rPr>
                        </w:pPr>
                        <w:r w:rsidRPr="00472165">
                          <w:rPr>
                            <w:color w:val="000000"/>
                            <w:sz w:val="20"/>
                          </w:rPr>
                          <w:t xml:space="preserve">G. Time for Audits </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3C664D91" w14:textId="77777777">
                        <w:pPr>
                          <w:jc w:val="center"/>
                          <w:rPr>
                            <w:color w:val="000000"/>
                            <w:sz w:val="20"/>
                          </w:rPr>
                        </w:pPr>
                        <w:r w:rsidRPr="00472165">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3BBA92E9" w14:textId="77777777">
                        <w:pPr>
                          <w:jc w:val="right"/>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7FA2C94F"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2311E5A5" w14:textId="77777777">
                        <w:pPr>
                          <w:jc w:val="right"/>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00A3ADDB" w14:textId="77777777">
                        <w:pPr>
                          <w:jc w:val="right"/>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225165E7" w14:textId="77777777">
                        <w:pPr>
                          <w:jc w:val="right"/>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27BF235D" w14:textId="77777777">
                        <w:pPr>
                          <w:jc w:val="right"/>
                          <w:rPr>
                            <w:color w:val="000000"/>
                            <w:sz w:val="20"/>
                          </w:rPr>
                        </w:pPr>
                        <w:r w:rsidRPr="00472165">
                          <w:rPr>
                            <w:color w:val="00000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6ABC80F6" w14:textId="77777777">
                        <w:pPr>
                          <w:jc w:val="right"/>
                          <w:rPr>
                            <w:color w:val="000000"/>
                            <w:sz w:val="20"/>
                          </w:rPr>
                        </w:pPr>
                        <w:r w:rsidRPr="00472165">
                          <w:rPr>
                            <w:color w:val="000000"/>
                            <w:sz w:val="20"/>
                          </w:rPr>
                          <w:t> </w:t>
                        </w:r>
                      </w:p>
                    </w:tc>
                  </w:tr>
                  <w:tr w14:paraId="4636E4CF" w14:textId="77777777" w:rsidTr="00472165">
                    <w:tblPrEx>
                      <w:tblW w:w="12760" w:type="dxa"/>
                      <w:tblLayout w:type="fixed"/>
                      <w:tblLook w:val="04A0"/>
                    </w:tblPrEx>
                    <w:trPr>
                      <w:trHeight w:val="54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5668870B" w14:textId="77777777">
                        <w:pPr>
                          <w:rPr>
                            <w:b/>
                            <w:bCs/>
                            <w:i/>
                            <w:iCs/>
                            <w:color w:val="000000"/>
                            <w:sz w:val="20"/>
                          </w:rPr>
                        </w:pPr>
                        <w:r w:rsidRPr="00472165">
                          <w:rPr>
                            <w:b/>
                            <w:bCs/>
                            <w:i/>
                            <w:iCs/>
                            <w:color w:val="000000"/>
                            <w:sz w:val="20"/>
                          </w:rPr>
                          <w:t>Subtotal for Recordkeeping Requirements</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03119794" w14:textId="77777777">
                        <w:pPr>
                          <w:jc w:val="right"/>
                          <w:rPr>
                            <w:b/>
                            <w:bCs/>
                            <w:i/>
                            <w:iCs/>
                            <w:color w:val="000000"/>
                            <w:sz w:val="20"/>
                          </w:rPr>
                        </w:pPr>
                        <w:r w:rsidRPr="00472165">
                          <w:rPr>
                            <w:b/>
                            <w:bCs/>
                            <w:i/>
                            <w:i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54F0AF6D" w14:textId="77777777">
                        <w:pPr>
                          <w:jc w:val="right"/>
                          <w:rPr>
                            <w:b/>
                            <w:bCs/>
                            <w:i/>
                            <w:iCs/>
                            <w:sz w:val="20"/>
                          </w:rPr>
                        </w:pPr>
                        <w:r w:rsidRPr="00472165">
                          <w:rPr>
                            <w:b/>
                            <w:bCs/>
                            <w:i/>
                            <w:i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3086DE50" w14:textId="77777777">
                        <w:pPr>
                          <w:jc w:val="right"/>
                          <w:rPr>
                            <w:b/>
                            <w:bCs/>
                            <w:i/>
                            <w:iCs/>
                            <w:color w:val="000000"/>
                            <w:sz w:val="20"/>
                          </w:rPr>
                        </w:pPr>
                        <w:r w:rsidRPr="00472165">
                          <w:rPr>
                            <w:b/>
                            <w:bCs/>
                            <w:i/>
                            <w:iCs/>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472165" w:rsidRPr="00472165" w:rsidP="00472165" w14:paraId="410B7B41" w14:textId="77777777">
                        <w:pPr>
                          <w:jc w:val="right"/>
                          <w:rPr>
                            <w:b/>
                            <w:bCs/>
                            <w:i/>
                            <w:iCs/>
                            <w:sz w:val="20"/>
                          </w:rPr>
                        </w:pPr>
                        <w:r w:rsidRPr="00472165">
                          <w:rPr>
                            <w:b/>
                            <w:bCs/>
                            <w:i/>
                            <w:iCs/>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70843E6F" w14:textId="77777777">
                        <w:pPr>
                          <w:jc w:val="center"/>
                          <w:rPr>
                            <w:b/>
                            <w:bCs/>
                            <w:i/>
                            <w:iCs/>
                            <w:color w:val="000000"/>
                            <w:sz w:val="20"/>
                          </w:rPr>
                        </w:pPr>
                        <w:r w:rsidRPr="00472165">
                          <w:rPr>
                            <w:b/>
                            <w:bCs/>
                            <w:i/>
                            <w:iCs/>
                            <w:color w:val="000000"/>
                            <w:sz w:val="20"/>
                          </w:rPr>
                          <w:t>4</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1C5C0FA7" w14:textId="77777777">
                        <w:pPr>
                          <w:jc w:val="center"/>
                          <w:rPr>
                            <w:b/>
                            <w:bCs/>
                            <w:i/>
                            <w:iCs/>
                            <w:color w:val="000000"/>
                            <w:sz w:val="20"/>
                          </w:rPr>
                        </w:pPr>
                        <w:r w:rsidRPr="00472165">
                          <w:rPr>
                            <w:b/>
                            <w:bCs/>
                            <w:i/>
                            <w:iCs/>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12D13FBB" w14:textId="77777777">
                        <w:pPr>
                          <w:jc w:val="center"/>
                          <w:rPr>
                            <w:b/>
                            <w:bCs/>
                            <w:i/>
                            <w:iCs/>
                            <w:color w:val="000000"/>
                            <w:sz w:val="20"/>
                          </w:rPr>
                        </w:pPr>
                        <w:r w:rsidRPr="00472165">
                          <w:rPr>
                            <w:b/>
                            <w:bCs/>
                            <w:i/>
                            <w:iCs/>
                            <w:color w:val="00000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0086960B" w14:textId="77777777">
                        <w:pPr>
                          <w:jc w:val="right"/>
                          <w:rPr>
                            <w:b/>
                            <w:bCs/>
                            <w:i/>
                            <w:iCs/>
                            <w:color w:val="000000"/>
                            <w:sz w:val="20"/>
                          </w:rPr>
                        </w:pPr>
                        <w:r w:rsidRPr="00472165">
                          <w:rPr>
                            <w:b/>
                            <w:bCs/>
                            <w:i/>
                            <w:iCs/>
                            <w:color w:val="000000"/>
                            <w:sz w:val="20"/>
                          </w:rPr>
                          <w:t xml:space="preserve">$433 </w:t>
                        </w:r>
                      </w:p>
                    </w:tc>
                  </w:tr>
                  <w:tr w14:paraId="6C65FF3D" w14:textId="77777777" w:rsidTr="00472165">
                    <w:tblPrEx>
                      <w:tblW w:w="12760" w:type="dxa"/>
                      <w:tblLayout w:type="fixed"/>
                      <w:tblLook w:val="04A0"/>
                    </w:tblPrEx>
                    <w:trPr>
                      <w:trHeight w:val="56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42F4B79C" w14:textId="77777777">
                        <w:pPr>
                          <w:rPr>
                            <w:b/>
                            <w:bCs/>
                            <w:color w:val="000000"/>
                            <w:sz w:val="20"/>
                          </w:rPr>
                        </w:pPr>
                        <w:r w:rsidRPr="00472165">
                          <w:rPr>
                            <w:b/>
                            <w:bCs/>
                            <w:color w:val="000000"/>
                            <w:sz w:val="20"/>
                          </w:rPr>
                          <w:t xml:space="preserve">Total Labor Burden and Cost (rounded) </w:t>
                        </w:r>
                        <w:r w:rsidRPr="00472165">
                          <w:rPr>
                            <w:b/>
                            <w:bCs/>
                            <w:color w:val="000000"/>
                            <w:sz w:val="20"/>
                            <w:vertAlign w:val="superscript"/>
                          </w:rPr>
                          <w:t>f</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4134BBE1" w14:textId="77777777">
                        <w:pPr>
                          <w:jc w:val="right"/>
                          <w:rPr>
                            <w:b/>
                            <w:bCs/>
                            <w:color w:val="000000"/>
                            <w:sz w:val="20"/>
                          </w:rPr>
                        </w:pPr>
                        <w:r w:rsidRPr="00472165">
                          <w:rPr>
                            <w:b/>
                            <w:b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1F188945" w14:textId="77777777">
                        <w:pPr>
                          <w:jc w:val="center"/>
                          <w:rPr>
                            <w:b/>
                            <w:bCs/>
                            <w:sz w:val="20"/>
                          </w:rPr>
                        </w:pPr>
                        <w:r w:rsidRPr="00472165">
                          <w:rPr>
                            <w:b/>
                            <w:b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0B56F070" w14:textId="77777777">
                        <w:pPr>
                          <w:jc w:val="right"/>
                          <w:rPr>
                            <w:b/>
                            <w:bCs/>
                            <w:color w:val="000000"/>
                            <w:sz w:val="20"/>
                          </w:rPr>
                        </w:pPr>
                        <w:r w:rsidRPr="00472165">
                          <w:rPr>
                            <w:b/>
                            <w:bCs/>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2152C065" w14:textId="77777777">
                        <w:pPr>
                          <w:jc w:val="right"/>
                          <w:rPr>
                            <w:b/>
                            <w:bCs/>
                            <w:sz w:val="20"/>
                          </w:rPr>
                        </w:pPr>
                        <w:r w:rsidRPr="00472165">
                          <w:rPr>
                            <w:b/>
                            <w:bCs/>
                            <w:sz w:val="20"/>
                          </w:rPr>
                          <w:t> </w:t>
                        </w:r>
                      </w:p>
                    </w:tc>
                    <w:tc>
                      <w:tcPr>
                        <w:tcW w:w="3700" w:type="dxa"/>
                        <w:gridSpan w:val="3"/>
                        <w:tcBorders>
                          <w:top w:val="single" w:sz="4" w:space="0" w:color="auto"/>
                          <w:left w:val="nil"/>
                          <w:bottom w:val="single" w:sz="4" w:space="0" w:color="auto"/>
                          <w:right w:val="single" w:sz="4" w:space="0" w:color="auto"/>
                        </w:tcBorders>
                        <w:shd w:val="clear" w:color="auto" w:fill="auto"/>
                        <w:vAlign w:val="center"/>
                        <w:hideMark/>
                      </w:tcPr>
                      <w:p w:rsidR="00472165" w:rsidRPr="00472165" w:rsidP="00472165" w14:paraId="7EABB602" w14:textId="77777777">
                        <w:pPr>
                          <w:jc w:val="center"/>
                          <w:rPr>
                            <w:b/>
                            <w:bCs/>
                            <w:color w:val="000000"/>
                            <w:sz w:val="20"/>
                          </w:rPr>
                        </w:pPr>
                        <w:r w:rsidRPr="00472165">
                          <w:rPr>
                            <w:b/>
                            <w:bCs/>
                            <w:color w:val="000000"/>
                            <w:sz w:val="20"/>
                          </w:rPr>
                          <w:t>200</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1C726A55" w14:textId="77777777">
                        <w:pPr>
                          <w:jc w:val="right"/>
                          <w:rPr>
                            <w:b/>
                            <w:bCs/>
                            <w:color w:val="000000"/>
                            <w:sz w:val="20"/>
                          </w:rPr>
                        </w:pPr>
                        <w:r w:rsidRPr="00472165">
                          <w:rPr>
                            <w:b/>
                            <w:bCs/>
                            <w:color w:val="000000"/>
                            <w:sz w:val="20"/>
                          </w:rPr>
                          <w:t xml:space="preserve">$20,000 </w:t>
                        </w:r>
                      </w:p>
                    </w:tc>
                  </w:tr>
                  <w:tr w14:paraId="11C48BB0" w14:textId="77777777" w:rsidTr="00472165">
                    <w:tblPrEx>
                      <w:tblW w:w="12760" w:type="dxa"/>
                      <w:tblLayout w:type="fixed"/>
                      <w:tblLook w:val="04A0"/>
                    </w:tblPrEx>
                    <w:trPr>
                      <w:trHeight w:val="56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1FFDC87D" w14:textId="77777777">
                        <w:pPr>
                          <w:rPr>
                            <w:b/>
                            <w:bCs/>
                            <w:sz w:val="20"/>
                          </w:rPr>
                        </w:pPr>
                        <w:r w:rsidRPr="00472165">
                          <w:rPr>
                            <w:b/>
                            <w:bCs/>
                            <w:sz w:val="20"/>
                          </w:rPr>
                          <w:t xml:space="preserve">Total Capital and O&amp;M Cost (rounded) </w:t>
                        </w:r>
                        <w:r w:rsidRPr="00472165">
                          <w:rPr>
                            <w:b/>
                            <w:bCs/>
                            <w:sz w:val="20"/>
                            <w:vertAlign w:val="superscript"/>
                          </w:rPr>
                          <w:t>f</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66012AAA" w14:textId="77777777">
                        <w:pPr>
                          <w:jc w:val="right"/>
                          <w:rPr>
                            <w:color w:val="000000"/>
                            <w:sz w:val="20"/>
                          </w:rPr>
                        </w:pPr>
                        <w:r w:rsidRPr="00472165">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55CEB1FE" w14:textId="77777777">
                        <w:pPr>
                          <w:jc w:val="right"/>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758F4F3D"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15DFBB91" w14:textId="77777777">
                        <w:pPr>
                          <w:jc w:val="right"/>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432B6C70" w14:textId="77777777">
                        <w:pPr>
                          <w:jc w:val="right"/>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73EBD874" w14:textId="77777777">
                        <w:pPr>
                          <w:jc w:val="right"/>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39DBDD31" w14:textId="77777777">
                        <w:pPr>
                          <w:jc w:val="right"/>
                          <w:rPr>
                            <w:color w:val="000000"/>
                            <w:sz w:val="20"/>
                          </w:rPr>
                        </w:pPr>
                        <w:r w:rsidRPr="00472165">
                          <w:rPr>
                            <w:color w:val="00000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42C16ECD" w14:textId="77777777">
                        <w:pPr>
                          <w:jc w:val="right"/>
                          <w:rPr>
                            <w:b/>
                            <w:bCs/>
                            <w:color w:val="000000"/>
                            <w:sz w:val="20"/>
                          </w:rPr>
                        </w:pPr>
                        <w:r w:rsidRPr="00472165">
                          <w:rPr>
                            <w:b/>
                            <w:bCs/>
                            <w:color w:val="000000"/>
                            <w:sz w:val="20"/>
                          </w:rPr>
                          <w:t xml:space="preserve">$0 </w:t>
                        </w:r>
                      </w:p>
                    </w:tc>
                  </w:tr>
                  <w:tr w14:paraId="3729C8ED" w14:textId="77777777" w:rsidTr="00472165">
                    <w:tblPrEx>
                      <w:tblW w:w="12760" w:type="dxa"/>
                      <w:tblLayout w:type="fixed"/>
                      <w:tblLook w:val="04A0"/>
                    </w:tblPrEx>
                    <w:trPr>
                      <w:trHeight w:val="30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472165" w:rsidRPr="00472165" w:rsidP="00472165" w14:paraId="3C2F90EA" w14:textId="77777777">
                        <w:pPr>
                          <w:rPr>
                            <w:b/>
                            <w:bCs/>
                            <w:sz w:val="20"/>
                          </w:rPr>
                        </w:pPr>
                        <w:r w:rsidRPr="00472165">
                          <w:rPr>
                            <w:b/>
                            <w:bCs/>
                            <w:sz w:val="20"/>
                          </w:rPr>
                          <w:t xml:space="preserve">Grand TOTAL (rounded) </w:t>
                        </w:r>
                        <w:r w:rsidRPr="00472165">
                          <w:rPr>
                            <w:b/>
                            <w:bCs/>
                            <w:sz w:val="20"/>
                            <w:vertAlign w:val="superscript"/>
                          </w:rPr>
                          <w:t>f</w:t>
                        </w:r>
                      </w:p>
                    </w:tc>
                    <w:tc>
                      <w:tcPr>
                        <w:tcW w:w="1120" w:type="dxa"/>
                        <w:tcBorders>
                          <w:top w:val="nil"/>
                          <w:left w:val="nil"/>
                          <w:bottom w:val="single" w:sz="4" w:space="0" w:color="auto"/>
                          <w:right w:val="single" w:sz="4" w:space="0" w:color="auto"/>
                        </w:tcBorders>
                        <w:shd w:val="clear" w:color="auto" w:fill="auto"/>
                        <w:vAlign w:val="center"/>
                        <w:hideMark/>
                      </w:tcPr>
                      <w:p w:rsidR="00472165" w:rsidRPr="00472165" w:rsidP="00472165" w14:paraId="07D740C5" w14:textId="77777777">
                        <w:pPr>
                          <w:jc w:val="right"/>
                          <w:rPr>
                            <w:color w:val="000000"/>
                            <w:sz w:val="20"/>
                          </w:rPr>
                        </w:pPr>
                        <w:r w:rsidRPr="00472165">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472165" w:rsidRPr="00472165" w:rsidP="00472165" w14:paraId="67DC7E49" w14:textId="77777777">
                        <w:pPr>
                          <w:jc w:val="right"/>
                          <w:rPr>
                            <w:sz w:val="20"/>
                          </w:rPr>
                        </w:pPr>
                        <w:r w:rsidRPr="00472165">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10E5A39E" w14:textId="77777777">
                        <w:pPr>
                          <w:jc w:val="right"/>
                          <w:rPr>
                            <w:color w:val="000000"/>
                            <w:sz w:val="20"/>
                          </w:rPr>
                        </w:pPr>
                        <w:r w:rsidRPr="00472165">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472165" w:rsidRPr="00472165" w:rsidP="00472165" w14:paraId="54C2A9DB" w14:textId="77777777">
                        <w:pPr>
                          <w:jc w:val="right"/>
                          <w:rPr>
                            <w:sz w:val="20"/>
                          </w:rPr>
                        </w:pPr>
                        <w:r w:rsidRPr="00472165">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472165" w:rsidRPr="00472165" w:rsidP="00472165" w14:paraId="4AFB1F02" w14:textId="77777777">
                        <w:pPr>
                          <w:jc w:val="right"/>
                          <w:rPr>
                            <w:color w:val="000000"/>
                            <w:sz w:val="20"/>
                          </w:rPr>
                        </w:pPr>
                        <w:r w:rsidRPr="00472165">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472165" w:rsidRPr="00472165" w:rsidP="00472165" w14:paraId="1EE17183" w14:textId="77777777">
                        <w:pPr>
                          <w:jc w:val="right"/>
                          <w:rPr>
                            <w:color w:val="000000"/>
                            <w:sz w:val="20"/>
                          </w:rPr>
                        </w:pPr>
                        <w:r w:rsidRPr="00472165">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72165" w:rsidRPr="00472165" w:rsidP="00472165" w14:paraId="49CC63A4" w14:textId="77777777">
                        <w:pPr>
                          <w:jc w:val="right"/>
                          <w:rPr>
                            <w:color w:val="000000"/>
                            <w:sz w:val="20"/>
                          </w:rPr>
                        </w:pPr>
                        <w:r w:rsidRPr="00472165">
                          <w:rPr>
                            <w:color w:val="00000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472165" w:rsidRPr="00472165" w:rsidP="00472165" w14:paraId="41175522" w14:textId="77777777">
                        <w:pPr>
                          <w:jc w:val="right"/>
                          <w:rPr>
                            <w:b/>
                            <w:bCs/>
                            <w:color w:val="000000"/>
                            <w:sz w:val="20"/>
                          </w:rPr>
                        </w:pPr>
                        <w:r w:rsidRPr="00472165">
                          <w:rPr>
                            <w:b/>
                            <w:bCs/>
                            <w:color w:val="000000"/>
                            <w:sz w:val="20"/>
                          </w:rPr>
                          <w:t xml:space="preserve">$0 </w:t>
                        </w:r>
                      </w:p>
                    </w:tc>
                  </w:tr>
                  <w:tr w14:paraId="102634FD" w14:textId="77777777" w:rsidTr="00472165">
                    <w:tblPrEx>
                      <w:tblW w:w="12760" w:type="dxa"/>
                      <w:tblLayout w:type="fixed"/>
                      <w:tblLook w:val="04A0"/>
                    </w:tblPrEx>
                    <w:trPr>
                      <w:trHeight w:val="120"/>
                    </w:trPr>
                    <w:tc>
                      <w:tcPr>
                        <w:tcW w:w="2800" w:type="dxa"/>
                        <w:tcBorders>
                          <w:top w:val="nil"/>
                          <w:left w:val="nil"/>
                          <w:bottom w:val="nil"/>
                          <w:right w:val="nil"/>
                        </w:tcBorders>
                        <w:shd w:val="clear" w:color="auto" w:fill="auto"/>
                        <w:noWrap/>
                        <w:vAlign w:val="bottom"/>
                        <w:hideMark/>
                      </w:tcPr>
                      <w:p w:rsidR="00472165" w:rsidRPr="00472165" w:rsidP="00472165" w14:paraId="590E0230" w14:textId="77777777">
                        <w:pPr>
                          <w:jc w:val="right"/>
                          <w:rPr>
                            <w:b/>
                            <w:bCs/>
                            <w:color w:val="000000"/>
                            <w:sz w:val="20"/>
                          </w:rPr>
                        </w:pPr>
                      </w:p>
                    </w:tc>
                    <w:tc>
                      <w:tcPr>
                        <w:tcW w:w="1120" w:type="dxa"/>
                        <w:tcBorders>
                          <w:top w:val="nil"/>
                          <w:left w:val="nil"/>
                          <w:bottom w:val="nil"/>
                          <w:right w:val="nil"/>
                        </w:tcBorders>
                        <w:shd w:val="clear" w:color="auto" w:fill="auto"/>
                        <w:noWrap/>
                        <w:vAlign w:val="bottom"/>
                        <w:hideMark/>
                      </w:tcPr>
                      <w:p w:rsidR="00472165" w:rsidRPr="00472165" w:rsidP="00472165" w14:paraId="0976E054" w14:textId="77777777">
                        <w:pPr>
                          <w:rPr>
                            <w:sz w:val="20"/>
                          </w:rPr>
                        </w:pPr>
                      </w:p>
                    </w:tc>
                    <w:tc>
                      <w:tcPr>
                        <w:tcW w:w="1320" w:type="dxa"/>
                        <w:tcBorders>
                          <w:top w:val="nil"/>
                          <w:left w:val="nil"/>
                          <w:bottom w:val="nil"/>
                          <w:right w:val="nil"/>
                        </w:tcBorders>
                        <w:shd w:val="clear" w:color="auto" w:fill="auto"/>
                        <w:noWrap/>
                        <w:vAlign w:val="bottom"/>
                        <w:hideMark/>
                      </w:tcPr>
                      <w:p w:rsidR="00472165" w:rsidRPr="00472165" w:rsidP="00472165" w14:paraId="3088B7C8" w14:textId="77777777">
                        <w:pPr>
                          <w:rPr>
                            <w:sz w:val="20"/>
                          </w:rPr>
                        </w:pPr>
                      </w:p>
                    </w:tc>
                    <w:tc>
                      <w:tcPr>
                        <w:tcW w:w="1240" w:type="dxa"/>
                        <w:tcBorders>
                          <w:top w:val="nil"/>
                          <w:left w:val="nil"/>
                          <w:bottom w:val="nil"/>
                          <w:right w:val="nil"/>
                        </w:tcBorders>
                        <w:shd w:val="clear" w:color="auto" w:fill="auto"/>
                        <w:noWrap/>
                        <w:vAlign w:val="bottom"/>
                        <w:hideMark/>
                      </w:tcPr>
                      <w:p w:rsidR="00472165" w:rsidRPr="00472165" w:rsidP="00472165" w14:paraId="07FF2F27" w14:textId="77777777">
                        <w:pPr>
                          <w:rPr>
                            <w:sz w:val="20"/>
                          </w:rPr>
                        </w:pPr>
                      </w:p>
                    </w:tc>
                    <w:tc>
                      <w:tcPr>
                        <w:tcW w:w="1340" w:type="dxa"/>
                        <w:tcBorders>
                          <w:top w:val="nil"/>
                          <w:left w:val="nil"/>
                          <w:bottom w:val="nil"/>
                          <w:right w:val="nil"/>
                        </w:tcBorders>
                        <w:shd w:val="clear" w:color="auto" w:fill="auto"/>
                        <w:noWrap/>
                        <w:vAlign w:val="bottom"/>
                        <w:hideMark/>
                      </w:tcPr>
                      <w:p w:rsidR="00472165" w:rsidRPr="00472165" w:rsidP="00472165" w14:paraId="63C0A72F" w14:textId="77777777">
                        <w:pPr>
                          <w:rPr>
                            <w:sz w:val="20"/>
                          </w:rPr>
                        </w:pPr>
                      </w:p>
                    </w:tc>
                    <w:tc>
                      <w:tcPr>
                        <w:tcW w:w="1160" w:type="dxa"/>
                        <w:tcBorders>
                          <w:top w:val="nil"/>
                          <w:left w:val="nil"/>
                          <w:bottom w:val="nil"/>
                          <w:right w:val="nil"/>
                        </w:tcBorders>
                        <w:shd w:val="clear" w:color="auto" w:fill="auto"/>
                        <w:noWrap/>
                        <w:vAlign w:val="bottom"/>
                        <w:hideMark/>
                      </w:tcPr>
                      <w:p w:rsidR="00472165" w:rsidRPr="00472165" w:rsidP="00472165" w14:paraId="70DAA2DE" w14:textId="77777777">
                        <w:pPr>
                          <w:rPr>
                            <w:sz w:val="20"/>
                          </w:rPr>
                        </w:pPr>
                      </w:p>
                    </w:tc>
                    <w:tc>
                      <w:tcPr>
                        <w:tcW w:w="1280" w:type="dxa"/>
                        <w:tcBorders>
                          <w:top w:val="nil"/>
                          <w:left w:val="nil"/>
                          <w:bottom w:val="nil"/>
                          <w:right w:val="nil"/>
                        </w:tcBorders>
                        <w:shd w:val="clear" w:color="auto" w:fill="auto"/>
                        <w:noWrap/>
                        <w:vAlign w:val="bottom"/>
                        <w:hideMark/>
                      </w:tcPr>
                      <w:p w:rsidR="00472165" w:rsidRPr="00472165" w:rsidP="00472165" w14:paraId="0EA714F7" w14:textId="77777777">
                        <w:pPr>
                          <w:rPr>
                            <w:sz w:val="20"/>
                          </w:rPr>
                        </w:pPr>
                      </w:p>
                    </w:tc>
                    <w:tc>
                      <w:tcPr>
                        <w:tcW w:w="1260" w:type="dxa"/>
                        <w:tcBorders>
                          <w:top w:val="nil"/>
                          <w:left w:val="nil"/>
                          <w:bottom w:val="nil"/>
                          <w:right w:val="nil"/>
                        </w:tcBorders>
                        <w:shd w:val="clear" w:color="auto" w:fill="auto"/>
                        <w:noWrap/>
                        <w:vAlign w:val="bottom"/>
                        <w:hideMark/>
                      </w:tcPr>
                      <w:p w:rsidR="00472165" w:rsidRPr="00472165" w:rsidP="00472165" w14:paraId="3ADBF404" w14:textId="77777777">
                        <w:pPr>
                          <w:rPr>
                            <w:sz w:val="20"/>
                          </w:rPr>
                        </w:pPr>
                      </w:p>
                    </w:tc>
                    <w:tc>
                      <w:tcPr>
                        <w:tcW w:w="1240" w:type="dxa"/>
                        <w:tcBorders>
                          <w:top w:val="nil"/>
                          <w:left w:val="nil"/>
                          <w:bottom w:val="nil"/>
                          <w:right w:val="nil"/>
                        </w:tcBorders>
                        <w:shd w:val="clear" w:color="auto" w:fill="auto"/>
                        <w:noWrap/>
                        <w:vAlign w:val="bottom"/>
                        <w:hideMark/>
                      </w:tcPr>
                      <w:p w:rsidR="00472165" w:rsidRPr="00472165" w:rsidP="00472165" w14:paraId="232CFE58" w14:textId="77777777">
                        <w:pPr>
                          <w:rPr>
                            <w:sz w:val="20"/>
                          </w:rPr>
                        </w:pPr>
                      </w:p>
                    </w:tc>
                  </w:tr>
                  <w:tr w14:paraId="2CCDF48C" w14:textId="77777777" w:rsidTr="00472165">
                    <w:tblPrEx>
                      <w:tblW w:w="12760" w:type="dxa"/>
                      <w:tblLayout w:type="fixed"/>
                      <w:tblLook w:val="04A0"/>
                    </w:tblPrEx>
                    <w:trPr>
                      <w:trHeight w:val="180"/>
                    </w:trPr>
                    <w:tc>
                      <w:tcPr>
                        <w:tcW w:w="12760" w:type="dxa"/>
                        <w:gridSpan w:val="9"/>
                        <w:tcBorders>
                          <w:top w:val="nil"/>
                          <w:left w:val="nil"/>
                          <w:bottom w:val="nil"/>
                          <w:right w:val="nil"/>
                        </w:tcBorders>
                        <w:shd w:val="clear" w:color="auto" w:fill="auto"/>
                        <w:vAlign w:val="center"/>
                        <w:hideMark/>
                      </w:tcPr>
                      <w:p w:rsidR="00472165" w:rsidRPr="00472165" w:rsidP="00472165" w14:paraId="24CB782C" w14:textId="77777777">
                        <w:pPr>
                          <w:rPr>
                            <w:color w:val="000000"/>
                            <w:sz w:val="20"/>
                          </w:rPr>
                        </w:pPr>
                        <w:r w:rsidRPr="00472165">
                          <w:rPr>
                            <w:color w:val="000000"/>
                            <w:sz w:val="20"/>
                            <w:vertAlign w:val="superscript"/>
                          </w:rPr>
                          <w:t>a</w:t>
                        </w:r>
                        <w:r w:rsidRPr="00472165">
                          <w:rPr>
                            <w:color w:val="000000"/>
                            <w:sz w:val="20"/>
                          </w:rPr>
                          <w:t xml:space="preserve">  We have assumed that there are approximately 29 affected units and that 10% of the existing units will have new construction/reconstruction.</w:t>
                        </w:r>
                      </w:p>
                    </w:tc>
                  </w:tr>
                  <w:tr w14:paraId="3E2A9198" w14:textId="77777777" w:rsidTr="00472165">
                    <w:tblPrEx>
                      <w:tblW w:w="12760" w:type="dxa"/>
                      <w:tblLayout w:type="fixed"/>
                      <w:tblLook w:val="04A0"/>
                    </w:tblPrEx>
                    <w:trPr>
                      <w:trHeight w:val="1580"/>
                    </w:trPr>
                    <w:tc>
                      <w:tcPr>
                        <w:tcW w:w="12760" w:type="dxa"/>
                        <w:gridSpan w:val="9"/>
                        <w:tcBorders>
                          <w:top w:val="nil"/>
                          <w:left w:val="nil"/>
                          <w:bottom w:val="nil"/>
                          <w:right w:val="nil"/>
                        </w:tcBorders>
                        <w:shd w:val="clear" w:color="auto" w:fill="auto"/>
                        <w:vAlign w:val="bottom"/>
                        <w:hideMark/>
                      </w:tcPr>
                      <w:p w:rsidR="00472165" w:rsidRPr="00472165" w:rsidP="00472165" w14:paraId="742B5A0D" w14:textId="77777777">
                        <w:pPr>
                          <w:rPr>
                            <w:color w:val="000000"/>
                            <w:sz w:val="20"/>
                          </w:rPr>
                        </w:pPr>
                        <w:r w:rsidRPr="00472165">
                          <w:rPr>
                            <w:color w:val="000000"/>
                            <w:sz w:val="20"/>
                            <w:vertAlign w:val="superscript"/>
                          </w:rPr>
                          <w:t>b</w:t>
                        </w:r>
                        <w:r w:rsidRPr="00472165">
                          <w:rPr>
                            <w:color w:val="000000"/>
                            <w:sz w:val="20"/>
                          </w:rPr>
                          <w:t xml:space="preserve">  This ICR uses the following labor rates: $161.62 per hour for Executive, Administrative, and Managerial labor; $127.68 per hour for Technical labor, and $64.22 per hour for Clerical labor.  These rates are from the United States Department of Labor, Bureau of Labor Statistics, June 2022, “Table 2. Civilian Workers, by Occupational and Industry group.”  The rates are from column 1, “Total Compensation.”  The rates have been increased by 110 percent to account for the benefit packages available to those employed by private industry.  Archived report releases can be accessed from https://www.bls.gov/bls/news-release/ecec.htm#2021;  from homepage, select Economic Releases, Archived News Releases, Employer Costs for Employee Compensation, Select a past year, Select a published report.</w:t>
                        </w:r>
                      </w:p>
                    </w:tc>
                  </w:tr>
                  <w:tr w14:paraId="2BF22C09" w14:textId="77777777" w:rsidTr="00472165">
                    <w:tblPrEx>
                      <w:tblW w:w="12760" w:type="dxa"/>
                      <w:tblLayout w:type="fixed"/>
                      <w:tblLook w:val="04A0"/>
                    </w:tblPrEx>
                    <w:trPr>
                      <w:trHeight w:val="350"/>
                    </w:trPr>
                    <w:tc>
                      <w:tcPr>
                        <w:tcW w:w="12760" w:type="dxa"/>
                        <w:gridSpan w:val="9"/>
                        <w:tcBorders>
                          <w:top w:val="nil"/>
                          <w:left w:val="nil"/>
                          <w:bottom w:val="nil"/>
                          <w:right w:val="nil"/>
                        </w:tcBorders>
                        <w:shd w:val="clear" w:color="auto" w:fill="auto"/>
                        <w:vAlign w:val="center"/>
                        <w:hideMark/>
                      </w:tcPr>
                      <w:p w:rsidR="00472165" w:rsidRPr="00472165" w:rsidP="00472165" w14:paraId="02204B37" w14:textId="77777777">
                        <w:pPr>
                          <w:rPr>
                            <w:color w:val="000000"/>
                            <w:sz w:val="20"/>
                          </w:rPr>
                        </w:pPr>
                        <w:r w:rsidRPr="00472165">
                          <w:rPr>
                            <w:color w:val="000000"/>
                            <w:sz w:val="20"/>
                            <w:vertAlign w:val="superscript"/>
                          </w:rPr>
                          <w:t>c</w:t>
                        </w:r>
                        <w:r w:rsidRPr="00472165">
                          <w:rPr>
                            <w:color w:val="000000"/>
                            <w:sz w:val="20"/>
                          </w:rPr>
                          <w:t xml:space="preserve">  New boilers test for NOx. We have assumed that 5 percent of respondents would repeat initial performance test due to failure.</w:t>
                        </w:r>
                      </w:p>
                    </w:tc>
                  </w:tr>
                  <w:tr w14:paraId="2AD3A931" w14:textId="77777777" w:rsidTr="00472165">
                    <w:tblPrEx>
                      <w:tblW w:w="12760" w:type="dxa"/>
                      <w:tblLayout w:type="fixed"/>
                      <w:tblLook w:val="04A0"/>
                    </w:tblPrEx>
                    <w:trPr>
                      <w:trHeight w:val="380"/>
                    </w:trPr>
                    <w:tc>
                      <w:tcPr>
                        <w:tcW w:w="12760" w:type="dxa"/>
                        <w:gridSpan w:val="9"/>
                        <w:tcBorders>
                          <w:top w:val="nil"/>
                          <w:left w:val="nil"/>
                          <w:bottom w:val="nil"/>
                          <w:right w:val="nil"/>
                        </w:tcBorders>
                        <w:shd w:val="clear" w:color="auto" w:fill="auto"/>
                        <w:vAlign w:val="center"/>
                        <w:hideMark/>
                      </w:tcPr>
                      <w:p w:rsidR="00472165" w:rsidRPr="00472165" w:rsidP="00472165" w14:paraId="049031D0" w14:textId="77777777">
                        <w:pPr>
                          <w:rPr>
                            <w:sz w:val="20"/>
                          </w:rPr>
                        </w:pPr>
                        <w:r w:rsidRPr="00472165">
                          <w:rPr>
                            <w:sz w:val="20"/>
                            <w:vertAlign w:val="superscript"/>
                          </w:rPr>
                          <w:t>d</w:t>
                        </w:r>
                        <w:r w:rsidRPr="00472165">
                          <w:rPr>
                            <w:sz w:val="20"/>
                          </w:rPr>
                          <w:t xml:space="preserve">  The rule requires existing boilers to conduct an initial compliance test within 90 days from the installation of the pollution control equipment used to comply with the NOx emission limits. We have assumed that 5 percent of respondents would repeat annual performance test due to failure.</w:t>
                        </w:r>
                      </w:p>
                    </w:tc>
                  </w:tr>
                  <w:tr w14:paraId="6B0C4AE1" w14:textId="77777777" w:rsidTr="00472165">
                    <w:tblPrEx>
                      <w:tblW w:w="12760" w:type="dxa"/>
                      <w:tblLayout w:type="fixed"/>
                      <w:tblLook w:val="04A0"/>
                    </w:tblPrEx>
                    <w:trPr>
                      <w:trHeight w:val="375"/>
                    </w:trPr>
                    <w:tc>
                      <w:tcPr>
                        <w:tcW w:w="12760" w:type="dxa"/>
                        <w:gridSpan w:val="9"/>
                        <w:tcBorders>
                          <w:top w:val="nil"/>
                          <w:left w:val="nil"/>
                          <w:bottom w:val="nil"/>
                          <w:right w:val="nil"/>
                        </w:tcBorders>
                        <w:shd w:val="clear" w:color="auto" w:fill="auto"/>
                        <w:hideMark/>
                      </w:tcPr>
                      <w:p w:rsidR="00472165" w:rsidRPr="00472165" w:rsidP="00472165" w14:paraId="150E9239" w14:textId="77777777">
                        <w:pPr>
                          <w:rPr>
                            <w:color w:val="000000"/>
                            <w:sz w:val="20"/>
                          </w:rPr>
                        </w:pPr>
                        <w:r w:rsidRPr="00472165">
                          <w:rPr>
                            <w:color w:val="000000"/>
                            <w:sz w:val="20"/>
                            <w:vertAlign w:val="superscript"/>
                          </w:rPr>
                          <w:t>f</w:t>
                        </w:r>
                        <w:r w:rsidRPr="00472165">
                          <w:rPr>
                            <w:color w:val="000000"/>
                            <w:sz w:val="20"/>
                          </w:rPr>
                          <w:t xml:space="preserve">  Totals have been rounded to 3 significant figures.  Figures may not add exactly due to rounding.</w:t>
                        </w:r>
                      </w:p>
                    </w:tc>
                  </w:tr>
                </w:tbl>
                <w:p w:rsidR="00472165" w:rsidRPr="003B793B" w:rsidP="00036248" w14:paraId="795D4965" w14:textId="77777777">
                  <w:pPr>
                    <w:rPr>
                      <w:b/>
                      <w:bCs/>
                      <w:szCs w:val="24"/>
                    </w:rPr>
                  </w:pPr>
                </w:p>
                <w:p w:rsidR="00036248" w:rsidP="00036248" w14:paraId="54E0B8F7" w14:textId="2008354F">
                  <w:pPr>
                    <w:rPr>
                      <w:b/>
                      <w:bCs/>
                      <w:szCs w:val="24"/>
                    </w:rPr>
                  </w:pPr>
                  <w:r w:rsidRPr="00D17F6A">
                    <w:rPr>
                      <w:b/>
                      <w:bCs/>
                      <w:szCs w:val="24"/>
                    </w:rPr>
                    <w:t xml:space="preserve">Table </w:t>
                  </w:r>
                  <w:r w:rsidR="00CD3BBE">
                    <w:rPr>
                      <w:b/>
                      <w:bCs/>
                      <w:szCs w:val="24"/>
                    </w:rPr>
                    <w:t>9</w:t>
                  </w:r>
                  <w:r w:rsidRPr="00D17F6A">
                    <w:rPr>
                      <w:b/>
                      <w:bCs/>
                      <w:szCs w:val="24"/>
                    </w:rPr>
                    <w:t xml:space="preserve">: </w:t>
                  </w:r>
                  <w:r>
                    <w:rPr>
                      <w:b/>
                      <w:bCs/>
                      <w:szCs w:val="24"/>
                    </w:rPr>
                    <w:t xml:space="preserve">Annual </w:t>
                  </w:r>
                  <w:r w:rsidRPr="00D17F6A">
                    <w:rPr>
                      <w:b/>
                      <w:bCs/>
                      <w:szCs w:val="24"/>
                    </w:rPr>
                    <w:t xml:space="preserve">Respondent Burden and Cost – </w:t>
                  </w:r>
                  <w:r>
                    <w:rPr>
                      <w:b/>
                      <w:bCs/>
                      <w:szCs w:val="24"/>
                    </w:rPr>
                    <w:t>Iron and Steel Mills and Ferroalloy Manufacturing</w:t>
                  </w:r>
                  <w:r w:rsidRPr="00D17F6A">
                    <w:rPr>
                      <w:b/>
                      <w:bCs/>
                      <w:szCs w:val="24"/>
                    </w:rPr>
                    <w:t xml:space="preserve">, </w:t>
                  </w:r>
                  <w:r>
                    <w:rPr>
                      <w:b/>
                      <w:bCs/>
                      <w:szCs w:val="24"/>
                    </w:rPr>
                    <w:t>Year 3</w:t>
                  </w:r>
                </w:p>
                <w:p w:rsidR="00CD3BBE" w:rsidP="005C2AC7" w14:paraId="7F3D50EA" w14:textId="3939E487">
                  <w:pPr>
                    <w:rPr>
                      <w:color w:val="000000"/>
                      <w:sz w:val="20"/>
                    </w:rPr>
                  </w:pPr>
                </w:p>
                <w:tbl>
                  <w:tblPr>
                    <w:tblW w:w="12540" w:type="dxa"/>
                    <w:tblLayout w:type="fixed"/>
                    <w:tblLook w:val="04A0"/>
                  </w:tblPr>
                  <w:tblGrid>
                    <w:gridCol w:w="2660"/>
                    <w:gridCol w:w="1120"/>
                    <w:gridCol w:w="1320"/>
                    <w:gridCol w:w="1240"/>
                    <w:gridCol w:w="1340"/>
                    <w:gridCol w:w="1160"/>
                    <w:gridCol w:w="1280"/>
                    <w:gridCol w:w="1260"/>
                    <w:gridCol w:w="1160"/>
                  </w:tblGrid>
                  <w:tr w14:paraId="37F678C4" w14:textId="77777777" w:rsidTr="002F1697">
                    <w:tblPrEx>
                      <w:tblW w:w="12540" w:type="dxa"/>
                      <w:tblLayout w:type="fixed"/>
                      <w:tblLook w:val="04A0"/>
                    </w:tblPrEx>
                    <w:trPr>
                      <w:trHeight w:val="130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1697" w:rsidRPr="002F1697" w:rsidP="002F1697" w14:paraId="4D479361" w14:textId="77777777">
                        <w:pPr>
                          <w:jc w:val="center"/>
                          <w:rPr>
                            <w:b/>
                            <w:bCs/>
                            <w:color w:val="000000"/>
                            <w:sz w:val="20"/>
                          </w:rPr>
                        </w:pPr>
                        <w:r w:rsidRPr="002F1697">
                          <w:rPr>
                            <w:b/>
                            <w:bCs/>
                            <w:color w:val="000000"/>
                            <w:sz w:val="20"/>
                          </w:rPr>
                          <w:t>Burden Item</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2F1697" w:rsidRPr="002F1697" w:rsidP="002F1697" w14:paraId="4DEDD252" w14:textId="77777777">
                        <w:pPr>
                          <w:jc w:val="center"/>
                          <w:rPr>
                            <w:color w:val="000000"/>
                            <w:sz w:val="20"/>
                          </w:rPr>
                        </w:pPr>
                        <w:r w:rsidRPr="002F1697">
                          <w:rPr>
                            <w:color w:val="000000"/>
                            <w:sz w:val="20"/>
                          </w:rPr>
                          <w:t>(A)</w:t>
                        </w:r>
                        <w:r w:rsidRPr="002F1697">
                          <w:rPr>
                            <w:color w:val="000000"/>
                            <w:sz w:val="20"/>
                          </w:rPr>
                          <w:br/>
                        </w:r>
                        <w:r w:rsidRPr="002F1697">
                          <w:rPr>
                            <w:color w:val="000000"/>
                            <w:sz w:val="20"/>
                          </w:rPr>
                          <w:t>Hours per Occurrence</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2F1697" w:rsidRPr="002F1697" w:rsidP="002F1697" w14:paraId="37AA64B6" w14:textId="77777777">
                        <w:pPr>
                          <w:jc w:val="center"/>
                          <w:rPr>
                            <w:sz w:val="20"/>
                          </w:rPr>
                        </w:pPr>
                        <w:r w:rsidRPr="002F1697">
                          <w:rPr>
                            <w:sz w:val="20"/>
                          </w:rPr>
                          <w:t>(B)</w:t>
                        </w:r>
                        <w:r w:rsidRPr="002F1697">
                          <w:rPr>
                            <w:sz w:val="20"/>
                          </w:rPr>
                          <w:br/>
                        </w:r>
                        <w:r w:rsidRPr="002F1697">
                          <w:rPr>
                            <w:sz w:val="20"/>
                          </w:rPr>
                          <w:t>Occurrences/ Respondent/ Year</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2F1697" w:rsidRPr="002F1697" w:rsidP="002F1697" w14:paraId="1EE67A8D" w14:textId="77777777">
                        <w:pPr>
                          <w:jc w:val="center"/>
                          <w:rPr>
                            <w:color w:val="000000"/>
                            <w:sz w:val="20"/>
                          </w:rPr>
                        </w:pPr>
                        <w:r w:rsidRPr="002F1697">
                          <w:rPr>
                            <w:color w:val="000000"/>
                            <w:sz w:val="20"/>
                          </w:rPr>
                          <w:t>(C)</w:t>
                        </w:r>
                        <w:r w:rsidRPr="002F1697">
                          <w:rPr>
                            <w:color w:val="000000"/>
                            <w:sz w:val="20"/>
                          </w:rPr>
                          <w:br/>
                        </w:r>
                        <w:r w:rsidRPr="002F1697">
                          <w:rPr>
                            <w:color w:val="000000"/>
                            <w:sz w:val="20"/>
                          </w:rPr>
                          <w:t xml:space="preserve">Hours/ Respondent/ Year </w:t>
                        </w:r>
                        <w:r w:rsidRPr="002F1697">
                          <w:rPr>
                            <w:color w:val="000000"/>
                            <w:sz w:val="20"/>
                          </w:rPr>
                          <w:br/>
                        </w:r>
                        <w:r w:rsidRPr="002F1697">
                          <w:rPr>
                            <w:color w:val="000000"/>
                            <w:sz w:val="20"/>
                          </w:rPr>
                          <w:t>(A x B)</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2F1697" w:rsidRPr="002F1697" w:rsidP="002F1697" w14:paraId="0AF8444C" w14:textId="77777777">
                        <w:pPr>
                          <w:jc w:val="center"/>
                          <w:rPr>
                            <w:sz w:val="20"/>
                          </w:rPr>
                        </w:pPr>
                        <w:r w:rsidRPr="002F1697">
                          <w:rPr>
                            <w:sz w:val="20"/>
                          </w:rPr>
                          <w:t>(D)</w:t>
                        </w:r>
                        <w:r w:rsidRPr="002F1697">
                          <w:rPr>
                            <w:sz w:val="20"/>
                          </w:rPr>
                          <w:br/>
                        </w:r>
                        <w:r w:rsidRPr="002F1697">
                          <w:rPr>
                            <w:sz w:val="20"/>
                          </w:rPr>
                          <w:t>Respondents/</w:t>
                        </w:r>
                        <w:r w:rsidRPr="002F1697">
                          <w:rPr>
                            <w:sz w:val="20"/>
                          </w:rPr>
                          <w:br/>
                        </w:r>
                        <w:r w:rsidRPr="002F1697">
                          <w:rPr>
                            <w:sz w:val="20"/>
                          </w:rPr>
                          <w:t>Year</w:t>
                        </w:r>
                        <w:r w:rsidRPr="002F1697">
                          <w:rPr>
                            <w:sz w:val="20"/>
                            <w:vertAlign w:val="superscript"/>
                          </w:rPr>
                          <w:t>a</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2F1697" w:rsidRPr="002F1697" w:rsidP="002F1697" w14:paraId="7160DF9D" w14:textId="77777777">
                        <w:pPr>
                          <w:jc w:val="center"/>
                          <w:rPr>
                            <w:color w:val="000000"/>
                            <w:sz w:val="20"/>
                          </w:rPr>
                        </w:pPr>
                        <w:r w:rsidRPr="002F1697">
                          <w:rPr>
                            <w:color w:val="000000"/>
                            <w:sz w:val="20"/>
                          </w:rPr>
                          <w:t>(E)</w:t>
                        </w:r>
                        <w:r w:rsidRPr="002F1697">
                          <w:rPr>
                            <w:color w:val="000000"/>
                            <w:sz w:val="20"/>
                          </w:rPr>
                          <w:br/>
                        </w:r>
                        <w:r w:rsidRPr="002F1697">
                          <w:rPr>
                            <w:color w:val="000000"/>
                            <w:sz w:val="20"/>
                          </w:rPr>
                          <w:t xml:space="preserve">Technical Hours/Year </w:t>
                        </w:r>
                        <w:r w:rsidRPr="002F1697">
                          <w:rPr>
                            <w:color w:val="000000"/>
                            <w:sz w:val="20"/>
                          </w:rPr>
                          <w:br/>
                        </w:r>
                        <w:r w:rsidRPr="002F1697">
                          <w:rPr>
                            <w:color w:val="000000"/>
                            <w:sz w:val="20"/>
                          </w:rPr>
                          <w:t>(C x D)</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2F1697" w:rsidRPr="002F1697" w:rsidP="002F1697" w14:paraId="2C6F793B" w14:textId="77777777">
                        <w:pPr>
                          <w:jc w:val="center"/>
                          <w:rPr>
                            <w:color w:val="000000"/>
                            <w:sz w:val="20"/>
                          </w:rPr>
                        </w:pPr>
                        <w:r w:rsidRPr="002F1697">
                          <w:rPr>
                            <w:color w:val="000000"/>
                            <w:sz w:val="20"/>
                          </w:rPr>
                          <w:t xml:space="preserve">(F) Managerial Hours/Year </w:t>
                        </w:r>
                        <w:r w:rsidRPr="002F1697">
                          <w:rPr>
                            <w:color w:val="000000"/>
                            <w:sz w:val="20"/>
                          </w:rPr>
                          <w:br/>
                        </w:r>
                        <w:r w:rsidRPr="002F1697">
                          <w:rPr>
                            <w:color w:val="000000"/>
                            <w:sz w:val="20"/>
                          </w:rPr>
                          <w:t>(E x 0.05)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2F1697" w:rsidRPr="002F1697" w:rsidP="002F1697" w14:paraId="4B8A9530" w14:textId="77777777">
                        <w:pPr>
                          <w:jc w:val="center"/>
                          <w:rPr>
                            <w:color w:val="000000"/>
                            <w:sz w:val="20"/>
                          </w:rPr>
                        </w:pPr>
                        <w:r w:rsidRPr="002F1697">
                          <w:rPr>
                            <w:color w:val="000000"/>
                            <w:sz w:val="20"/>
                          </w:rPr>
                          <w:t xml:space="preserve">(G) </w:t>
                        </w:r>
                        <w:r w:rsidRPr="002F1697">
                          <w:rPr>
                            <w:color w:val="000000"/>
                            <w:sz w:val="20"/>
                          </w:rPr>
                          <w:br/>
                        </w:r>
                        <w:r w:rsidRPr="002F1697">
                          <w:rPr>
                            <w:color w:val="000000"/>
                            <w:sz w:val="20"/>
                          </w:rPr>
                          <w:t xml:space="preserve">Clerical Hours/Year </w:t>
                        </w:r>
                        <w:r w:rsidRPr="002F1697">
                          <w:rPr>
                            <w:color w:val="000000"/>
                            <w:sz w:val="20"/>
                          </w:rPr>
                          <w:br/>
                        </w:r>
                        <w:r w:rsidRPr="002F1697">
                          <w:rPr>
                            <w:color w:val="000000"/>
                            <w:sz w:val="20"/>
                          </w:rPr>
                          <w:t>(E x 0.10)</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2F1697" w:rsidRPr="002F1697" w:rsidP="002F1697" w14:paraId="1E8A3A97" w14:textId="77777777">
                        <w:pPr>
                          <w:jc w:val="center"/>
                          <w:rPr>
                            <w:color w:val="000000"/>
                            <w:sz w:val="20"/>
                          </w:rPr>
                        </w:pPr>
                        <w:r w:rsidRPr="002F1697">
                          <w:rPr>
                            <w:color w:val="000000"/>
                            <w:sz w:val="20"/>
                          </w:rPr>
                          <w:t>(H)</w:t>
                        </w:r>
                        <w:r w:rsidRPr="002F1697">
                          <w:rPr>
                            <w:color w:val="000000"/>
                            <w:sz w:val="20"/>
                          </w:rPr>
                          <w:br/>
                        </w:r>
                        <w:r w:rsidRPr="002F1697">
                          <w:rPr>
                            <w:color w:val="000000"/>
                            <w:sz w:val="20"/>
                          </w:rPr>
                          <w:t>Cost/ Year</w:t>
                        </w:r>
                        <w:r w:rsidRPr="002F1697">
                          <w:rPr>
                            <w:color w:val="000000"/>
                            <w:sz w:val="20"/>
                            <w:vertAlign w:val="superscript"/>
                          </w:rPr>
                          <w:t>b</w:t>
                        </w:r>
                      </w:p>
                    </w:tc>
                  </w:tr>
                  <w:tr w14:paraId="307E356A" w14:textId="77777777" w:rsidTr="002F1697">
                    <w:tblPrEx>
                      <w:tblW w:w="12540" w:type="dxa"/>
                      <w:tblLayout w:type="fixed"/>
                      <w:tblLook w:val="04A0"/>
                    </w:tblPrEx>
                    <w:trPr>
                      <w:trHeight w:val="26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0583BCBE" w14:textId="77777777">
                        <w:pPr>
                          <w:rPr>
                            <w:color w:val="000000"/>
                            <w:sz w:val="20"/>
                          </w:rPr>
                        </w:pPr>
                        <w:r w:rsidRPr="002F1697">
                          <w:rPr>
                            <w:color w:val="000000"/>
                            <w:sz w:val="20"/>
                          </w:rPr>
                          <w:t xml:space="preserve">1. APPLICATIONS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29EC67B8" w14:textId="77777777">
                        <w:pPr>
                          <w:jc w:val="center"/>
                          <w:rPr>
                            <w:color w:val="000000"/>
                            <w:sz w:val="20"/>
                          </w:rPr>
                        </w:pPr>
                        <w:r w:rsidRPr="002F1697">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6D53B523"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3F5901DE"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54A968C1" w14:textId="77777777">
                        <w:pPr>
                          <w:jc w:val="right"/>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02249C6B" w14:textId="77777777">
                        <w:pPr>
                          <w:jc w:val="right"/>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5191625A" w14:textId="77777777">
                        <w:pPr>
                          <w:jc w:val="right"/>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5176FA5A" w14:textId="77777777">
                        <w:pPr>
                          <w:jc w:val="right"/>
                          <w:rPr>
                            <w:color w:val="000000"/>
                            <w:sz w:val="20"/>
                          </w:rPr>
                        </w:pPr>
                        <w:r w:rsidRPr="002F1697">
                          <w:rPr>
                            <w:color w:val="000000"/>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5C6F2F80" w14:textId="77777777">
                        <w:pPr>
                          <w:jc w:val="right"/>
                          <w:rPr>
                            <w:color w:val="000000"/>
                            <w:sz w:val="20"/>
                          </w:rPr>
                        </w:pPr>
                        <w:r w:rsidRPr="002F1697">
                          <w:rPr>
                            <w:color w:val="000000"/>
                            <w:sz w:val="20"/>
                          </w:rPr>
                          <w:t> </w:t>
                        </w:r>
                      </w:p>
                    </w:tc>
                  </w:tr>
                  <w:tr w14:paraId="75D4C194" w14:textId="77777777" w:rsidTr="002F1697">
                    <w:tblPrEx>
                      <w:tblW w:w="12540" w:type="dxa"/>
                      <w:tblLayout w:type="fixed"/>
                      <w:tblLook w:val="04A0"/>
                    </w:tblPrEx>
                    <w:trPr>
                      <w:trHeight w:val="493"/>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74D3FD45" w14:textId="77777777">
                        <w:pPr>
                          <w:rPr>
                            <w:color w:val="000000"/>
                            <w:sz w:val="20"/>
                          </w:rPr>
                        </w:pPr>
                        <w:r w:rsidRPr="002F1697">
                          <w:rPr>
                            <w:color w:val="000000"/>
                            <w:sz w:val="20"/>
                          </w:rPr>
                          <w:t xml:space="preserve">2. SURVEY AND STUDIES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3A83123" w14:textId="77777777">
                        <w:pPr>
                          <w:jc w:val="center"/>
                          <w:rPr>
                            <w:color w:val="000000"/>
                            <w:sz w:val="20"/>
                          </w:rPr>
                        </w:pPr>
                        <w:r w:rsidRPr="002F1697">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6671C2EF"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35504602"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639A85E1" w14:textId="77777777">
                        <w:pPr>
                          <w:jc w:val="right"/>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3A0EE9B2" w14:textId="77777777">
                        <w:pPr>
                          <w:jc w:val="right"/>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69282D26" w14:textId="77777777">
                        <w:pPr>
                          <w:jc w:val="right"/>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455902B1" w14:textId="77777777">
                        <w:pPr>
                          <w:jc w:val="right"/>
                          <w:rPr>
                            <w:color w:val="000000"/>
                            <w:sz w:val="20"/>
                          </w:rPr>
                        </w:pPr>
                        <w:r w:rsidRPr="002F1697">
                          <w:rPr>
                            <w:color w:val="000000"/>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02C90BC2" w14:textId="77777777">
                        <w:pPr>
                          <w:jc w:val="right"/>
                          <w:rPr>
                            <w:color w:val="000000"/>
                            <w:sz w:val="20"/>
                          </w:rPr>
                        </w:pPr>
                        <w:r w:rsidRPr="002F1697">
                          <w:rPr>
                            <w:color w:val="000000"/>
                            <w:sz w:val="20"/>
                          </w:rPr>
                          <w:t> </w:t>
                        </w:r>
                      </w:p>
                    </w:tc>
                  </w:tr>
                  <w:tr w14:paraId="29CD21DE" w14:textId="77777777" w:rsidTr="002F1697">
                    <w:tblPrEx>
                      <w:tblW w:w="12540" w:type="dxa"/>
                      <w:tblLayout w:type="fixed"/>
                      <w:tblLook w:val="04A0"/>
                    </w:tblPrEx>
                    <w:trPr>
                      <w:trHeight w:val="149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7E133C22" w14:textId="77777777">
                        <w:pPr>
                          <w:rPr>
                            <w:color w:val="000000"/>
                            <w:sz w:val="20"/>
                          </w:rPr>
                        </w:pPr>
                        <w:r w:rsidRPr="002F1697">
                          <w:rPr>
                            <w:color w:val="000000"/>
                            <w:sz w:val="20"/>
                          </w:rPr>
                          <w:t>3.ACQUISITION, INSTALLATION, AND UTILIZATION OF TECHNOLOGY AND SYSTEMS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42F6CE60"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1158139E"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7AF54699"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2EA2503F"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23ED53AF"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62B02F66"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1C173931" w14:textId="77777777">
                        <w:pPr>
                          <w:jc w:val="center"/>
                          <w:rPr>
                            <w:color w:val="000000"/>
                            <w:sz w:val="20"/>
                          </w:rPr>
                        </w:pPr>
                        <w:r w:rsidRPr="002F1697">
                          <w:rPr>
                            <w:color w:val="000000"/>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41F9DE2C" w14:textId="77777777">
                        <w:pPr>
                          <w:jc w:val="right"/>
                          <w:rPr>
                            <w:color w:val="000000"/>
                            <w:sz w:val="20"/>
                          </w:rPr>
                        </w:pPr>
                        <w:r w:rsidRPr="002F1697">
                          <w:rPr>
                            <w:color w:val="000000"/>
                            <w:sz w:val="20"/>
                          </w:rPr>
                          <w:t xml:space="preserve">$0 </w:t>
                        </w:r>
                      </w:p>
                    </w:tc>
                  </w:tr>
                  <w:tr w14:paraId="2E87F034" w14:textId="77777777" w:rsidTr="002F1697">
                    <w:tblPrEx>
                      <w:tblW w:w="12540" w:type="dxa"/>
                      <w:tblLayout w:type="fixed"/>
                      <w:tblLook w:val="04A0"/>
                    </w:tblPrEx>
                    <w:trPr>
                      <w:trHeight w:val="26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3D98F9FF" w14:textId="77777777">
                        <w:pPr>
                          <w:rPr>
                            <w:color w:val="000000"/>
                            <w:sz w:val="20"/>
                          </w:rPr>
                        </w:pPr>
                        <w:r w:rsidRPr="002F1697">
                          <w:rPr>
                            <w:color w:val="000000"/>
                            <w:sz w:val="20"/>
                          </w:rPr>
                          <w:t>4. REPORT REQUIREMENTS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30BB75E4"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22A685E5" w14:textId="77777777">
                        <w:pPr>
                          <w:jc w:val="center"/>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696B6267" w14:textId="77777777">
                        <w:pPr>
                          <w:jc w:val="center"/>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57AAFCCE" w14:textId="77777777">
                        <w:pPr>
                          <w:jc w:val="center"/>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55B1608C" w14:textId="77777777">
                        <w:pPr>
                          <w:jc w:val="center"/>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10D1C26A" w14:textId="77777777">
                        <w:pPr>
                          <w:jc w:val="center"/>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5A1C1108" w14:textId="77777777">
                        <w:pPr>
                          <w:jc w:val="center"/>
                          <w:rPr>
                            <w:color w:val="000000"/>
                            <w:sz w:val="20"/>
                          </w:rPr>
                        </w:pPr>
                        <w:r w:rsidRPr="002F1697">
                          <w:rPr>
                            <w:color w:val="000000"/>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01C6466A" w14:textId="77777777">
                        <w:pPr>
                          <w:jc w:val="right"/>
                          <w:rPr>
                            <w:color w:val="000000"/>
                            <w:sz w:val="20"/>
                          </w:rPr>
                        </w:pPr>
                        <w:r w:rsidRPr="002F1697">
                          <w:rPr>
                            <w:color w:val="000000"/>
                            <w:sz w:val="20"/>
                          </w:rPr>
                          <w:t> </w:t>
                        </w:r>
                      </w:p>
                    </w:tc>
                  </w:tr>
                  <w:tr w14:paraId="55608B88" w14:textId="77777777" w:rsidTr="002F1697">
                    <w:tblPrEx>
                      <w:tblW w:w="12540" w:type="dxa"/>
                      <w:tblLayout w:type="fixed"/>
                      <w:tblLook w:val="04A0"/>
                    </w:tblPrEx>
                    <w:trPr>
                      <w:trHeight w:val="104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3016CE5D" w14:textId="77777777">
                        <w:pPr>
                          <w:rPr>
                            <w:color w:val="000000"/>
                            <w:sz w:val="20"/>
                          </w:rPr>
                        </w:pPr>
                        <w:r w:rsidRPr="002F1697">
                          <w:rPr>
                            <w:color w:val="000000"/>
                            <w:sz w:val="20"/>
                          </w:rPr>
                          <w:t xml:space="preserve">REQUEST FOR EXTENSION OF COMPLIANCE - Per 52.40(d);  (based on BACT analysis of 2020 NSR ICR)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75F79D99" w14:textId="77777777">
                        <w:pPr>
                          <w:jc w:val="center"/>
                          <w:rPr>
                            <w:color w:val="000000"/>
                            <w:sz w:val="20"/>
                          </w:rPr>
                        </w:pPr>
                        <w:r w:rsidRPr="002F1697">
                          <w:rPr>
                            <w:color w:val="000000"/>
                            <w:sz w:val="20"/>
                          </w:rPr>
                          <w:t>156</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3765F24A" w14:textId="77777777">
                        <w:pPr>
                          <w:jc w:val="center"/>
                          <w:rPr>
                            <w:sz w:val="20"/>
                          </w:rPr>
                        </w:pPr>
                        <w:r w:rsidRPr="002F1697">
                          <w:rPr>
                            <w:sz w:val="20"/>
                          </w:rPr>
                          <w:t>1</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5D0CD686" w14:textId="77777777">
                        <w:pPr>
                          <w:jc w:val="center"/>
                          <w:rPr>
                            <w:color w:val="000000"/>
                            <w:sz w:val="20"/>
                          </w:rPr>
                        </w:pPr>
                        <w:r w:rsidRPr="002F1697">
                          <w:rPr>
                            <w:color w:val="000000"/>
                            <w:sz w:val="20"/>
                          </w:rPr>
                          <w:t>156</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508EC41F" w14:textId="77777777">
                        <w:pPr>
                          <w:jc w:val="center"/>
                          <w:rPr>
                            <w:sz w:val="20"/>
                          </w:rPr>
                        </w:pPr>
                        <w:r w:rsidRPr="002F1697">
                          <w:rPr>
                            <w:sz w:val="20"/>
                          </w:rPr>
                          <w:t>0.29</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1006B341" w14:textId="77777777">
                        <w:pPr>
                          <w:jc w:val="center"/>
                          <w:rPr>
                            <w:color w:val="000000"/>
                            <w:sz w:val="20"/>
                          </w:rPr>
                        </w:pPr>
                        <w:r w:rsidRPr="002F1697">
                          <w:rPr>
                            <w:color w:val="000000"/>
                            <w:sz w:val="20"/>
                          </w:rPr>
                          <w:t>45.24</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6C177DDB" w14:textId="77777777">
                        <w:pPr>
                          <w:jc w:val="center"/>
                          <w:rPr>
                            <w:color w:val="000000"/>
                            <w:sz w:val="20"/>
                          </w:rPr>
                        </w:pPr>
                        <w:r w:rsidRPr="002F1697">
                          <w:rPr>
                            <w:color w:val="000000"/>
                            <w:sz w:val="20"/>
                          </w:rPr>
                          <w:t>2.262</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5C443211" w14:textId="77777777">
                        <w:pPr>
                          <w:jc w:val="center"/>
                          <w:rPr>
                            <w:color w:val="000000"/>
                            <w:sz w:val="20"/>
                          </w:rPr>
                        </w:pPr>
                        <w:r w:rsidRPr="002F1697">
                          <w:rPr>
                            <w:color w:val="000000"/>
                            <w:sz w:val="20"/>
                          </w:rPr>
                          <w:t>4.524</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3F41AB97" w14:textId="7AB21444">
                        <w:pPr>
                          <w:jc w:val="right"/>
                          <w:rPr>
                            <w:color w:val="000000"/>
                            <w:sz w:val="20"/>
                          </w:rPr>
                        </w:pPr>
                        <w:r w:rsidRPr="002F1697">
                          <w:rPr>
                            <w:color w:val="000000"/>
                            <w:sz w:val="20"/>
                          </w:rPr>
                          <w:t xml:space="preserve">$6,432 </w:t>
                        </w:r>
                      </w:p>
                    </w:tc>
                  </w:tr>
                  <w:tr w14:paraId="1D0254D7" w14:textId="77777777" w:rsidTr="002F1697">
                    <w:tblPrEx>
                      <w:tblW w:w="12540" w:type="dxa"/>
                      <w:tblLayout w:type="fixed"/>
                      <w:tblLook w:val="04A0"/>
                    </w:tblPrEx>
                    <w:trPr>
                      <w:trHeight w:val="52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73D5CBC7" w14:textId="77777777">
                        <w:pPr>
                          <w:rPr>
                            <w:color w:val="000000"/>
                            <w:sz w:val="20"/>
                          </w:rPr>
                        </w:pPr>
                        <w:r w:rsidRPr="002F1697">
                          <w:rPr>
                            <w:color w:val="000000"/>
                            <w:sz w:val="20"/>
                          </w:rPr>
                          <w:t>A. Familiarize with regulatory requirement</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6BF7764B" w14:textId="77777777">
                        <w:pPr>
                          <w:jc w:val="center"/>
                          <w:rPr>
                            <w:color w:val="000000"/>
                            <w:sz w:val="20"/>
                          </w:rPr>
                        </w:pPr>
                        <w:r w:rsidRPr="002F1697">
                          <w:rPr>
                            <w:color w:val="000000"/>
                            <w:sz w:val="20"/>
                          </w:rPr>
                          <w:t>20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0F8215C2" w14:textId="77777777">
                        <w:pPr>
                          <w:jc w:val="center"/>
                          <w:rPr>
                            <w:sz w:val="20"/>
                          </w:rPr>
                        </w:pPr>
                        <w:r w:rsidRPr="002F1697">
                          <w:rPr>
                            <w:sz w:val="20"/>
                          </w:rPr>
                          <w:t>1</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0C89665B" w14:textId="77777777">
                        <w:pPr>
                          <w:jc w:val="center"/>
                          <w:rPr>
                            <w:color w:val="000000"/>
                            <w:sz w:val="20"/>
                          </w:rPr>
                        </w:pPr>
                        <w:r w:rsidRPr="002F1697">
                          <w:rPr>
                            <w:color w:val="000000"/>
                            <w:sz w:val="20"/>
                          </w:rPr>
                          <w:t>20</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0E28715A" w14:textId="77777777">
                        <w:pPr>
                          <w:jc w:val="center"/>
                          <w:rPr>
                            <w:sz w:val="20"/>
                          </w:rPr>
                        </w:pPr>
                        <w:r w:rsidRPr="002F1697">
                          <w:rPr>
                            <w:sz w:val="20"/>
                          </w:rPr>
                          <w:t>29</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40913754" w14:textId="77777777">
                        <w:pPr>
                          <w:jc w:val="center"/>
                          <w:rPr>
                            <w:color w:val="000000"/>
                            <w:sz w:val="20"/>
                          </w:rPr>
                        </w:pPr>
                        <w:r w:rsidRPr="002F1697">
                          <w:rPr>
                            <w:color w:val="000000"/>
                            <w:sz w:val="20"/>
                          </w:rPr>
                          <w:t>580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1E045CBF" w14:textId="77777777">
                        <w:pPr>
                          <w:jc w:val="center"/>
                          <w:rPr>
                            <w:color w:val="000000"/>
                            <w:sz w:val="20"/>
                          </w:rPr>
                        </w:pPr>
                        <w:r w:rsidRPr="002F1697">
                          <w:rPr>
                            <w:color w:val="000000"/>
                            <w:sz w:val="20"/>
                          </w:rPr>
                          <w:t>29</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2866CCF3" w14:textId="77777777">
                        <w:pPr>
                          <w:jc w:val="center"/>
                          <w:rPr>
                            <w:color w:val="000000"/>
                            <w:sz w:val="20"/>
                          </w:rPr>
                        </w:pPr>
                        <w:r w:rsidRPr="002F1697">
                          <w:rPr>
                            <w:color w:val="000000"/>
                            <w:sz w:val="20"/>
                          </w:rPr>
                          <w:t>58</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0AD15DA6" w14:textId="1B4A7898">
                        <w:pPr>
                          <w:jc w:val="right"/>
                          <w:rPr>
                            <w:color w:val="000000"/>
                            <w:sz w:val="20"/>
                          </w:rPr>
                        </w:pPr>
                        <w:r w:rsidRPr="002F1697">
                          <w:rPr>
                            <w:color w:val="000000"/>
                            <w:sz w:val="20"/>
                          </w:rPr>
                          <w:t>$82,46</w:t>
                        </w:r>
                        <w:r w:rsidR="00F108BF">
                          <w:rPr>
                            <w:color w:val="000000"/>
                            <w:sz w:val="20"/>
                          </w:rPr>
                          <w:t>6</w:t>
                        </w:r>
                        <w:r w:rsidRPr="002F1697">
                          <w:rPr>
                            <w:color w:val="000000"/>
                            <w:sz w:val="20"/>
                          </w:rPr>
                          <w:t xml:space="preserve"> </w:t>
                        </w:r>
                      </w:p>
                    </w:tc>
                  </w:tr>
                  <w:tr w14:paraId="1F3A0324" w14:textId="77777777" w:rsidTr="002F1697">
                    <w:tblPrEx>
                      <w:tblW w:w="12540" w:type="dxa"/>
                      <w:tblLayout w:type="fixed"/>
                      <w:tblLook w:val="04A0"/>
                    </w:tblPrEx>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7D7D8409" w14:textId="77777777">
                        <w:pPr>
                          <w:rPr>
                            <w:color w:val="000000"/>
                            <w:sz w:val="20"/>
                          </w:rPr>
                        </w:pPr>
                        <w:r w:rsidRPr="002F1697">
                          <w:rPr>
                            <w:color w:val="000000"/>
                            <w:sz w:val="20"/>
                          </w:rPr>
                          <w:t>B. Required Activities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533F357E"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3AF41617" w14:textId="77777777">
                        <w:pPr>
                          <w:jc w:val="center"/>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410038BD" w14:textId="77777777">
                        <w:pPr>
                          <w:jc w:val="center"/>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408D6FF8" w14:textId="77777777">
                        <w:pPr>
                          <w:jc w:val="center"/>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0D0D579C" w14:textId="77777777">
                        <w:pPr>
                          <w:jc w:val="center"/>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53E6BF55" w14:textId="77777777">
                        <w:pPr>
                          <w:jc w:val="center"/>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5646FA8B" w14:textId="77777777">
                        <w:pPr>
                          <w:jc w:val="center"/>
                          <w:rPr>
                            <w:color w:val="000000"/>
                            <w:sz w:val="20"/>
                          </w:rPr>
                        </w:pPr>
                        <w:r w:rsidRPr="002F1697">
                          <w:rPr>
                            <w:color w:val="000000"/>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7C067817" w14:textId="77777777">
                        <w:pPr>
                          <w:jc w:val="right"/>
                          <w:rPr>
                            <w:color w:val="000000"/>
                            <w:sz w:val="20"/>
                          </w:rPr>
                        </w:pPr>
                        <w:r w:rsidRPr="002F1697">
                          <w:rPr>
                            <w:color w:val="000000"/>
                            <w:sz w:val="20"/>
                          </w:rPr>
                          <w:t> </w:t>
                        </w:r>
                      </w:p>
                    </w:tc>
                  </w:tr>
                  <w:tr w14:paraId="1883F0E2" w14:textId="77777777" w:rsidTr="002F1697">
                    <w:tblPrEx>
                      <w:tblW w:w="12540" w:type="dxa"/>
                      <w:tblLayout w:type="fixed"/>
                      <w:tblLook w:val="04A0"/>
                    </w:tblPrEx>
                    <w:trPr>
                      <w:trHeight w:val="31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0F974E6D" w14:textId="77777777">
                        <w:pPr>
                          <w:rPr>
                            <w:i/>
                            <w:iCs/>
                            <w:color w:val="000000"/>
                            <w:sz w:val="20"/>
                          </w:rPr>
                        </w:pPr>
                        <w:r w:rsidRPr="002F1697">
                          <w:rPr>
                            <w:i/>
                            <w:iCs/>
                            <w:color w:val="000000"/>
                            <w:sz w:val="20"/>
                          </w:rPr>
                          <w:t xml:space="preserve">New Sources - Testing </w:t>
                        </w:r>
                        <w:r w:rsidRPr="002F1697">
                          <w:rPr>
                            <w:color w:val="000000"/>
                            <w:sz w:val="20"/>
                            <w:vertAlign w:val="superscript"/>
                          </w:rPr>
                          <w:t>c</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3AA876FA"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6BE92451" w14:textId="77777777">
                        <w:pPr>
                          <w:jc w:val="center"/>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6A232CE9" w14:textId="77777777">
                        <w:pPr>
                          <w:jc w:val="center"/>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627EDFA7" w14:textId="77777777">
                        <w:pPr>
                          <w:jc w:val="center"/>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3856F0EC" w14:textId="77777777">
                        <w:pPr>
                          <w:jc w:val="center"/>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7A654CBF" w14:textId="77777777">
                        <w:pPr>
                          <w:jc w:val="center"/>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1B3E3260" w14:textId="77777777">
                        <w:pPr>
                          <w:jc w:val="center"/>
                          <w:rPr>
                            <w:color w:val="000000"/>
                            <w:sz w:val="20"/>
                          </w:rPr>
                        </w:pPr>
                        <w:r w:rsidRPr="002F1697">
                          <w:rPr>
                            <w:color w:val="000000"/>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3C1F516F" w14:textId="77777777">
                        <w:pPr>
                          <w:jc w:val="right"/>
                          <w:rPr>
                            <w:color w:val="000000"/>
                            <w:sz w:val="20"/>
                          </w:rPr>
                        </w:pPr>
                        <w:r w:rsidRPr="002F1697">
                          <w:rPr>
                            <w:color w:val="000000"/>
                            <w:sz w:val="20"/>
                          </w:rPr>
                          <w:t> </w:t>
                        </w:r>
                      </w:p>
                    </w:tc>
                  </w:tr>
                  <w:tr w14:paraId="5DA99AB2" w14:textId="77777777" w:rsidTr="002F1697">
                    <w:tblPrEx>
                      <w:tblW w:w="12540" w:type="dxa"/>
                      <w:tblLayout w:type="fixed"/>
                      <w:tblLook w:val="04A0"/>
                    </w:tblPrEx>
                    <w:trPr>
                      <w:trHeight w:val="54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18BCD49D" w14:textId="77777777">
                        <w:pPr>
                          <w:rPr>
                            <w:sz w:val="20"/>
                          </w:rPr>
                        </w:pPr>
                        <w:r w:rsidRPr="002F1697">
                          <w:rPr>
                            <w:sz w:val="20"/>
                          </w:rPr>
                          <w:t>Initial Performance Evaluation of CPMS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1F353B97"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583BDE4E"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0BCC36FF"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34669440"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5E523D41"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1404D6EF"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18B64D04" w14:textId="77777777">
                        <w:pPr>
                          <w:jc w:val="center"/>
                          <w:rPr>
                            <w:color w:val="000000"/>
                            <w:sz w:val="20"/>
                          </w:rPr>
                        </w:pPr>
                        <w:r w:rsidRPr="002F1697">
                          <w:rPr>
                            <w:color w:val="000000"/>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24B56327" w14:textId="77777777">
                        <w:pPr>
                          <w:jc w:val="right"/>
                          <w:rPr>
                            <w:color w:val="000000"/>
                            <w:sz w:val="20"/>
                          </w:rPr>
                        </w:pPr>
                        <w:r w:rsidRPr="002F1697">
                          <w:rPr>
                            <w:color w:val="000000"/>
                            <w:sz w:val="20"/>
                          </w:rPr>
                          <w:t xml:space="preserve">$0.00 </w:t>
                        </w:r>
                      </w:p>
                    </w:tc>
                  </w:tr>
                  <w:tr w14:paraId="559BDAA3" w14:textId="77777777" w:rsidTr="002F1697">
                    <w:tblPrEx>
                      <w:tblW w:w="12540" w:type="dxa"/>
                      <w:tblLayout w:type="fixed"/>
                      <w:tblLook w:val="04A0"/>
                    </w:tblPrEx>
                    <w:trPr>
                      <w:trHeight w:val="52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4EA07C19" w14:textId="77777777">
                        <w:pPr>
                          <w:rPr>
                            <w:sz w:val="20"/>
                          </w:rPr>
                        </w:pPr>
                        <w:r w:rsidRPr="002F1697">
                          <w:rPr>
                            <w:sz w:val="20"/>
                          </w:rPr>
                          <w:t>Repeat Performance Evaluation of CPMS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7DC5B853"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253D41EA"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3A1667EE"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089DD89A" w14:textId="77777777">
                        <w:pPr>
                          <w:jc w:val="center"/>
                          <w:rPr>
                            <w:sz w:val="20"/>
                          </w:rPr>
                        </w:pPr>
                        <w:r w:rsidRPr="002F1697">
                          <w:rPr>
                            <w:sz w:val="20"/>
                          </w:rPr>
                          <w:t>0.00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2A8B35D5"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399CF476" w14:textId="77777777">
                        <w:pPr>
                          <w:jc w:val="center"/>
                          <w:rPr>
                            <w:sz w:val="20"/>
                          </w:rPr>
                        </w:pPr>
                        <w:r w:rsidRPr="002F1697">
                          <w:rPr>
                            <w:sz w:val="20"/>
                          </w:rPr>
                          <w:t>0.00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555B22AA" w14:textId="77777777">
                        <w:pPr>
                          <w:jc w:val="center"/>
                          <w:rPr>
                            <w:sz w:val="20"/>
                          </w:rPr>
                        </w:pPr>
                        <w:r w:rsidRPr="002F1697">
                          <w:rPr>
                            <w:sz w:val="20"/>
                          </w:rPr>
                          <w:t>0.00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244DBEC2" w14:textId="77777777">
                        <w:pPr>
                          <w:jc w:val="right"/>
                          <w:rPr>
                            <w:color w:val="000000"/>
                            <w:sz w:val="20"/>
                          </w:rPr>
                        </w:pPr>
                        <w:r w:rsidRPr="002F1697">
                          <w:rPr>
                            <w:color w:val="000000"/>
                            <w:sz w:val="20"/>
                          </w:rPr>
                          <w:t xml:space="preserve">$0.00 </w:t>
                        </w:r>
                      </w:p>
                    </w:tc>
                  </w:tr>
                  <w:tr w14:paraId="645592FD" w14:textId="77777777" w:rsidTr="002F1697">
                    <w:tblPrEx>
                      <w:tblW w:w="12540" w:type="dxa"/>
                      <w:tblLayout w:type="fixed"/>
                      <w:tblLook w:val="04A0"/>
                    </w:tblPrEx>
                    <w:trPr>
                      <w:trHeight w:val="57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571F87F7" w14:textId="77777777">
                        <w:pPr>
                          <w:rPr>
                            <w:i/>
                            <w:iCs/>
                            <w:color w:val="000000"/>
                            <w:sz w:val="20"/>
                          </w:rPr>
                        </w:pPr>
                        <w:r w:rsidRPr="002F1697">
                          <w:rPr>
                            <w:i/>
                            <w:iCs/>
                            <w:color w:val="000000"/>
                            <w:sz w:val="20"/>
                          </w:rPr>
                          <w:t xml:space="preserve">Existing Sources - Initial Testing </w:t>
                        </w:r>
                        <w:r w:rsidRPr="002F1697">
                          <w:rPr>
                            <w:color w:val="000000"/>
                            <w:sz w:val="20"/>
                            <w:vertAlign w:val="superscript"/>
                          </w:rPr>
                          <w:t>d</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6FAFE605"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4A183F1C" w14:textId="77777777">
                        <w:pPr>
                          <w:jc w:val="center"/>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1F39E13A" w14:textId="77777777">
                        <w:pPr>
                          <w:jc w:val="center"/>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0A822F90" w14:textId="77777777">
                        <w:pPr>
                          <w:jc w:val="center"/>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3F675159" w14:textId="77777777">
                        <w:pPr>
                          <w:jc w:val="center"/>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79A89959" w14:textId="77777777">
                        <w:pPr>
                          <w:jc w:val="center"/>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540FD940" w14:textId="77777777">
                        <w:pPr>
                          <w:jc w:val="center"/>
                          <w:rPr>
                            <w:color w:val="000000"/>
                            <w:sz w:val="20"/>
                          </w:rPr>
                        </w:pPr>
                        <w:r w:rsidRPr="002F1697">
                          <w:rPr>
                            <w:color w:val="000000"/>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7F0E5811" w14:textId="77777777">
                        <w:pPr>
                          <w:jc w:val="right"/>
                          <w:rPr>
                            <w:color w:val="000000"/>
                            <w:sz w:val="20"/>
                          </w:rPr>
                        </w:pPr>
                        <w:r w:rsidRPr="002F1697">
                          <w:rPr>
                            <w:color w:val="000000"/>
                            <w:sz w:val="20"/>
                          </w:rPr>
                          <w:t> </w:t>
                        </w:r>
                      </w:p>
                    </w:tc>
                  </w:tr>
                  <w:tr w14:paraId="44CB0EC5" w14:textId="77777777" w:rsidTr="002F1697">
                    <w:tblPrEx>
                      <w:tblW w:w="12540" w:type="dxa"/>
                      <w:tblLayout w:type="fixed"/>
                      <w:tblLook w:val="04A0"/>
                    </w:tblPrEx>
                    <w:trPr>
                      <w:trHeight w:val="78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41F4D5D7" w14:textId="77777777">
                        <w:pPr>
                          <w:rPr>
                            <w:color w:val="000000"/>
                            <w:sz w:val="20"/>
                          </w:rPr>
                        </w:pPr>
                        <w:r w:rsidRPr="002F1697">
                          <w:rPr>
                            <w:color w:val="000000"/>
                            <w:sz w:val="20"/>
                          </w:rPr>
                          <w:t>Initial Performance Evaluation of CPMS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68BC8274"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22E584D1"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5A25163F"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5BD3644C"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57BBA9A6"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556830AD"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192041DB" w14:textId="77777777">
                        <w:pPr>
                          <w:jc w:val="center"/>
                          <w:rPr>
                            <w:color w:val="000000"/>
                            <w:sz w:val="20"/>
                          </w:rPr>
                        </w:pPr>
                        <w:r w:rsidRPr="002F1697">
                          <w:rPr>
                            <w:color w:val="000000"/>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058B1C58" w14:textId="77777777">
                        <w:pPr>
                          <w:jc w:val="right"/>
                          <w:rPr>
                            <w:color w:val="000000"/>
                            <w:sz w:val="20"/>
                          </w:rPr>
                        </w:pPr>
                        <w:r w:rsidRPr="002F1697">
                          <w:rPr>
                            <w:color w:val="000000"/>
                            <w:sz w:val="20"/>
                          </w:rPr>
                          <w:t xml:space="preserve">$0.00 </w:t>
                        </w:r>
                      </w:p>
                    </w:tc>
                  </w:tr>
                  <w:tr w14:paraId="1C7D7548" w14:textId="77777777" w:rsidTr="002F1697">
                    <w:tblPrEx>
                      <w:tblW w:w="12540" w:type="dxa"/>
                      <w:tblLayout w:type="fixed"/>
                      <w:tblLook w:val="04A0"/>
                    </w:tblPrEx>
                    <w:trPr>
                      <w:trHeight w:val="78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3D027B40" w14:textId="77777777">
                        <w:pPr>
                          <w:rPr>
                            <w:color w:val="000000"/>
                            <w:sz w:val="20"/>
                          </w:rPr>
                        </w:pPr>
                        <w:r w:rsidRPr="002F1697">
                          <w:rPr>
                            <w:color w:val="000000"/>
                            <w:sz w:val="20"/>
                          </w:rPr>
                          <w:t>Repeat Performance Evaluation of CPMS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233F1E5E"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477CC700"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18EB3673"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12949F64"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6AB368FC"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7FCF8B72"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582596F0" w14:textId="77777777">
                        <w:pPr>
                          <w:jc w:val="center"/>
                          <w:rPr>
                            <w:color w:val="000000"/>
                            <w:sz w:val="20"/>
                          </w:rPr>
                        </w:pPr>
                        <w:r w:rsidRPr="002F1697">
                          <w:rPr>
                            <w:color w:val="000000"/>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351C5F36" w14:textId="77777777">
                        <w:pPr>
                          <w:jc w:val="right"/>
                          <w:rPr>
                            <w:color w:val="000000"/>
                            <w:sz w:val="20"/>
                          </w:rPr>
                        </w:pPr>
                        <w:r w:rsidRPr="002F1697">
                          <w:rPr>
                            <w:color w:val="000000"/>
                            <w:sz w:val="20"/>
                          </w:rPr>
                          <w:t xml:space="preserve">$0.00 </w:t>
                        </w:r>
                      </w:p>
                    </w:tc>
                  </w:tr>
                  <w:tr w14:paraId="194FF0E5" w14:textId="77777777" w:rsidTr="002F1697">
                    <w:tblPrEx>
                      <w:tblW w:w="12540" w:type="dxa"/>
                      <w:tblLayout w:type="fixed"/>
                      <w:tblLook w:val="04A0"/>
                    </w:tblPrEx>
                    <w:trPr>
                      <w:trHeight w:val="26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14091CC2" w14:textId="77777777">
                        <w:pPr>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3CA0EA89"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04525C1F"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66A4B646"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57F1914A"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695FB95E"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18574429"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66DE99C8" w14:textId="77777777">
                        <w:pPr>
                          <w:jc w:val="center"/>
                          <w:rPr>
                            <w:color w:val="000000"/>
                            <w:sz w:val="20"/>
                          </w:rPr>
                        </w:pPr>
                        <w:r w:rsidRPr="002F1697">
                          <w:rPr>
                            <w:color w:val="000000"/>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04BE730A" w14:textId="77777777">
                        <w:pPr>
                          <w:jc w:val="right"/>
                          <w:rPr>
                            <w:color w:val="000000"/>
                            <w:sz w:val="20"/>
                          </w:rPr>
                        </w:pPr>
                        <w:r w:rsidRPr="002F1697">
                          <w:rPr>
                            <w:color w:val="000000"/>
                            <w:sz w:val="20"/>
                          </w:rPr>
                          <w:t xml:space="preserve">$0.00 </w:t>
                        </w:r>
                      </w:p>
                    </w:tc>
                  </w:tr>
                  <w:tr w14:paraId="52E270B8" w14:textId="77777777" w:rsidTr="002F1697">
                    <w:tblPrEx>
                      <w:tblW w:w="12540" w:type="dxa"/>
                      <w:tblLayout w:type="fixed"/>
                      <w:tblLook w:val="04A0"/>
                    </w:tblPrEx>
                    <w:trPr>
                      <w:trHeight w:val="26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2AD945C1" w14:textId="77777777">
                        <w:pPr>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6C55B84E"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2F8C7535"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3A79493F"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59FBCB4E"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2BB34BE0"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1872905E"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7E191E44" w14:textId="77777777">
                        <w:pPr>
                          <w:jc w:val="center"/>
                          <w:rPr>
                            <w:color w:val="000000"/>
                            <w:sz w:val="20"/>
                          </w:rPr>
                        </w:pPr>
                        <w:r w:rsidRPr="002F1697">
                          <w:rPr>
                            <w:color w:val="000000"/>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24AB18C8" w14:textId="77777777">
                        <w:pPr>
                          <w:jc w:val="right"/>
                          <w:rPr>
                            <w:color w:val="000000"/>
                            <w:sz w:val="20"/>
                          </w:rPr>
                        </w:pPr>
                        <w:r w:rsidRPr="002F1697">
                          <w:rPr>
                            <w:color w:val="000000"/>
                            <w:sz w:val="20"/>
                          </w:rPr>
                          <w:t xml:space="preserve">$0.00 </w:t>
                        </w:r>
                      </w:p>
                    </w:tc>
                  </w:tr>
                  <w:tr w14:paraId="14D6D6AA" w14:textId="77777777" w:rsidTr="002F1697">
                    <w:tblPrEx>
                      <w:tblW w:w="12540" w:type="dxa"/>
                      <w:tblLayout w:type="fixed"/>
                      <w:tblLook w:val="04A0"/>
                    </w:tblPrEx>
                    <w:trPr>
                      <w:trHeight w:val="57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540B284C" w14:textId="77777777">
                        <w:pPr>
                          <w:rPr>
                            <w:i/>
                            <w:iCs/>
                            <w:color w:val="000000"/>
                            <w:sz w:val="20"/>
                          </w:rPr>
                        </w:pPr>
                        <w:r w:rsidRPr="002F1697">
                          <w:rPr>
                            <w:i/>
                            <w:iCs/>
                            <w:color w:val="000000"/>
                            <w:sz w:val="20"/>
                          </w:rPr>
                          <w:t xml:space="preserve">New and Existing Sources - Monitoring </w:t>
                        </w:r>
                        <w:r w:rsidRPr="002F1697">
                          <w:rPr>
                            <w:color w:val="000000"/>
                            <w:sz w:val="20"/>
                            <w:vertAlign w:val="superscript"/>
                          </w:rPr>
                          <w:t>e</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4B15C333"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1CEE6255" w14:textId="77777777">
                        <w:pPr>
                          <w:jc w:val="center"/>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003F1273" w14:textId="77777777">
                        <w:pPr>
                          <w:jc w:val="center"/>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0EB388C4" w14:textId="77777777">
                        <w:pPr>
                          <w:jc w:val="center"/>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18928985" w14:textId="77777777">
                        <w:pPr>
                          <w:jc w:val="center"/>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48B26BA5" w14:textId="77777777">
                        <w:pPr>
                          <w:jc w:val="center"/>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7FD86B0A" w14:textId="77777777">
                        <w:pPr>
                          <w:jc w:val="center"/>
                          <w:rPr>
                            <w:color w:val="000000"/>
                            <w:sz w:val="20"/>
                          </w:rPr>
                        </w:pPr>
                        <w:r w:rsidRPr="002F1697">
                          <w:rPr>
                            <w:color w:val="000000"/>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2C8F69B4" w14:textId="77777777">
                        <w:pPr>
                          <w:jc w:val="right"/>
                          <w:rPr>
                            <w:color w:val="000000"/>
                            <w:sz w:val="20"/>
                          </w:rPr>
                        </w:pPr>
                        <w:r w:rsidRPr="002F1697">
                          <w:rPr>
                            <w:color w:val="000000"/>
                            <w:sz w:val="20"/>
                          </w:rPr>
                          <w:t> </w:t>
                        </w:r>
                      </w:p>
                    </w:tc>
                  </w:tr>
                  <w:tr w14:paraId="6C9B5948" w14:textId="77777777" w:rsidTr="002F1697">
                    <w:tblPrEx>
                      <w:tblW w:w="12540" w:type="dxa"/>
                      <w:tblLayout w:type="fixed"/>
                      <w:tblLook w:val="04A0"/>
                    </w:tblPrEx>
                    <w:trPr>
                      <w:trHeight w:val="26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10F5FB0C" w14:textId="77777777">
                        <w:pPr>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47ACB32E"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4762D1EA" w14:textId="77777777">
                        <w:pPr>
                          <w:jc w:val="center"/>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351BCE8F" w14:textId="77777777">
                        <w:pPr>
                          <w:jc w:val="center"/>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06D0018B" w14:textId="77777777">
                        <w:pPr>
                          <w:jc w:val="center"/>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74D7F0CF" w14:textId="77777777">
                        <w:pPr>
                          <w:jc w:val="center"/>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1B3E21B3" w14:textId="77777777">
                        <w:pPr>
                          <w:jc w:val="center"/>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399F841A" w14:textId="77777777">
                        <w:pPr>
                          <w:jc w:val="center"/>
                          <w:rPr>
                            <w:color w:val="000000"/>
                            <w:sz w:val="20"/>
                          </w:rPr>
                        </w:pPr>
                        <w:r w:rsidRPr="002F1697">
                          <w:rPr>
                            <w:color w:val="000000"/>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379BBC80" w14:textId="77777777">
                        <w:pPr>
                          <w:jc w:val="right"/>
                          <w:rPr>
                            <w:color w:val="000000"/>
                            <w:sz w:val="20"/>
                          </w:rPr>
                        </w:pPr>
                        <w:r w:rsidRPr="002F1697">
                          <w:rPr>
                            <w:color w:val="000000"/>
                            <w:sz w:val="20"/>
                          </w:rPr>
                          <w:t> </w:t>
                        </w:r>
                      </w:p>
                    </w:tc>
                  </w:tr>
                  <w:tr w14:paraId="394C69ED" w14:textId="77777777" w:rsidTr="002F1697">
                    <w:tblPrEx>
                      <w:tblW w:w="12540" w:type="dxa"/>
                      <w:tblLayout w:type="fixed"/>
                      <w:tblLook w:val="04A0"/>
                    </w:tblPrEx>
                    <w:trPr>
                      <w:trHeight w:val="26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1EBD16BF" w14:textId="77777777">
                        <w:pPr>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571E4CF7"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407B86AF" w14:textId="77777777">
                        <w:pPr>
                          <w:jc w:val="center"/>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5DEAB114" w14:textId="77777777">
                        <w:pPr>
                          <w:jc w:val="center"/>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0F982D60" w14:textId="77777777">
                        <w:pPr>
                          <w:jc w:val="center"/>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5C117EEF" w14:textId="77777777">
                        <w:pPr>
                          <w:jc w:val="center"/>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263F8678" w14:textId="77777777">
                        <w:pPr>
                          <w:jc w:val="center"/>
                          <w:rPr>
                            <w:sz w:val="20"/>
                          </w:rPr>
                        </w:pPr>
                        <w:r w:rsidRPr="002F1697">
                          <w:rPr>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6E1675CB" w14:textId="77777777">
                        <w:pPr>
                          <w:jc w:val="center"/>
                          <w:rPr>
                            <w:color w:val="000000"/>
                            <w:sz w:val="20"/>
                          </w:rPr>
                        </w:pPr>
                        <w:r w:rsidRPr="002F1697">
                          <w:rPr>
                            <w:color w:val="000000"/>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6EB1E288" w14:textId="77777777">
                        <w:pPr>
                          <w:jc w:val="right"/>
                          <w:rPr>
                            <w:color w:val="000000"/>
                            <w:sz w:val="20"/>
                          </w:rPr>
                        </w:pPr>
                        <w:r w:rsidRPr="002F1697">
                          <w:rPr>
                            <w:color w:val="000000"/>
                            <w:sz w:val="20"/>
                          </w:rPr>
                          <w:t> </w:t>
                        </w:r>
                      </w:p>
                    </w:tc>
                  </w:tr>
                  <w:tr w14:paraId="6969F86B" w14:textId="77777777" w:rsidTr="002F1697">
                    <w:tblPrEx>
                      <w:tblW w:w="12540" w:type="dxa"/>
                      <w:tblLayout w:type="fixed"/>
                      <w:tblLook w:val="04A0"/>
                    </w:tblPrEx>
                    <w:trPr>
                      <w:trHeight w:val="52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43887FF1" w14:textId="77777777">
                        <w:pPr>
                          <w:rPr>
                            <w:color w:val="000000"/>
                            <w:sz w:val="20"/>
                          </w:rPr>
                        </w:pPr>
                        <w:r w:rsidRPr="002F1697">
                          <w:rPr>
                            <w:color w:val="000000"/>
                            <w:sz w:val="20"/>
                          </w:rPr>
                          <w:t>C. Create Information (Included in 4B)</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66A10808"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4ABDFFAF"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7606C22D"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7C541DDF" w14:textId="77777777">
                        <w:pPr>
                          <w:jc w:val="right"/>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420AF902" w14:textId="77777777">
                        <w:pPr>
                          <w:jc w:val="right"/>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39FFAB73" w14:textId="77777777">
                        <w:pPr>
                          <w:jc w:val="right"/>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20613FEF" w14:textId="77777777">
                        <w:pPr>
                          <w:jc w:val="right"/>
                          <w:rPr>
                            <w:color w:val="000000"/>
                            <w:sz w:val="20"/>
                          </w:rPr>
                        </w:pPr>
                        <w:r w:rsidRPr="002F1697">
                          <w:rPr>
                            <w:color w:val="000000"/>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4DDE6F8B" w14:textId="77777777">
                        <w:pPr>
                          <w:jc w:val="right"/>
                          <w:rPr>
                            <w:color w:val="000000"/>
                            <w:sz w:val="20"/>
                          </w:rPr>
                        </w:pPr>
                        <w:r w:rsidRPr="002F1697">
                          <w:rPr>
                            <w:color w:val="000000"/>
                            <w:sz w:val="20"/>
                          </w:rPr>
                          <w:t> </w:t>
                        </w:r>
                      </w:p>
                    </w:tc>
                  </w:tr>
                  <w:tr w14:paraId="44941961" w14:textId="77777777" w:rsidTr="002F1697">
                    <w:tblPrEx>
                      <w:tblW w:w="12540" w:type="dxa"/>
                      <w:tblLayout w:type="fixed"/>
                      <w:tblLook w:val="04A0"/>
                    </w:tblPrEx>
                    <w:trPr>
                      <w:trHeight w:val="52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216C014E" w14:textId="77777777">
                        <w:pPr>
                          <w:rPr>
                            <w:color w:val="000000"/>
                            <w:sz w:val="20"/>
                          </w:rPr>
                        </w:pPr>
                        <w:r w:rsidRPr="002F1697">
                          <w:rPr>
                            <w:color w:val="000000"/>
                            <w:sz w:val="20"/>
                          </w:rPr>
                          <w:t>D. Gather Existing Information (Included in 4E)</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477ADE69"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4FB32A26"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2764E300"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64653FC1" w14:textId="77777777">
                        <w:pPr>
                          <w:jc w:val="right"/>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1B4BB744" w14:textId="77777777">
                        <w:pPr>
                          <w:jc w:val="right"/>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42C2719D" w14:textId="77777777">
                        <w:pPr>
                          <w:jc w:val="right"/>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388D5992" w14:textId="77777777">
                        <w:pPr>
                          <w:jc w:val="right"/>
                          <w:rPr>
                            <w:color w:val="000000"/>
                            <w:sz w:val="20"/>
                          </w:rPr>
                        </w:pPr>
                        <w:r w:rsidRPr="002F1697">
                          <w:rPr>
                            <w:color w:val="000000"/>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21B1FF19" w14:textId="77777777">
                        <w:pPr>
                          <w:jc w:val="right"/>
                          <w:rPr>
                            <w:color w:val="000000"/>
                            <w:sz w:val="20"/>
                          </w:rPr>
                        </w:pPr>
                        <w:r w:rsidRPr="002F1697">
                          <w:rPr>
                            <w:color w:val="000000"/>
                            <w:sz w:val="20"/>
                          </w:rPr>
                          <w:t> </w:t>
                        </w:r>
                      </w:p>
                    </w:tc>
                  </w:tr>
                  <w:tr w14:paraId="415F55BF" w14:textId="77777777" w:rsidTr="002F1697">
                    <w:tblPrEx>
                      <w:tblW w:w="12540" w:type="dxa"/>
                      <w:tblLayout w:type="fixed"/>
                      <w:tblLook w:val="04A0"/>
                    </w:tblPrEx>
                    <w:trPr>
                      <w:trHeight w:val="523"/>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009E7A08" w14:textId="77777777">
                        <w:pPr>
                          <w:rPr>
                            <w:color w:val="000000"/>
                            <w:sz w:val="20"/>
                          </w:rPr>
                        </w:pPr>
                        <w:r w:rsidRPr="002F1697">
                          <w:rPr>
                            <w:color w:val="000000"/>
                            <w:sz w:val="20"/>
                          </w:rPr>
                          <w:t>E. Write Report</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5ABC2593" w14:textId="77777777">
                        <w:pPr>
                          <w:jc w:val="right"/>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7EFA59BB"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655164BA"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7E920EE8" w14:textId="77777777">
                        <w:pPr>
                          <w:jc w:val="right"/>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4452C43B" w14:textId="77777777">
                        <w:pPr>
                          <w:jc w:val="right"/>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363EDF47" w14:textId="77777777">
                        <w:pPr>
                          <w:jc w:val="right"/>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25088A73" w14:textId="77777777">
                        <w:pPr>
                          <w:jc w:val="right"/>
                          <w:rPr>
                            <w:color w:val="000000"/>
                            <w:sz w:val="20"/>
                          </w:rPr>
                        </w:pPr>
                        <w:r w:rsidRPr="002F1697">
                          <w:rPr>
                            <w:color w:val="000000"/>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53B42795" w14:textId="77777777">
                        <w:pPr>
                          <w:jc w:val="right"/>
                          <w:rPr>
                            <w:color w:val="000000"/>
                            <w:sz w:val="20"/>
                          </w:rPr>
                        </w:pPr>
                        <w:r w:rsidRPr="002F1697">
                          <w:rPr>
                            <w:color w:val="000000"/>
                            <w:sz w:val="20"/>
                          </w:rPr>
                          <w:t> </w:t>
                        </w:r>
                      </w:p>
                    </w:tc>
                  </w:tr>
                  <w:tr w14:paraId="3CABA800" w14:textId="77777777" w:rsidTr="002F1697">
                    <w:tblPrEx>
                      <w:tblW w:w="12540" w:type="dxa"/>
                      <w:tblLayout w:type="fixed"/>
                      <w:tblLook w:val="04A0"/>
                    </w:tblPrEx>
                    <w:trPr>
                      <w:trHeight w:val="26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01695955" w14:textId="77777777">
                        <w:pPr>
                          <w:rPr>
                            <w:i/>
                            <w:iCs/>
                            <w:color w:val="000000"/>
                            <w:sz w:val="20"/>
                            <w:u w:val="single"/>
                          </w:rPr>
                        </w:pPr>
                        <w:r w:rsidRPr="002F1697">
                          <w:rPr>
                            <w:i/>
                            <w:iCs/>
                            <w:color w:val="000000"/>
                            <w:sz w:val="20"/>
                            <w:u w:val="single"/>
                          </w:rPr>
                          <w:t>New Sources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4194B64B"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01223FBB" w14:textId="77777777">
                        <w:pPr>
                          <w:jc w:val="center"/>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19F397C4" w14:textId="77777777">
                        <w:pPr>
                          <w:jc w:val="center"/>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311201D6" w14:textId="77777777">
                        <w:pPr>
                          <w:jc w:val="center"/>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1ADD4699" w14:textId="77777777">
                        <w:pPr>
                          <w:jc w:val="center"/>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35EA213B" w14:textId="77777777">
                        <w:pPr>
                          <w:jc w:val="center"/>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720994C2" w14:textId="77777777">
                        <w:pPr>
                          <w:jc w:val="center"/>
                          <w:rPr>
                            <w:color w:val="000000"/>
                            <w:sz w:val="20"/>
                          </w:rPr>
                        </w:pPr>
                        <w:r w:rsidRPr="002F1697">
                          <w:rPr>
                            <w:color w:val="000000"/>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749CC12C" w14:textId="77777777">
                        <w:pPr>
                          <w:jc w:val="right"/>
                          <w:rPr>
                            <w:color w:val="000000"/>
                            <w:sz w:val="20"/>
                          </w:rPr>
                        </w:pPr>
                        <w:r w:rsidRPr="002F1697">
                          <w:rPr>
                            <w:color w:val="000000"/>
                            <w:sz w:val="20"/>
                          </w:rPr>
                          <w:t> </w:t>
                        </w:r>
                      </w:p>
                    </w:tc>
                  </w:tr>
                  <w:tr w14:paraId="57BF7E28" w14:textId="77777777" w:rsidTr="002F1697">
                    <w:tblPrEx>
                      <w:tblW w:w="12540" w:type="dxa"/>
                      <w:tblLayout w:type="fixed"/>
                      <w:tblLook w:val="04A0"/>
                    </w:tblPrEx>
                    <w:trPr>
                      <w:trHeight w:val="52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2058DAF3" w14:textId="77777777">
                        <w:pPr>
                          <w:rPr>
                            <w:color w:val="000000"/>
                            <w:sz w:val="20"/>
                          </w:rPr>
                        </w:pPr>
                        <w:r w:rsidRPr="002F1697">
                          <w:rPr>
                            <w:color w:val="000000"/>
                            <w:sz w:val="20"/>
                          </w:rPr>
                          <w:t>Notification of Demonstration of CPMS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BD452AE"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6B748BBD"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7121CA24"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3854CA47"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27E0E1BB"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794097E6"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3E105202" w14:textId="77777777">
                        <w:pPr>
                          <w:jc w:val="center"/>
                          <w:rPr>
                            <w:color w:val="000000"/>
                            <w:sz w:val="20"/>
                          </w:rPr>
                        </w:pPr>
                        <w:r w:rsidRPr="002F1697">
                          <w:rPr>
                            <w:color w:val="000000"/>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1326EF85" w14:textId="77777777">
                        <w:pPr>
                          <w:jc w:val="right"/>
                          <w:rPr>
                            <w:color w:val="000000"/>
                            <w:sz w:val="20"/>
                          </w:rPr>
                        </w:pPr>
                        <w:r w:rsidRPr="002F1697">
                          <w:rPr>
                            <w:color w:val="000000"/>
                            <w:sz w:val="20"/>
                          </w:rPr>
                          <w:t xml:space="preserve">$0.00 </w:t>
                        </w:r>
                      </w:p>
                    </w:tc>
                  </w:tr>
                  <w:tr w14:paraId="3639F946" w14:textId="77777777" w:rsidTr="002F1697">
                    <w:tblPrEx>
                      <w:tblW w:w="12540" w:type="dxa"/>
                      <w:tblLayout w:type="fixed"/>
                      <w:tblLook w:val="04A0"/>
                    </w:tblPrEx>
                    <w:trPr>
                      <w:trHeight w:val="78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6857B140" w14:textId="77777777">
                        <w:pPr>
                          <w:rPr>
                            <w:color w:val="000000"/>
                            <w:sz w:val="20"/>
                          </w:rPr>
                        </w:pPr>
                        <w:r w:rsidRPr="002F1697">
                          <w:rPr>
                            <w:color w:val="000000"/>
                            <w:sz w:val="20"/>
                          </w:rPr>
                          <w:t>Notification of Initial Performance Evaluation of CPMS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737D399"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03BD44EA"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0F097E8E"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7A48D43D"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57033360"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30D6D699"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3CF37490" w14:textId="77777777">
                        <w:pPr>
                          <w:jc w:val="center"/>
                          <w:rPr>
                            <w:color w:val="000000"/>
                            <w:sz w:val="20"/>
                          </w:rPr>
                        </w:pPr>
                        <w:r w:rsidRPr="002F1697">
                          <w:rPr>
                            <w:color w:val="000000"/>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62CB8F01" w14:textId="77777777">
                        <w:pPr>
                          <w:jc w:val="right"/>
                          <w:rPr>
                            <w:color w:val="000000"/>
                            <w:sz w:val="20"/>
                          </w:rPr>
                        </w:pPr>
                        <w:r w:rsidRPr="002F1697">
                          <w:rPr>
                            <w:color w:val="000000"/>
                            <w:sz w:val="20"/>
                          </w:rPr>
                          <w:t xml:space="preserve">$0.00 </w:t>
                        </w:r>
                      </w:p>
                    </w:tc>
                  </w:tr>
                  <w:tr w14:paraId="166190BD" w14:textId="77777777" w:rsidTr="002F1697">
                    <w:tblPrEx>
                      <w:tblW w:w="12540" w:type="dxa"/>
                      <w:tblLayout w:type="fixed"/>
                      <w:tblLook w:val="04A0"/>
                    </w:tblPrEx>
                    <w:trPr>
                      <w:trHeight w:val="52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691CB916" w14:textId="77777777">
                        <w:pPr>
                          <w:rPr>
                            <w:color w:val="000000"/>
                            <w:sz w:val="20"/>
                          </w:rPr>
                        </w:pPr>
                        <w:r w:rsidRPr="002F1697">
                          <w:rPr>
                            <w:color w:val="000000"/>
                            <w:sz w:val="20"/>
                          </w:rPr>
                          <w:t>Report of Performance Evaluation of CPMS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DF565D9"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1A50FC0B"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2FE1ED0A"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094F7792"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48AAD4D6"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5CB3E371"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7C294DC0" w14:textId="77777777">
                        <w:pPr>
                          <w:jc w:val="center"/>
                          <w:rPr>
                            <w:color w:val="000000"/>
                            <w:sz w:val="20"/>
                          </w:rPr>
                        </w:pPr>
                        <w:r w:rsidRPr="002F1697">
                          <w:rPr>
                            <w:color w:val="000000"/>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5798A793" w14:textId="77777777">
                        <w:pPr>
                          <w:jc w:val="right"/>
                          <w:rPr>
                            <w:color w:val="000000"/>
                            <w:sz w:val="20"/>
                          </w:rPr>
                        </w:pPr>
                        <w:r w:rsidRPr="002F1697">
                          <w:rPr>
                            <w:color w:val="000000"/>
                            <w:sz w:val="20"/>
                          </w:rPr>
                          <w:t xml:space="preserve">$0.00 </w:t>
                        </w:r>
                      </w:p>
                    </w:tc>
                  </w:tr>
                  <w:tr w14:paraId="69A06681" w14:textId="77777777" w:rsidTr="002F1697">
                    <w:tblPrEx>
                      <w:tblW w:w="12540" w:type="dxa"/>
                      <w:tblLayout w:type="fixed"/>
                      <w:tblLook w:val="04A0"/>
                    </w:tblPrEx>
                    <w:trPr>
                      <w:trHeight w:val="26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37FA7070" w14:textId="77777777">
                        <w:pPr>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1DB840FF"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40A234FA" w14:textId="77777777">
                        <w:pPr>
                          <w:jc w:val="center"/>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29D73975" w14:textId="77777777">
                        <w:pPr>
                          <w:jc w:val="center"/>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40C400CA" w14:textId="77777777">
                        <w:pPr>
                          <w:jc w:val="center"/>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3A5F2391" w14:textId="77777777">
                        <w:pPr>
                          <w:jc w:val="center"/>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6EE457E0" w14:textId="77777777">
                        <w:pPr>
                          <w:jc w:val="center"/>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490C2349" w14:textId="77777777">
                        <w:pPr>
                          <w:jc w:val="center"/>
                          <w:rPr>
                            <w:color w:val="000000"/>
                            <w:sz w:val="20"/>
                          </w:rPr>
                        </w:pPr>
                        <w:r w:rsidRPr="002F1697">
                          <w:rPr>
                            <w:color w:val="000000"/>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71B28B8C" w14:textId="77777777">
                        <w:pPr>
                          <w:jc w:val="right"/>
                          <w:rPr>
                            <w:color w:val="000000"/>
                            <w:sz w:val="20"/>
                          </w:rPr>
                        </w:pPr>
                        <w:r w:rsidRPr="002F1697">
                          <w:rPr>
                            <w:color w:val="000000"/>
                            <w:sz w:val="20"/>
                          </w:rPr>
                          <w:t> </w:t>
                        </w:r>
                      </w:p>
                    </w:tc>
                  </w:tr>
                  <w:tr w14:paraId="43D13D1E" w14:textId="77777777" w:rsidTr="002F1697">
                    <w:tblPrEx>
                      <w:tblW w:w="12540" w:type="dxa"/>
                      <w:tblLayout w:type="fixed"/>
                      <w:tblLook w:val="04A0"/>
                    </w:tblPrEx>
                    <w:trPr>
                      <w:trHeight w:val="26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49894B63" w14:textId="77777777">
                        <w:pPr>
                          <w:rPr>
                            <w:i/>
                            <w:iCs/>
                            <w:color w:val="000000"/>
                            <w:sz w:val="20"/>
                            <w:u w:val="single"/>
                          </w:rPr>
                        </w:pPr>
                        <w:r w:rsidRPr="002F1697">
                          <w:rPr>
                            <w:i/>
                            <w:iCs/>
                            <w:color w:val="000000"/>
                            <w:sz w:val="20"/>
                            <w:u w:val="single"/>
                          </w:rPr>
                          <w:t>Existing Sources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331DFDB7" w14:textId="77777777">
                        <w:pPr>
                          <w:jc w:val="right"/>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209B2CC6"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7C1172DB"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44702DF9" w14:textId="77777777">
                        <w:pPr>
                          <w:jc w:val="right"/>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1EA09163" w14:textId="77777777">
                        <w:pPr>
                          <w:jc w:val="right"/>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10F633F9" w14:textId="77777777">
                        <w:pPr>
                          <w:jc w:val="right"/>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503482FD" w14:textId="77777777">
                        <w:pPr>
                          <w:jc w:val="right"/>
                          <w:rPr>
                            <w:color w:val="000000"/>
                            <w:sz w:val="20"/>
                          </w:rPr>
                        </w:pPr>
                        <w:r w:rsidRPr="002F1697">
                          <w:rPr>
                            <w:color w:val="000000"/>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09921235" w14:textId="77777777">
                        <w:pPr>
                          <w:jc w:val="right"/>
                          <w:rPr>
                            <w:color w:val="000000"/>
                            <w:sz w:val="20"/>
                          </w:rPr>
                        </w:pPr>
                        <w:r w:rsidRPr="002F1697">
                          <w:rPr>
                            <w:color w:val="000000"/>
                            <w:sz w:val="20"/>
                          </w:rPr>
                          <w:t> </w:t>
                        </w:r>
                      </w:p>
                    </w:tc>
                  </w:tr>
                  <w:tr w14:paraId="0F55B7B8" w14:textId="77777777" w:rsidTr="002F1697">
                    <w:tblPrEx>
                      <w:tblW w:w="12540" w:type="dxa"/>
                      <w:tblLayout w:type="fixed"/>
                      <w:tblLook w:val="04A0"/>
                    </w:tblPrEx>
                    <w:trPr>
                      <w:trHeight w:val="52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4D2274C6" w14:textId="77777777">
                        <w:pPr>
                          <w:rPr>
                            <w:color w:val="000000"/>
                            <w:sz w:val="20"/>
                          </w:rPr>
                        </w:pPr>
                        <w:r w:rsidRPr="002F1697">
                          <w:rPr>
                            <w:color w:val="000000"/>
                            <w:sz w:val="20"/>
                          </w:rPr>
                          <w:t>Notification of Demonstration of CPMS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3DE6B7B5"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5722642F"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5D6A3936"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4F21BA29"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5BEFA629"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13C668FC"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3DB64937" w14:textId="77777777">
                        <w:pPr>
                          <w:jc w:val="center"/>
                          <w:rPr>
                            <w:color w:val="000000"/>
                            <w:sz w:val="20"/>
                          </w:rPr>
                        </w:pPr>
                        <w:r w:rsidRPr="002F1697">
                          <w:rPr>
                            <w:color w:val="000000"/>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15238944" w14:textId="77777777">
                        <w:pPr>
                          <w:jc w:val="right"/>
                          <w:rPr>
                            <w:color w:val="000000"/>
                            <w:sz w:val="20"/>
                          </w:rPr>
                        </w:pPr>
                        <w:r w:rsidRPr="002F1697">
                          <w:rPr>
                            <w:color w:val="000000"/>
                            <w:sz w:val="20"/>
                          </w:rPr>
                          <w:t xml:space="preserve">$0.00 </w:t>
                        </w:r>
                      </w:p>
                    </w:tc>
                  </w:tr>
                  <w:tr w14:paraId="1FCFBA0D" w14:textId="77777777" w:rsidTr="002F1697">
                    <w:tblPrEx>
                      <w:tblW w:w="12540" w:type="dxa"/>
                      <w:tblLayout w:type="fixed"/>
                      <w:tblLook w:val="04A0"/>
                    </w:tblPrEx>
                    <w:trPr>
                      <w:trHeight w:val="80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6675C24B" w14:textId="77777777">
                        <w:pPr>
                          <w:rPr>
                            <w:color w:val="000000"/>
                            <w:sz w:val="20"/>
                          </w:rPr>
                        </w:pPr>
                        <w:r w:rsidRPr="002F1697">
                          <w:rPr>
                            <w:color w:val="000000"/>
                            <w:sz w:val="20"/>
                          </w:rPr>
                          <w:t>Notification of Initial Performance Evaluation of CPMS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4EAB96C7"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27C440D6"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2EF824D7"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00AA1072"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17458BB5"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620D4B43"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330D2AA3" w14:textId="77777777">
                        <w:pPr>
                          <w:jc w:val="center"/>
                          <w:rPr>
                            <w:color w:val="000000"/>
                            <w:sz w:val="20"/>
                          </w:rPr>
                        </w:pPr>
                        <w:r w:rsidRPr="002F1697">
                          <w:rPr>
                            <w:color w:val="000000"/>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1B29708E" w14:textId="77777777">
                        <w:pPr>
                          <w:jc w:val="right"/>
                          <w:rPr>
                            <w:color w:val="000000"/>
                            <w:sz w:val="20"/>
                          </w:rPr>
                        </w:pPr>
                        <w:r w:rsidRPr="002F1697">
                          <w:rPr>
                            <w:color w:val="000000"/>
                            <w:sz w:val="20"/>
                          </w:rPr>
                          <w:t xml:space="preserve">$0.00 </w:t>
                        </w:r>
                      </w:p>
                    </w:tc>
                  </w:tr>
                  <w:tr w14:paraId="74DDDA8C" w14:textId="77777777" w:rsidTr="002F1697">
                    <w:tblPrEx>
                      <w:tblW w:w="12540" w:type="dxa"/>
                      <w:tblLayout w:type="fixed"/>
                      <w:tblLook w:val="04A0"/>
                    </w:tblPrEx>
                    <w:trPr>
                      <w:trHeight w:val="78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7F213C9E" w14:textId="77777777">
                        <w:pPr>
                          <w:rPr>
                            <w:color w:val="000000"/>
                            <w:sz w:val="20"/>
                          </w:rPr>
                        </w:pPr>
                        <w:r w:rsidRPr="002F1697">
                          <w:rPr>
                            <w:color w:val="000000"/>
                            <w:sz w:val="20"/>
                          </w:rPr>
                          <w:t>Report of Initial Performance Evaluation of CPMS Test Results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391F6692"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04AEBB8B"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3E5D886E"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2547C1FF"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4CEA2BE7"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4EA315B5"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6184A3F5" w14:textId="77777777">
                        <w:pPr>
                          <w:jc w:val="center"/>
                          <w:rPr>
                            <w:color w:val="000000"/>
                            <w:sz w:val="20"/>
                          </w:rPr>
                        </w:pPr>
                        <w:r w:rsidRPr="002F1697">
                          <w:rPr>
                            <w:color w:val="000000"/>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3892DABA" w14:textId="77777777">
                        <w:pPr>
                          <w:jc w:val="right"/>
                          <w:rPr>
                            <w:color w:val="000000"/>
                            <w:sz w:val="20"/>
                          </w:rPr>
                        </w:pPr>
                        <w:r w:rsidRPr="002F1697">
                          <w:rPr>
                            <w:color w:val="000000"/>
                            <w:sz w:val="20"/>
                          </w:rPr>
                          <w:t xml:space="preserve">$0.00 </w:t>
                        </w:r>
                      </w:p>
                    </w:tc>
                  </w:tr>
                  <w:tr w14:paraId="7531D8AC" w14:textId="77777777" w:rsidTr="002F1697">
                    <w:tblPrEx>
                      <w:tblW w:w="12540" w:type="dxa"/>
                      <w:tblLayout w:type="fixed"/>
                      <w:tblLook w:val="04A0"/>
                    </w:tblPrEx>
                    <w:trPr>
                      <w:trHeight w:val="26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7E1629E9" w14:textId="77777777">
                        <w:pPr>
                          <w:rPr>
                            <w:color w:val="000000"/>
                            <w:sz w:val="20"/>
                          </w:rPr>
                        </w:pPr>
                        <w:r w:rsidRPr="002F1697">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3352D5FE"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0BE83EFA" w14:textId="77777777">
                        <w:pPr>
                          <w:jc w:val="center"/>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67C4BE28" w14:textId="77777777">
                        <w:pPr>
                          <w:jc w:val="center"/>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01BFED5C" w14:textId="77777777">
                        <w:pPr>
                          <w:jc w:val="center"/>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3B019A52" w14:textId="77777777">
                        <w:pPr>
                          <w:jc w:val="center"/>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478A0299" w14:textId="77777777">
                        <w:pPr>
                          <w:jc w:val="center"/>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14928B04" w14:textId="77777777">
                        <w:pPr>
                          <w:jc w:val="center"/>
                          <w:rPr>
                            <w:color w:val="000000"/>
                            <w:sz w:val="20"/>
                          </w:rPr>
                        </w:pPr>
                        <w:r w:rsidRPr="002F1697">
                          <w:rPr>
                            <w:color w:val="000000"/>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54EBCD5A" w14:textId="77777777">
                        <w:pPr>
                          <w:jc w:val="right"/>
                          <w:rPr>
                            <w:color w:val="000000"/>
                            <w:sz w:val="20"/>
                          </w:rPr>
                        </w:pPr>
                        <w:r w:rsidRPr="002F1697">
                          <w:rPr>
                            <w:color w:val="000000"/>
                            <w:sz w:val="20"/>
                          </w:rPr>
                          <w:t> </w:t>
                        </w:r>
                      </w:p>
                    </w:tc>
                  </w:tr>
                  <w:tr w14:paraId="0CE0DFC8" w14:textId="77777777" w:rsidTr="002F1697">
                    <w:tblPrEx>
                      <w:tblW w:w="12540" w:type="dxa"/>
                      <w:tblLayout w:type="fixed"/>
                      <w:tblLook w:val="04A0"/>
                    </w:tblPrEx>
                    <w:trPr>
                      <w:trHeight w:val="78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14523CAB" w14:textId="77777777">
                        <w:pPr>
                          <w:rPr>
                            <w:color w:val="000000"/>
                            <w:sz w:val="20"/>
                          </w:rPr>
                        </w:pPr>
                        <w:r w:rsidRPr="002F1697">
                          <w:rPr>
                            <w:color w:val="000000"/>
                            <w:sz w:val="20"/>
                          </w:rPr>
                          <w:t>Annual Report submitted via CEDRI or analogous electronic reporting</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31EE1B1A"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16928A04"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0EC57F91"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49BB956C"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3C602F78"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5109E343"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036064EC" w14:textId="77777777">
                        <w:pPr>
                          <w:jc w:val="center"/>
                          <w:rPr>
                            <w:color w:val="000000"/>
                            <w:sz w:val="20"/>
                          </w:rPr>
                        </w:pPr>
                        <w:r w:rsidRPr="002F1697">
                          <w:rPr>
                            <w:color w:val="000000"/>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240C7493" w14:textId="77777777">
                        <w:pPr>
                          <w:jc w:val="right"/>
                          <w:rPr>
                            <w:color w:val="000000"/>
                            <w:sz w:val="20"/>
                          </w:rPr>
                        </w:pPr>
                        <w:r w:rsidRPr="002F1697">
                          <w:rPr>
                            <w:color w:val="000000"/>
                            <w:sz w:val="20"/>
                          </w:rPr>
                          <w:t xml:space="preserve">$0.00 </w:t>
                        </w:r>
                      </w:p>
                    </w:tc>
                  </w:tr>
                  <w:tr w14:paraId="0D012E4B" w14:textId="77777777" w:rsidTr="002F1697">
                    <w:tblPrEx>
                      <w:tblW w:w="12540" w:type="dxa"/>
                      <w:tblLayout w:type="fixed"/>
                      <w:tblLook w:val="04A0"/>
                    </w:tblPrEx>
                    <w:trPr>
                      <w:trHeight w:val="54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29F5ADDC" w14:textId="77777777">
                        <w:pPr>
                          <w:rPr>
                            <w:b/>
                            <w:bCs/>
                            <w:i/>
                            <w:iCs/>
                            <w:color w:val="000000"/>
                            <w:sz w:val="20"/>
                          </w:rPr>
                        </w:pPr>
                        <w:r w:rsidRPr="002F1697">
                          <w:rPr>
                            <w:b/>
                            <w:bCs/>
                            <w:i/>
                            <w:iCs/>
                            <w:color w:val="000000"/>
                            <w:sz w:val="20"/>
                          </w:rPr>
                          <w:t>Subtotal for Reporting Requirements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511B9F39" w14:textId="77777777">
                        <w:pPr>
                          <w:jc w:val="right"/>
                          <w:rPr>
                            <w:b/>
                            <w:bCs/>
                            <w:i/>
                            <w:iCs/>
                            <w:color w:val="000000"/>
                            <w:sz w:val="20"/>
                          </w:rPr>
                        </w:pPr>
                        <w:r w:rsidRPr="002F1697">
                          <w:rPr>
                            <w:b/>
                            <w:bCs/>
                            <w:i/>
                            <w:i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2BB8206E" w14:textId="77777777">
                        <w:pPr>
                          <w:jc w:val="right"/>
                          <w:rPr>
                            <w:b/>
                            <w:bCs/>
                            <w:i/>
                            <w:iCs/>
                            <w:sz w:val="20"/>
                          </w:rPr>
                        </w:pPr>
                        <w:r w:rsidRPr="002F1697">
                          <w:rPr>
                            <w:b/>
                            <w:bCs/>
                            <w:i/>
                            <w:i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51C0E3D1" w14:textId="77777777">
                        <w:pPr>
                          <w:jc w:val="right"/>
                          <w:rPr>
                            <w:b/>
                            <w:bCs/>
                            <w:i/>
                            <w:iCs/>
                            <w:color w:val="000000"/>
                            <w:sz w:val="20"/>
                          </w:rPr>
                        </w:pPr>
                        <w:r w:rsidRPr="002F1697">
                          <w:rPr>
                            <w:b/>
                            <w:bCs/>
                            <w:i/>
                            <w:iCs/>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6FF0AA2E" w14:textId="77777777">
                        <w:pPr>
                          <w:jc w:val="right"/>
                          <w:rPr>
                            <w:b/>
                            <w:bCs/>
                            <w:i/>
                            <w:iCs/>
                            <w:sz w:val="20"/>
                          </w:rPr>
                        </w:pPr>
                        <w:r w:rsidRPr="002F1697">
                          <w:rPr>
                            <w:b/>
                            <w:bCs/>
                            <w:i/>
                            <w:iCs/>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7EBD9E11" w14:textId="77777777">
                        <w:pPr>
                          <w:jc w:val="center"/>
                          <w:rPr>
                            <w:b/>
                            <w:bCs/>
                            <w:i/>
                            <w:iCs/>
                            <w:color w:val="000000"/>
                            <w:sz w:val="20"/>
                          </w:rPr>
                        </w:pPr>
                        <w:r w:rsidRPr="002F1697">
                          <w:rPr>
                            <w:b/>
                            <w:bCs/>
                            <w:i/>
                            <w:iCs/>
                            <w:color w:val="000000"/>
                            <w:sz w:val="20"/>
                          </w:rPr>
                          <w:t>719</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4B660004" w14:textId="77777777">
                        <w:pPr>
                          <w:jc w:val="center"/>
                          <w:rPr>
                            <w:b/>
                            <w:bCs/>
                            <w:i/>
                            <w:iCs/>
                            <w:color w:val="000000"/>
                            <w:sz w:val="20"/>
                          </w:rPr>
                        </w:pPr>
                        <w:r w:rsidRPr="002F1697">
                          <w:rPr>
                            <w:b/>
                            <w:bCs/>
                            <w:i/>
                            <w:iCs/>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231B6D73" w14:textId="77777777">
                        <w:pPr>
                          <w:jc w:val="center"/>
                          <w:rPr>
                            <w:b/>
                            <w:bCs/>
                            <w:i/>
                            <w:iCs/>
                            <w:color w:val="000000"/>
                            <w:sz w:val="20"/>
                          </w:rPr>
                        </w:pPr>
                        <w:r w:rsidRPr="002F1697">
                          <w:rPr>
                            <w:b/>
                            <w:bCs/>
                            <w:i/>
                            <w:iCs/>
                            <w:color w:val="000000"/>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6E42A001" w14:textId="77777777">
                        <w:pPr>
                          <w:jc w:val="right"/>
                          <w:rPr>
                            <w:b/>
                            <w:bCs/>
                            <w:i/>
                            <w:iCs/>
                            <w:color w:val="000000"/>
                            <w:sz w:val="20"/>
                          </w:rPr>
                        </w:pPr>
                        <w:r w:rsidRPr="002F1697">
                          <w:rPr>
                            <w:b/>
                            <w:bCs/>
                            <w:i/>
                            <w:iCs/>
                            <w:color w:val="000000"/>
                            <w:sz w:val="20"/>
                          </w:rPr>
                          <w:t xml:space="preserve">$88,898 </w:t>
                        </w:r>
                      </w:p>
                    </w:tc>
                  </w:tr>
                  <w:tr w14:paraId="0B82DD6E" w14:textId="77777777" w:rsidTr="002F1697">
                    <w:tblPrEx>
                      <w:tblW w:w="12540" w:type="dxa"/>
                      <w:tblLayout w:type="fixed"/>
                      <w:tblLook w:val="04A0"/>
                    </w:tblPrEx>
                    <w:trPr>
                      <w:trHeight w:val="52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0159A454" w14:textId="77777777">
                        <w:pPr>
                          <w:rPr>
                            <w:color w:val="000000"/>
                            <w:sz w:val="20"/>
                          </w:rPr>
                        </w:pPr>
                        <w:r w:rsidRPr="002F1697">
                          <w:rPr>
                            <w:color w:val="000000"/>
                            <w:sz w:val="20"/>
                          </w:rPr>
                          <w:t>5. RECORDKEEPING REQUIREMENTS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6701DD04" w14:textId="77777777">
                        <w:pPr>
                          <w:jc w:val="right"/>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4D88CCA1"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141F0A31"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05D6BB24" w14:textId="77777777">
                        <w:pPr>
                          <w:jc w:val="right"/>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19D6168B" w14:textId="77777777">
                        <w:pPr>
                          <w:jc w:val="right"/>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452B8A65" w14:textId="77777777">
                        <w:pPr>
                          <w:jc w:val="right"/>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32690B80" w14:textId="77777777">
                        <w:pPr>
                          <w:jc w:val="right"/>
                          <w:rPr>
                            <w:color w:val="000000"/>
                            <w:sz w:val="20"/>
                          </w:rPr>
                        </w:pPr>
                        <w:r w:rsidRPr="002F1697">
                          <w:rPr>
                            <w:color w:val="000000"/>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02EAF9EE" w14:textId="77777777">
                        <w:pPr>
                          <w:jc w:val="right"/>
                          <w:rPr>
                            <w:color w:val="000000"/>
                            <w:sz w:val="20"/>
                          </w:rPr>
                        </w:pPr>
                        <w:r w:rsidRPr="002F1697">
                          <w:rPr>
                            <w:color w:val="000000"/>
                            <w:sz w:val="20"/>
                          </w:rPr>
                          <w:t> </w:t>
                        </w:r>
                      </w:p>
                    </w:tc>
                  </w:tr>
                  <w:tr w14:paraId="2A50627F" w14:textId="77777777" w:rsidTr="002F1697">
                    <w:tblPrEx>
                      <w:tblW w:w="12540" w:type="dxa"/>
                      <w:tblLayout w:type="fixed"/>
                      <w:tblLook w:val="04A0"/>
                    </w:tblPrEx>
                    <w:trPr>
                      <w:trHeight w:val="52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367580C2" w14:textId="77777777">
                        <w:pPr>
                          <w:rPr>
                            <w:color w:val="000000"/>
                            <w:sz w:val="20"/>
                          </w:rPr>
                        </w:pPr>
                        <w:r w:rsidRPr="002F1697">
                          <w:rPr>
                            <w:color w:val="000000"/>
                            <w:sz w:val="20"/>
                          </w:rPr>
                          <w:t>A. Familiarize with regulatory requirement</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54D95AFF"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3184D2F6"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4F9DF78A"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7A2E509B" w14:textId="77777777">
                        <w:pPr>
                          <w:jc w:val="right"/>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5DD74497" w14:textId="77777777">
                        <w:pPr>
                          <w:jc w:val="right"/>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266F3F7B" w14:textId="77777777">
                        <w:pPr>
                          <w:jc w:val="right"/>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14E3175F" w14:textId="77777777">
                        <w:pPr>
                          <w:jc w:val="right"/>
                          <w:rPr>
                            <w:color w:val="000000"/>
                            <w:sz w:val="20"/>
                          </w:rPr>
                        </w:pPr>
                        <w:r w:rsidRPr="002F1697">
                          <w:rPr>
                            <w:color w:val="000000"/>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67044823" w14:textId="77777777">
                        <w:pPr>
                          <w:jc w:val="right"/>
                          <w:rPr>
                            <w:color w:val="000000"/>
                            <w:sz w:val="20"/>
                          </w:rPr>
                        </w:pPr>
                        <w:r w:rsidRPr="002F1697">
                          <w:rPr>
                            <w:color w:val="000000"/>
                            <w:sz w:val="20"/>
                          </w:rPr>
                          <w:t> </w:t>
                        </w:r>
                      </w:p>
                    </w:tc>
                  </w:tr>
                  <w:tr w14:paraId="074A58A1" w14:textId="77777777" w:rsidTr="002F1697">
                    <w:tblPrEx>
                      <w:tblW w:w="12540" w:type="dxa"/>
                      <w:tblLayout w:type="fixed"/>
                      <w:tblLook w:val="04A0"/>
                    </w:tblPrEx>
                    <w:trPr>
                      <w:trHeight w:val="26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68DF7EAC" w14:textId="77777777">
                        <w:pPr>
                          <w:rPr>
                            <w:color w:val="000000"/>
                            <w:sz w:val="20"/>
                          </w:rPr>
                        </w:pPr>
                        <w:r w:rsidRPr="002F1697">
                          <w:rPr>
                            <w:color w:val="000000"/>
                            <w:sz w:val="20"/>
                          </w:rPr>
                          <w:t xml:space="preserve">B. Plan Activities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610B72D6"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0F415A3B"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592F3EC8"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04886516" w14:textId="77777777">
                        <w:pPr>
                          <w:jc w:val="right"/>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7F9ABC14" w14:textId="77777777">
                        <w:pPr>
                          <w:jc w:val="right"/>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6E2E4938" w14:textId="77777777">
                        <w:pPr>
                          <w:jc w:val="right"/>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00BBD039" w14:textId="77777777">
                        <w:pPr>
                          <w:jc w:val="right"/>
                          <w:rPr>
                            <w:color w:val="000000"/>
                            <w:sz w:val="20"/>
                          </w:rPr>
                        </w:pPr>
                        <w:r w:rsidRPr="002F1697">
                          <w:rPr>
                            <w:color w:val="000000"/>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402FDD52" w14:textId="77777777">
                        <w:pPr>
                          <w:jc w:val="right"/>
                          <w:rPr>
                            <w:color w:val="000000"/>
                            <w:sz w:val="20"/>
                          </w:rPr>
                        </w:pPr>
                        <w:r w:rsidRPr="002F1697">
                          <w:rPr>
                            <w:color w:val="000000"/>
                            <w:sz w:val="20"/>
                          </w:rPr>
                          <w:t> </w:t>
                        </w:r>
                      </w:p>
                    </w:tc>
                  </w:tr>
                  <w:tr w14:paraId="1340C611" w14:textId="77777777" w:rsidTr="002F1697">
                    <w:tblPrEx>
                      <w:tblW w:w="12540" w:type="dxa"/>
                      <w:tblLayout w:type="fixed"/>
                      <w:tblLook w:val="04A0"/>
                    </w:tblPrEx>
                    <w:trPr>
                      <w:trHeight w:val="26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4A36BC27" w14:textId="77777777">
                        <w:pPr>
                          <w:rPr>
                            <w:color w:val="000000"/>
                            <w:sz w:val="20"/>
                          </w:rPr>
                        </w:pPr>
                        <w:r w:rsidRPr="002F1697">
                          <w:rPr>
                            <w:color w:val="000000"/>
                            <w:sz w:val="20"/>
                          </w:rPr>
                          <w:t xml:space="preserve">C. Implement Activities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30DD0FB1"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2BAFC5E1"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114714A5"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6EEFB17D" w14:textId="77777777">
                        <w:pPr>
                          <w:jc w:val="right"/>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7C790769" w14:textId="77777777">
                        <w:pPr>
                          <w:jc w:val="right"/>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4A1E42DA" w14:textId="77777777">
                        <w:pPr>
                          <w:jc w:val="right"/>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05F77AD8" w14:textId="77777777">
                        <w:pPr>
                          <w:jc w:val="right"/>
                          <w:rPr>
                            <w:color w:val="000000"/>
                            <w:sz w:val="20"/>
                          </w:rPr>
                        </w:pPr>
                        <w:r w:rsidRPr="002F1697">
                          <w:rPr>
                            <w:color w:val="000000"/>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02305530" w14:textId="77777777">
                        <w:pPr>
                          <w:jc w:val="right"/>
                          <w:rPr>
                            <w:color w:val="000000"/>
                            <w:sz w:val="20"/>
                          </w:rPr>
                        </w:pPr>
                        <w:r w:rsidRPr="002F1697">
                          <w:rPr>
                            <w:color w:val="000000"/>
                            <w:sz w:val="20"/>
                          </w:rPr>
                          <w:t> </w:t>
                        </w:r>
                      </w:p>
                    </w:tc>
                  </w:tr>
                  <w:tr w14:paraId="0CCFDBC3" w14:textId="77777777" w:rsidTr="002F1697">
                    <w:tblPrEx>
                      <w:tblW w:w="12540" w:type="dxa"/>
                      <w:tblLayout w:type="fixed"/>
                      <w:tblLook w:val="04A0"/>
                    </w:tblPrEx>
                    <w:trPr>
                      <w:trHeight w:val="60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36FB336D" w14:textId="77777777">
                        <w:pPr>
                          <w:rPr>
                            <w:color w:val="000000"/>
                            <w:sz w:val="20"/>
                          </w:rPr>
                        </w:pPr>
                        <w:r w:rsidRPr="002F1697">
                          <w:rPr>
                            <w:color w:val="000000"/>
                            <w:sz w:val="20"/>
                          </w:rPr>
                          <w:t xml:space="preserve">D. Record Data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5DF09E62" w14:textId="77777777">
                        <w:pPr>
                          <w:jc w:val="center"/>
                          <w:rPr>
                            <w:color w:val="000000"/>
                            <w:sz w:val="20"/>
                          </w:rPr>
                        </w:pPr>
                        <w:r w:rsidRPr="002F1697">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72F901DF"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55C9B3E8"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3607BAB3" w14:textId="77777777">
                        <w:pPr>
                          <w:jc w:val="right"/>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619242B0" w14:textId="77777777">
                        <w:pPr>
                          <w:jc w:val="right"/>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431535BA" w14:textId="77777777">
                        <w:pPr>
                          <w:jc w:val="right"/>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1FBAE79B" w14:textId="77777777">
                        <w:pPr>
                          <w:jc w:val="right"/>
                          <w:rPr>
                            <w:color w:val="000000"/>
                            <w:sz w:val="20"/>
                          </w:rPr>
                        </w:pPr>
                        <w:r w:rsidRPr="002F1697">
                          <w:rPr>
                            <w:color w:val="000000"/>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6053E047" w14:textId="77777777">
                        <w:pPr>
                          <w:jc w:val="right"/>
                          <w:rPr>
                            <w:color w:val="000000"/>
                            <w:sz w:val="20"/>
                          </w:rPr>
                        </w:pPr>
                        <w:r w:rsidRPr="002F1697">
                          <w:rPr>
                            <w:color w:val="000000"/>
                            <w:sz w:val="20"/>
                          </w:rPr>
                          <w:t> </w:t>
                        </w:r>
                      </w:p>
                    </w:tc>
                  </w:tr>
                  <w:tr w14:paraId="103ECCF2" w14:textId="77777777" w:rsidTr="002F1697">
                    <w:tblPrEx>
                      <w:tblW w:w="12540" w:type="dxa"/>
                      <w:tblLayout w:type="fixed"/>
                      <w:tblLook w:val="04A0"/>
                    </w:tblPrEx>
                    <w:trPr>
                      <w:trHeight w:val="52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1D2E84C2" w14:textId="77777777">
                        <w:pPr>
                          <w:rPr>
                            <w:color w:val="000000"/>
                            <w:sz w:val="20"/>
                          </w:rPr>
                        </w:pPr>
                        <w:r w:rsidRPr="002F1697">
                          <w:rPr>
                            <w:color w:val="000000"/>
                            <w:sz w:val="20"/>
                          </w:rPr>
                          <w:t>E. Time to Transmit or Disclose Information</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1CA7D3CE" w14:textId="77777777">
                        <w:pPr>
                          <w:jc w:val="right"/>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6D754AB1"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47BF65BB"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14AE9379" w14:textId="77777777">
                        <w:pPr>
                          <w:jc w:val="right"/>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085C48F3" w14:textId="77777777">
                        <w:pPr>
                          <w:jc w:val="right"/>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57674A66" w14:textId="77777777">
                        <w:pPr>
                          <w:jc w:val="right"/>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309E06C5" w14:textId="77777777">
                        <w:pPr>
                          <w:jc w:val="right"/>
                          <w:rPr>
                            <w:color w:val="000000"/>
                            <w:sz w:val="20"/>
                          </w:rPr>
                        </w:pPr>
                        <w:r w:rsidRPr="002F1697">
                          <w:rPr>
                            <w:color w:val="000000"/>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397673A1" w14:textId="77777777">
                        <w:pPr>
                          <w:jc w:val="right"/>
                          <w:rPr>
                            <w:color w:val="000000"/>
                            <w:sz w:val="20"/>
                          </w:rPr>
                        </w:pPr>
                        <w:r w:rsidRPr="002F1697">
                          <w:rPr>
                            <w:color w:val="000000"/>
                            <w:sz w:val="20"/>
                          </w:rPr>
                          <w:t> </w:t>
                        </w:r>
                      </w:p>
                    </w:tc>
                  </w:tr>
                  <w:tr w14:paraId="3AA6BC0E" w14:textId="77777777" w:rsidTr="002F1697">
                    <w:tblPrEx>
                      <w:tblW w:w="12540" w:type="dxa"/>
                      <w:tblLayout w:type="fixed"/>
                      <w:tblLook w:val="04A0"/>
                    </w:tblPrEx>
                    <w:trPr>
                      <w:trHeight w:val="26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54491124" w14:textId="77777777">
                        <w:pPr>
                          <w:rPr>
                            <w:i/>
                            <w:iCs/>
                            <w:color w:val="000000"/>
                            <w:sz w:val="20"/>
                            <w:u w:val="single"/>
                          </w:rPr>
                        </w:pPr>
                        <w:r w:rsidRPr="002F1697">
                          <w:rPr>
                            <w:i/>
                            <w:iCs/>
                            <w:color w:val="000000"/>
                            <w:sz w:val="20"/>
                            <w:u w:val="single"/>
                          </w:rPr>
                          <w:t>Existing Sources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122378E2" w14:textId="77777777">
                        <w:pPr>
                          <w:jc w:val="right"/>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75E131AB"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5B3B5678"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0E71226C" w14:textId="77777777">
                        <w:pPr>
                          <w:jc w:val="right"/>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25424122" w14:textId="77777777">
                        <w:pPr>
                          <w:jc w:val="right"/>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79C97C28" w14:textId="77777777">
                        <w:pPr>
                          <w:jc w:val="right"/>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41ACFD52" w14:textId="77777777">
                        <w:pPr>
                          <w:jc w:val="right"/>
                          <w:rPr>
                            <w:color w:val="000000"/>
                            <w:sz w:val="20"/>
                          </w:rPr>
                        </w:pPr>
                        <w:r w:rsidRPr="002F1697">
                          <w:rPr>
                            <w:color w:val="000000"/>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247F171F" w14:textId="77777777">
                        <w:pPr>
                          <w:jc w:val="right"/>
                          <w:rPr>
                            <w:color w:val="000000"/>
                            <w:sz w:val="20"/>
                          </w:rPr>
                        </w:pPr>
                        <w:r w:rsidRPr="002F1697">
                          <w:rPr>
                            <w:color w:val="000000"/>
                            <w:sz w:val="20"/>
                          </w:rPr>
                          <w:t> </w:t>
                        </w:r>
                      </w:p>
                    </w:tc>
                  </w:tr>
                  <w:tr w14:paraId="6E9F3049" w14:textId="77777777" w:rsidTr="002F1697">
                    <w:tblPrEx>
                      <w:tblW w:w="12540" w:type="dxa"/>
                      <w:tblLayout w:type="fixed"/>
                      <w:tblLook w:val="04A0"/>
                    </w:tblPrEx>
                    <w:trPr>
                      <w:trHeight w:val="26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29893CFB" w14:textId="77777777">
                        <w:pPr>
                          <w:rPr>
                            <w:color w:val="000000"/>
                            <w:sz w:val="20"/>
                          </w:rPr>
                        </w:pPr>
                        <w:r w:rsidRPr="002F1697">
                          <w:rPr>
                            <w:color w:val="000000"/>
                            <w:sz w:val="20"/>
                          </w:rPr>
                          <w:t>Data Collection</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10F51F23" w14:textId="77777777">
                        <w:pPr>
                          <w:jc w:val="center"/>
                          <w:rPr>
                            <w:color w:val="000000"/>
                            <w:sz w:val="20"/>
                          </w:rPr>
                        </w:pPr>
                        <w:r w:rsidRPr="002F1697">
                          <w:rPr>
                            <w:color w:val="000000"/>
                            <w:sz w:val="20"/>
                          </w:rPr>
                          <w:t>0.1</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26B82CCD" w14:textId="77777777">
                        <w:pPr>
                          <w:jc w:val="center"/>
                          <w:rPr>
                            <w:sz w:val="20"/>
                          </w:rPr>
                        </w:pPr>
                        <w:r w:rsidRPr="002F1697">
                          <w:rPr>
                            <w:sz w:val="20"/>
                          </w:rPr>
                          <w:t>1</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029B78F6" w14:textId="77777777">
                        <w:pPr>
                          <w:jc w:val="center"/>
                          <w:rPr>
                            <w:color w:val="000000"/>
                            <w:sz w:val="20"/>
                          </w:rPr>
                        </w:pPr>
                        <w:r w:rsidRPr="002F1697">
                          <w:rPr>
                            <w:color w:val="000000"/>
                            <w:sz w:val="20"/>
                          </w:rPr>
                          <w:t>0.1</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217C2998" w14:textId="77777777">
                        <w:pPr>
                          <w:jc w:val="center"/>
                          <w:rPr>
                            <w:sz w:val="20"/>
                          </w:rPr>
                        </w:pPr>
                        <w:r w:rsidRPr="002F1697">
                          <w:rPr>
                            <w:sz w:val="20"/>
                          </w:rPr>
                          <w:t>29</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335476DA" w14:textId="77777777">
                        <w:pPr>
                          <w:jc w:val="center"/>
                          <w:rPr>
                            <w:color w:val="000000"/>
                            <w:sz w:val="20"/>
                          </w:rPr>
                        </w:pPr>
                        <w:r w:rsidRPr="002F1697">
                          <w:rPr>
                            <w:color w:val="000000"/>
                            <w:sz w:val="20"/>
                          </w:rPr>
                          <w:t>3</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4A605060" w14:textId="77777777">
                        <w:pPr>
                          <w:jc w:val="center"/>
                          <w:rPr>
                            <w:color w:val="000000"/>
                            <w:sz w:val="20"/>
                          </w:rPr>
                        </w:pPr>
                        <w:r w:rsidRPr="002F1697">
                          <w:rPr>
                            <w:color w:val="000000"/>
                            <w:sz w:val="20"/>
                          </w:rPr>
                          <w:t>0.145</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6BF86224" w14:textId="77777777">
                        <w:pPr>
                          <w:jc w:val="center"/>
                          <w:rPr>
                            <w:color w:val="000000"/>
                            <w:sz w:val="20"/>
                          </w:rPr>
                        </w:pPr>
                        <w:r w:rsidRPr="002F1697">
                          <w:rPr>
                            <w:color w:val="000000"/>
                            <w:sz w:val="20"/>
                          </w:rPr>
                          <w:t>0.29</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32D9F52B" w14:textId="57E1D5AA">
                        <w:pPr>
                          <w:jc w:val="right"/>
                          <w:rPr>
                            <w:color w:val="000000"/>
                            <w:sz w:val="20"/>
                          </w:rPr>
                        </w:pPr>
                        <w:r w:rsidRPr="002F1697">
                          <w:rPr>
                            <w:color w:val="000000"/>
                            <w:sz w:val="20"/>
                          </w:rPr>
                          <w:t xml:space="preserve">$412 </w:t>
                        </w:r>
                      </w:p>
                    </w:tc>
                  </w:tr>
                  <w:tr w14:paraId="6B0D6979" w14:textId="77777777" w:rsidTr="002F1697">
                    <w:tblPrEx>
                      <w:tblW w:w="12540" w:type="dxa"/>
                      <w:tblLayout w:type="fixed"/>
                      <w:tblLook w:val="04A0"/>
                    </w:tblPrEx>
                    <w:trPr>
                      <w:trHeight w:val="78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6C0C4D2A" w14:textId="77777777">
                        <w:pPr>
                          <w:rPr>
                            <w:color w:val="000000"/>
                            <w:sz w:val="20"/>
                          </w:rPr>
                        </w:pPr>
                        <w:r w:rsidRPr="002F1697">
                          <w:rPr>
                            <w:color w:val="000000"/>
                            <w:sz w:val="20"/>
                          </w:rPr>
                          <w:t>Recordkeeping of NOx emission rate, operating days data, CPMS data</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2EF92CC9"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2837DD7C"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023895F3"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4FDD2BB8"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72E324A2"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0F015630"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41542250" w14:textId="77777777">
                        <w:pPr>
                          <w:jc w:val="center"/>
                          <w:rPr>
                            <w:color w:val="000000"/>
                            <w:sz w:val="20"/>
                          </w:rPr>
                        </w:pPr>
                        <w:r w:rsidRPr="002F1697">
                          <w:rPr>
                            <w:color w:val="000000"/>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53B53DB7" w14:textId="77777777">
                        <w:pPr>
                          <w:jc w:val="right"/>
                          <w:rPr>
                            <w:color w:val="000000"/>
                            <w:sz w:val="20"/>
                          </w:rPr>
                        </w:pPr>
                        <w:r w:rsidRPr="002F1697">
                          <w:rPr>
                            <w:color w:val="000000"/>
                            <w:sz w:val="20"/>
                          </w:rPr>
                          <w:t xml:space="preserve">$0.00 </w:t>
                        </w:r>
                      </w:p>
                    </w:tc>
                  </w:tr>
                  <w:tr w14:paraId="15EB57EB" w14:textId="77777777" w:rsidTr="002F1697">
                    <w:tblPrEx>
                      <w:tblW w:w="12540" w:type="dxa"/>
                      <w:tblLayout w:type="fixed"/>
                      <w:tblLook w:val="04A0"/>
                    </w:tblPrEx>
                    <w:trPr>
                      <w:trHeight w:val="26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7C94388C" w14:textId="77777777">
                        <w:pPr>
                          <w:rPr>
                            <w:i/>
                            <w:iCs/>
                            <w:color w:val="000000"/>
                            <w:sz w:val="20"/>
                            <w:u w:val="single"/>
                          </w:rPr>
                        </w:pPr>
                        <w:r w:rsidRPr="002F1697">
                          <w:rPr>
                            <w:i/>
                            <w:iCs/>
                            <w:color w:val="000000"/>
                            <w:sz w:val="20"/>
                            <w:u w:val="single"/>
                          </w:rPr>
                          <w:t>New Sources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5D4A3AC9" w14:textId="77777777">
                        <w:pPr>
                          <w:jc w:val="center"/>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03BE0877" w14:textId="77777777">
                        <w:pPr>
                          <w:jc w:val="center"/>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2C576FBC" w14:textId="77777777">
                        <w:pPr>
                          <w:jc w:val="center"/>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3166431C" w14:textId="77777777">
                        <w:pPr>
                          <w:jc w:val="center"/>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3B294B69" w14:textId="77777777">
                        <w:pPr>
                          <w:jc w:val="center"/>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3A3EC480" w14:textId="77777777">
                        <w:pPr>
                          <w:jc w:val="center"/>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150535AC" w14:textId="77777777">
                        <w:pPr>
                          <w:jc w:val="center"/>
                          <w:rPr>
                            <w:color w:val="000000"/>
                            <w:sz w:val="20"/>
                          </w:rPr>
                        </w:pPr>
                        <w:r w:rsidRPr="002F1697">
                          <w:rPr>
                            <w:color w:val="000000"/>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03E8D2CB" w14:textId="77777777">
                        <w:pPr>
                          <w:jc w:val="right"/>
                          <w:rPr>
                            <w:color w:val="000000"/>
                            <w:sz w:val="20"/>
                          </w:rPr>
                        </w:pPr>
                        <w:r w:rsidRPr="002F1697">
                          <w:rPr>
                            <w:color w:val="000000"/>
                            <w:sz w:val="20"/>
                          </w:rPr>
                          <w:t> </w:t>
                        </w:r>
                      </w:p>
                    </w:tc>
                  </w:tr>
                  <w:tr w14:paraId="2E2595BD" w14:textId="77777777" w:rsidTr="002F1697">
                    <w:tblPrEx>
                      <w:tblW w:w="12540" w:type="dxa"/>
                      <w:tblLayout w:type="fixed"/>
                      <w:tblLook w:val="04A0"/>
                    </w:tblPrEx>
                    <w:trPr>
                      <w:trHeight w:val="345"/>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00987F42" w14:textId="77777777">
                        <w:pPr>
                          <w:rPr>
                            <w:color w:val="000000"/>
                            <w:sz w:val="20"/>
                          </w:rPr>
                        </w:pPr>
                        <w:r w:rsidRPr="002F1697">
                          <w:rPr>
                            <w:color w:val="000000"/>
                            <w:sz w:val="20"/>
                          </w:rPr>
                          <w:t>Data Collection</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7556B2E2" w14:textId="77777777">
                        <w:pPr>
                          <w:jc w:val="center"/>
                          <w:rPr>
                            <w:color w:val="000000"/>
                            <w:sz w:val="20"/>
                          </w:rPr>
                        </w:pPr>
                        <w:r w:rsidRPr="002F1697">
                          <w:rPr>
                            <w:color w:val="000000"/>
                            <w:sz w:val="20"/>
                          </w:rPr>
                          <w:t>1.5</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1A1972E1" w14:textId="77777777">
                        <w:pPr>
                          <w:jc w:val="center"/>
                          <w:rPr>
                            <w:sz w:val="20"/>
                          </w:rPr>
                        </w:pPr>
                        <w:r w:rsidRPr="002F1697">
                          <w:rPr>
                            <w:sz w:val="20"/>
                          </w:rPr>
                          <w:t>1</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5D58DA9B" w14:textId="77777777">
                        <w:pPr>
                          <w:jc w:val="center"/>
                          <w:rPr>
                            <w:color w:val="000000"/>
                            <w:sz w:val="20"/>
                          </w:rPr>
                        </w:pPr>
                        <w:r w:rsidRPr="002F1697">
                          <w:rPr>
                            <w:color w:val="000000"/>
                            <w:sz w:val="20"/>
                          </w:rPr>
                          <w:t>1.5</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34C76758" w14:textId="77777777">
                        <w:pPr>
                          <w:jc w:val="center"/>
                          <w:rPr>
                            <w:sz w:val="20"/>
                          </w:rPr>
                        </w:pPr>
                        <w:r w:rsidRPr="002F1697">
                          <w:rPr>
                            <w:sz w:val="20"/>
                          </w:rPr>
                          <w:t>2.03</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60D4582F" w14:textId="77777777">
                        <w:pPr>
                          <w:jc w:val="center"/>
                          <w:rPr>
                            <w:color w:val="000000"/>
                            <w:sz w:val="20"/>
                          </w:rPr>
                        </w:pPr>
                        <w:r w:rsidRPr="002F1697">
                          <w:rPr>
                            <w:color w:val="000000"/>
                            <w:sz w:val="20"/>
                          </w:rPr>
                          <w:t>3</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4D47EC46" w14:textId="62EB953F">
                        <w:pPr>
                          <w:jc w:val="center"/>
                          <w:rPr>
                            <w:color w:val="000000"/>
                            <w:sz w:val="20"/>
                          </w:rPr>
                        </w:pPr>
                        <w:r w:rsidRPr="002F1697">
                          <w:rPr>
                            <w:color w:val="000000"/>
                            <w:sz w:val="20"/>
                          </w:rPr>
                          <w:t>0.15</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5B40142B" w14:textId="1BF3353E">
                        <w:pPr>
                          <w:jc w:val="center"/>
                          <w:rPr>
                            <w:color w:val="000000"/>
                            <w:sz w:val="20"/>
                          </w:rPr>
                        </w:pPr>
                        <w:r w:rsidRPr="002F1697">
                          <w:rPr>
                            <w:color w:val="000000"/>
                            <w:sz w:val="20"/>
                          </w:rPr>
                          <w:t>0.30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44528E30" w14:textId="77777777">
                        <w:pPr>
                          <w:jc w:val="right"/>
                          <w:rPr>
                            <w:color w:val="000000"/>
                            <w:sz w:val="20"/>
                          </w:rPr>
                        </w:pPr>
                        <w:r w:rsidRPr="002F1697">
                          <w:rPr>
                            <w:color w:val="000000"/>
                            <w:sz w:val="20"/>
                          </w:rPr>
                          <w:t xml:space="preserve">$433 </w:t>
                        </w:r>
                      </w:p>
                    </w:tc>
                  </w:tr>
                  <w:tr w14:paraId="3B7CF803" w14:textId="77777777" w:rsidTr="002F1697">
                    <w:tblPrEx>
                      <w:tblW w:w="12540" w:type="dxa"/>
                      <w:tblLayout w:type="fixed"/>
                      <w:tblLook w:val="04A0"/>
                    </w:tblPrEx>
                    <w:trPr>
                      <w:trHeight w:val="26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72EE4661" w14:textId="77777777">
                        <w:pPr>
                          <w:rPr>
                            <w:color w:val="000000"/>
                            <w:sz w:val="20"/>
                          </w:rPr>
                        </w:pPr>
                        <w:r w:rsidRPr="002F1697">
                          <w:rPr>
                            <w:color w:val="000000"/>
                            <w:sz w:val="20"/>
                          </w:rPr>
                          <w:t>CPMS Recordkeeping</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3A0EE575"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68859AD5"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6891DBB5"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3EA69209"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173D3099"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217E2271"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7EFC201D" w14:textId="77777777">
                        <w:pPr>
                          <w:jc w:val="center"/>
                          <w:rPr>
                            <w:color w:val="000000"/>
                            <w:sz w:val="20"/>
                          </w:rPr>
                        </w:pPr>
                        <w:r w:rsidRPr="002F1697">
                          <w:rPr>
                            <w:color w:val="000000"/>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2968FB49" w14:textId="77777777">
                        <w:pPr>
                          <w:jc w:val="right"/>
                          <w:rPr>
                            <w:color w:val="000000"/>
                            <w:sz w:val="20"/>
                          </w:rPr>
                        </w:pPr>
                        <w:r w:rsidRPr="002F1697">
                          <w:rPr>
                            <w:color w:val="000000"/>
                            <w:sz w:val="20"/>
                          </w:rPr>
                          <w:t xml:space="preserve">$0 </w:t>
                        </w:r>
                      </w:p>
                    </w:tc>
                  </w:tr>
                  <w:tr w14:paraId="77EDB367" w14:textId="77777777" w:rsidTr="002F1697">
                    <w:tblPrEx>
                      <w:tblW w:w="12540" w:type="dxa"/>
                      <w:tblLayout w:type="fixed"/>
                      <w:tblLook w:val="04A0"/>
                    </w:tblPrEx>
                    <w:trPr>
                      <w:trHeight w:val="26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4443526C" w14:textId="77777777">
                        <w:pPr>
                          <w:rPr>
                            <w:color w:val="000000"/>
                            <w:sz w:val="20"/>
                          </w:rPr>
                        </w:pPr>
                        <w:r w:rsidRPr="002F1697">
                          <w:rPr>
                            <w:color w:val="000000"/>
                            <w:sz w:val="20"/>
                          </w:rPr>
                          <w:t>F. Time to Train Personnel</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65BDD013" w14:textId="77777777">
                        <w:pPr>
                          <w:jc w:val="center"/>
                          <w:rPr>
                            <w:color w:val="000000"/>
                            <w:sz w:val="20"/>
                          </w:rPr>
                        </w:pPr>
                        <w:r w:rsidRPr="002F1697">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3DE456BF" w14:textId="77777777">
                        <w:pPr>
                          <w:jc w:val="center"/>
                          <w:rPr>
                            <w:sz w:val="20"/>
                          </w:rPr>
                        </w:pPr>
                        <w:r w:rsidRPr="002F1697">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7BE0C229" w14:textId="77777777">
                        <w:pPr>
                          <w:jc w:val="center"/>
                          <w:rPr>
                            <w:color w:val="000000"/>
                            <w:sz w:val="20"/>
                          </w:rPr>
                        </w:pPr>
                        <w:r w:rsidRPr="002F1697">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7885AADC" w14:textId="77777777">
                        <w:pPr>
                          <w:jc w:val="center"/>
                          <w:rPr>
                            <w:sz w:val="20"/>
                          </w:rPr>
                        </w:pPr>
                        <w:r w:rsidRPr="002F1697">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3AF89F73" w14:textId="77777777">
                        <w:pPr>
                          <w:jc w:val="center"/>
                          <w:rPr>
                            <w:color w:val="000000"/>
                            <w:sz w:val="20"/>
                          </w:rPr>
                        </w:pPr>
                        <w:r w:rsidRPr="002F1697">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6F09DD69" w14:textId="77777777">
                        <w:pPr>
                          <w:jc w:val="center"/>
                          <w:rPr>
                            <w:color w:val="000000"/>
                            <w:sz w:val="20"/>
                          </w:rPr>
                        </w:pPr>
                        <w:r w:rsidRPr="002F1697">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687FEECB" w14:textId="77777777">
                        <w:pPr>
                          <w:jc w:val="center"/>
                          <w:rPr>
                            <w:color w:val="000000"/>
                            <w:sz w:val="20"/>
                          </w:rPr>
                        </w:pPr>
                        <w:r w:rsidRPr="002F1697">
                          <w:rPr>
                            <w:color w:val="000000"/>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0EF8C016" w14:textId="77777777">
                        <w:pPr>
                          <w:jc w:val="right"/>
                          <w:rPr>
                            <w:color w:val="000000"/>
                            <w:sz w:val="20"/>
                          </w:rPr>
                        </w:pPr>
                        <w:r w:rsidRPr="002F1697">
                          <w:rPr>
                            <w:color w:val="000000"/>
                            <w:sz w:val="20"/>
                          </w:rPr>
                          <w:t xml:space="preserve">$0 </w:t>
                        </w:r>
                      </w:p>
                    </w:tc>
                  </w:tr>
                  <w:tr w14:paraId="2BB8505F" w14:textId="77777777" w:rsidTr="002F1697">
                    <w:tblPrEx>
                      <w:tblW w:w="12540" w:type="dxa"/>
                      <w:tblLayout w:type="fixed"/>
                      <w:tblLook w:val="04A0"/>
                    </w:tblPrEx>
                    <w:trPr>
                      <w:trHeight w:val="26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75086516" w14:textId="77777777">
                        <w:pPr>
                          <w:rPr>
                            <w:color w:val="000000"/>
                            <w:sz w:val="20"/>
                          </w:rPr>
                        </w:pPr>
                        <w:r w:rsidRPr="002F1697">
                          <w:rPr>
                            <w:color w:val="000000"/>
                            <w:sz w:val="20"/>
                          </w:rPr>
                          <w:t xml:space="preserve">G. Time for Audits </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5E1AE1C5" w14:textId="77777777">
                        <w:pPr>
                          <w:jc w:val="center"/>
                          <w:rPr>
                            <w:color w:val="000000"/>
                            <w:sz w:val="20"/>
                          </w:rPr>
                        </w:pPr>
                        <w:r w:rsidRPr="002F1697">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4854283E"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5F98BF05"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01E4FD42" w14:textId="77777777">
                        <w:pPr>
                          <w:jc w:val="right"/>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48D489AB" w14:textId="77777777">
                        <w:pPr>
                          <w:jc w:val="right"/>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1CB243E9" w14:textId="77777777">
                        <w:pPr>
                          <w:jc w:val="right"/>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7DE40381" w14:textId="77777777">
                        <w:pPr>
                          <w:jc w:val="right"/>
                          <w:rPr>
                            <w:color w:val="000000"/>
                            <w:sz w:val="20"/>
                          </w:rPr>
                        </w:pPr>
                        <w:r w:rsidRPr="002F1697">
                          <w:rPr>
                            <w:color w:val="000000"/>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2F675F1B" w14:textId="77777777">
                        <w:pPr>
                          <w:jc w:val="right"/>
                          <w:rPr>
                            <w:color w:val="000000"/>
                            <w:sz w:val="20"/>
                          </w:rPr>
                        </w:pPr>
                        <w:r w:rsidRPr="002F1697">
                          <w:rPr>
                            <w:color w:val="000000"/>
                            <w:sz w:val="20"/>
                          </w:rPr>
                          <w:t> </w:t>
                        </w:r>
                      </w:p>
                    </w:tc>
                  </w:tr>
                  <w:tr w14:paraId="062F22F0" w14:textId="77777777" w:rsidTr="002F1697">
                    <w:tblPrEx>
                      <w:tblW w:w="12540" w:type="dxa"/>
                      <w:tblLayout w:type="fixed"/>
                      <w:tblLook w:val="04A0"/>
                    </w:tblPrEx>
                    <w:trPr>
                      <w:trHeight w:val="54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58F023E0" w14:textId="77777777">
                        <w:pPr>
                          <w:rPr>
                            <w:b/>
                            <w:bCs/>
                            <w:i/>
                            <w:iCs/>
                            <w:color w:val="000000"/>
                            <w:sz w:val="20"/>
                          </w:rPr>
                        </w:pPr>
                        <w:r w:rsidRPr="002F1697">
                          <w:rPr>
                            <w:b/>
                            <w:bCs/>
                            <w:i/>
                            <w:iCs/>
                            <w:color w:val="000000"/>
                            <w:sz w:val="20"/>
                          </w:rPr>
                          <w:t>Subtotal for Recordkeeping Requirements</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0F9D40A3" w14:textId="77777777">
                        <w:pPr>
                          <w:jc w:val="right"/>
                          <w:rPr>
                            <w:b/>
                            <w:bCs/>
                            <w:i/>
                            <w:iCs/>
                            <w:color w:val="000000"/>
                            <w:sz w:val="20"/>
                          </w:rPr>
                        </w:pPr>
                        <w:r w:rsidRPr="002F1697">
                          <w:rPr>
                            <w:b/>
                            <w:bCs/>
                            <w:i/>
                            <w:i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1EC57526" w14:textId="77777777">
                        <w:pPr>
                          <w:jc w:val="right"/>
                          <w:rPr>
                            <w:b/>
                            <w:bCs/>
                            <w:i/>
                            <w:iCs/>
                            <w:sz w:val="20"/>
                          </w:rPr>
                        </w:pPr>
                        <w:r w:rsidRPr="002F1697">
                          <w:rPr>
                            <w:b/>
                            <w:bCs/>
                            <w:i/>
                            <w:i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182BF4AB" w14:textId="77777777">
                        <w:pPr>
                          <w:jc w:val="right"/>
                          <w:rPr>
                            <w:b/>
                            <w:bCs/>
                            <w:i/>
                            <w:iCs/>
                            <w:color w:val="000000"/>
                            <w:sz w:val="20"/>
                          </w:rPr>
                        </w:pPr>
                        <w:r w:rsidRPr="002F1697">
                          <w:rPr>
                            <w:b/>
                            <w:bCs/>
                            <w:i/>
                            <w:iCs/>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2F1697" w:rsidRPr="002F1697" w:rsidP="002F1697" w14:paraId="695610FF" w14:textId="77777777">
                        <w:pPr>
                          <w:jc w:val="right"/>
                          <w:rPr>
                            <w:b/>
                            <w:bCs/>
                            <w:i/>
                            <w:iCs/>
                            <w:sz w:val="20"/>
                          </w:rPr>
                        </w:pPr>
                        <w:r w:rsidRPr="002F1697">
                          <w:rPr>
                            <w:b/>
                            <w:bCs/>
                            <w:i/>
                            <w:iCs/>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25D6EE6A" w14:textId="77777777">
                        <w:pPr>
                          <w:jc w:val="center"/>
                          <w:rPr>
                            <w:b/>
                            <w:bCs/>
                            <w:i/>
                            <w:iCs/>
                            <w:color w:val="000000"/>
                            <w:sz w:val="20"/>
                          </w:rPr>
                        </w:pPr>
                        <w:r w:rsidRPr="002F1697">
                          <w:rPr>
                            <w:b/>
                            <w:bCs/>
                            <w:i/>
                            <w:iCs/>
                            <w:color w:val="000000"/>
                            <w:sz w:val="20"/>
                          </w:rPr>
                          <w:t>7</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418521F0" w14:textId="77777777">
                        <w:pPr>
                          <w:jc w:val="center"/>
                          <w:rPr>
                            <w:b/>
                            <w:bCs/>
                            <w:i/>
                            <w:iCs/>
                            <w:color w:val="000000"/>
                            <w:sz w:val="20"/>
                          </w:rPr>
                        </w:pPr>
                        <w:r w:rsidRPr="002F1697">
                          <w:rPr>
                            <w:b/>
                            <w:bCs/>
                            <w:i/>
                            <w:iCs/>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2B73CE54" w14:textId="77777777">
                        <w:pPr>
                          <w:jc w:val="center"/>
                          <w:rPr>
                            <w:b/>
                            <w:bCs/>
                            <w:i/>
                            <w:iCs/>
                            <w:color w:val="000000"/>
                            <w:sz w:val="20"/>
                          </w:rPr>
                        </w:pPr>
                        <w:r w:rsidRPr="002F1697">
                          <w:rPr>
                            <w:b/>
                            <w:bCs/>
                            <w:i/>
                            <w:iCs/>
                            <w:color w:val="000000"/>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14BF33B3" w14:textId="77777777">
                        <w:pPr>
                          <w:jc w:val="right"/>
                          <w:rPr>
                            <w:b/>
                            <w:bCs/>
                            <w:i/>
                            <w:iCs/>
                            <w:color w:val="000000"/>
                            <w:sz w:val="20"/>
                          </w:rPr>
                        </w:pPr>
                        <w:r w:rsidRPr="002F1697">
                          <w:rPr>
                            <w:b/>
                            <w:bCs/>
                            <w:i/>
                            <w:iCs/>
                            <w:color w:val="000000"/>
                            <w:sz w:val="20"/>
                          </w:rPr>
                          <w:t xml:space="preserve">$845 </w:t>
                        </w:r>
                      </w:p>
                    </w:tc>
                  </w:tr>
                  <w:tr w14:paraId="0DABB49B" w14:textId="77777777" w:rsidTr="002F1697">
                    <w:tblPrEx>
                      <w:tblW w:w="12540" w:type="dxa"/>
                      <w:tblLayout w:type="fixed"/>
                      <w:tblLook w:val="04A0"/>
                    </w:tblPrEx>
                    <w:trPr>
                      <w:trHeight w:val="56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595BFA8C" w14:textId="77777777">
                        <w:pPr>
                          <w:rPr>
                            <w:b/>
                            <w:bCs/>
                            <w:color w:val="000000"/>
                            <w:sz w:val="20"/>
                          </w:rPr>
                        </w:pPr>
                        <w:r w:rsidRPr="002F1697">
                          <w:rPr>
                            <w:b/>
                            <w:bCs/>
                            <w:color w:val="000000"/>
                            <w:sz w:val="20"/>
                          </w:rPr>
                          <w:t xml:space="preserve">Total Labor Burden and Cost (rounded) </w:t>
                        </w:r>
                        <w:r w:rsidRPr="002F1697">
                          <w:rPr>
                            <w:b/>
                            <w:bCs/>
                            <w:color w:val="000000"/>
                            <w:sz w:val="20"/>
                            <w:vertAlign w:val="superscript"/>
                          </w:rPr>
                          <w:t>f</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38A7B0E4" w14:textId="77777777">
                        <w:pPr>
                          <w:jc w:val="right"/>
                          <w:rPr>
                            <w:b/>
                            <w:bCs/>
                            <w:color w:val="000000"/>
                            <w:sz w:val="20"/>
                          </w:rPr>
                        </w:pPr>
                        <w:r w:rsidRPr="002F1697">
                          <w:rPr>
                            <w:b/>
                            <w:b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1439E11D" w14:textId="77777777">
                        <w:pPr>
                          <w:jc w:val="center"/>
                          <w:rPr>
                            <w:b/>
                            <w:bCs/>
                            <w:sz w:val="20"/>
                          </w:rPr>
                        </w:pPr>
                        <w:r w:rsidRPr="002F1697">
                          <w:rPr>
                            <w:b/>
                            <w:b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0B7DD78D" w14:textId="77777777">
                        <w:pPr>
                          <w:jc w:val="right"/>
                          <w:rPr>
                            <w:b/>
                            <w:bCs/>
                            <w:color w:val="000000"/>
                            <w:sz w:val="20"/>
                          </w:rPr>
                        </w:pPr>
                        <w:r w:rsidRPr="002F1697">
                          <w:rPr>
                            <w:b/>
                            <w:bCs/>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75C2F0AB" w14:textId="77777777">
                        <w:pPr>
                          <w:jc w:val="right"/>
                          <w:rPr>
                            <w:b/>
                            <w:bCs/>
                            <w:sz w:val="20"/>
                          </w:rPr>
                        </w:pPr>
                        <w:r w:rsidRPr="002F1697">
                          <w:rPr>
                            <w:b/>
                            <w:bCs/>
                            <w:sz w:val="20"/>
                          </w:rPr>
                          <w:t> </w:t>
                        </w:r>
                      </w:p>
                    </w:tc>
                    <w:tc>
                      <w:tcPr>
                        <w:tcW w:w="3700" w:type="dxa"/>
                        <w:gridSpan w:val="3"/>
                        <w:tcBorders>
                          <w:top w:val="single" w:sz="4" w:space="0" w:color="auto"/>
                          <w:left w:val="nil"/>
                          <w:bottom w:val="single" w:sz="4" w:space="0" w:color="auto"/>
                          <w:right w:val="single" w:sz="4" w:space="0" w:color="auto"/>
                        </w:tcBorders>
                        <w:shd w:val="clear" w:color="auto" w:fill="auto"/>
                        <w:vAlign w:val="center"/>
                        <w:hideMark/>
                      </w:tcPr>
                      <w:p w:rsidR="002F1697" w:rsidRPr="002F1697" w:rsidP="002F1697" w14:paraId="5297D604" w14:textId="77777777">
                        <w:pPr>
                          <w:jc w:val="center"/>
                          <w:rPr>
                            <w:b/>
                            <w:bCs/>
                            <w:color w:val="000000"/>
                            <w:sz w:val="20"/>
                          </w:rPr>
                        </w:pPr>
                        <w:r w:rsidRPr="002F1697">
                          <w:rPr>
                            <w:b/>
                            <w:bCs/>
                            <w:color w:val="000000"/>
                            <w:sz w:val="20"/>
                          </w:rPr>
                          <w:t>700</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25FA4812" w14:textId="77777777">
                        <w:pPr>
                          <w:jc w:val="right"/>
                          <w:rPr>
                            <w:b/>
                            <w:bCs/>
                            <w:color w:val="000000"/>
                            <w:sz w:val="20"/>
                          </w:rPr>
                        </w:pPr>
                        <w:r w:rsidRPr="002F1697">
                          <w:rPr>
                            <w:b/>
                            <w:bCs/>
                            <w:color w:val="000000"/>
                            <w:sz w:val="20"/>
                          </w:rPr>
                          <w:t xml:space="preserve">$90,000 </w:t>
                        </w:r>
                      </w:p>
                    </w:tc>
                  </w:tr>
                  <w:tr w14:paraId="509B1C19" w14:textId="77777777" w:rsidTr="002F1697">
                    <w:tblPrEx>
                      <w:tblW w:w="12540" w:type="dxa"/>
                      <w:tblLayout w:type="fixed"/>
                      <w:tblLook w:val="04A0"/>
                    </w:tblPrEx>
                    <w:trPr>
                      <w:trHeight w:val="613"/>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0F3C5E87" w14:textId="77777777">
                        <w:pPr>
                          <w:rPr>
                            <w:b/>
                            <w:bCs/>
                            <w:sz w:val="20"/>
                          </w:rPr>
                        </w:pPr>
                        <w:r w:rsidRPr="002F1697">
                          <w:rPr>
                            <w:b/>
                            <w:bCs/>
                            <w:sz w:val="20"/>
                          </w:rPr>
                          <w:t xml:space="preserve">Total Capital and O&amp;M Cost (rounded) </w:t>
                        </w:r>
                        <w:r w:rsidRPr="002F1697">
                          <w:rPr>
                            <w:b/>
                            <w:bCs/>
                            <w:sz w:val="20"/>
                            <w:vertAlign w:val="superscript"/>
                          </w:rPr>
                          <w:t>f</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1A0307B5" w14:textId="77777777">
                        <w:pPr>
                          <w:jc w:val="right"/>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014B7A1B"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47981EFF"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31E9F787" w14:textId="77777777">
                        <w:pPr>
                          <w:jc w:val="right"/>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77C9C1A4" w14:textId="77777777">
                        <w:pPr>
                          <w:jc w:val="right"/>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1216BB59" w14:textId="77777777">
                        <w:pPr>
                          <w:jc w:val="right"/>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0D1E0819" w14:textId="77777777">
                        <w:pPr>
                          <w:jc w:val="right"/>
                          <w:rPr>
                            <w:color w:val="000000"/>
                            <w:sz w:val="20"/>
                          </w:rPr>
                        </w:pPr>
                        <w:r w:rsidRPr="002F1697">
                          <w:rPr>
                            <w:color w:val="000000"/>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5429547D" w14:textId="77777777">
                        <w:pPr>
                          <w:jc w:val="right"/>
                          <w:rPr>
                            <w:b/>
                            <w:bCs/>
                            <w:color w:val="000000"/>
                            <w:sz w:val="20"/>
                          </w:rPr>
                        </w:pPr>
                        <w:r w:rsidRPr="002F1697">
                          <w:rPr>
                            <w:b/>
                            <w:bCs/>
                            <w:color w:val="000000"/>
                            <w:sz w:val="20"/>
                          </w:rPr>
                          <w:t> </w:t>
                        </w:r>
                      </w:p>
                    </w:tc>
                  </w:tr>
                  <w:tr w14:paraId="1164701B" w14:textId="77777777" w:rsidTr="002F1697">
                    <w:tblPrEx>
                      <w:tblW w:w="12540" w:type="dxa"/>
                      <w:tblLayout w:type="fixed"/>
                      <w:tblLook w:val="04A0"/>
                    </w:tblPrEx>
                    <w:trPr>
                      <w:trHeight w:val="570"/>
                    </w:trPr>
                    <w:tc>
                      <w:tcPr>
                        <w:tcW w:w="2660" w:type="dxa"/>
                        <w:tcBorders>
                          <w:top w:val="nil"/>
                          <w:left w:val="single" w:sz="4" w:space="0" w:color="auto"/>
                          <w:bottom w:val="single" w:sz="4" w:space="0" w:color="auto"/>
                          <w:right w:val="single" w:sz="4" w:space="0" w:color="auto"/>
                        </w:tcBorders>
                        <w:shd w:val="clear" w:color="auto" w:fill="auto"/>
                        <w:vAlign w:val="center"/>
                        <w:hideMark/>
                      </w:tcPr>
                      <w:p w:rsidR="002F1697" w:rsidRPr="002F1697" w:rsidP="002F1697" w14:paraId="6991B901" w14:textId="77777777">
                        <w:pPr>
                          <w:rPr>
                            <w:b/>
                            <w:bCs/>
                            <w:sz w:val="20"/>
                          </w:rPr>
                        </w:pPr>
                        <w:r w:rsidRPr="002F1697">
                          <w:rPr>
                            <w:b/>
                            <w:bCs/>
                            <w:sz w:val="20"/>
                          </w:rPr>
                          <w:t xml:space="preserve">Grand TOTAL (rounded) </w:t>
                        </w:r>
                        <w:r w:rsidRPr="002F1697">
                          <w:rPr>
                            <w:b/>
                            <w:bCs/>
                            <w:sz w:val="20"/>
                            <w:vertAlign w:val="superscript"/>
                          </w:rPr>
                          <w:t>f</w:t>
                        </w:r>
                      </w:p>
                    </w:tc>
                    <w:tc>
                      <w:tcPr>
                        <w:tcW w:w="1120" w:type="dxa"/>
                        <w:tcBorders>
                          <w:top w:val="nil"/>
                          <w:left w:val="nil"/>
                          <w:bottom w:val="single" w:sz="4" w:space="0" w:color="auto"/>
                          <w:right w:val="single" w:sz="4" w:space="0" w:color="auto"/>
                        </w:tcBorders>
                        <w:shd w:val="clear" w:color="auto" w:fill="auto"/>
                        <w:vAlign w:val="center"/>
                        <w:hideMark/>
                      </w:tcPr>
                      <w:p w:rsidR="002F1697" w:rsidRPr="002F1697" w:rsidP="002F1697" w14:paraId="167357F9" w14:textId="77777777">
                        <w:pPr>
                          <w:jc w:val="right"/>
                          <w:rPr>
                            <w:color w:val="000000"/>
                            <w:sz w:val="20"/>
                          </w:rPr>
                        </w:pPr>
                        <w:r w:rsidRPr="002F1697">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2F1697" w:rsidRPr="002F1697" w:rsidP="002F1697" w14:paraId="6202A18E" w14:textId="77777777">
                        <w:pPr>
                          <w:jc w:val="right"/>
                          <w:rPr>
                            <w:sz w:val="20"/>
                          </w:rPr>
                        </w:pPr>
                        <w:r w:rsidRPr="002F1697">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2F1697" w:rsidRPr="002F1697" w:rsidP="002F1697" w14:paraId="19FCA3F9" w14:textId="77777777">
                        <w:pPr>
                          <w:jc w:val="right"/>
                          <w:rPr>
                            <w:color w:val="000000"/>
                            <w:sz w:val="20"/>
                          </w:rPr>
                        </w:pPr>
                        <w:r w:rsidRPr="002F1697">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2F1697" w:rsidRPr="002F1697" w:rsidP="002F1697" w14:paraId="0C2B43B4" w14:textId="77777777">
                        <w:pPr>
                          <w:jc w:val="right"/>
                          <w:rPr>
                            <w:sz w:val="20"/>
                          </w:rPr>
                        </w:pPr>
                        <w:r w:rsidRPr="002F1697">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72D1055D" w14:textId="77777777">
                        <w:pPr>
                          <w:jc w:val="right"/>
                          <w:rPr>
                            <w:color w:val="000000"/>
                            <w:sz w:val="20"/>
                          </w:rPr>
                        </w:pPr>
                        <w:r w:rsidRPr="002F1697">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2F1697" w:rsidRPr="002F1697" w:rsidP="002F1697" w14:paraId="57C7AABC" w14:textId="77777777">
                        <w:pPr>
                          <w:jc w:val="right"/>
                          <w:rPr>
                            <w:color w:val="000000"/>
                            <w:sz w:val="20"/>
                          </w:rPr>
                        </w:pPr>
                        <w:r w:rsidRPr="002F1697">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2F1697" w:rsidRPr="002F1697" w:rsidP="002F1697" w14:paraId="21EDC225" w14:textId="77777777">
                        <w:pPr>
                          <w:jc w:val="right"/>
                          <w:rPr>
                            <w:color w:val="000000"/>
                            <w:sz w:val="20"/>
                          </w:rPr>
                        </w:pPr>
                        <w:r w:rsidRPr="002F1697">
                          <w:rPr>
                            <w:color w:val="000000"/>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2F1697" w:rsidRPr="002F1697" w:rsidP="002F1697" w14:paraId="393DC2BC" w14:textId="77777777">
                        <w:pPr>
                          <w:jc w:val="right"/>
                          <w:rPr>
                            <w:b/>
                            <w:bCs/>
                            <w:color w:val="000000"/>
                            <w:sz w:val="20"/>
                          </w:rPr>
                        </w:pPr>
                        <w:r w:rsidRPr="002F1697">
                          <w:rPr>
                            <w:b/>
                            <w:bCs/>
                            <w:color w:val="000000"/>
                            <w:sz w:val="20"/>
                          </w:rPr>
                          <w:t xml:space="preserve">$100,000 </w:t>
                        </w:r>
                      </w:p>
                    </w:tc>
                  </w:tr>
                  <w:tr w14:paraId="3958AAE1" w14:textId="77777777" w:rsidTr="002F1697">
                    <w:tblPrEx>
                      <w:tblW w:w="12540" w:type="dxa"/>
                      <w:tblLayout w:type="fixed"/>
                      <w:tblLook w:val="04A0"/>
                    </w:tblPrEx>
                    <w:trPr>
                      <w:trHeight w:val="103"/>
                    </w:trPr>
                    <w:tc>
                      <w:tcPr>
                        <w:tcW w:w="2660" w:type="dxa"/>
                        <w:tcBorders>
                          <w:top w:val="nil"/>
                          <w:left w:val="nil"/>
                          <w:bottom w:val="nil"/>
                          <w:right w:val="nil"/>
                        </w:tcBorders>
                        <w:shd w:val="clear" w:color="auto" w:fill="auto"/>
                        <w:noWrap/>
                        <w:vAlign w:val="bottom"/>
                        <w:hideMark/>
                      </w:tcPr>
                      <w:p w:rsidR="002F1697" w:rsidRPr="002F1697" w:rsidP="002F1697" w14:paraId="552D6C10" w14:textId="77777777">
                        <w:pPr>
                          <w:jc w:val="right"/>
                          <w:rPr>
                            <w:b/>
                            <w:bCs/>
                            <w:color w:val="000000"/>
                            <w:sz w:val="20"/>
                          </w:rPr>
                        </w:pPr>
                      </w:p>
                    </w:tc>
                    <w:tc>
                      <w:tcPr>
                        <w:tcW w:w="1120" w:type="dxa"/>
                        <w:tcBorders>
                          <w:top w:val="nil"/>
                          <w:left w:val="nil"/>
                          <w:bottom w:val="nil"/>
                          <w:right w:val="nil"/>
                        </w:tcBorders>
                        <w:shd w:val="clear" w:color="auto" w:fill="auto"/>
                        <w:noWrap/>
                        <w:vAlign w:val="bottom"/>
                        <w:hideMark/>
                      </w:tcPr>
                      <w:p w:rsidR="002F1697" w:rsidRPr="002F1697" w:rsidP="002F1697" w14:paraId="4A977AC1" w14:textId="77777777">
                        <w:pPr>
                          <w:rPr>
                            <w:sz w:val="20"/>
                          </w:rPr>
                        </w:pPr>
                      </w:p>
                    </w:tc>
                    <w:tc>
                      <w:tcPr>
                        <w:tcW w:w="1320" w:type="dxa"/>
                        <w:tcBorders>
                          <w:top w:val="nil"/>
                          <w:left w:val="nil"/>
                          <w:bottom w:val="nil"/>
                          <w:right w:val="nil"/>
                        </w:tcBorders>
                        <w:shd w:val="clear" w:color="auto" w:fill="auto"/>
                        <w:noWrap/>
                        <w:vAlign w:val="bottom"/>
                        <w:hideMark/>
                      </w:tcPr>
                      <w:p w:rsidR="002F1697" w:rsidRPr="002F1697" w:rsidP="002F1697" w14:paraId="304D08E5" w14:textId="77777777">
                        <w:pPr>
                          <w:rPr>
                            <w:sz w:val="20"/>
                          </w:rPr>
                        </w:pPr>
                      </w:p>
                    </w:tc>
                    <w:tc>
                      <w:tcPr>
                        <w:tcW w:w="1240" w:type="dxa"/>
                        <w:tcBorders>
                          <w:top w:val="nil"/>
                          <w:left w:val="nil"/>
                          <w:bottom w:val="nil"/>
                          <w:right w:val="nil"/>
                        </w:tcBorders>
                        <w:shd w:val="clear" w:color="auto" w:fill="auto"/>
                        <w:noWrap/>
                        <w:vAlign w:val="bottom"/>
                        <w:hideMark/>
                      </w:tcPr>
                      <w:p w:rsidR="002F1697" w:rsidRPr="002F1697" w:rsidP="002F1697" w14:paraId="165AF74F" w14:textId="77777777">
                        <w:pPr>
                          <w:rPr>
                            <w:sz w:val="20"/>
                          </w:rPr>
                        </w:pPr>
                      </w:p>
                    </w:tc>
                    <w:tc>
                      <w:tcPr>
                        <w:tcW w:w="1340" w:type="dxa"/>
                        <w:tcBorders>
                          <w:top w:val="nil"/>
                          <w:left w:val="nil"/>
                          <w:bottom w:val="nil"/>
                          <w:right w:val="nil"/>
                        </w:tcBorders>
                        <w:shd w:val="clear" w:color="auto" w:fill="auto"/>
                        <w:noWrap/>
                        <w:vAlign w:val="bottom"/>
                        <w:hideMark/>
                      </w:tcPr>
                      <w:p w:rsidR="002F1697" w:rsidRPr="002F1697" w:rsidP="002F1697" w14:paraId="3ACE5B6E" w14:textId="77777777">
                        <w:pPr>
                          <w:rPr>
                            <w:sz w:val="20"/>
                          </w:rPr>
                        </w:pPr>
                      </w:p>
                    </w:tc>
                    <w:tc>
                      <w:tcPr>
                        <w:tcW w:w="1160" w:type="dxa"/>
                        <w:tcBorders>
                          <w:top w:val="nil"/>
                          <w:left w:val="nil"/>
                          <w:bottom w:val="nil"/>
                          <w:right w:val="nil"/>
                        </w:tcBorders>
                        <w:shd w:val="clear" w:color="auto" w:fill="auto"/>
                        <w:noWrap/>
                        <w:vAlign w:val="bottom"/>
                        <w:hideMark/>
                      </w:tcPr>
                      <w:p w:rsidR="002F1697" w:rsidRPr="002F1697" w:rsidP="002F1697" w14:paraId="19965A9D" w14:textId="77777777">
                        <w:pPr>
                          <w:rPr>
                            <w:sz w:val="20"/>
                          </w:rPr>
                        </w:pPr>
                      </w:p>
                    </w:tc>
                    <w:tc>
                      <w:tcPr>
                        <w:tcW w:w="1280" w:type="dxa"/>
                        <w:tcBorders>
                          <w:top w:val="nil"/>
                          <w:left w:val="nil"/>
                          <w:bottom w:val="nil"/>
                          <w:right w:val="nil"/>
                        </w:tcBorders>
                        <w:shd w:val="clear" w:color="auto" w:fill="auto"/>
                        <w:noWrap/>
                        <w:vAlign w:val="bottom"/>
                        <w:hideMark/>
                      </w:tcPr>
                      <w:p w:rsidR="002F1697" w:rsidRPr="002F1697" w:rsidP="002F1697" w14:paraId="381EEFBC" w14:textId="77777777">
                        <w:pPr>
                          <w:rPr>
                            <w:sz w:val="20"/>
                          </w:rPr>
                        </w:pPr>
                      </w:p>
                    </w:tc>
                    <w:tc>
                      <w:tcPr>
                        <w:tcW w:w="1260" w:type="dxa"/>
                        <w:tcBorders>
                          <w:top w:val="nil"/>
                          <w:left w:val="nil"/>
                          <w:bottom w:val="nil"/>
                          <w:right w:val="nil"/>
                        </w:tcBorders>
                        <w:shd w:val="clear" w:color="auto" w:fill="auto"/>
                        <w:noWrap/>
                        <w:vAlign w:val="bottom"/>
                        <w:hideMark/>
                      </w:tcPr>
                      <w:p w:rsidR="002F1697" w:rsidRPr="002F1697" w:rsidP="002F1697" w14:paraId="15DFC9B4" w14:textId="77777777">
                        <w:pPr>
                          <w:rPr>
                            <w:sz w:val="20"/>
                          </w:rPr>
                        </w:pPr>
                      </w:p>
                    </w:tc>
                    <w:tc>
                      <w:tcPr>
                        <w:tcW w:w="1160" w:type="dxa"/>
                        <w:tcBorders>
                          <w:top w:val="nil"/>
                          <w:left w:val="nil"/>
                          <w:bottom w:val="nil"/>
                          <w:right w:val="nil"/>
                        </w:tcBorders>
                        <w:shd w:val="clear" w:color="auto" w:fill="auto"/>
                        <w:noWrap/>
                        <w:vAlign w:val="bottom"/>
                        <w:hideMark/>
                      </w:tcPr>
                      <w:p w:rsidR="002F1697" w:rsidRPr="002F1697" w:rsidP="002F1697" w14:paraId="4549C007" w14:textId="77777777">
                        <w:pPr>
                          <w:rPr>
                            <w:sz w:val="20"/>
                          </w:rPr>
                        </w:pPr>
                      </w:p>
                    </w:tc>
                  </w:tr>
                  <w:tr w14:paraId="34E45B43" w14:textId="77777777" w:rsidTr="002F1697">
                    <w:tblPrEx>
                      <w:tblW w:w="12540" w:type="dxa"/>
                      <w:tblLayout w:type="fixed"/>
                      <w:tblLook w:val="04A0"/>
                    </w:tblPrEx>
                    <w:trPr>
                      <w:trHeight w:val="410"/>
                    </w:trPr>
                    <w:tc>
                      <w:tcPr>
                        <w:tcW w:w="12540" w:type="dxa"/>
                        <w:gridSpan w:val="9"/>
                        <w:tcBorders>
                          <w:top w:val="nil"/>
                          <w:left w:val="nil"/>
                          <w:bottom w:val="nil"/>
                          <w:right w:val="nil"/>
                        </w:tcBorders>
                        <w:shd w:val="clear" w:color="auto" w:fill="auto"/>
                        <w:vAlign w:val="center"/>
                        <w:hideMark/>
                      </w:tcPr>
                      <w:p w:rsidR="002F1697" w:rsidRPr="002F1697" w:rsidP="002F1697" w14:paraId="19A04784" w14:textId="77777777">
                        <w:pPr>
                          <w:rPr>
                            <w:color w:val="000000"/>
                            <w:sz w:val="20"/>
                          </w:rPr>
                        </w:pPr>
                        <w:r w:rsidRPr="002F1697">
                          <w:rPr>
                            <w:color w:val="000000"/>
                            <w:sz w:val="20"/>
                            <w:vertAlign w:val="superscript"/>
                          </w:rPr>
                          <w:t>a</w:t>
                        </w:r>
                        <w:r w:rsidRPr="002F1697">
                          <w:rPr>
                            <w:color w:val="000000"/>
                            <w:sz w:val="20"/>
                          </w:rPr>
                          <w:t xml:space="preserve">  We have assumed that there are approximately 29 affected units and that 10% of the existing units will have new construction/reconstruction.</w:t>
                        </w:r>
                      </w:p>
                    </w:tc>
                  </w:tr>
                  <w:tr w14:paraId="57980CD8" w14:textId="77777777" w:rsidTr="002F1697">
                    <w:tblPrEx>
                      <w:tblW w:w="12540" w:type="dxa"/>
                      <w:tblLayout w:type="fixed"/>
                      <w:tblLook w:val="04A0"/>
                    </w:tblPrEx>
                    <w:trPr>
                      <w:trHeight w:val="1530"/>
                    </w:trPr>
                    <w:tc>
                      <w:tcPr>
                        <w:tcW w:w="12540" w:type="dxa"/>
                        <w:gridSpan w:val="9"/>
                        <w:tcBorders>
                          <w:top w:val="nil"/>
                          <w:left w:val="nil"/>
                          <w:bottom w:val="nil"/>
                          <w:right w:val="nil"/>
                        </w:tcBorders>
                        <w:shd w:val="clear" w:color="auto" w:fill="auto"/>
                        <w:vAlign w:val="bottom"/>
                        <w:hideMark/>
                      </w:tcPr>
                      <w:p w:rsidR="002F1697" w:rsidRPr="002F1697" w:rsidP="002F1697" w14:paraId="378DD7AE" w14:textId="77777777">
                        <w:pPr>
                          <w:rPr>
                            <w:color w:val="000000"/>
                            <w:sz w:val="20"/>
                          </w:rPr>
                        </w:pPr>
                        <w:r w:rsidRPr="002F1697">
                          <w:rPr>
                            <w:color w:val="000000"/>
                            <w:sz w:val="20"/>
                            <w:vertAlign w:val="superscript"/>
                          </w:rPr>
                          <w:t>b</w:t>
                        </w:r>
                        <w:r w:rsidRPr="002F1697">
                          <w:rPr>
                            <w:color w:val="000000"/>
                            <w:sz w:val="20"/>
                          </w:rPr>
                          <w:t xml:space="preserve">  This ICR uses the following labor rates: $161.62 per hour for Executive, Administrative, and Managerial labor; $127.68 per hour for Technical labor, and $64.22 per hour for Clerical labor.  These rates are from the United States Department of Labor, Bureau of Labor Statistics, June 2022, “Table 2. Civilian Workers, by Occupational and Industry group.”  The rates are from column 1, “Total Compensation.”  The rates have been increased by 110 percent to account for the benefit packages available to those employed by private industry.  Archived report releases can be accessed from https://www.bls.gov/bls/news-release/ecec.htm#2021;  from homepage, select Economic Releases, Archived News Releases, Employer Costs for Employee Compensation, Select a past year, Select a published report.</w:t>
                        </w:r>
                      </w:p>
                    </w:tc>
                  </w:tr>
                  <w:tr w14:paraId="2E71F116" w14:textId="77777777" w:rsidTr="002F1697">
                    <w:tblPrEx>
                      <w:tblW w:w="12540" w:type="dxa"/>
                      <w:tblLayout w:type="fixed"/>
                      <w:tblLook w:val="04A0"/>
                    </w:tblPrEx>
                    <w:trPr>
                      <w:trHeight w:val="260"/>
                    </w:trPr>
                    <w:tc>
                      <w:tcPr>
                        <w:tcW w:w="12540" w:type="dxa"/>
                        <w:gridSpan w:val="9"/>
                        <w:tcBorders>
                          <w:top w:val="nil"/>
                          <w:left w:val="nil"/>
                          <w:bottom w:val="nil"/>
                          <w:right w:val="nil"/>
                        </w:tcBorders>
                        <w:shd w:val="clear" w:color="auto" w:fill="auto"/>
                        <w:vAlign w:val="center"/>
                        <w:hideMark/>
                      </w:tcPr>
                      <w:p w:rsidR="002F1697" w:rsidRPr="002F1697" w:rsidP="002F1697" w14:paraId="7F31A41D" w14:textId="77777777">
                        <w:pPr>
                          <w:rPr>
                            <w:color w:val="000000"/>
                            <w:sz w:val="20"/>
                          </w:rPr>
                        </w:pPr>
                        <w:r w:rsidRPr="002F1697">
                          <w:rPr>
                            <w:color w:val="000000"/>
                            <w:sz w:val="20"/>
                            <w:vertAlign w:val="superscript"/>
                          </w:rPr>
                          <w:t>c</w:t>
                        </w:r>
                        <w:r w:rsidRPr="002F1697">
                          <w:rPr>
                            <w:color w:val="000000"/>
                            <w:sz w:val="20"/>
                          </w:rPr>
                          <w:t xml:space="preserve">  New boilers test for NOx. We have assumed that 5 percent of respondents would repeat initial performance test due to failure.</w:t>
                        </w:r>
                      </w:p>
                    </w:tc>
                  </w:tr>
                  <w:tr w14:paraId="3708D3CC" w14:textId="77777777" w:rsidTr="002F1697">
                    <w:tblPrEx>
                      <w:tblW w:w="12540" w:type="dxa"/>
                      <w:tblLayout w:type="fixed"/>
                      <w:tblLook w:val="04A0"/>
                    </w:tblPrEx>
                    <w:trPr>
                      <w:trHeight w:val="230"/>
                    </w:trPr>
                    <w:tc>
                      <w:tcPr>
                        <w:tcW w:w="12540" w:type="dxa"/>
                        <w:gridSpan w:val="9"/>
                        <w:tcBorders>
                          <w:top w:val="nil"/>
                          <w:left w:val="nil"/>
                          <w:bottom w:val="nil"/>
                          <w:right w:val="nil"/>
                        </w:tcBorders>
                        <w:shd w:val="clear" w:color="auto" w:fill="auto"/>
                        <w:vAlign w:val="center"/>
                        <w:hideMark/>
                      </w:tcPr>
                      <w:p w:rsidR="002F1697" w:rsidRPr="002F1697" w:rsidP="002F1697" w14:paraId="643A98E7" w14:textId="77777777">
                        <w:pPr>
                          <w:rPr>
                            <w:sz w:val="20"/>
                          </w:rPr>
                        </w:pPr>
                        <w:r w:rsidRPr="002F1697">
                          <w:rPr>
                            <w:sz w:val="20"/>
                            <w:vertAlign w:val="superscript"/>
                          </w:rPr>
                          <w:t>d</w:t>
                        </w:r>
                        <w:r w:rsidRPr="002F1697">
                          <w:rPr>
                            <w:sz w:val="20"/>
                          </w:rPr>
                          <w:t xml:space="preserve">  The rule requires existing boilers to conduct an initial compliance test within 90 days from the installation of the pollution control equipment used to comply with the NOx emission limits. We have assumed that 5 percent of respondents would repeat annual performance test due to failure.</w:t>
                        </w:r>
                      </w:p>
                    </w:tc>
                  </w:tr>
                  <w:tr w14:paraId="1373BB9B" w14:textId="77777777" w:rsidTr="002F1697">
                    <w:tblPrEx>
                      <w:tblW w:w="12540" w:type="dxa"/>
                      <w:tblLayout w:type="fixed"/>
                      <w:tblLook w:val="04A0"/>
                    </w:tblPrEx>
                    <w:trPr>
                      <w:trHeight w:val="260"/>
                    </w:trPr>
                    <w:tc>
                      <w:tcPr>
                        <w:tcW w:w="12540" w:type="dxa"/>
                        <w:gridSpan w:val="9"/>
                        <w:tcBorders>
                          <w:top w:val="nil"/>
                          <w:left w:val="nil"/>
                          <w:bottom w:val="nil"/>
                          <w:right w:val="nil"/>
                        </w:tcBorders>
                        <w:shd w:val="clear" w:color="auto" w:fill="auto"/>
                        <w:hideMark/>
                      </w:tcPr>
                      <w:p w:rsidR="002F1697" w:rsidRPr="002F1697" w:rsidP="002F1697" w14:paraId="68B218F1" w14:textId="77777777">
                        <w:pPr>
                          <w:rPr>
                            <w:color w:val="000000"/>
                            <w:sz w:val="20"/>
                          </w:rPr>
                        </w:pPr>
                        <w:r w:rsidRPr="002F1697">
                          <w:rPr>
                            <w:color w:val="000000"/>
                            <w:sz w:val="20"/>
                            <w:vertAlign w:val="superscript"/>
                          </w:rPr>
                          <w:t>f</w:t>
                        </w:r>
                        <w:r w:rsidRPr="002F1697">
                          <w:rPr>
                            <w:color w:val="000000"/>
                            <w:sz w:val="20"/>
                          </w:rPr>
                          <w:t xml:space="preserve">  Totals have been rounded to 3 significant figures.  Figures may not add exactly due to rounding.</w:t>
                        </w:r>
                      </w:p>
                    </w:tc>
                  </w:tr>
                </w:tbl>
                <w:p w:rsidR="00ED2F52" w:rsidP="00036248" w14:paraId="65520138" w14:textId="520AADE4">
                  <w:pPr>
                    <w:rPr>
                      <w:b/>
                      <w:bCs/>
                      <w:szCs w:val="24"/>
                    </w:rPr>
                  </w:pPr>
                </w:p>
                <w:p w:rsidR="00A83512" w:rsidP="00036248" w14:paraId="7EBDD605" w14:textId="77777777">
                  <w:pPr>
                    <w:rPr>
                      <w:b/>
                      <w:bCs/>
                      <w:szCs w:val="24"/>
                    </w:rPr>
                  </w:pPr>
                </w:p>
                <w:p w:rsidR="00AB48F8" w:rsidP="00036248" w14:paraId="59EBFD9F" w14:textId="4359FF4C">
                  <w:pPr>
                    <w:rPr>
                      <w:b/>
                      <w:bCs/>
                      <w:szCs w:val="24"/>
                    </w:rPr>
                  </w:pPr>
                  <w:r w:rsidRPr="00D17F6A">
                    <w:rPr>
                      <w:b/>
                      <w:bCs/>
                      <w:szCs w:val="24"/>
                    </w:rPr>
                    <w:t xml:space="preserve">Table </w:t>
                  </w:r>
                  <w:r w:rsidR="00CD3BBE">
                    <w:rPr>
                      <w:b/>
                      <w:bCs/>
                      <w:szCs w:val="24"/>
                    </w:rPr>
                    <w:t>10</w:t>
                  </w:r>
                  <w:r w:rsidRPr="00D17F6A">
                    <w:rPr>
                      <w:b/>
                      <w:bCs/>
                      <w:szCs w:val="24"/>
                    </w:rPr>
                    <w:t xml:space="preserve">: </w:t>
                  </w:r>
                  <w:r>
                    <w:rPr>
                      <w:b/>
                      <w:bCs/>
                      <w:szCs w:val="24"/>
                    </w:rPr>
                    <w:t xml:space="preserve">Annual </w:t>
                  </w:r>
                  <w:r w:rsidRPr="00D17F6A">
                    <w:rPr>
                      <w:b/>
                      <w:bCs/>
                      <w:szCs w:val="24"/>
                    </w:rPr>
                    <w:t xml:space="preserve">Respondent Burden and Cost – </w:t>
                  </w:r>
                  <w:r>
                    <w:rPr>
                      <w:b/>
                      <w:bCs/>
                      <w:szCs w:val="24"/>
                    </w:rPr>
                    <w:t>Glass and Glass Product Manufacturing</w:t>
                  </w:r>
                  <w:r w:rsidR="00CD3BBE">
                    <w:rPr>
                      <w:b/>
                      <w:bCs/>
                      <w:szCs w:val="24"/>
                    </w:rPr>
                    <w:t>, Year 1</w:t>
                  </w:r>
                </w:p>
                <w:p w:rsidR="00CD3BBE" w:rsidP="00036248" w14:paraId="02860D72" w14:textId="560320F9">
                  <w:pPr>
                    <w:rPr>
                      <w:b/>
                      <w:bCs/>
                      <w:szCs w:val="24"/>
                    </w:rPr>
                  </w:pPr>
                </w:p>
                <w:tbl>
                  <w:tblPr>
                    <w:tblW w:w="12720" w:type="dxa"/>
                    <w:tblLayout w:type="fixed"/>
                    <w:tblLook w:val="04A0"/>
                  </w:tblPr>
                  <w:tblGrid>
                    <w:gridCol w:w="3000"/>
                    <w:gridCol w:w="1040"/>
                    <w:gridCol w:w="1320"/>
                    <w:gridCol w:w="1240"/>
                    <w:gridCol w:w="1240"/>
                    <w:gridCol w:w="1160"/>
                    <w:gridCol w:w="1280"/>
                    <w:gridCol w:w="1180"/>
                    <w:gridCol w:w="1260"/>
                  </w:tblGrid>
                  <w:tr w14:paraId="4FEB3563" w14:textId="77777777" w:rsidTr="00ED2F52">
                    <w:tblPrEx>
                      <w:tblW w:w="12720" w:type="dxa"/>
                      <w:tblLayout w:type="fixed"/>
                      <w:tblLook w:val="04A0"/>
                    </w:tblPrEx>
                    <w:trPr>
                      <w:trHeight w:val="1300"/>
                    </w:trPr>
                    <w:tc>
                      <w:tcPr>
                        <w:tcW w:w="3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2F52" w:rsidRPr="00ED2F52" w:rsidP="00ED2F52" w14:paraId="5FE869DF" w14:textId="77777777">
                        <w:pPr>
                          <w:jc w:val="center"/>
                          <w:rPr>
                            <w:b/>
                            <w:bCs/>
                            <w:color w:val="000000"/>
                            <w:sz w:val="20"/>
                          </w:rPr>
                        </w:pPr>
                        <w:r w:rsidRPr="00ED2F52">
                          <w:rPr>
                            <w:b/>
                            <w:bCs/>
                            <w:color w:val="000000"/>
                            <w:sz w:val="20"/>
                          </w:rPr>
                          <w:t>Burden Item</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723273F7" w14:textId="77777777">
                        <w:pPr>
                          <w:jc w:val="center"/>
                          <w:rPr>
                            <w:color w:val="000000"/>
                            <w:sz w:val="20"/>
                          </w:rPr>
                        </w:pPr>
                        <w:r w:rsidRPr="00ED2F52">
                          <w:rPr>
                            <w:color w:val="000000"/>
                            <w:sz w:val="20"/>
                          </w:rPr>
                          <w:t>(A)</w:t>
                        </w:r>
                        <w:r w:rsidRPr="00ED2F52">
                          <w:rPr>
                            <w:color w:val="000000"/>
                            <w:sz w:val="20"/>
                          </w:rPr>
                          <w:br/>
                        </w:r>
                        <w:r w:rsidRPr="00ED2F52">
                          <w:rPr>
                            <w:color w:val="000000"/>
                            <w:sz w:val="20"/>
                          </w:rPr>
                          <w:t>Hours per Occurrence</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1497B069" w14:textId="77777777">
                        <w:pPr>
                          <w:jc w:val="center"/>
                          <w:rPr>
                            <w:sz w:val="20"/>
                          </w:rPr>
                        </w:pPr>
                        <w:r w:rsidRPr="00ED2F52">
                          <w:rPr>
                            <w:sz w:val="20"/>
                          </w:rPr>
                          <w:t>(B)</w:t>
                        </w:r>
                        <w:r w:rsidRPr="00ED2F52">
                          <w:rPr>
                            <w:sz w:val="20"/>
                          </w:rPr>
                          <w:br/>
                        </w:r>
                        <w:r w:rsidRPr="00ED2F52">
                          <w:rPr>
                            <w:sz w:val="20"/>
                          </w:rPr>
                          <w:t>Occurrences/ Respondent/ Year</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1A57725B" w14:textId="77777777">
                        <w:pPr>
                          <w:jc w:val="center"/>
                          <w:rPr>
                            <w:color w:val="000000"/>
                            <w:sz w:val="20"/>
                          </w:rPr>
                        </w:pPr>
                        <w:r w:rsidRPr="00ED2F52">
                          <w:rPr>
                            <w:color w:val="000000"/>
                            <w:sz w:val="20"/>
                          </w:rPr>
                          <w:t>(C)</w:t>
                        </w:r>
                        <w:r w:rsidRPr="00ED2F52">
                          <w:rPr>
                            <w:color w:val="000000"/>
                            <w:sz w:val="20"/>
                          </w:rPr>
                          <w:br/>
                        </w:r>
                        <w:r w:rsidRPr="00ED2F52">
                          <w:rPr>
                            <w:color w:val="000000"/>
                            <w:sz w:val="20"/>
                          </w:rPr>
                          <w:t xml:space="preserve">Hours/ Respondent/ Year </w:t>
                        </w:r>
                        <w:r w:rsidRPr="00ED2F52">
                          <w:rPr>
                            <w:color w:val="000000"/>
                            <w:sz w:val="20"/>
                          </w:rPr>
                          <w:br/>
                        </w:r>
                        <w:r w:rsidRPr="00ED2F52">
                          <w:rPr>
                            <w:color w:val="000000"/>
                            <w:sz w:val="20"/>
                          </w:rPr>
                          <w:t>(A x B)</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27CAC81B" w14:textId="77777777">
                        <w:pPr>
                          <w:jc w:val="center"/>
                          <w:rPr>
                            <w:sz w:val="20"/>
                          </w:rPr>
                        </w:pPr>
                        <w:r w:rsidRPr="00ED2F52">
                          <w:rPr>
                            <w:sz w:val="20"/>
                          </w:rPr>
                          <w:t>(D)</w:t>
                        </w:r>
                        <w:r w:rsidRPr="00ED2F52">
                          <w:rPr>
                            <w:sz w:val="20"/>
                          </w:rPr>
                          <w:br/>
                        </w:r>
                        <w:r w:rsidRPr="00ED2F52">
                          <w:rPr>
                            <w:sz w:val="20"/>
                          </w:rPr>
                          <w:t>Respondents/</w:t>
                        </w:r>
                        <w:r w:rsidRPr="00ED2F52">
                          <w:rPr>
                            <w:sz w:val="20"/>
                          </w:rPr>
                          <w:br/>
                        </w:r>
                        <w:r w:rsidRPr="00ED2F52">
                          <w:rPr>
                            <w:sz w:val="20"/>
                          </w:rPr>
                          <w:t>Year</w:t>
                        </w:r>
                        <w:r w:rsidRPr="00ED2F52">
                          <w:rPr>
                            <w:sz w:val="20"/>
                            <w:vertAlign w:val="superscript"/>
                          </w:rPr>
                          <w:t>a</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296B6C62" w14:textId="77777777">
                        <w:pPr>
                          <w:jc w:val="center"/>
                          <w:rPr>
                            <w:color w:val="000000"/>
                            <w:sz w:val="20"/>
                          </w:rPr>
                        </w:pPr>
                        <w:r w:rsidRPr="00ED2F52">
                          <w:rPr>
                            <w:color w:val="000000"/>
                            <w:sz w:val="20"/>
                          </w:rPr>
                          <w:t>(E)</w:t>
                        </w:r>
                        <w:r w:rsidRPr="00ED2F52">
                          <w:rPr>
                            <w:color w:val="000000"/>
                            <w:sz w:val="20"/>
                          </w:rPr>
                          <w:br/>
                        </w:r>
                        <w:r w:rsidRPr="00ED2F52">
                          <w:rPr>
                            <w:color w:val="000000"/>
                            <w:sz w:val="20"/>
                          </w:rPr>
                          <w:t xml:space="preserve">Technical Hours/Year </w:t>
                        </w:r>
                        <w:r w:rsidRPr="00ED2F52">
                          <w:rPr>
                            <w:color w:val="000000"/>
                            <w:sz w:val="20"/>
                          </w:rPr>
                          <w:br/>
                        </w:r>
                        <w:r w:rsidRPr="00ED2F52">
                          <w:rPr>
                            <w:color w:val="000000"/>
                            <w:sz w:val="20"/>
                          </w:rPr>
                          <w:t>(C x D)</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1929A466" w14:textId="77777777">
                        <w:pPr>
                          <w:jc w:val="center"/>
                          <w:rPr>
                            <w:color w:val="000000"/>
                            <w:sz w:val="20"/>
                          </w:rPr>
                        </w:pPr>
                        <w:r w:rsidRPr="00ED2F52">
                          <w:rPr>
                            <w:color w:val="000000"/>
                            <w:sz w:val="20"/>
                          </w:rPr>
                          <w:t xml:space="preserve">(F) Managerial Hours/Year </w:t>
                        </w:r>
                        <w:r w:rsidRPr="00ED2F52">
                          <w:rPr>
                            <w:color w:val="000000"/>
                            <w:sz w:val="20"/>
                          </w:rPr>
                          <w:br/>
                        </w:r>
                        <w:r w:rsidRPr="00ED2F52">
                          <w:rPr>
                            <w:color w:val="000000"/>
                            <w:sz w:val="20"/>
                          </w:rPr>
                          <w:t>(E x 0.05)</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6D94AAC1" w14:textId="77777777">
                        <w:pPr>
                          <w:jc w:val="center"/>
                          <w:rPr>
                            <w:color w:val="000000"/>
                            <w:sz w:val="20"/>
                          </w:rPr>
                        </w:pPr>
                        <w:r w:rsidRPr="00ED2F52">
                          <w:rPr>
                            <w:color w:val="000000"/>
                            <w:sz w:val="20"/>
                          </w:rPr>
                          <w:t xml:space="preserve">(G) </w:t>
                        </w:r>
                        <w:r w:rsidRPr="00ED2F52">
                          <w:rPr>
                            <w:color w:val="000000"/>
                            <w:sz w:val="20"/>
                          </w:rPr>
                          <w:br/>
                        </w:r>
                        <w:r w:rsidRPr="00ED2F52">
                          <w:rPr>
                            <w:color w:val="000000"/>
                            <w:sz w:val="20"/>
                          </w:rPr>
                          <w:t xml:space="preserve">Clerical Hours/Year </w:t>
                        </w:r>
                        <w:r w:rsidRPr="00ED2F52">
                          <w:rPr>
                            <w:color w:val="000000"/>
                            <w:sz w:val="20"/>
                          </w:rPr>
                          <w:br/>
                        </w:r>
                        <w:r w:rsidRPr="00ED2F52">
                          <w:rPr>
                            <w:color w:val="000000"/>
                            <w:sz w:val="20"/>
                          </w:rPr>
                          <w:t>(E x 0.10)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7B6795D0" w14:textId="77777777">
                        <w:pPr>
                          <w:jc w:val="center"/>
                          <w:rPr>
                            <w:color w:val="000000"/>
                            <w:sz w:val="20"/>
                          </w:rPr>
                        </w:pPr>
                        <w:r w:rsidRPr="00ED2F52">
                          <w:rPr>
                            <w:color w:val="000000"/>
                            <w:sz w:val="20"/>
                          </w:rPr>
                          <w:t>(H)</w:t>
                        </w:r>
                        <w:r w:rsidRPr="00ED2F52">
                          <w:rPr>
                            <w:color w:val="000000"/>
                            <w:sz w:val="20"/>
                          </w:rPr>
                          <w:br/>
                        </w:r>
                        <w:r w:rsidRPr="00ED2F52">
                          <w:rPr>
                            <w:color w:val="000000"/>
                            <w:sz w:val="20"/>
                          </w:rPr>
                          <w:t>Cost/ Year</w:t>
                        </w:r>
                        <w:r w:rsidRPr="00ED2F52">
                          <w:rPr>
                            <w:color w:val="000000"/>
                            <w:sz w:val="20"/>
                            <w:vertAlign w:val="superscript"/>
                          </w:rPr>
                          <w:t>b</w:t>
                        </w:r>
                      </w:p>
                    </w:tc>
                  </w:tr>
                  <w:tr w14:paraId="5E4D6210" w14:textId="77777777" w:rsidTr="00ED2F52">
                    <w:tblPrEx>
                      <w:tblW w:w="12720" w:type="dxa"/>
                      <w:tblLayout w:type="fixed"/>
                      <w:tblLook w:val="04A0"/>
                    </w:tblPrEx>
                    <w:trPr>
                      <w:trHeight w:val="26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0D6BF54E" w14:textId="77777777">
                        <w:pPr>
                          <w:rPr>
                            <w:color w:val="000000"/>
                            <w:sz w:val="20"/>
                          </w:rPr>
                        </w:pPr>
                        <w:r w:rsidRPr="00ED2F52">
                          <w:rPr>
                            <w:color w:val="000000"/>
                            <w:sz w:val="20"/>
                          </w:rPr>
                          <w:t xml:space="preserve">1. APPLICATIONS </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01AE58C1" w14:textId="77777777">
                        <w:pPr>
                          <w:jc w:val="center"/>
                          <w:rPr>
                            <w:color w:val="000000"/>
                            <w:sz w:val="20"/>
                          </w:rPr>
                        </w:pPr>
                        <w:r w:rsidRPr="00ED2F52">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188F860F"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5516ABCA" w14:textId="77777777">
                        <w:pPr>
                          <w:jc w:val="right"/>
                          <w:rPr>
                            <w:color w:val="000000"/>
                            <w:sz w:val="20"/>
                          </w:rPr>
                        </w:pPr>
                        <w:r w:rsidRPr="00ED2F52">
                          <w:rPr>
                            <w:color w:val="00000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1C95A05"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48F5267"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0958F211" w14:textId="77777777">
                        <w:pPr>
                          <w:jc w:val="right"/>
                          <w:rPr>
                            <w:color w:val="000000"/>
                            <w:sz w:val="20"/>
                          </w:rPr>
                        </w:pPr>
                        <w:r w:rsidRPr="00ED2F52">
                          <w:rPr>
                            <w:color w:val="000000"/>
                            <w:sz w:val="20"/>
                          </w:rPr>
                          <w:t> </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344B35F1"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44612821" w14:textId="77777777">
                        <w:pPr>
                          <w:jc w:val="right"/>
                          <w:rPr>
                            <w:color w:val="000000"/>
                            <w:sz w:val="20"/>
                          </w:rPr>
                        </w:pPr>
                        <w:r w:rsidRPr="00ED2F52">
                          <w:rPr>
                            <w:color w:val="000000"/>
                            <w:sz w:val="20"/>
                          </w:rPr>
                          <w:t> </w:t>
                        </w:r>
                      </w:p>
                    </w:tc>
                  </w:tr>
                  <w:tr w14:paraId="545EC88B" w14:textId="77777777" w:rsidTr="00ED2F52">
                    <w:tblPrEx>
                      <w:tblW w:w="12720" w:type="dxa"/>
                      <w:tblLayout w:type="fixed"/>
                      <w:tblLook w:val="04A0"/>
                    </w:tblPrEx>
                    <w:trPr>
                      <w:trHeight w:val="71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59B7E51D" w14:textId="77777777">
                        <w:pPr>
                          <w:rPr>
                            <w:color w:val="000000"/>
                            <w:sz w:val="20"/>
                          </w:rPr>
                        </w:pPr>
                        <w:r w:rsidRPr="00ED2F52">
                          <w:rPr>
                            <w:color w:val="000000"/>
                            <w:sz w:val="20"/>
                          </w:rPr>
                          <w:t xml:space="preserve">2. SURVEY AND STUDIES </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7EDD798D" w14:textId="77777777">
                        <w:pPr>
                          <w:jc w:val="center"/>
                          <w:rPr>
                            <w:color w:val="000000"/>
                            <w:sz w:val="20"/>
                          </w:rPr>
                        </w:pPr>
                        <w:r w:rsidRPr="00ED2F52">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118D0545"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A0FE308" w14:textId="77777777">
                        <w:pPr>
                          <w:jc w:val="right"/>
                          <w:rPr>
                            <w:color w:val="000000"/>
                            <w:sz w:val="20"/>
                          </w:rPr>
                        </w:pPr>
                        <w:r w:rsidRPr="00ED2F52">
                          <w:rPr>
                            <w:color w:val="00000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7E85A83B"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6893E913"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0D6171AC" w14:textId="77777777">
                        <w:pPr>
                          <w:jc w:val="right"/>
                          <w:rPr>
                            <w:color w:val="000000"/>
                            <w:sz w:val="20"/>
                          </w:rPr>
                        </w:pPr>
                        <w:r w:rsidRPr="00ED2F52">
                          <w:rPr>
                            <w:color w:val="000000"/>
                            <w:sz w:val="20"/>
                          </w:rPr>
                          <w:t> </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6E5278F2"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6CF6D538" w14:textId="77777777">
                        <w:pPr>
                          <w:jc w:val="right"/>
                          <w:rPr>
                            <w:color w:val="000000"/>
                            <w:sz w:val="20"/>
                          </w:rPr>
                        </w:pPr>
                        <w:r w:rsidRPr="00ED2F52">
                          <w:rPr>
                            <w:color w:val="000000"/>
                            <w:sz w:val="20"/>
                          </w:rPr>
                          <w:t> </w:t>
                        </w:r>
                      </w:p>
                    </w:tc>
                  </w:tr>
                  <w:tr w14:paraId="1007E9FC" w14:textId="77777777" w:rsidTr="00ED2F52">
                    <w:tblPrEx>
                      <w:tblW w:w="12720" w:type="dxa"/>
                      <w:tblLayout w:type="fixed"/>
                      <w:tblLook w:val="04A0"/>
                    </w:tblPrEx>
                    <w:trPr>
                      <w:trHeight w:val="113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5340586F" w14:textId="77777777">
                        <w:pPr>
                          <w:rPr>
                            <w:color w:val="000000"/>
                            <w:sz w:val="20"/>
                          </w:rPr>
                        </w:pPr>
                        <w:r w:rsidRPr="00ED2F52">
                          <w:rPr>
                            <w:color w:val="000000"/>
                            <w:sz w:val="20"/>
                          </w:rPr>
                          <w:t>3.ACQUISITION, INSTALLATION, AND UTILIZATION OF TECHNOLOGY AND SYSTEMS</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668D6F4A"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5AF36956"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471CE0F5" w14:textId="77777777">
                        <w:pPr>
                          <w:jc w:val="center"/>
                          <w:rPr>
                            <w:color w:val="000000"/>
                            <w:sz w:val="20"/>
                          </w:rPr>
                        </w:pPr>
                        <w:r w:rsidRPr="00ED2F52">
                          <w:rPr>
                            <w:color w:val="000000"/>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39EEF33E"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1EF65C01"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6C345AF7" w14:textId="77777777">
                        <w:pPr>
                          <w:jc w:val="center"/>
                          <w:rPr>
                            <w:color w:val="000000"/>
                            <w:sz w:val="20"/>
                          </w:rPr>
                        </w:pPr>
                        <w:r w:rsidRPr="00ED2F52">
                          <w:rPr>
                            <w:color w:val="000000"/>
                            <w:sz w:val="20"/>
                          </w:rPr>
                          <w:t>0</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2F92B64F"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A68C2DA" w14:textId="77777777">
                        <w:pPr>
                          <w:jc w:val="right"/>
                          <w:rPr>
                            <w:color w:val="000000"/>
                            <w:sz w:val="20"/>
                          </w:rPr>
                        </w:pPr>
                        <w:r w:rsidRPr="00ED2F52">
                          <w:rPr>
                            <w:color w:val="000000"/>
                            <w:sz w:val="20"/>
                          </w:rPr>
                          <w:t xml:space="preserve">$0 </w:t>
                        </w:r>
                      </w:p>
                    </w:tc>
                  </w:tr>
                  <w:tr w14:paraId="5BFBBDCD" w14:textId="77777777" w:rsidTr="00ED2F52">
                    <w:tblPrEx>
                      <w:tblW w:w="12720" w:type="dxa"/>
                      <w:tblLayout w:type="fixed"/>
                      <w:tblLook w:val="04A0"/>
                    </w:tblPrEx>
                    <w:trPr>
                      <w:trHeight w:val="26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1AA81249" w14:textId="77777777">
                        <w:pPr>
                          <w:rPr>
                            <w:color w:val="000000"/>
                            <w:sz w:val="20"/>
                          </w:rPr>
                        </w:pPr>
                        <w:r w:rsidRPr="00ED2F52">
                          <w:rPr>
                            <w:color w:val="000000"/>
                            <w:sz w:val="20"/>
                          </w:rPr>
                          <w:t>4. REPORT REQUIREMENTS</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3CD234AA"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673B35CC" w14:textId="77777777">
                        <w:pPr>
                          <w:jc w:val="center"/>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58BBD5B" w14:textId="77777777">
                        <w:pPr>
                          <w:jc w:val="center"/>
                          <w:rPr>
                            <w:color w:val="000000"/>
                            <w:sz w:val="20"/>
                          </w:rPr>
                        </w:pPr>
                        <w:r w:rsidRPr="00ED2F52">
                          <w:rPr>
                            <w:color w:val="00000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3CEC3BA1"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4DB854B9"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339710C1" w14:textId="77777777">
                        <w:pPr>
                          <w:jc w:val="center"/>
                          <w:rPr>
                            <w:color w:val="000000"/>
                            <w:sz w:val="20"/>
                          </w:rPr>
                        </w:pPr>
                        <w:r w:rsidRPr="00ED2F52">
                          <w:rPr>
                            <w:color w:val="000000"/>
                            <w:sz w:val="20"/>
                          </w:rPr>
                          <w:t> </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456A83E5"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252C27B" w14:textId="77777777">
                        <w:pPr>
                          <w:jc w:val="right"/>
                          <w:rPr>
                            <w:color w:val="000000"/>
                            <w:sz w:val="20"/>
                          </w:rPr>
                        </w:pPr>
                        <w:r w:rsidRPr="00ED2F52">
                          <w:rPr>
                            <w:color w:val="000000"/>
                            <w:sz w:val="20"/>
                          </w:rPr>
                          <w:t> </w:t>
                        </w:r>
                      </w:p>
                    </w:tc>
                  </w:tr>
                  <w:tr w14:paraId="34785E69" w14:textId="77777777" w:rsidTr="00ED2F52">
                    <w:tblPrEx>
                      <w:tblW w:w="12720" w:type="dxa"/>
                      <w:tblLayout w:type="fixed"/>
                      <w:tblLook w:val="04A0"/>
                    </w:tblPrEx>
                    <w:trPr>
                      <w:trHeight w:val="104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63AD487F" w14:textId="77777777">
                        <w:pPr>
                          <w:rPr>
                            <w:color w:val="000000"/>
                            <w:sz w:val="20"/>
                          </w:rPr>
                        </w:pPr>
                        <w:r w:rsidRPr="00ED2F52">
                          <w:rPr>
                            <w:color w:val="000000"/>
                            <w:sz w:val="20"/>
                          </w:rPr>
                          <w:t xml:space="preserve">REQUEST FOR CASE-BY-CASE EMISSION LIMITS - Per 52.40(e);  (based on BACT analysis of 2020 NSR ICR) </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09C326FA" w14:textId="77777777">
                        <w:pPr>
                          <w:jc w:val="center"/>
                          <w:rPr>
                            <w:color w:val="000000"/>
                            <w:sz w:val="20"/>
                          </w:rPr>
                        </w:pPr>
                        <w:r w:rsidRPr="00ED2F52">
                          <w:rPr>
                            <w:color w:val="000000"/>
                            <w:sz w:val="20"/>
                          </w:rPr>
                          <w:t>156</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1EBAFB72" w14:textId="77777777">
                        <w:pPr>
                          <w:jc w:val="center"/>
                          <w:rPr>
                            <w:sz w:val="20"/>
                          </w:rPr>
                        </w:pPr>
                        <w:r w:rsidRPr="00ED2F52">
                          <w:rPr>
                            <w:sz w:val="20"/>
                          </w:rPr>
                          <w:t>1</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064D07DA" w14:textId="77777777">
                        <w:pPr>
                          <w:jc w:val="center"/>
                          <w:rPr>
                            <w:color w:val="000000"/>
                            <w:sz w:val="20"/>
                          </w:rPr>
                        </w:pPr>
                        <w:r w:rsidRPr="00ED2F52">
                          <w:rPr>
                            <w:color w:val="000000"/>
                            <w:sz w:val="20"/>
                          </w:rPr>
                          <w:t>156</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5432FBF4" w14:textId="77777777">
                        <w:pPr>
                          <w:jc w:val="center"/>
                          <w:rPr>
                            <w:sz w:val="20"/>
                          </w:rPr>
                        </w:pPr>
                        <w:r w:rsidRPr="00ED2F52">
                          <w:rPr>
                            <w:sz w:val="20"/>
                          </w:rPr>
                          <w:t>0.85</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42F89D9A" w14:textId="77777777">
                        <w:pPr>
                          <w:jc w:val="center"/>
                          <w:rPr>
                            <w:color w:val="000000"/>
                            <w:sz w:val="20"/>
                          </w:rPr>
                        </w:pPr>
                        <w:r w:rsidRPr="00ED2F52">
                          <w:rPr>
                            <w:color w:val="000000"/>
                            <w:sz w:val="20"/>
                          </w:rPr>
                          <w:t>132.6</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6C2EE3E" w14:textId="77777777">
                        <w:pPr>
                          <w:jc w:val="center"/>
                          <w:rPr>
                            <w:color w:val="000000"/>
                            <w:sz w:val="20"/>
                          </w:rPr>
                        </w:pPr>
                        <w:r w:rsidRPr="00ED2F52">
                          <w:rPr>
                            <w:color w:val="000000"/>
                            <w:sz w:val="20"/>
                          </w:rPr>
                          <w:t>6.63</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0F3A9D70" w14:textId="77777777">
                        <w:pPr>
                          <w:jc w:val="center"/>
                          <w:rPr>
                            <w:color w:val="000000"/>
                            <w:sz w:val="20"/>
                          </w:rPr>
                        </w:pPr>
                        <w:r w:rsidRPr="00ED2F52">
                          <w:rPr>
                            <w:color w:val="000000"/>
                            <w:sz w:val="20"/>
                          </w:rPr>
                          <w:t>13.26</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6B68E27" w14:textId="2C2F3E89">
                        <w:pPr>
                          <w:jc w:val="right"/>
                          <w:rPr>
                            <w:color w:val="000000"/>
                            <w:sz w:val="20"/>
                          </w:rPr>
                        </w:pPr>
                        <w:r w:rsidRPr="00ED2F52">
                          <w:rPr>
                            <w:color w:val="000000"/>
                            <w:sz w:val="20"/>
                          </w:rPr>
                          <w:t xml:space="preserve">$18,853 </w:t>
                        </w:r>
                      </w:p>
                    </w:tc>
                  </w:tr>
                  <w:tr w14:paraId="067BAE7F" w14:textId="77777777" w:rsidTr="00ED2F52">
                    <w:tblPrEx>
                      <w:tblW w:w="12720" w:type="dxa"/>
                      <w:tblLayout w:type="fixed"/>
                      <w:tblLook w:val="04A0"/>
                    </w:tblPrEx>
                    <w:trPr>
                      <w:trHeight w:val="553"/>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08CABFBC" w14:textId="77777777">
                        <w:pPr>
                          <w:rPr>
                            <w:color w:val="000000"/>
                            <w:sz w:val="20"/>
                          </w:rPr>
                        </w:pPr>
                        <w:r w:rsidRPr="00ED2F52">
                          <w:rPr>
                            <w:color w:val="000000"/>
                            <w:sz w:val="20"/>
                          </w:rPr>
                          <w:t>Initial Notification Form of Applicability</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652A3DC0" w14:textId="77777777">
                        <w:pPr>
                          <w:jc w:val="center"/>
                          <w:rPr>
                            <w:color w:val="000000"/>
                            <w:sz w:val="20"/>
                          </w:rPr>
                        </w:pPr>
                        <w:r w:rsidRPr="00ED2F52">
                          <w:rPr>
                            <w:color w:val="000000"/>
                            <w:sz w:val="20"/>
                          </w:rPr>
                          <w:t>0.5</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208FE045" w14:textId="77777777">
                        <w:pPr>
                          <w:jc w:val="center"/>
                          <w:rPr>
                            <w:sz w:val="20"/>
                          </w:rPr>
                        </w:pPr>
                        <w:r w:rsidRPr="00ED2F52">
                          <w:rPr>
                            <w:sz w:val="20"/>
                          </w:rPr>
                          <w:t>1</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4A9B71A9" w14:textId="77777777">
                        <w:pPr>
                          <w:jc w:val="center"/>
                          <w:rPr>
                            <w:color w:val="000000"/>
                            <w:sz w:val="20"/>
                          </w:rPr>
                        </w:pPr>
                        <w:r w:rsidRPr="00ED2F52">
                          <w:rPr>
                            <w:color w:val="000000"/>
                            <w:sz w:val="20"/>
                          </w:rPr>
                          <w:t>0.5</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48643BE2" w14:textId="77777777">
                        <w:pPr>
                          <w:jc w:val="center"/>
                          <w:rPr>
                            <w:sz w:val="20"/>
                          </w:rPr>
                        </w:pPr>
                        <w:r w:rsidRPr="00ED2F52">
                          <w:rPr>
                            <w:sz w:val="20"/>
                          </w:rPr>
                          <w:t>85</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485A1EA0" w14:textId="77777777">
                        <w:pPr>
                          <w:jc w:val="center"/>
                          <w:rPr>
                            <w:color w:val="000000"/>
                            <w:sz w:val="20"/>
                          </w:rPr>
                        </w:pPr>
                        <w:r w:rsidRPr="00ED2F52">
                          <w:rPr>
                            <w:color w:val="000000"/>
                            <w:sz w:val="20"/>
                          </w:rPr>
                          <w:t>42.5</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4455AB94" w14:textId="77777777">
                        <w:pPr>
                          <w:jc w:val="center"/>
                          <w:rPr>
                            <w:color w:val="000000"/>
                            <w:sz w:val="20"/>
                          </w:rPr>
                        </w:pPr>
                        <w:r w:rsidRPr="00ED2F52">
                          <w:rPr>
                            <w:color w:val="000000"/>
                            <w:sz w:val="20"/>
                          </w:rPr>
                          <w:t>2.125</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25A4233C" w14:textId="77777777">
                        <w:pPr>
                          <w:jc w:val="center"/>
                          <w:rPr>
                            <w:color w:val="000000"/>
                            <w:sz w:val="20"/>
                          </w:rPr>
                        </w:pPr>
                        <w:r w:rsidRPr="00ED2F52">
                          <w:rPr>
                            <w:color w:val="000000"/>
                            <w:sz w:val="20"/>
                          </w:rPr>
                          <w:t>4.25</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4E87FCD" w14:textId="07BA8C23">
                        <w:pPr>
                          <w:jc w:val="right"/>
                          <w:rPr>
                            <w:color w:val="000000"/>
                            <w:sz w:val="20"/>
                          </w:rPr>
                        </w:pPr>
                        <w:r w:rsidRPr="00ED2F52">
                          <w:rPr>
                            <w:color w:val="000000"/>
                            <w:sz w:val="20"/>
                          </w:rPr>
                          <w:t>$6,04</w:t>
                        </w:r>
                        <w:r w:rsidR="00F108BF">
                          <w:rPr>
                            <w:color w:val="000000"/>
                            <w:sz w:val="20"/>
                          </w:rPr>
                          <w:t>3</w:t>
                        </w:r>
                        <w:r w:rsidRPr="00ED2F52">
                          <w:rPr>
                            <w:color w:val="000000"/>
                            <w:sz w:val="20"/>
                          </w:rPr>
                          <w:t xml:space="preserve"> </w:t>
                        </w:r>
                      </w:p>
                    </w:tc>
                  </w:tr>
                  <w:tr w14:paraId="5ABAF52A" w14:textId="77777777" w:rsidTr="00ED2F52">
                    <w:tblPrEx>
                      <w:tblW w:w="12720" w:type="dxa"/>
                      <w:tblLayout w:type="fixed"/>
                      <w:tblLook w:val="04A0"/>
                    </w:tblPrEx>
                    <w:trPr>
                      <w:trHeight w:val="52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51E1FB81" w14:textId="77777777">
                        <w:pPr>
                          <w:rPr>
                            <w:color w:val="000000"/>
                            <w:sz w:val="20"/>
                          </w:rPr>
                        </w:pPr>
                        <w:r w:rsidRPr="00ED2F52">
                          <w:rPr>
                            <w:color w:val="000000"/>
                            <w:sz w:val="20"/>
                          </w:rPr>
                          <w:t>A. Familiarize with regulatory requirement</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657A54A2" w14:textId="77777777">
                        <w:pPr>
                          <w:jc w:val="center"/>
                          <w:rPr>
                            <w:color w:val="000000"/>
                            <w:sz w:val="20"/>
                          </w:rPr>
                        </w:pPr>
                        <w:r w:rsidRPr="00ED2F52">
                          <w:rPr>
                            <w:color w:val="000000"/>
                            <w:sz w:val="20"/>
                          </w:rPr>
                          <w:t>10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210DC3B7" w14:textId="77777777">
                        <w:pPr>
                          <w:jc w:val="center"/>
                          <w:rPr>
                            <w:sz w:val="20"/>
                          </w:rPr>
                        </w:pPr>
                        <w:r w:rsidRPr="00ED2F52">
                          <w:rPr>
                            <w:sz w:val="20"/>
                          </w:rPr>
                          <w:t>1</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2819F66F" w14:textId="77777777">
                        <w:pPr>
                          <w:jc w:val="center"/>
                          <w:rPr>
                            <w:color w:val="000000"/>
                            <w:sz w:val="20"/>
                          </w:rPr>
                        </w:pPr>
                        <w:r w:rsidRPr="00ED2F52">
                          <w:rPr>
                            <w:color w:val="000000"/>
                            <w:sz w:val="20"/>
                          </w:rPr>
                          <w:t>10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070FC796" w14:textId="77777777">
                        <w:pPr>
                          <w:jc w:val="center"/>
                          <w:rPr>
                            <w:sz w:val="20"/>
                          </w:rPr>
                        </w:pPr>
                        <w:r w:rsidRPr="00ED2F52">
                          <w:rPr>
                            <w:sz w:val="20"/>
                          </w:rPr>
                          <w:t>85</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3686F02" w14:textId="77777777">
                        <w:pPr>
                          <w:jc w:val="center"/>
                          <w:rPr>
                            <w:color w:val="000000"/>
                            <w:sz w:val="20"/>
                          </w:rPr>
                        </w:pPr>
                        <w:r w:rsidRPr="00ED2F52">
                          <w:rPr>
                            <w:color w:val="000000"/>
                            <w:sz w:val="20"/>
                          </w:rPr>
                          <w:t>850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87744F7" w14:textId="77777777">
                        <w:pPr>
                          <w:jc w:val="center"/>
                          <w:rPr>
                            <w:color w:val="000000"/>
                            <w:sz w:val="20"/>
                          </w:rPr>
                        </w:pPr>
                        <w:r w:rsidRPr="00ED2F52">
                          <w:rPr>
                            <w:color w:val="000000"/>
                            <w:sz w:val="20"/>
                          </w:rPr>
                          <w:t>42.5</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729D9C22" w14:textId="77777777">
                        <w:pPr>
                          <w:jc w:val="center"/>
                          <w:rPr>
                            <w:color w:val="000000"/>
                            <w:sz w:val="20"/>
                          </w:rPr>
                        </w:pPr>
                        <w:r w:rsidRPr="00ED2F52">
                          <w:rPr>
                            <w:color w:val="000000"/>
                            <w:sz w:val="20"/>
                          </w:rPr>
                          <w:t>85</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37BAD7A" w14:textId="24A2D29D">
                        <w:pPr>
                          <w:jc w:val="right"/>
                          <w:rPr>
                            <w:color w:val="000000"/>
                            <w:sz w:val="20"/>
                          </w:rPr>
                        </w:pPr>
                        <w:r w:rsidRPr="00ED2F52">
                          <w:rPr>
                            <w:color w:val="000000"/>
                            <w:sz w:val="20"/>
                          </w:rPr>
                          <w:t xml:space="preserve">$120,855 </w:t>
                        </w:r>
                      </w:p>
                    </w:tc>
                  </w:tr>
                  <w:tr w14:paraId="3F086950" w14:textId="77777777" w:rsidTr="00ED2F52">
                    <w:tblPrEx>
                      <w:tblW w:w="12720" w:type="dxa"/>
                      <w:tblLayout w:type="fixed"/>
                      <w:tblLook w:val="04A0"/>
                    </w:tblPrEx>
                    <w:trPr>
                      <w:trHeight w:val="315"/>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515C2FE9" w14:textId="77777777">
                        <w:pPr>
                          <w:rPr>
                            <w:color w:val="000000"/>
                            <w:sz w:val="20"/>
                          </w:rPr>
                        </w:pPr>
                        <w:r w:rsidRPr="00ED2F52">
                          <w:rPr>
                            <w:color w:val="000000"/>
                            <w:sz w:val="20"/>
                          </w:rPr>
                          <w:t>B. Required Activities</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58A6EDD0"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16FE1B2F" w14:textId="77777777">
                        <w:pPr>
                          <w:jc w:val="center"/>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2D658CA7" w14:textId="77777777">
                        <w:pPr>
                          <w:jc w:val="center"/>
                          <w:rPr>
                            <w:color w:val="000000"/>
                            <w:sz w:val="20"/>
                          </w:rPr>
                        </w:pPr>
                        <w:r w:rsidRPr="00ED2F52">
                          <w:rPr>
                            <w:color w:val="00000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2BD1AD73"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25F7D2E5"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F6264EC" w14:textId="77777777">
                        <w:pPr>
                          <w:jc w:val="center"/>
                          <w:rPr>
                            <w:color w:val="000000"/>
                            <w:sz w:val="20"/>
                          </w:rPr>
                        </w:pPr>
                        <w:r w:rsidRPr="00ED2F52">
                          <w:rPr>
                            <w:color w:val="000000"/>
                            <w:sz w:val="20"/>
                          </w:rPr>
                          <w:t> </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6CC68161"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165E69AA" w14:textId="77777777">
                        <w:pPr>
                          <w:jc w:val="right"/>
                          <w:rPr>
                            <w:color w:val="000000"/>
                            <w:sz w:val="20"/>
                          </w:rPr>
                        </w:pPr>
                        <w:r w:rsidRPr="00ED2F52">
                          <w:rPr>
                            <w:color w:val="000000"/>
                            <w:sz w:val="20"/>
                          </w:rPr>
                          <w:t> </w:t>
                        </w:r>
                      </w:p>
                    </w:tc>
                  </w:tr>
                  <w:tr w14:paraId="0BC4BE14" w14:textId="77777777" w:rsidTr="00ED2F52">
                    <w:tblPrEx>
                      <w:tblW w:w="12720" w:type="dxa"/>
                      <w:tblLayout w:type="fixed"/>
                      <w:tblLook w:val="04A0"/>
                    </w:tblPrEx>
                    <w:trPr>
                      <w:trHeight w:val="31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40BCF1A3" w14:textId="77777777">
                        <w:pPr>
                          <w:rPr>
                            <w:i/>
                            <w:iCs/>
                            <w:color w:val="000000"/>
                            <w:sz w:val="20"/>
                          </w:rPr>
                        </w:pPr>
                        <w:r w:rsidRPr="00ED2F52">
                          <w:rPr>
                            <w:i/>
                            <w:iCs/>
                            <w:color w:val="000000"/>
                            <w:sz w:val="20"/>
                          </w:rPr>
                          <w:t xml:space="preserve">New Sources - Testing </w:t>
                        </w:r>
                        <w:r w:rsidRPr="00ED2F52">
                          <w:rPr>
                            <w:color w:val="000000"/>
                            <w:sz w:val="20"/>
                            <w:vertAlign w:val="superscript"/>
                          </w:rPr>
                          <w:t>c</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2B8ED04F"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20DA353A" w14:textId="77777777">
                        <w:pPr>
                          <w:jc w:val="center"/>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E38B355" w14:textId="77777777">
                        <w:pPr>
                          <w:jc w:val="center"/>
                          <w:rPr>
                            <w:color w:val="000000"/>
                            <w:sz w:val="20"/>
                          </w:rPr>
                        </w:pPr>
                        <w:r w:rsidRPr="00ED2F52">
                          <w:rPr>
                            <w:color w:val="000000"/>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1044A5BD"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496FFD4"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1FE13C63" w14:textId="77777777">
                        <w:pPr>
                          <w:jc w:val="center"/>
                          <w:rPr>
                            <w:color w:val="000000"/>
                            <w:sz w:val="20"/>
                          </w:rPr>
                        </w:pPr>
                        <w:r w:rsidRPr="00ED2F52">
                          <w:rPr>
                            <w:color w:val="000000"/>
                            <w:sz w:val="20"/>
                          </w:rPr>
                          <w:t> </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1ED669AC"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2A0BECF" w14:textId="77777777">
                        <w:pPr>
                          <w:jc w:val="right"/>
                          <w:rPr>
                            <w:color w:val="000000"/>
                            <w:sz w:val="20"/>
                          </w:rPr>
                        </w:pPr>
                        <w:r w:rsidRPr="00ED2F52">
                          <w:rPr>
                            <w:color w:val="000000"/>
                            <w:sz w:val="20"/>
                          </w:rPr>
                          <w:t> </w:t>
                        </w:r>
                      </w:p>
                    </w:tc>
                  </w:tr>
                  <w:tr w14:paraId="20482E16" w14:textId="77777777" w:rsidTr="00ED2F52">
                    <w:tblPrEx>
                      <w:tblW w:w="12720" w:type="dxa"/>
                      <w:tblLayout w:type="fixed"/>
                      <w:tblLook w:val="04A0"/>
                    </w:tblPrEx>
                    <w:trPr>
                      <w:trHeight w:val="51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15BCC58F" w14:textId="77777777">
                        <w:pPr>
                          <w:rPr>
                            <w:sz w:val="20"/>
                          </w:rPr>
                        </w:pPr>
                        <w:r w:rsidRPr="00ED2F52">
                          <w:rPr>
                            <w:sz w:val="20"/>
                          </w:rPr>
                          <w:t>Initial NOx Performance Test (furnaces)</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05F3AC96" w14:textId="77777777">
                        <w:pPr>
                          <w:jc w:val="center"/>
                          <w:rPr>
                            <w:sz w:val="20"/>
                          </w:rPr>
                        </w:pPr>
                        <w:r w:rsidRPr="00ED2F52">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70309B5B"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13C4D9FD" w14:textId="77777777">
                        <w:pPr>
                          <w:jc w:val="center"/>
                          <w:rPr>
                            <w:color w:val="000000"/>
                            <w:sz w:val="20"/>
                          </w:rPr>
                        </w:pPr>
                        <w:r w:rsidRPr="00ED2F52">
                          <w:rPr>
                            <w:color w:val="000000"/>
                            <w:sz w:val="20"/>
                          </w:rPr>
                          <w:t>0</w:t>
                        </w:r>
                      </w:p>
                    </w:tc>
                    <w:tc>
                      <w:tcPr>
                        <w:tcW w:w="12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01EB6FFE"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403415C7"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934371B" w14:textId="77777777">
                        <w:pPr>
                          <w:jc w:val="center"/>
                          <w:rPr>
                            <w:color w:val="000000"/>
                            <w:sz w:val="20"/>
                          </w:rPr>
                        </w:pPr>
                        <w:r w:rsidRPr="00ED2F52">
                          <w:rPr>
                            <w:color w:val="000000"/>
                            <w:sz w:val="20"/>
                          </w:rPr>
                          <w:t>0</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5332E00C"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61CA1302" w14:textId="77777777">
                        <w:pPr>
                          <w:jc w:val="right"/>
                          <w:rPr>
                            <w:color w:val="000000"/>
                            <w:sz w:val="20"/>
                          </w:rPr>
                        </w:pPr>
                        <w:r w:rsidRPr="00ED2F52">
                          <w:rPr>
                            <w:color w:val="000000"/>
                            <w:sz w:val="20"/>
                          </w:rPr>
                          <w:t xml:space="preserve">$0.00 </w:t>
                        </w:r>
                      </w:p>
                    </w:tc>
                  </w:tr>
                  <w:tr w14:paraId="2C8872EC" w14:textId="77777777" w:rsidTr="00ED2F52">
                    <w:tblPrEx>
                      <w:tblW w:w="12720" w:type="dxa"/>
                      <w:tblLayout w:type="fixed"/>
                      <w:tblLook w:val="04A0"/>
                    </w:tblPrEx>
                    <w:trPr>
                      <w:trHeight w:val="26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0C1CCD39" w14:textId="77777777">
                        <w:pPr>
                          <w:rPr>
                            <w:sz w:val="20"/>
                          </w:rPr>
                        </w:pPr>
                        <w:r w:rsidRPr="00ED2F52">
                          <w:rPr>
                            <w:sz w:val="20"/>
                          </w:rPr>
                          <w:t>Repeat NOx Performance Test</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47F9C545" w14:textId="77777777">
                        <w:pPr>
                          <w:jc w:val="center"/>
                          <w:rPr>
                            <w:sz w:val="20"/>
                          </w:rPr>
                        </w:pPr>
                        <w:r w:rsidRPr="00ED2F52">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5411BF6F"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47E9D738" w14:textId="77777777">
                        <w:pPr>
                          <w:jc w:val="center"/>
                          <w:rPr>
                            <w:color w:val="000000"/>
                            <w:sz w:val="20"/>
                          </w:rPr>
                        </w:pPr>
                        <w:r w:rsidRPr="00ED2F52">
                          <w:rPr>
                            <w:color w:val="000000"/>
                            <w:sz w:val="20"/>
                          </w:rPr>
                          <w:t>0</w:t>
                        </w:r>
                      </w:p>
                    </w:tc>
                    <w:tc>
                      <w:tcPr>
                        <w:tcW w:w="12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70F26DA3"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1F64EE71"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7E1C3200" w14:textId="77777777">
                        <w:pPr>
                          <w:jc w:val="center"/>
                          <w:rPr>
                            <w:color w:val="000000"/>
                            <w:sz w:val="20"/>
                          </w:rPr>
                        </w:pPr>
                        <w:r w:rsidRPr="00ED2F52">
                          <w:rPr>
                            <w:color w:val="000000"/>
                            <w:sz w:val="20"/>
                          </w:rPr>
                          <w:t>0</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1AB718BF"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7D3D1CD8" w14:textId="77777777">
                        <w:pPr>
                          <w:jc w:val="right"/>
                          <w:rPr>
                            <w:color w:val="000000"/>
                            <w:sz w:val="20"/>
                          </w:rPr>
                        </w:pPr>
                        <w:r w:rsidRPr="00ED2F52">
                          <w:rPr>
                            <w:color w:val="000000"/>
                            <w:sz w:val="20"/>
                          </w:rPr>
                          <w:t xml:space="preserve">$0.00 </w:t>
                        </w:r>
                      </w:p>
                    </w:tc>
                  </w:tr>
                  <w:tr w14:paraId="4387D163" w14:textId="77777777" w:rsidTr="00ED2F52">
                    <w:tblPrEx>
                      <w:tblW w:w="12720" w:type="dxa"/>
                      <w:tblLayout w:type="fixed"/>
                      <w:tblLook w:val="04A0"/>
                    </w:tblPrEx>
                    <w:trPr>
                      <w:trHeight w:val="52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09AD834E" w14:textId="77777777">
                        <w:pPr>
                          <w:rPr>
                            <w:color w:val="000000"/>
                            <w:sz w:val="20"/>
                          </w:rPr>
                        </w:pPr>
                        <w:r w:rsidRPr="00ED2F52">
                          <w:rPr>
                            <w:color w:val="000000"/>
                            <w:sz w:val="20"/>
                          </w:rPr>
                          <w:t>Initial Performance Evaluation of CPMS</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60930A52" w14:textId="77777777">
                        <w:pPr>
                          <w:jc w:val="center"/>
                          <w:rPr>
                            <w:color w:val="000000"/>
                            <w:sz w:val="20"/>
                          </w:rPr>
                        </w:pPr>
                        <w:r w:rsidRPr="00ED2F52">
                          <w:rPr>
                            <w:color w:val="000000"/>
                            <w:sz w:val="20"/>
                          </w:rPr>
                          <w:t>8</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3FFD478" w14:textId="77777777">
                        <w:pPr>
                          <w:jc w:val="center"/>
                          <w:rPr>
                            <w:sz w:val="20"/>
                          </w:rPr>
                        </w:pPr>
                        <w:r w:rsidRPr="00ED2F52">
                          <w:rPr>
                            <w:sz w:val="20"/>
                          </w:rPr>
                          <w:t>1</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0886A98F" w14:textId="77777777">
                        <w:pPr>
                          <w:jc w:val="center"/>
                          <w:rPr>
                            <w:color w:val="000000"/>
                            <w:sz w:val="20"/>
                          </w:rPr>
                        </w:pPr>
                        <w:r w:rsidRPr="00ED2F52">
                          <w:rPr>
                            <w:color w:val="000000"/>
                            <w:sz w:val="20"/>
                          </w:rPr>
                          <w:t>8</w:t>
                        </w:r>
                      </w:p>
                    </w:tc>
                    <w:tc>
                      <w:tcPr>
                        <w:tcW w:w="12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31237BA3"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94AE7E5"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09AF0134" w14:textId="77777777">
                        <w:pPr>
                          <w:jc w:val="center"/>
                          <w:rPr>
                            <w:color w:val="000000"/>
                            <w:sz w:val="20"/>
                          </w:rPr>
                        </w:pPr>
                        <w:r w:rsidRPr="00ED2F52">
                          <w:rPr>
                            <w:color w:val="000000"/>
                            <w:sz w:val="20"/>
                          </w:rPr>
                          <w:t> </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19CDE689"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B11C38E" w14:textId="77777777">
                        <w:pPr>
                          <w:jc w:val="right"/>
                          <w:rPr>
                            <w:color w:val="000000"/>
                            <w:sz w:val="20"/>
                          </w:rPr>
                        </w:pPr>
                        <w:r w:rsidRPr="00ED2F52">
                          <w:rPr>
                            <w:color w:val="000000"/>
                            <w:sz w:val="20"/>
                          </w:rPr>
                          <w:t> </w:t>
                        </w:r>
                      </w:p>
                    </w:tc>
                  </w:tr>
                  <w:tr w14:paraId="4E5CA9EA" w14:textId="77777777" w:rsidTr="00ED2F52">
                    <w:tblPrEx>
                      <w:tblW w:w="12720" w:type="dxa"/>
                      <w:tblLayout w:type="fixed"/>
                      <w:tblLook w:val="04A0"/>
                    </w:tblPrEx>
                    <w:trPr>
                      <w:trHeight w:val="52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4C78A2A6" w14:textId="77777777">
                        <w:pPr>
                          <w:rPr>
                            <w:color w:val="000000"/>
                            <w:sz w:val="20"/>
                          </w:rPr>
                        </w:pPr>
                        <w:r w:rsidRPr="00ED2F52">
                          <w:rPr>
                            <w:color w:val="000000"/>
                            <w:sz w:val="20"/>
                          </w:rPr>
                          <w:t>Repeat Performance Evaluation of CPMS</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4B04926C" w14:textId="77777777">
                        <w:pPr>
                          <w:jc w:val="center"/>
                          <w:rPr>
                            <w:sz w:val="20"/>
                          </w:rPr>
                        </w:pPr>
                        <w:r w:rsidRPr="00ED2F52">
                          <w:rPr>
                            <w:sz w:val="20"/>
                          </w:rPr>
                          <w:t>8</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9720417" w14:textId="77777777">
                        <w:pPr>
                          <w:jc w:val="center"/>
                          <w:rPr>
                            <w:sz w:val="20"/>
                          </w:rPr>
                        </w:pPr>
                        <w:r w:rsidRPr="00ED2F52">
                          <w:rPr>
                            <w:sz w:val="20"/>
                          </w:rPr>
                          <w:t>1</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7613AB70" w14:textId="77777777">
                        <w:pPr>
                          <w:jc w:val="center"/>
                          <w:rPr>
                            <w:color w:val="000000"/>
                            <w:sz w:val="20"/>
                          </w:rPr>
                        </w:pPr>
                        <w:r w:rsidRPr="00ED2F52">
                          <w:rPr>
                            <w:color w:val="000000"/>
                            <w:sz w:val="20"/>
                          </w:rPr>
                          <w:t>8</w:t>
                        </w:r>
                      </w:p>
                    </w:tc>
                    <w:tc>
                      <w:tcPr>
                        <w:tcW w:w="12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6BA4D3A8"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2D58CA7F"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425D245B" w14:textId="77777777">
                        <w:pPr>
                          <w:jc w:val="center"/>
                          <w:rPr>
                            <w:color w:val="000000"/>
                            <w:sz w:val="20"/>
                          </w:rPr>
                        </w:pPr>
                        <w:r w:rsidRPr="00ED2F52">
                          <w:rPr>
                            <w:color w:val="000000"/>
                            <w:sz w:val="20"/>
                          </w:rPr>
                          <w:t> </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0A489612"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1DB1F04E" w14:textId="77777777">
                        <w:pPr>
                          <w:jc w:val="right"/>
                          <w:rPr>
                            <w:color w:val="000000"/>
                            <w:sz w:val="20"/>
                          </w:rPr>
                        </w:pPr>
                        <w:r w:rsidRPr="00ED2F52">
                          <w:rPr>
                            <w:color w:val="000000"/>
                            <w:sz w:val="20"/>
                          </w:rPr>
                          <w:t> </w:t>
                        </w:r>
                      </w:p>
                    </w:tc>
                  </w:tr>
                  <w:tr w14:paraId="6EDC5600" w14:textId="77777777" w:rsidTr="00ED2F52">
                    <w:tblPrEx>
                      <w:tblW w:w="12720" w:type="dxa"/>
                      <w:tblLayout w:type="fixed"/>
                      <w:tblLook w:val="04A0"/>
                    </w:tblPrEx>
                    <w:trPr>
                      <w:trHeight w:val="31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53EF5E15" w14:textId="77777777">
                        <w:pPr>
                          <w:rPr>
                            <w:i/>
                            <w:iCs/>
                            <w:color w:val="000000"/>
                            <w:sz w:val="20"/>
                          </w:rPr>
                        </w:pPr>
                        <w:r w:rsidRPr="00ED2F52">
                          <w:rPr>
                            <w:i/>
                            <w:iCs/>
                            <w:color w:val="000000"/>
                            <w:sz w:val="20"/>
                          </w:rPr>
                          <w:t xml:space="preserve">Existing Sources - Initial Testing </w:t>
                        </w:r>
                        <w:r w:rsidRPr="00ED2F52">
                          <w:rPr>
                            <w:color w:val="000000"/>
                            <w:sz w:val="20"/>
                            <w:vertAlign w:val="superscript"/>
                          </w:rPr>
                          <w:t>d</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20F930EF" w14:textId="77777777">
                        <w:pPr>
                          <w:jc w:val="center"/>
                          <w:rPr>
                            <w:sz w:val="20"/>
                          </w:rPr>
                        </w:pPr>
                        <w:r w:rsidRPr="00ED2F52">
                          <w:rPr>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12D70A7B" w14:textId="77777777">
                        <w:pPr>
                          <w:jc w:val="center"/>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5EB9D95D" w14:textId="77777777">
                        <w:pPr>
                          <w:jc w:val="center"/>
                          <w:rPr>
                            <w:color w:val="000000"/>
                            <w:sz w:val="20"/>
                          </w:rPr>
                        </w:pPr>
                        <w:r w:rsidRPr="00ED2F52">
                          <w:rPr>
                            <w:color w:val="000000"/>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1AD4A5F8"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6AEFE51F"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1035C1C9" w14:textId="77777777">
                        <w:pPr>
                          <w:jc w:val="center"/>
                          <w:rPr>
                            <w:color w:val="000000"/>
                            <w:sz w:val="20"/>
                          </w:rPr>
                        </w:pPr>
                        <w:r w:rsidRPr="00ED2F52">
                          <w:rPr>
                            <w:color w:val="000000"/>
                            <w:sz w:val="20"/>
                          </w:rPr>
                          <w:t> </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795808AB"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4151815B" w14:textId="77777777">
                        <w:pPr>
                          <w:jc w:val="right"/>
                          <w:rPr>
                            <w:color w:val="000000"/>
                            <w:sz w:val="20"/>
                          </w:rPr>
                        </w:pPr>
                        <w:r w:rsidRPr="00ED2F52">
                          <w:rPr>
                            <w:color w:val="000000"/>
                            <w:sz w:val="20"/>
                          </w:rPr>
                          <w:t> </w:t>
                        </w:r>
                      </w:p>
                    </w:tc>
                  </w:tr>
                  <w:tr w14:paraId="03353374" w14:textId="77777777" w:rsidTr="00ED2F52">
                    <w:tblPrEx>
                      <w:tblW w:w="12720" w:type="dxa"/>
                      <w:tblLayout w:type="fixed"/>
                      <w:tblLook w:val="04A0"/>
                    </w:tblPrEx>
                    <w:trPr>
                      <w:trHeight w:val="52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15DC24F4" w14:textId="77777777">
                        <w:pPr>
                          <w:rPr>
                            <w:color w:val="000000"/>
                            <w:sz w:val="20"/>
                          </w:rPr>
                        </w:pPr>
                        <w:r w:rsidRPr="00ED2F52">
                          <w:rPr>
                            <w:color w:val="000000"/>
                            <w:sz w:val="20"/>
                          </w:rPr>
                          <w:t>Initial Performance Evaluation of CPMS</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39826E4C" w14:textId="77777777">
                        <w:pPr>
                          <w:jc w:val="center"/>
                          <w:rPr>
                            <w:color w:val="000000"/>
                            <w:sz w:val="20"/>
                          </w:rPr>
                        </w:pPr>
                        <w:r w:rsidRPr="00ED2F52">
                          <w:rPr>
                            <w:color w:val="000000"/>
                            <w:sz w:val="20"/>
                          </w:rPr>
                          <w:t>8</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5BCE224A" w14:textId="77777777">
                        <w:pPr>
                          <w:jc w:val="center"/>
                          <w:rPr>
                            <w:sz w:val="20"/>
                          </w:rPr>
                        </w:pPr>
                        <w:r w:rsidRPr="00ED2F52">
                          <w:rPr>
                            <w:sz w:val="20"/>
                          </w:rPr>
                          <w:t>1</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0E065211" w14:textId="77777777">
                        <w:pPr>
                          <w:jc w:val="center"/>
                          <w:rPr>
                            <w:color w:val="000000"/>
                            <w:sz w:val="20"/>
                          </w:rPr>
                        </w:pPr>
                        <w:r w:rsidRPr="00ED2F52">
                          <w:rPr>
                            <w:color w:val="000000"/>
                            <w:sz w:val="20"/>
                          </w:rPr>
                          <w:t>8</w:t>
                        </w:r>
                      </w:p>
                    </w:tc>
                    <w:tc>
                      <w:tcPr>
                        <w:tcW w:w="12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23872035"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11EB566A"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0C5EED17" w14:textId="77777777">
                        <w:pPr>
                          <w:jc w:val="center"/>
                          <w:rPr>
                            <w:color w:val="000000"/>
                            <w:sz w:val="20"/>
                          </w:rPr>
                        </w:pPr>
                        <w:r w:rsidRPr="00ED2F52">
                          <w:rPr>
                            <w:color w:val="000000"/>
                            <w:sz w:val="20"/>
                          </w:rPr>
                          <w:t> </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30BA30E5"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71F29B1A" w14:textId="77777777">
                        <w:pPr>
                          <w:jc w:val="right"/>
                          <w:rPr>
                            <w:color w:val="000000"/>
                            <w:sz w:val="20"/>
                          </w:rPr>
                        </w:pPr>
                        <w:r w:rsidRPr="00ED2F52">
                          <w:rPr>
                            <w:color w:val="000000"/>
                            <w:sz w:val="20"/>
                          </w:rPr>
                          <w:t> </w:t>
                        </w:r>
                      </w:p>
                    </w:tc>
                  </w:tr>
                  <w:tr w14:paraId="4F7210B1" w14:textId="77777777" w:rsidTr="00ED2F52">
                    <w:tblPrEx>
                      <w:tblW w:w="12720" w:type="dxa"/>
                      <w:tblLayout w:type="fixed"/>
                      <w:tblLook w:val="04A0"/>
                    </w:tblPrEx>
                    <w:trPr>
                      <w:trHeight w:val="52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2B03981F" w14:textId="77777777">
                        <w:pPr>
                          <w:rPr>
                            <w:color w:val="000000"/>
                            <w:sz w:val="20"/>
                          </w:rPr>
                        </w:pPr>
                        <w:r w:rsidRPr="00ED2F52">
                          <w:rPr>
                            <w:color w:val="000000"/>
                            <w:sz w:val="20"/>
                          </w:rPr>
                          <w:t>Repeat Performance Evaluation of CPMS</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43EFB2D5" w14:textId="77777777">
                        <w:pPr>
                          <w:jc w:val="center"/>
                          <w:rPr>
                            <w:sz w:val="20"/>
                          </w:rPr>
                        </w:pPr>
                        <w:r w:rsidRPr="00ED2F52">
                          <w:rPr>
                            <w:sz w:val="20"/>
                          </w:rPr>
                          <w:t>8</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5DAC707D" w14:textId="77777777">
                        <w:pPr>
                          <w:jc w:val="center"/>
                          <w:rPr>
                            <w:sz w:val="20"/>
                          </w:rPr>
                        </w:pPr>
                        <w:r w:rsidRPr="00ED2F52">
                          <w:rPr>
                            <w:sz w:val="20"/>
                          </w:rPr>
                          <w:t>1</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3B6466D1" w14:textId="77777777">
                        <w:pPr>
                          <w:jc w:val="center"/>
                          <w:rPr>
                            <w:color w:val="000000"/>
                            <w:sz w:val="20"/>
                          </w:rPr>
                        </w:pPr>
                        <w:r w:rsidRPr="00ED2F52">
                          <w:rPr>
                            <w:color w:val="000000"/>
                            <w:sz w:val="20"/>
                          </w:rPr>
                          <w:t>8</w:t>
                        </w:r>
                      </w:p>
                    </w:tc>
                    <w:tc>
                      <w:tcPr>
                        <w:tcW w:w="12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15C93FFD"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64A87B24"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E88F0B1" w14:textId="77777777">
                        <w:pPr>
                          <w:jc w:val="center"/>
                          <w:rPr>
                            <w:color w:val="000000"/>
                            <w:sz w:val="20"/>
                          </w:rPr>
                        </w:pPr>
                        <w:r w:rsidRPr="00ED2F52">
                          <w:rPr>
                            <w:color w:val="000000"/>
                            <w:sz w:val="20"/>
                          </w:rPr>
                          <w:t> </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56867D42"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0802758" w14:textId="77777777">
                        <w:pPr>
                          <w:jc w:val="right"/>
                          <w:rPr>
                            <w:color w:val="000000"/>
                            <w:sz w:val="20"/>
                          </w:rPr>
                        </w:pPr>
                        <w:r w:rsidRPr="00ED2F52">
                          <w:rPr>
                            <w:color w:val="000000"/>
                            <w:sz w:val="20"/>
                          </w:rPr>
                          <w:t> </w:t>
                        </w:r>
                      </w:p>
                    </w:tc>
                  </w:tr>
                  <w:tr w14:paraId="6F5B32D8" w14:textId="77777777" w:rsidTr="00ED2F52">
                    <w:tblPrEx>
                      <w:tblW w:w="12720" w:type="dxa"/>
                      <w:tblLayout w:type="fixed"/>
                      <w:tblLook w:val="04A0"/>
                    </w:tblPrEx>
                    <w:trPr>
                      <w:trHeight w:val="57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65F73935" w14:textId="77777777">
                        <w:pPr>
                          <w:rPr>
                            <w:i/>
                            <w:iCs/>
                            <w:color w:val="000000"/>
                            <w:sz w:val="20"/>
                          </w:rPr>
                        </w:pPr>
                        <w:r w:rsidRPr="00ED2F52">
                          <w:rPr>
                            <w:i/>
                            <w:iCs/>
                            <w:color w:val="000000"/>
                            <w:sz w:val="20"/>
                          </w:rPr>
                          <w:t xml:space="preserve">Existing Sources - Annual Testing </w:t>
                        </w:r>
                        <w:r w:rsidRPr="00ED2F52">
                          <w:rPr>
                            <w:color w:val="000000"/>
                            <w:sz w:val="20"/>
                            <w:vertAlign w:val="superscript"/>
                          </w:rPr>
                          <w:t>d</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585A8290"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234FC620" w14:textId="77777777">
                        <w:pPr>
                          <w:jc w:val="center"/>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46707E1C" w14:textId="77777777">
                        <w:pPr>
                          <w:jc w:val="center"/>
                          <w:rPr>
                            <w:color w:val="000000"/>
                            <w:sz w:val="20"/>
                          </w:rPr>
                        </w:pPr>
                        <w:r w:rsidRPr="00ED2F52">
                          <w:rPr>
                            <w:color w:val="00000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4A2D2C2"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57C4D78"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1CB4CB23" w14:textId="77777777">
                        <w:pPr>
                          <w:jc w:val="center"/>
                          <w:rPr>
                            <w:color w:val="000000"/>
                            <w:sz w:val="20"/>
                          </w:rPr>
                        </w:pPr>
                        <w:r w:rsidRPr="00ED2F52">
                          <w:rPr>
                            <w:color w:val="000000"/>
                            <w:sz w:val="20"/>
                          </w:rPr>
                          <w:t> </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5EE1CFAF"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17E961D7" w14:textId="77777777">
                        <w:pPr>
                          <w:jc w:val="right"/>
                          <w:rPr>
                            <w:color w:val="000000"/>
                            <w:sz w:val="20"/>
                          </w:rPr>
                        </w:pPr>
                        <w:r w:rsidRPr="00ED2F52">
                          <w:rPr>
                            <w:color w:val="000000"/>
                            <w:sz w:val="20"/>
                          </w:rPr>
                          <w:t> </w:t>
                        </w:r>
                      </w:p>
                    </w:tc>
                  </w:tr>
                  <w:tr w14:paraId="07422980" w14:textId="77777777" w:rsidTr="00ED2F52">
                    <w:tblPrEx>
                      <w:tblW w:w="12720" w:type="dxa"/>
                      <w:tblLayout w:type="fixed"/>
                      <w:tblLook w:val="04A0"/>
                    </w:tblPrEx>
                    <w:trPr>
                      <w:trHeight w:val="52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18BA7C16" w14:textId="77777777">
                        <w:pPr>
                          <w:rPr>
                            <w:color w:val="000000"/>
                            <w:sz w:val="20"/>
                          </w:rPr>
                        </w:pPr>
                        <w:r w:rsidRPr="00ED2F52">
                          <w:rPr>
                            <w:color w:val="000000"/>
                            <w:sz w:val="20"/>
                          </w:rPr>
                          <w:t>Annual NOx Performance Test (furnaces)</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453715F5"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6D523A28"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068E0ECA" w14:textId="77777777">
                        <w:pPr>
                          <w:jc w:val="center"/>
                          <w:rPr>
                            <w:color w:val="000000"/>
                            <w:sz w:val="20"/>
                          </w:rPr>
                        </w:pPr>
                        <w:r w:rsidRPr="00ED2F52">
                          <w:rPr>
                            <w:color w:val="000000"/>
                            <w:sz w:val="20"/>
                          </w:rPr>
                          <w:t>0</w:t>
                        </w:r>
                      </w:p>
                    </w:tc>
                    <w:tc>
                      <w:tcPr>
                        <w:tcW w:w="12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12DA1169"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2DA9B32"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780B3E4" w14:textId="77777777">
                        <w:pPr>
                          <w:jc w:val="center"/>
                          <w:rPr>
                            <w:color w:val="000000"/>
                            <w:sz w:val="20"/>
                          </w:rPr>
                        </w:pPr>
                        <w:r w:rsidRPr="00ED2F52">
                          <w:rPr>
                            <w:color w:val="000000"/>
                            <w:sz w:val="20"/>
                          </w:rPr>
                          <w:t>0</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0F820CCB"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B318EDB" w14:textId="77777777">
                        <w:pPr>
                          <w:jc w:val="right"/>
                          <w:rPr>
                            <w:color w:val="000000"/>
                            <w:sz w:val="20"/>
                          </w:rPr>
                        </w:pPr>
                        <w:r w:rsidRPr="00ED2F52">
                          <w:rPr>
                            <w:color w:val="000000"/>
                            <w:sz w:val="20"/>
                          </w:rPr>
                          <w:t xml:space="preserve">$0.00 </w:t>
                        </w:r>
                      </w:p>
                    </w:tc>
                  </w:tr>
                  <w:tr w14:paraId="207806B7" w14:textId="77777777" w:rsidTr="00ED2F52">
                    <w:tblPrEx>
                      <w:tblW w:w="12720" w:type="dxa"/>
                      <w:tblLayout w:type="fixed"/>
                      <w:tblLook w:val="04A0"/>
                    </w:tblPrEx>
                    <w:trPr>
                      <w:trHeight w:val="26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103EC0FC" w14:textId="77777777">
                        <w:pPr>
                          <w:rPr>
                            <w:color w:val="000000"/>
                            <w:sz w:val="20"/>
                          </w:rPr>
                        </w:pPr>
                        <w:r w:rsidRPr="00ED2F52">
                          <w:rPr>
                            <w:color w:val="000000"/>
                            <w:sz w:val="20"/>
                          </w:rPr>
                          <w:t xml:space="preserve">Repeat NOx Performance Test </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527E40D6" w14:textId="77777777">
                        <w:pPr>
                          <w:jc w:val="center"/>
                          <w:rPr>
                            <w:sz w:val="20"/>
                          </w:rPr>
                        </w:pPr>
                        <w:r w:rsidRPr="00ED2F52">
                          <w:rPr>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508A41E9"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30F5E43" w14:textId="77777777">
                        <w:pPr>
                          <w:jc w:val="center"/>
                          <w:rPr>
                            <w:color w:val="000000"/>
                            <w:sz w:val="20"/>
                          </w:rPr>
                        </w:pPr>
                        <w:r w:rsidRPr="00ED2F52">
                          <w:rPr>
                            <w:color w:val="000000"/>
                            <w:sz w:val="20"/>
                          </w:rPr>
                          <w:t>0</w:t>
                        </w:r>
                      </w:p>
                    </w:tc>
                    <w:tc>
                      <w:tcPr>
                        <w:tcW w:w="12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5FA00947"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1990D9F0"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65058A4D" w14:textId="77777777">
                        <w:pPr>
                          <w:jc w:val="center"/>
                          <w:rPr>
                            <w:color w:val="000000"/>
                            <w:sz w:val="20"/>
                          </w:rPr>
                        </w:pPr>
                        <w:r w:rsidRPr="00ED2F52">
                          <w:rPr>
                            <w:color w:val="000000"/>
                            <w:sz w:val="20"/>
                          </w:rPr>
                          <w:t>0</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20979C11"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734B07D2" w14:textId="77777777">
                        <w:pPr>
                          <w:jc w:val="right"/>
                          <w:rPr>
                            <w:color w:val="000000"/>
                            <w:sz w:val="20"/>
                          </w:rPr>
                        </w:pPr>
                        <w:r w:rsidRPr="00ED2F52">
                          <w:rPr>
                            <w:color w:val="000000"/>
                            <w:sz w:val="20"/>
                          </w:rPr>
                          <w:t xml:space="preserve">$0.00 </w:t>
                        </w:r>
                      </w:p>
                    </w:tc>
                  </w:tr>
                  <w:tr w14:paraId="1B54DFBC" w14:textId="77777777" w:rsidTr="00ED2F52">
                    <w:tblPrEx>
                      <w:tblW w:w="12720" w:type="dxa"/>
                      <w:tblLayout w:type="fixed"/>
                      <w:tblLook w:val="04A0"/>
                    </w:tblPrEx>
                    <w:trPr>
                      <w:trHeight w:val="57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37A66509" w14:textId="77777777">
                        <w:pPr>
                          <w:rPr>
                            <w:i/>
                            <w:iCs/>
                            <w:color w:val="000000"/>
                            <w:sz w:val="20"/>
                          </w:rPr>
                        </w:pPr>
                        <w:r w:rsidRPr="00ED2F52">
                          <w:rPr>
                            <w:i/>
                            <w:iCs/>
                            <w:color w:val="000000"/>
                            <w:sz w:val="20"/>
                          </w:rPr>
                          <w:t xml:space="preserve">New and Existing Sources - Monitoring </w:t>
                        </w:r>
                        <w:r w:rsidRPr="00ED2F52">
                          <w:rPr>
                            <w:color w:val="000000"/>
                            <w:sz w:val="20"/>
                            <w:vertAlign w:val="superscript"/>
                          </w:rPr>
                          <w:t>e</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057ED9D9"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6E78098F" w14:textId="77777777">
                        <w:pPr>
                          <w:jc w:val="center"/>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0E13A7D7" w14:textId="77777777">
                        <w:pPr>
                          <w:jc w:val="center"/>
                          <w:rPr>
                            <w:color w:val="000000"/>
                            <w:sz w:val="20"/>
                          </w:rPr>
                        </w:pPr>
                        <w:r w:rsidRPr="00ED2F52">
                          <w:rPr>
                            <w:color w:val="000000"/>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231AA45F"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0208C01"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0BA7E4BF" w14:textId="77777777">
                        <w:pPr>
                          <w:jc w:val="center"/>
                          <w:rPr>
                            <w:color w:val="000000"/>
                            <w:sz w:val="20"/>
                          </w:rPr>
                        </w:pPr>
                        <w:r w:rsidRPr="00ED2F52">
                          <w:rPr>
                            <w:color w:val="000000"/>
                            <w:sz w:val="20"/>
                          </w:rPr>
                          <w:t> </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42FF39D2"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459FD3D" w14:textId="77777777">
                        <w:pPr>
                          <w:jc w:val="right"/>
                          <w:rPr>
                            <w:color w:val="000000"/>
                            <w:sz w:val="20"/>
                          </w:rPr>
                        </w:pPr>
                        <w:r w:rsidRPr="00ED2F52">
                          <w:rPr>
                            <w:color w:val="000000"/>
                            <w:sz w:val="20"/>
                          </w:rPr>
                          <w:t> </w:t>
                        </w:r>
                      </w:p>
                    </w:tc>
                  </w:tr>
                  <w:tr w14:paraId="7DE7279B" w14:textId="77777777" w:rsidTr="00ED2F52">
                    <w:tblPrEx>
                      <w:tblW w:w="12720" w:type="dxa"/>
                      <w:tblLayout w:type="fixed"/>
                      <w:tblLook w:val="04A0"/>
                    </w:tblPrEx>
                    <w:trPr>
                      <w:trHeight w:val="26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2217E938" w14:textId="77777777">
                        <w:pPr>
                          <w:rPr>
                            <w:color w:val="000000"/>
                            <w:sz w:val="20"/>
                          </w:rPr>
                        </w:pPr>
                        <w:r w:rsidRPr="00ED2F52">
                          <w:rPr>
                            <w:color w:val="000000"/>
                            <w:sz w:val="20"/>
                          </w:rPr>
                          <w:t> </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0A5ACC7C"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58635AEE" w14:textId="77777777">
                        <w:pPr>
                          <w:jc w:val="center"/>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76A44AE7" w14:textId="77777777">
                        <w:pPr>
                          <w:jc w:val="center"/>
                          <w:rPr>
                            <w:color w:val="000000"/>
                            <w:sz w:val="20"/>
                          </w:rPr>
                        </w:pPr>
                        <w:r w:rsidRPr="00ED2F52">
                          <w:rPr>
                            <w:color w:val="000000"/>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17DA7615"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2F0C857"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A427ABC" w14:textId="77777777">
                        <w:pPr>
                          <w:jc w:val="center"/>
                          <w:rPr>
                            <w:color w:val="000000"/>
                            <w:sz w:val="20"/>
                          </w:rPr>
                        </w:pPr>
                        <w:r w:rsidRPr="00ED2F52">
                          <w:rPr>
                            <w:color w:val="000000"/>
                            <w:sz w:val="20"/>
                          </w:rPr>
                          <w:t> </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436B62ED"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9BEF5C4" w14:textId="77777777">
                        <w:pPr>
                          <w:jc w:val="right"/>
                          <w:rPr>
                            <w:color w:val="000000"/>
                            <w:sz w:val="20"/>
                          </w:rPr>
                        </w:pPr>
                        <w:r w:rsidRPr="00ED2F52">
                          <w:rPr>
                            <w:color w:val="000000"/>
                            <w:sz w:val="20"/>
                          </w:rPr>
                          <w:t> </w:t>
                        </w:r>
                      </w:p>
                    </w:tc>
                  </w:tr>
                  <w:tr w14:paraId="1AEC8326" w14:textId="77777777" w:rsidTr="00ED2F52">
                    <w:tblPrEx>
                      <w:tblW w:w="12720" w:type="dxa"/>
                      <w:tblLayout w:type="fixed"/>
                      <w:tblLook w:val="04A0"/>
                    </w:tblPrEx>
                    <w:trPr>
                      <w:trHeight w:val="26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27E7697C" w14:textId="77777777">
                        <w:pPr>
                          <w:rPr>
                            <w:color w:val="000000"/>
                            <w:sz w:val="20"/>
                          </w:rPr>
                        </w:pPr>
                        <w:r w:rsidRPr="00ED2F52">
                          <w:rPr>
                            <w:color w:val="000000"/>
                            <w:sz w:val="20"/>
                          </w:rPr>
                          <w:t> </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73C67D68"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20C5E3F0" w14:textId="77777777">
                        <w:pPr>
                          <w:jc w:val="center"/>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2C62A0E" w14:textId="77777777">
                        <w:pPr>
                          <w:jc w:val="center"/>
                          <w:rPr>
                            <w:color w:val="000000"/>
                            <w:sz w:val="20"/>
                          </w:rPr>
                        </w:pPr>
                        <w:r w:rsidRPr="00ED2F52">
                          <w:rPr>
                            <w:color w:val="000000"/>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674839F1"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8E3D11A"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36D9CAA2" w14:textId="77777777">
                        <w:pPr>
                          <w:jc w:val="center"/>
                          <w:rPr>
                            <w:color w:val="000000"/>
                            <w:sz w:val="20"/>
                          </w:rPr>
                        </w:pPr>
                        <w:r w:rsidRPr="00ED2F52">
                          <w:rPr>
                            <w:color w:val="000000"/>
                            <w:sz w:val="20"/>
                          </w:rPr>
                          <w:t> </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5C3F69D0"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7CB3CEA" w14:textId="77777777">
                        <w:pPr>
                          <w:jc w:val="right"/>
                          <w:rPr>
                            <w:color w:val="000000"/>
                            <w:sz w:val="20"/>
                          </w:rPr>
                        </w:pPr>
                        <w:r w:rsidRPr="00ED2F52">
                          <w:rPr>
                            <w:color w:val="000000"/>
                            <w:sz w:val="20"/>
                          </w:rPr>
                          <w:t> </w:t>
                        </w:r>
                      </w:p>
                    </w:tc>
                  </w:tr>
                  <w:tr w14:paraId="6BD1CB44" w14:textId="77777777" w:rsidTr="00ED2F52">
                    <w:tblPrEx>
                      <w:tblW w:w="12720" w:type="dxa"/>
                      <w:tblLayout w:type="fixed"/>
                      <w:tblLook w:val="04A0"/>
                    </w:tblPrEx>
                    <w:trPr>
                      <w:trHeight w:val="52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7E700DBC" w14:textId="77777777">
                        <w:pPr>
                          <w:rPr>
                            <w:color w:val="000000"/>
                            <w:sz w:val="20"/>
                          </w:rPr>
                        </w:pPr>
                        <w:r w:rsidRPr="00ED2F52">
                          <w:rPr>
                            <w:color w:val="000000"/>
                            <w:sz w:val="20"/>
                          </w:rPr>
                          <w:t>C. Create Information (Included in 4B)</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2BCBE9B2"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48D12A01"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1B454820" w14:textId="77777777">
                        <w:pPr>
                          <w:jc w:val="right"/>
                          <w:rPr>
                            <w:color w:val="000000"/>
                            <w:sz w:val="20"/>
                          </w:rPr>
                        </w:pPr>
                        <w:r w:rsidRPr="00ED2F52">
                          <w:rPr>
                            <w:color w:val="000000"/>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4BECAC58"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19C9910"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7FA8E6A1" w14:textId="77777777">
                        <w:pPr>
                          <w:jc w:val="center"/>
                          <w:rPr>
                            <w:color w:val="000000"/>
                            <w:sz w:val="20"/>
                          </w:rPr>
                        </w:pPr>
                        <w:r w:rsidRPr="00ED2F52">
                          <w:rPr>
                            <w:color w:val="000000"/>
                            <w:sz w:val="20"/>
                          </w:rPr>
                          <w:t> </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0DA4BD4E"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3FF14E8" w14:textId="77777777">
                        <w:pPr>
                          <w:jc w:val="right"/>
                          <w:rPr>
                            <w:color w:val="000000"/>
                            <w:sz w:val="20"/>
                          </w:rPr>
                        </w:pPr>
                        <w:r w:rsidRPr="00ED2F52">
                          <w:rPr>
                            <w:color w:val="000000"/>
                            <w:sz w:val="20"/>
                          </w:rPr>
                          <w:t> </w:t>
                        </w:r>
                      </w:p>
                    </w:tc>
                  </w:tr>
                  <w:tr w14:paraId="1EF4517A" w14:textId="77777777" w:rsidTr="00ED2F52">
                    <w:tblPrEx>
                      <w:tblW w:w="12720" w:type="dxa"/>
                      <w:tblLayout w:type="fixed"/>
                      <w:tblLook w:val="04A0"/>
                    </w:tblPrEx>
                    <w:trPr>
                      <w:trHeight w:val="52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6A6FD860" w14:textId="77777777">
                        <w:pPr>
                          <w:rPr>
                            <w:color w:val="000000"/>
                            <w:sz w:val="20"/>
                          </w:rPr>
                        </w:pPr>
                        <w:r w:rsidRPr="00ED2F52">
                          <w:rPr>
                            <w:color w:val="000000"/>
                            <w:sz w:val="20"/>
                          </w:rPr>
                          <w:t>D. Gather Existing Information (Included in 4E)</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5FCCD1A2"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4F93303B"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5CAE355A" w14:textId="77777777">
                        <w:pPr>
                          <w:jc w:val="right"/>
                          <w:rPr>
                            <w:color w:val="000000"/>
                            <w:sz w:val="20"/>
                          </w:rPr>
                        </w:pPr>
                        <w:r w:rsidRPr="00ED2F52">
                          <w:rPr>
                            <w:color w:val="000000"/>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2241A972"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4C0E3588"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828884F" w14:textId="77777777">
                        <w:pPr>
                          <w:jc w:val="center"/>
                          <w:rPr>
                            <w:color w:val="000000"/>
                            <w:sz w:val="20"/>
                          </w:rPr>
                        </w:pPr>
                        <w:r w:rsidRPr="00ED2F52">
                          <w:rPr>
                            <w:color w:val="000000"/>
                            <w:sz w:val="20"/>
                          </w:rPr>
                          <w:t> </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260219BD"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39A235BC" w14:textId="77777777">
                        <w:pPr>
                          <w:jc w:val="right"/>
                          <w:rPr>
                            <w:color w:val="000000"/>
                            <w:sz w:val="20"/>
                          </w:rPr>
                        </w:pPr>
                        <w:r w:rsidRPr="00ED2F52">
                          <w:rPr>
                            <w:color w:val="000000"/>
                            <w:sz w:val="20"/>
                          </w:rPr>
                          <w:t> </w:t>
                        </w:r>
                      </w:p>
                    </w:tc>
                  </w:tr>
                  <w:tr w14:paraId="51D0AC0A" w14:textId="77777777" w:rsidTr="00ED2F52">
                    <w:tblPrEx>
                      <w:tblW w:w="12720" w:type="dxa"/>
                      <w:tblLayout w:type="fixed"/>
                      <w:tblLook w:val="04A0"/>
                    </w:tblPrEx>
                    <w:trPr>
                      <w:trHeight w:val="26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1DE6898B" w14:textId="77777777">
                        <w:pPr>
                          <w:rPr>
                            <w:color w:val="000000"/>
                            <w:sz w:val="20"/>
                          </w:rPr>
                        </w:pPr>
                        <w:r w:rsidRPr="00ED2F52">
                          <w:rPr>
                            <w:color w:val="000000"/>
                            <w:sz w:val="20"/>
                          </w:rPr>
                          <w:t>E. Write Report</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30375344" w14:textId="77777777">
                        <w:pPr>
                          <w:jc w:val="right"/>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55823344"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7EF59031" w14:textId="77777777">
                        <w:pPr>
                          <w:jc w:val="right"/>
                          <w:rPr>
                            <w:color w:val="000000"/>
                            <w:sz w:val="20"/>
                          </w:rPr>
                        </w:pPr>
                        <w:r w:rsidRPr="00ED2F52">
                          <w:rPr>
                            <w:color w:val="000000"/>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2DA9957F"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DD8FFFA"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68E107AA" w14:textId="77777777">
                        <w:pPr>
                          <w:jc w:val="center"/>
                          <w:rPr>
                            <w:color w:val="000000"/>
                            <w:sz w:val="20"/>
                          </w:rPr>
                        </w:pPr>
                        <w:r w:rsidRPr="00ED2F52">
                          <w:rPr>
                            <w:color w:val="000000"/>
                            <w:sz w:val="20"/>
                          </w:rPr>
                          <w:t> </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1BEFE98A"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DDF125F" w14:textId="77777777">
                        <w:pPr>
                          <w:jc w:val="right"/>
                          <w:rPr>
                            <w:color w:val="000000"/>
                            <w:sz w:val="20"/>
                          </w:rPr>
                        </w:pPr>
                        <w:r w:rsidRPr="00ED2F52">
                          <w:rPr>
                            <w:color w:val="000000"/>
                            <w:sz w:val="20"/>
                          </w:rPr>
                          <w:t> </w:t>
                        </w:r>
                      </w:p>
                    </w:tc>
                  </w:tr>
                  <w:tr w14:paraId="6224BAB5" w14:textId="77777777" w:rsidTr="00ED2F52">
                    <w:tblPrEx>
                      <w:tblW w:w="12720" w:type="dxa"/>
                      <w:tblLayout w:type="fixed"/>
                      <w:tblLook w:val="04A0"/>
                    </w:tblPrEx>
                    <w:trPr>
                      <w:trHeight w:val="26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4D64DA31" w14:textId="77777777">
                        <w:pPr>
                          <w:rPr>
                            <w:i/>
                            <w:iCs/>
                            <w:color w:val="000000"/>
                            <w:sz w:val="20"/>
                            <w:u w:val="single"/>
                          </w:rPr>
                        </w:pPr>
                        <w:r w:rsidRPr="00ED2F52">
                          <w:rPr>
                            <w:i/>
                            <w:iCs/>
                            <w:color w:val="000000"/>
                            <w:sz w:val="20"/>
                            <w:u w:val="single"/>
                          </w:rPr>
                          <w:t>New Sources-Reporting</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31136C7C"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51358CFD" w14:textId="77777777">
                        <w:pPr>
                          <w:jc w:val="center"/>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0E6EABBE" w14:textId="77777777">
                        <w:pPr>
                          <w:jc w:val="center"/>
                          <w:rPr>
                            <w:color w:val="000000"/>
                            <w:sz w:val="20"/>
                          </w:rPr>
                        </w:pPr>
                        <w:r w:rsidRPr="00ED2F52">
                          <w:rPr>
                            <w:color w:val="000000"/>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46BF45BB"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2E2E922"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46167ACB" w14:textId="77777777">
                        <w:pPr>
                          <w:jc w:val="center"/>
                          <w:rPr>
                            <w:color w:val="000000"/>
                            <w:sz w:val="20"/>
                          </w:rPr>
                        </w:pPr>
                        <w:r w:rsidRPr="00ED2F52">
                          <w:rPr>
                            <w:color w:val="000000"/>
                            <w:sz w:val="20"/>
                          </w:rPr>
                          <w:t> </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6771957C"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B80AACA" w14:textId="77777777">
                        <w:pPr>
                          <w:jc w:val="right"/>
                          <w:rPr>
                            <w:color w:val="000000"/>
                            <w:sz w:val="20"/>
                          </w:rPr>
                        </w:pPr>
                        <w:r w:rsidRPr="00ED2F52">
                          <w:rPr>
                            <w:color w:val="000000"/>
                            <w:sz w:val="20"/>
                          </w:rPr>
                          <w:t> </w:t>
                        </w:r>
                      </w:p>
                    </w:tc>
                  </w:tr>
                  <w:tr w14:paraId="66986142" w14:textId="77777777" w:rsidTr="00ED2F52">
                    <w:tblPrEx>
                      <w:tblW w:w="12720" w:type="dxa"/>
                      <w:tblLayout w:type="fixed"/>
                      <w:tblLook w:val="04A0"/>
                    </w:tblPrEx>
                    <w:trPr>
                      <w:trHeight w:val="57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361B9BDA" w14:textId="77777777">
                        <w:pPr>
                          <w:rPr>
                            <w:color w:val="000000"/>
                            <w:sz w:val="20"/>
                          </w:rPr>
                        </w:pPr>
                        <w:r w:rsidRPr="00ED2F52">
                          <w:rPr>
                            <w:color w:val="000000"/>
                            <w:sz w:val="20"/>
                          </w:rPr>
                          <w:t>Notification of Initial Performance Test</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5C36DBD3"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3F9C217E"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3BDB191" w14:textId="77777777">
                        <w:pPr>
                          <w:jc w:val="center"/>
                          <w:rPr>
                            <w:color w:val="000000"/>
                            <w:sz w:val="20"/>
                          </w:rPr>
                        </w:pPr>
                        <w:r w:rsidRPr="00ED2F52">
                          <w:rPr>
                            <w:color w:val="000000"/>
                            <w:sz w:val="20"/>
                          </w:rPr>
                          <w:t>0</w:t>
                        </w:r>
                      </w:p>
                    </w:tc>
                    <w:tc>
                      <w:tcPr>
                        <w:tcW w:w="12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7F51FCDC"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75E876D"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07E0BAE" w14:textId="77777777">
                        <w:pPr>
                          <w:jc w:val="center"/>
                          <w:rPr>
                            <w:color w:val="000000"/>
                            <w:sz w:val="20"/>
                          </w:rPr>
                        </w:pPr>
                        <w:r w:rsidRPr="00ED2F52">
                          <w:rPr>
                            <w:color w:val="000000"/>
                            <w:sz w:val="20"/>
                          </w:rPr>
                          <w:t>0</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0E92FD10"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3803030A" w14:textId="77777777">
                        <w:pPr>
                          <w:jc w:val="right"/>
                          <w:rPr>
                            <w:color w:val="000000"/>
                            <w:sz w:val="20"/>
                          </w:rPr>
                        </w:pPr>
                        <w:r w:rsidRPr="00ED2F52">
                          <w:rPr>
                            <w:color w:val="000000"/>
                            <w:sz w:val="20"/>
                          </w:rPr>
                          <w:t xml:space="preserve">$0.00 </w:t>
                        </w:r>
                      </w:p>
                    </w:tc>
                  </w:tr>
                  <w:tr w14:paraId="6B31CCCE" w14:textId="77777777" w:rsidTr="00ED2F52">
                    <w:tblPrEx>
                      <w:tblW w:w="12720" w:type="dxa"/>
                      <w:tblLayout w:type="fixed"/>
                      <w:tblLook w:val="04A0"/>
                    </w:tblPrEx>
                    <w:trPr>
                      <w:trHeight w:val="78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7ED81DE1" w14:textId="77777777">
                        <w:pPr>
                          <w:rPr>
                            <w:color w:val="000000"/>
                            <w:sz w:val="20"/>
                          </w:rPr>
                        </w:pPr>
                        <w:r w:rsidRPr="00ED2F52">
                          <w:rPr>
                            <w:color w:val="000000"/>
                            <w:sz w:val="20"/>
                          </w:rPr>
                          <w:t>Report of Performance Tests submitted via CEDRI or analogous electronic reporting</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43FF3913"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313D5CF4"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1A23C852" w14:textId="77777777">
                        <w:pPr>
                          <w:jc w:val="center"/>
                          <w:rPr>
                            <w:color w:val="000000"/>
                            <w:sz w:val="20"/>
                          </w:rPr>
                        </w:pPr>
                        <w:r w:rsidRPr="00ED2F52">
                          <w:rPr>
                            <w:color w:val="000000"/>
                            <w:sz w:val="20"/>
                          </w:rPr>
                          <w:t>0</w:t>
                        </w:r>
                      </w:p>
                    </w:tc>
                    <w:tc>
                      <w:tcPr>
                        <w:tcW w:w="12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69C8B6CC"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419951D"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747A4DAD" w14:textId="77777777">
                        <w:pPr>
                          <w:jc w:val="center"/>
                          <w:rPr>
                            <w:color w:val="000000"/>
                            <w:sz w:val="20"/>
                          </w:rPr>
                        </w:pPr>
                        <w:r w:rsidRPr="00ED2F52">
                          <w:rPr>
                            <w:color w:val="000000"/>
                            <w:sz w:val="20"/>
                          </w:rPr>
                          <w:t>0</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1302E561"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712673B5" w14:textId="77777777">
                        <w:pPr>
                          <w:jc w:val="right"/>
                          <w:rPr>
                            <w:color w:val="000000"/>
                            <w:sz w:val="20"/>
                          </w:rPr>
                        </w:pPr>
                        <w:r w:rsidRPr="00ED2F52">
                          <w:rPr>
                            <w:color w:val="000000"/>
                            <w:sz w:val="20"/>
                          </w:rPr>
                          <w:t xml:space="preserve">$0.00 </w:t>
                        </w:r>
                      </w:p>
                    </w:tc>
                  </w:tr>
                  <w:tr w14:paraId="3792405F" w14:textId="77777777" w:rsidTr="00ED2F52">
                    <w:tblPrEx>
                      <w:tblW w:w="12720" w:type="dxa"/>
                      <w:tblLayout w:type="fixed"/>
                      <w:tblLook w:val="04A0"/>
                    </w:tblPrEx>
                    <w:trPr>
                      <w:trHeight w:val="52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708AE3F5" w14:textId="77777777">
                        <w:pPr>
                          <w:rPr>
                            <w:color w:val="000000"/>
                            <w:sz w:val="20"/>
                          </w:rPr>
                        </w:pPr>
                        <w:r w:rsidRPr="00ED2F52">
                          <w:rPr>
                            <w:color w:val="000000"/>
                            <w:sz w:val="20"/>
                          </w:rPr>
                          <w:t>Notification of Demonstration of CPMS</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1B582837"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200B8359"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74BABE1A" w14:textId="77777777">
                        <w:pPr>
                          <w:jc w:val="center"/>
                          <w:rPr>
                            <w:color w:val="000000"/>
                            <w:sz w:val="20"/>
                          </w:rPr>
                        </w:pPr>
                        <w:r w:rsidRPr="00ED2F52">
                          <w:rPr>
                            <w:color w:val="000000"/>
                            <w:sz w:val="20"/>
                          </w:rPr>
                          <w:t>0</w:t>
                        </w:r>
                      </w:p>
                    </w:tc>
                    <w:tc>
                      <w:tcPr>
                        <w:tcW w:w="12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3B1BE44E"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8125DBA"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33A276CC" w14:textId="77777777">
                        <w:pPr>
                          <w:jc w:val="center"/>
                          <w:rPr>
                            <w:color w:val="000000"/>
                            <w:sz w:val="20"/>
                          </w:rPr>
                        </w:pPr>
                        <w:r w:rsidRPr="00ED2F52">
                          <w:rPr>
                            <w:color w:val="000000"/>
                            <w:sz w:val="20"/>
                          </w:rPr>
                          <w:t>0</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7AB43BDC"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6F695943" w14:textId="77777777">
                        <w:pPr>
                          <w:jc w:val="right"/>
                          <w:rPr>
                            <w:color w:val="000000"/>
                            <w:sz w:val="20"/>
                          </w:rPr>
                        </w:pPr>
                        <w:r w:rsidRPr="00ED2F52">
                          <w:rPr>
                            <w:color w:val="000000"/>
                            <w:sz w:val="20"/>
                          </w:rPr>
                          <w:t xml:space="preserve">$0.00 </w:t>
                        </w:r>
                      </w:p>
                    </w:tc>
                  </w:tr>
                  <w:tr w14:paraId="3303BD9B" w14:textId="77777777" w:rsidTr="00ED2F52">
                    <w:tblPrEx>
                      <w:tblW w:w="12720" w:type="dxa"/>
                      <w:tblLayout w:type="fixed"/>
                      <w:tblLook w:val="04A0"/>
                    </w:tblPrEx>
                    <w:trPr>
                      <w:trHeight w:val="52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00BC5F0C" w14:textId="77777777">
                        <w:pPr>
                          <w:rPr>
                            <w:color w:val="000000"/>
                            <w:sz w:val="20"/>
                          </w:rPr>
                        </w:pPr>
                        <w:r w:rsidRPr="00ED2F52">
                          <w:rPr>
                            <w:color w:val="000000"/>
                            <w:sz w:val="20"/>
                          </w:rPr>
                          <w:t>Notification of Initial Performance Evaluation of CPMS</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5596FD5D"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1C82C6DC"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0139E57" w14:textId="77777777">
                        <w:pPr>
                          <w:jc w:val="center"/>
                          <w:rPr>
                            <w:color w:val="000000"/>
                            <w:sz w:val="20"/>
                          </w:rPr>
                        </w:pPr>
                        <w:r w:rsidRPr="00ED2F52">
                          <w:rPr>
                            <w:color w:val="000000"/>
                            <w:sz w:val="20"/>
                          </w:rPr>
                          <w:t>0</w:t>
                        </w:r>
                      </w:p>
                    </w:tc>
                    <w:tc>
                      <w:tcPr>
                        <w:tcW w:w="12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6BAE6730"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1CB998BF"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1725980D" w14:textId="77777777">
                        <w:pPr>
                          <w:jc w:val="center"/>
                          <w:rPr>
                            <w:color w:val="000000"/>
                            <w:sz w:val="20"/>
                          </w:rPr>
                        </w:pPr>
                        <w:r w:rsidRPr="00ED2F52">
                          <w:rPr>
                            <w:color w:val="000000"/>
                            <w:sz w:val="20"/>
                          </w:rPr>
                          <w:t>0</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1846FB33"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761F8A26" w14:textId="77777777">
                        <w:pPr>
                          <w:jc w:val="right"/>
                          <w:rPr>
                            <w:color w:val="000000"/>
                            <w:sz w:val="20"/>
                          </w:rPr>
                        </w:pPr>
                        <w:r w:rsidRPr="00ED2F52">
                          <w:rPr>
                            <w:color w:val="000000"/>
                            <w:sz w:val="20"/>
                          </w:rPr>
                          <w:t xml:space="preserve">$0.00 </w:t>
                        </w:r>
                      </w:p>
                    </w:tc>
                  </w:tr>
                  <w:tr w14:paraId="7842D139" w14:textId="77777777" w:rsidTr="00ED2F52">
                    <w:tblPrEx>
                      <w:tblW w:w="12720" w:type="dxa"/>
                      <w:tblLayout w:type="fixed"/>
                      <w:tblLook w:val="04A0"/>
                    </w:tblPrEx>
                    <w:trPr>
                      <w:trHeight w:val="52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318DA911" w14:textId="77777777">
                        <w:pPr>
                          <w:rPr>
                            <w:color w:val="000000"/>
                            <w:sz w:val="20"/>
                          </w:rPr>
                        </w:pPr>
                        <w:r w:rsidRPr="00ED2F52">
                          <w:rPr>
                            <w:color w:val="000000"/>
                            <w:sz w:val="20"/>
                          </w:rPr>
                          <w:t>Report of Performance Evaluation of CPMS</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229BCF23"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4E664303"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4425A700" w14:textId="77777777">
                        <w:pPr>
                          <w:jc w:val="center"/>
                          <w:rPr>
                            <w:color w:val="000000"/>
                            <w:sz w:val="20"/>
                          </w:rPr>
                        </w:pPr>
                        <w:r w:rsidRPr="00ED2F52">
                          <w:rPr>
                            <w:color w:val="000000"/>
                            <w:sz w:val="20"/>
                          </w:rPr>
                          <w:t>0</w:t>
                        </w:r>
                      </w:p>
                    </w:tc>
                    <w:tc>
                      <w:tcPr>
                        <w:tcW w:w="12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73848DD4"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F41EE42"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F5E37B6" w14:textId="77777777">
                        <w:pPr>
                          <w:jc w:val="center"/>
                          <w:rPr>
                            <w:color w:val="000000"/>
                            <w:sz w:val="20"/>
                          </w:rPr>
                        </w:pPr>
                        <w:r w:rsidRPr="00ED2F52">
                          <w:rPr>
                            <w:color w:val="000000"/>
                            <w:sz w:val="20"/>
                          </w:rPr>
                          <w:t>0</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3C8C23E0"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67490B49" w14:textId="77777777">
                        <w:pPr>
                          <w:jc w:val="right"/>
                          <w:rPr>
                            <w:color w:val="000000"/>
                            <w:sz w:val="20"/>
                          </w:rPr>
                        </w:pPr>
                        <w:r w:rsidRPr="00ED2F52">
                          <w:rPr>
                            <w:color w:val="000000"/>
                            <w:sz w:val="20"/>
                          </w:rPr>
                          <w:t xml:space="preserve">$0.00 </w:t>
                        </w:r>
                      </w:p>
                    </w:tc>
                  </w:tr>
                  <w:tr w14:paraId="5C9CDFEB" w14:textId="77777777" w:rsidTr="00ED2F52">
                    <w:tblPrEx>
                      <w:tblW w:w="12720" w:type="dxa"/>
                      <w:tblLayout w:type="fixed"/>
                      <w:tblLook w:val="04A0"/>
                    </w:tblPrEx>
                    <w:trPr>
                      <w:trHeight w:val="26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36617284" w14:textId="77777777">
                        <w:pPr>
                          <w:rPr>
                            <w:i/>
                            <w:iCs/>
                            <w:color w:val="000000"/>
                            <w:sz w:val="20"/>
                            <w:u w:val="single"/>
                          </w:rPr>
                        </w:pPr>
                        <w:r w:rsidRPr="00ED2F52">
                          <w:rPr>
                            <w:i/>
                            <w:iCs/>
                            <w:color w:val="000000"/>
                            <w:sz w:val="20"/>
                            <w:u w:val="single"/>
                          </w:rPr>
                          <w:t>Existing Sources-Reporting</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537300B4" w14:textId="77777777">
                        <w:pPr>
                          <w:jc w:val="right"/>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7DEECF8E"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4D9D7671" w14:textId="77777777">
                        <w:pPr>
                          <w:jc w:val="right"/>
                          <w:rPr>
                            <w:color w:val="000000"/>
                            <w:sz w:val="20"/>
                          </w:rPr>
                        </w:pPr>
                        <w:r w:rsidRPr="00ED2F52">
                          <w:rPr>
                            <w:color w:val="000000"/>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2CD5B0A2"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1CE5F9B1"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3DA8AFAD" w14:textId="77777777">
                        <w:pPr>
                          <w:jc w:val="right"/>
                          <w:rPr>
                            <w:color w:val="000000"/>
                            <w:sz w:val="20"/>
                          </w:rPr>
                        </w:pPr>
                        <w:r w:rsidRPr="00ED2F52">
                          <w:rPr>
                            <w:color w:val="000000"/>
                            <w:sz w:val="20"/>
                          </w:rPr>
                          <w:t> </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0B68586B"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3D14A8CF" w14:textId="77777777">
                        <w:pPr>
                          <w:jc w:val="right"/>
                          <w:rPr>
                            <w:color w:val="000000"/>
                            <w:sz w:val="20"/>
                          </w:rPr>
                        </w:pPr>
                        <w:r w:rsidRPr="00ED2F52">
                          <w:rPr>
                            <w:color w:val="000000"/>
                            <w:sz w:val="20"/>
                          </w:rPr>
                          <w:t> </w:t>
                        </w:r>
                      </w:p>
                    </w:tc>
                  </w:tr>
                  <w:tr w14:paraId="102E845C" w14:textId="77777777" w:rsidTr="00ED2F52">
                    <w:tblPrEx>
                      <w:tblW w:w="12720" w:type="dxa"/>
                      <w:tblLayout w:type="fixed"/>
                      <w:tblLook w:val="04A0"/>
                    </w:tblPrEx>
                    <w:trPr>
                      <w:trHeight w:val="52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09472898" w14:textId="77777777">
                        <w:pPr>
                          <w:rPr>
                            <w:color w:val="000000"/>
                            <w:sz w:val="20"/>
                          </w:rPr>
                        </w:pPr>
                        <w:r w:rsidRPr="00ED2F52">
                          <w:rPr>
                            <w:color w:val="000000"/>
                            <w:sz w:val="20"/>
                          </w:rPr>
                          <w:t>Notification of Annual Performance Test</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09ED0A1E"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65A9CB88"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3DF207CF" w14:textId="77777777">
                        <w:pPr>
                          <w:jc w:val="center"/>
                          <w:rPr>
                            <w:color w:val="000000"/>
                            <w:sz w:val="20"/>
                          </w:rPr>
                        </w:pPr>
                        <w:r w:rsidRPr="00ED2F52">
                          <w:rPr>
                            <w:color w:val="000000"/>
                            <w:sz w:val="20"/>
                          </w:rPr>
                          <w:t>0</w:t>
                        </w:r>
                      </w:p>
                    </w:tc>
                    <w:tc>
                      <w:tcPr>
                        <w:tcW w:w="12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09225D27"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65C698D"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24A0B89" w14:textId="77777777">
                        <w:pPr>
                          <w:jc w:val="center"/>
                          <w:rPr>
                            <w:color w:val="000000"/>
                            <w:sz w:val="20"/>
                          </w:rPr>
                        </w:pPr>
                        <w:r w:rsidRPr="00ED2F52">
                          <w:rPr>
                            <w:color w:val="000000"/>
                            <w:sz w:val="20"/>
                          </w:rPr>
                          <w:t>0</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0DA93AEC"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30463365" w14:textId="77777777">
                        <w:pPr>
                          <w:jc w:val="right"/>
                          <w:rPr>
                            <w:color w:val="000000"/>
                            <w:sz w:val="20"/>
                          </w:rPr>
                        </w:pPr>
                        <w:r w:rsidRPr="00ED2F52">
                          <w:rPr>
                            <w:color w:val="000000"/>
                            <w:sz w:val="20"/>
                          </w:rPr>
                          <w:t xml:space="preserve">$0.00 </w:t>
                        </w:r>
                      </w:p>
                    </w:tc>
                  </w:tr>
                  <w:tr w14:paraId="3752AE80" w14:textId="77777777" w:rsidTr="00ED2F52">
                    <w:tblPrEx>
                      <w:tblW w:w="12720" w:type="dxa"/>
                      <w:tblLayout w:type="fixed"/>
                      <w:tblLook w:val="04A0"/>
                    </w:tblPrEx>
                    <w:trPr>
                      <w:trHeight w:val="78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639868A7" w14:textId="77777777">
                        <w:pPr>
                          <w:rPr>
                            <w:color w:val="000000"/>
                            <w:sz w:val="20"/>
                          </w:rPr>
                        </w:pPr>
                        <w:r w:rsidRPr="00ED2F52">
                          <w:rPr>
                            <w:color w:val="000000"/>
                            <w:sz w:val="20"/>
                          </w:rPr>
                          <w:t>Report of Annual Performance Test Results submitted via CEDRI or analogous electronic reporting</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68F3C773"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6B377F7C"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4B22A9CA" w14:textId="77777777">
                        <w:pPr>
                          <w:jc w:val="center"/>
                          <w:rPr>
                            <w:color w:val="000000"/>
                            <w:sz w:val="20"/>
                          </w:rPr>
                        </w:pPr>
                        <w:r w:rsidRPr="00ED2F52">
                          <w:rPr>
                            <w:color w:val="000000"/>
                            <w:sz w:val="20"/>
                          </w:rPr>
                          <w:t>0</w:t>
                        </w:r>
                      </w:p>
                    </w:tc>
                    <w:tc>
                      <w:tcPr>
                        <w:tcW w:w="12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0BD87A09"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ACE61F9"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A913180" w14:textId="77777777">
                        <w:pPr>
                          <w:jc w:val="center"/>
                          <w:rPr>
                            <w:color w:val="000000"/>
                            <w:sz w:val="20"/>
                          </w:rPr>
                        </w:pPr>
                        <w:r w:rsidRPr="00ED2F52">
                          <w:rPr>
                            <w:color w:val="000000"/>
                            <w:sz w:val="20"/>
                          </w:rPr>
                          <w:t>0</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1F24BD24"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F78C60C" w14:textId="77777777">
                        <w:pPr>
                          <w:jc w:val="right"/>
                          <w:rPr>
                            <w:color w:val="000000"/>
                            <w:sz w:val="20"/>
                          </w:rPr>
                        </w:pPr>
                        <w:r w:rsidRPr="00ED2F52">
                          <w:rPr>
                            <w:color w:val="000000"/>
                            <w:sz w:val="20"/>
                          </w:rPr>
                          <w:t xml:space="preserve">$0.00 </w:t>
                        </w:r>
                      </w:p>
                    </w:tc>
                  </w:tr>
                  <w:tr w14:paraId="24E5F3E7" w14:textId="77777777" w:rsidTr="00ED2F52">
                    <w:tblPrEx>
                      <w:tblW w:w="12720" w:type="dxa"/>
                      <w:tblLayout w:type="fixed"/>
                      <w:tblLook w:val="04A0"/>
                    </w:tblPrEx>
                    <w:trPr>
                      <w:trHeight w:val="52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79FD2CCD" w14:textId="77777777">
                        <w:pPr>
                          <w:rPr>
                            <w:color w:val="000000"/>
                            <w:sz w:val="20"/>
                          </w:rPr>
                        </w:pPr>
                        <w:r w:rsidRPr="00ED2F52">
                          <w:rPr>
                            <w:color w:val="000000"/>
                            <w:sz w:val="20"/>
                          </w:rPr>
                          <w:t>Notification of Demonstration of CEMS</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00ACBF8B"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7E3CEFC4"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02C71BDB" w14:textId="77777777">
                        <w:pPr>
                          <w:jc w:val="center"/>
                          <w:rPr>
                            <w:color w:val="000000"/>
                            <w:sz w:val="20"/>
                          </w:rPr>
                        </w:pPr>
                        <w:r w:rsidRPr="00ED2F52">
                          <w:rPr>
                            <w:color w:val="000000"/>
                            <w:sz w:val="20"/>
                          </w:rPr>
                          <w:t>0</w:t>
                        </w:r>
                      </w:p>
                    </w:tc>
                    <w:tc>
                      <w:tcPr>
                        <w:tcW w:w="12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2B8463EC"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10FA1388"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64CBF4C3" w14:textId="77777777">
                        <w:pPr>
                          <w:jc w:val="center"/>
                          <w:rPr>
                            <w:color w:val="000000"/>
                            <w:sz w:val="20"/>
                          </w:rPr>
                        </w:pPr>
                        <w:r w:rsidRPr="00ED2F52">
                          <w:rPr>
                            <w:color w:val="000000"/>
                            <w:sz w:val="20"/>
                          </w:rPr>
                          <w:t>0</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7F79CB0E"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7E6FDFB4" w14:textId="77777777">
                        <w:pPr>
                          <w:jc w:val="right"/>
                          <w:rPr>
                            <w:color w:val="000000"/>
                            <w:sz w:val="20"/>
                          </w:rPr>
                        </w:pPr>
                        <w:r w:rsidRPr="00ED2F52">
                          <w:rPr>
                            <w:color w:val="000000"/>
                            <w:sz w:val="20"/>
                          </w:rPr>
                          <w:t xml:space="preserve">$0.00 </w:t>
                        </w:r>
                      </w:p>
                    </w:tc>
                  </w:tr>
                  <w:tr w14:paraId="58E6F16E" w14:textId="77777777" w:rsidTr="00ED2F52">
                    <w:tblPrEx>
                      <w:tblW w:w="12720" w:type="dxa"/>
                      <w:tblLayout w:type="fixed"/>
                      <w:tblLook w:val="04A0"/>
                    </w:tblPrEx>
                    <w:trPr>
                      <w:trHeight w:val="52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24CAB3F8" w14:textId="77777777">
                        <w:pPr>
                          <w:rPr>
                            <w:color w:val="000000"/>
                            <w:sz w:val="20"/>
                          </w:rPr>
                        </w:pPr>
                        <w:r w:rsidRPr="00ED2F52">
                          <w:rPr>
                            <w:color w:val="000000"/>
                            <w:sz w:val="20"/>
                          </w:rPr>
                          <w:t>Notification of Initial Performance Evaluation of CPMS</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0F66FCC6"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7CFBFCEF"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A236830" w14:textId="77777777">
                        <w:pPr>
                          <w:jc w:val="center"/>
                          <w:rPr>
                            <w:color w:val="000000"/>
                            <w:sz w:val="20"/>
                          </w:rPr>
                        </w:pPr>
                        <w:r w:rsidRPr="00ED2F52">
                          <w:rPr>
                            <w:color w:val="000000"/>
                            <w:sz w:val="20"/>
                          </w:rPr>
                          <w:t>0</w:t>
                        </w:r>
                      </w:p>
                    </w:tc>
                    <w:tc>
                      <w:tcPr>
                        <w:tcW w:w="12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6B60F3F1"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17B6415"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75BB3319" w14:textId="77777777">
                        <w:pPr>
                          <w:jc w:val="center"/>
                          <w:rPr>
                            <w:color w:val="000000"/>
                            <w:sz w:val="20"/>
                          </w:rPr>
                        </w:pPr>
                        <w:r w:rsidRPr="00ED2F52">
                          <w:rPr>
                            <w:color w:val="000000"/>
                            <w:sz w:val="20"/>
                          </w:rPr>
                          <w:t>0</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29A42C23"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1A3E08DE" w14:textId="77777777">
                        <w:pPr>
                          <w:jc w:val="right"/>
                          <w:rPr>
                            <w:color w:val="000000"/>
                            <w:sz w:val="20"/>
                          </w:rPr>
                        </w:pPr>
                        <w:r w:rsidRPr="00ED2F52">
                          <w:rPr>
                            <w:color w:val="000000"/>
                            <w:sz w:val="20"/>
                          </w:rPr>
                          <w:t xml:space="preserve">$0.00 </w:t>
                        </w:r>
                      </w:p>
                    </w:tc>
                  </w:tr>
                  <w:tr w14:paraId="05EEA50C" w14:textId="77777777" w:rsidTr="00ED2F52">
                    <w:tblPrEx>
                      <w:tblW w:w="12720" w:type="dxa"/>
                      <w:tblLayout w:type="fixed"/>
                      <w:tblLook w:val="04A0"/>
                    </w:tblPrEx>
                    <w:trPr>
                      <w:trHeight w:val="52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2EC8FF6D" w14:textId="77777777">
                        <w:pPr>
                          <w:rPr>
                            <w:color w:val="000000"/>
                            <w:sz w:val="20"/>
                          </w:rPr>
                        </w:pPr>
                        <w:r w:rsidRPr="00ED2F52">
                          <w:rPr>
                            <w:color w:val="000000"/>
                            <w:sz w:val="20"/>
                          </w:rPr>
                          <w:t>Report of Initial Performance Evaluation of CPMS Test Results</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6FFBB2BD"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2604FB11"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28207F23" w14:textId="77777777">
                        <w:pPr>
                          <w:jc w:val="center"/>
                          <w:rPr>
                            <w:color w:val="000000"/>
                            <w:sz w:val="20"/>
                          </w:rPr>
                        </w:pPr>
                        <w:r w:rsidRPr="00ED2F52">
                          <w:rPr>
                            <w:color w:val="000000"/>
                            <w:sz w:val="20"/>
                          </w:rPr>
                          <w:t>0</w:t>
                        </w:r>
                      </w:p>
                    </w:tc>
                    <w:tc>
                      <w:tcPr>
                        <w:tcW w:w="12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01BA31E4"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F18B8F0"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27BC979" w14:textId="77777777">
                        <w:pPr>
                          <w:jc w:val="center"/>
                          <w:rPr>
                            <w:color w:val="000000"/>
                            <w:sz w:val="20"/>
                          </w:rPr>
                        </w:pPr>
                        <w:r w:rsidRPr="00ED2F52">
                          <w:rPr>
                            <w:color w:val="000000"/>
                            <w:sz w:val="20"/>
                          </w:rPr>
                          <w:t>0</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71ED0238"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C7B0153" w14:textId="77777777">
                        <w:pPr>
                          <w:jc w:val="right"/>
                          <w:rPr>
                            <w:color w:val="000000"/>
                            <w:sz w:val="20"/>
                          </w:rPr>
                        </w:pPr>
                        <w:r w:rsidRPr="00ED2F52">
                          <w:rPr>
                            <w:color w:val="000000"/>
                            <w:sz w:val="20"/>
                          </w:rPr>
                          <w:t xml:space="preserve">$0.00 </w:t>
                        </w:r>
                      </w:p>
                    </w:tc>
                  </w:tr>
                  <w:tr w14:paraId="11A1D8DC" w14:textId="77777777" w:rsidTr="00ED2F52">
                    <w:tblPrEx>
                      <w:tblW w:w="12720" w:type="dxa"/>
                      <w:tblLayout w:type="fixed"/>
                      <w:tblLook w:val="04A0"/>
                    </w:tblPrEx>
                    <w:trPr>
                      <w:trHeight w:val="26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2F3E734F" w14:textId="77777777">
                        <w:pPr>
                          <w:rPr>
                            <w:color w:val="000000"/>
                            <w:sz w:val="20"/>
                          </w:rPr>
                        </w:pPr>
                        <w:r w:rsidRPr="00ED2F52">
                          <w:rPr>
                            <w:color w:val="000000"/>
                            <w:sz w:val="20"/>
                          </w:rPr>
                          <w:t> </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09DA6F26"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1BE6C94B" w14:textId="77777777">
                        <w:pPr>
                          <w:jc w:val="center"/>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7FC4F678" w14:textId="77777777">
                        <w:pPr>
                          <w:jc w:val="center"/>
                          <w:rPr>
                            <w:color w:val="000000"/>
                            <w:sz w:val="20"/>
                          </w:rPr>
                        </w:pPr>
                        <w:r w:rsidRPr="00ED2F52">
                          <w:rPr>
                            <w:color w:val="000000"/>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42304A96"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1AA3309"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0974B23F" w14:textId="77777777">
                        <w:pPr>
                          <w:jc w:val="center"/>
                          <w:rPr>
                            <w:color w:val="000000"/>
                            <w:sz w:val="20"/>
                          </w:rPr>
                        </w:pPr>
                        <w:r w:rsidRPr="00ED2F52">
                          <w:rPr>
                            <w:color w:val="000000"/>
                            <w:sz w:val="20"/>
                          </w:rPr>
                          <w:t> </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5CE6C36C"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1BE3EA57" w14:textId="77777777">
                        <w:pPr>
                          <w:jc w:val="right"/>
                          <w:rPr>
                            <w:color w:val="000000"/>
                            <w:sz w:val="20"/>
                          </w:rPr>
                        </w:pPr>
                        <w:r w:rsidRPr="00ED2F52">
                          <w:rPr>
                            <w:color w:val="000000"/>
                            <w:sz w:val="20"/>
                          </w:rPr>
                          <w:t> </w:t>
                        </w:r>
                      </w:p>
                    </w:tc>
                  </w:tr>
                  <w:tr w14:paraId="13D216E1" w14:textId="77777777" w:rsidTr="00ED2F52">
                    <w:tblPrEx>
                      <w:tblW w:w="12720" w:type="dxa"/>
                      <w:tblLayout w:type="fixed"/>
                      <w:tblLook w:val="04A0"/>
                    </w:tblPrEx>
                    <w:trPr>
                      <w:trHeight w:val="53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09092DD1" w14:textId="77777777">
                        <w:pPr>
                          <w:rPr>
                            <w:b/>
                            <w:bCs/>
                            <w:i/>
                            <w:iCs/>
                            <w:color w:val="000000"/>
                            <w:sz w:val="20"/>
                          </w:rPr>
                        </w:pPr>
                        <w:r w:rsidRPr="00ED2F52">
                          <w:rPr>
                            <w:b/>
                            <w:bCs/>
                            <w:i/>
                            <w:iCs/>
                            <w:color w:val="000000"/>
                            <w:sz w:val="20"/>
                          </w:rPr>
                          <w:t>Subtotal for Reporting Requirements</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402F5FC0" w14:textId="77777777">
                        <w:pPr>
                          <w:jc w:val="right"/>
                          <w:rPr>
                            <w:b/>
                            <w:bCs/>
                            <w:i/>
                            <w:iCs/>
                            <w:color w:val="000000"/>
                            <w:sz w:val="20"/>
                          </w:rPr>
                        </w:pPr>
                        <w:r w:rsidRPr="00ED2F52">
                          <w:rPr>
                            <w:b/>
                            <w:bCs/>
                            <w:i/>
                            <w:i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747924C2" w14:textId="77777777">
                        <w:pPr>
                          <w:jc w:val="right"/>
                          <w:rPr>
                            <w:b/>
                            <w:bCs/>
                            <w:i/>
                            <w:iCs/>
                            <w:sz w:val="20"/>
                          </w:rPr>
                        </w:pPr>
                        <w:r w:rsidRPr="00ED2F52">
                          <w:rPr>
                            <w:b/>
                            <w:bCs/>
                            <w:i/>
                            <w:i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68428C6" w14:textId="77777777">
                        <w:pPr>
                          <w:jc w:val="right"/>
                          <w:rPr>
                            <w:b/>
                            <w:bCs/>
                            <w:i/>
                            <w:iCs/>
                            <w:color w:val="000000"/>
                            <w:sz w:val="20"/>
                          </w:rPr>
                        </w:pPr>
                        <w:r w:rsidRPr="00ED2F52">
                          <w:rPr>
                            <w:b/>
                            <w:bCs/>
                            <w:i/>
                            <w:iCs/>
                            <w:color w:val="000000"/>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771D2F55" w14:textId="77777777">
                        <w:pPr>
                          <w:jc w:val="right"/>
                          <w:rPr>
                            <w:b/>
                            <w:bCs/>
                            <w:i/>
                            <w:iCs/>
                            <w:sz w:val="20"/>
                          </w:rPr>
                        </w:pPr>
                        <w:r w:rsidRPr="00ED2F52">
                          <w:rPr>
                            <w:b/>
                            <w:bCs/>
                            <w:i/>
                            <w:iCs/>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5ADD64D" w14:textId="77777777">
                        <w:pPr>
                          <w:jc w:val="center"/>
                          <w:rPr>
                            <w:b/>
                            <w:bCs/>
                            <w:i/>
                            <w:iCs/>
                            <w:color w:val="000000"/>
                            <w:sz w:val="20"/>
                          </w:rPr>
                        </w:pPr>
                        <w:r w:rsidRPr="00ED2F52">
                          <w:rPr>
                            <w:b/>
                            <w:bCs/>
                            <w:i/>
                            <w:iCs/>
                            <w:color w:val="000000"/>
                            <w:sz w:val="20"/>
                          </w:rPr>
                          <w:t>1,179</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69031CB7" w14:textId="77777777">
                        <w:pPr>
                          <w:jc w:val="center"/>
                          <w:rPr>
                            <w:b/>
                            <w:bCs/>
                            <w:i/>
                            <w:iCs/>
                            <w:color w:val="000000"/>
                            <w:sz w:val="20"/>
                          </w:rPr>
                        </w:pPr>
                        <w:r w:rsidRPr="00ED2F52">
                          <w:rPr>
                            <w:b/>
                            <w:bCs/>
                            <w:i/>
                            <w:iCs/>
                            <w:color w:val="000000"/>
                            <w:sz w:val="20"/>
                          </w:rPr>
                          <w:t> </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37718308" w14:textId="77777777">
                        <w:pPr>
                          <w:jc w:val="center"/>
                          <w:rPr>
                            <w:b/>
                            <w:bCs/>
                            <w:i/>
                            <w:iCs/>
                            <w:color w:val="000000"/>
                            <w:sz w:val="20"/>
                          </w:rPr>
                        </w:pPr>
                        <w:r w:rsidRPr="00ED2F52">
                          <w:rPr>
                            <w:b/>
                            <w:bCs/>
                            <w:i/>
                            <w:iCs/>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18BC88A0" w14:textId="77777777">
                        <w:pPr>
                          <w:jc w:val="right"/>
                          <w:rPr>
                            <w:b/>
                            <w:bCs/>
                            <w:i/>
                            <w:iCs/>
                            <w:color w:val="000000"/>
                            <w:sz w:val="20"/>
                          </w:rPr>
                        </w:pPr>
                        <w:r w:rsidRPr="00ED2F52">
                          <w:rPr>
                            <w:b/>
                            <w:bCs/>
                            <w:i/>
                            <w:iCs/>
                            <w:color w:val="000000"/>
                            <w:sz w:val="20"/>
                          </w:rPr>
                          <w:t xml:space="preserve">$145,751 </w:t>
                        </w:r>
                      </w:p>
                    </w:tc>
                  </w:tr>
                  <w:tr w14:paraId="00A8A850" w14:textId="77777777" w:rsidTr="00ED2F52">
                    <w:tblPrEx>
                      <w:tblW w:w="12720" w:type="dxa"/>
                      <w:tblLayout w:type="fixed"/>
                      <w:tblLook w:val="04A0"/>
                    </w:tblPrEx>
                    <w:trPr>
                      <w:trHeight w:val="52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7DC4646A" w14:textId="77777777">
                        <w:pPr>
                          <w:rPr>
                            <w:color w:val="000000"/>
                            <w:sz w:val="20"/>
                          </w:rPr>
                        </w:pPr>
                        <w:r w:rsidRPr="00ED2F52">
                          <w:rPr>
                            <w:color w:val="000000"/>
                            <w:sz w:val="20"/>
                          </w:rPr>
                          <w:t>5. RECORDKEEPING REQUIREMENTS</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724D3CED" w14:textId="77777777">
                        <w:pPr>
                          <w:jc w:val="right"/>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18274B35"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367CF484" w14:textId="77777777">
                        <w:pPr>
                          <w:jc w:val="right"/>
                          <w:rPr>
                            <w:color w:val="000000"/>
                            <w:sz w:val="20"/>
                          </w:rPr>
                        </w:pPr>
                        <w:r w:rsidRPr="00ED2F52">
                          <w:rPr>
                            <w:color w:val="000000"/>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72BD31A2"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F261134"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26EF3BF" w14:textId="77777777">
                        <w:pPr>
                          <w:jc w:val="right"/>
                          <w:rPr>
                            <w:color w:val="000000"/>
                            <w:sz w:val="20"/>
                          </w:rPr>
                        </w:pPr>
                        <w:r w:rsidRPr="00ED2F52">
                          <w:rPr>
                            <w:color w:val="000000"/>
                            <w:sz w:val="20"/>
                          </w:rPr>
                          <w:t> </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0589C9E5"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12131210" w14:textId="77777777">
                        <w:pPr>
                          <w:jc w:val="right"/>
                          <w:rPr>
                            <w:color w:val="000000"/>
                            <w:sz w:val="20"/>
                          </w:rPr>
                        </w:pPr>
                        <w:r w:rsidRPr="00ED2F52">
                          <w:rPr>
                            <w:color w:val="000000"/>
                            <w:sz w:val="20"/>
                          </w:rPr>
                          <w:t> </w:t>
                        </w:r>
                      </w:p>
                    </w:tc>
                  </w:tr>
                  <w:tr w14:paraId="30D8770A" w14:textId="77777777" w:rsidTr="00ED2F52">
                    <w:tblPrEx>
                      <w:tblW w:w="12720" w:type="dxa"/>
                      <w:tblLayout w:type="fixed"/>
                      <w:tblLook w:val="04A0"/>
                    </w:tblPrEx>
                    <w:trPr>
                      <w:trHeight w:val="52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614DB6E3" w14:textId="77777777">
                        <w:pPr>
                          <w:rPr>
                            <w:color w:val="000000"/>
                            <w:sz w:val="20"/>
                          </w:rPr>
                        </w:pPr>
                        <w:r w:rsidRPr="00ED2F52">
                          <w:rPr>
                            <w:color w:val="000000"/>
                            <w:sz w:val="20"/>
                          </w:rPr>
                          <w:t>A. Familiarize with regulatory requirement</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7D6E1AA6"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4014519"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3FC48E0C" w14:textId="77777777">
                        <w:pPr>
                          <w:jc w:val="right"/>
                          <w:rPr>
                            <w:color w:val="000000"/>
                            <w:sz w:val="20"/>
                          </w:rPr>
                        </w:pPr>
                        <w:r w:rsidRPr="00ED2F52">
                          <w:rPr>
                            <w:color w:val="00000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728A4483"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D7353D8"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0C6461DC" w14:textId="77777777">
                        <w:pPr>
                          <w:jc w:val="right"/>
                          <w:rPr>
                            <w:color w:val="000000"/>
                            <w:sz w:val="20"/>
                          </w:rPr>
                        </w:pPr>
                        <w:r w:rsidRPr="00ED2F52">
                          <w:rPr>
                            <w:color w:val="000000"/>
                            <w:sz w:val="20"/>
                          </w:rPr>
                          <w:t> </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020AE6FA"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774BC52E" w14:textId="77777777">
                        <w:pPr>
                          <w:jc w:val="right"/>
                          <w:rPr>
                            <w:color w:val="000000"/>
                            <w:sz w:val="20"/>
                          </w:rPr>
                        </w:pPr>
                        <w:r w:rsidRPr="00ED2F52">
                          <w:rPr>
                            <w:color w:val="000000"/>
                            <w:sz w:val="20"/>
                          </w:rPr>
                          <w:t> </w:t>
                        </w:r>
                      </w:p>
                    </w:tc>
                  </w:tr>
                  <w:tr w14:paraId="27898525" w14:textId="77777777" w:rsidTr="00ED2F52">
                    <w:tblPrEx>
                      <w:tblW w:w="12720" w:type="dxa"/>
                      <w:tblLayout w:type="fixed"/>
                      <w:tblLook w:val="04A0"/>
                    </w:tblPrEx>
                    <w:trPr>
                      <w:trHeight w:val="26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7B5B98D0" w14:textId="77777777">
                        <w:pPr>
                          <w:rPr>
                            <w:color w:val="000000"/>
                            <w:sz w:val="20"/>
                          </w:rPr>
                        </w:pPr>
                        <w:r w:rsidRPr="00ED2F52">
                          <w:rPr>
                            <w:color w:val="000000"/>
                            <w:sz w:val="20"/>
                          </w:rPr>
                          <w:t xml:space="preserve">B. Plan Activities </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04027022"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6C947289"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15FAD5BA" w14:textId="77777777">
                        <w:pPr>
                          <w:jc w:val="right"/>
                          <w:rPr>
                            <w:color w:val="000000"/>
                            <w:sz w:val="20"/>
                          </w:rPr>
                        </w:pPr>
                        <w:r w:rsidRPr="00ED2F52">
                          <w:rPr>
                            <w:color w:val="00000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52E60009"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C9C2D56"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6E8434CD" w14:textId="77777777">
                        <w:pPr>
                          <w:jc w:val="right"/>
                          <w:rPr>
                            <w:color w:val="000000"/>
                            <w:sz w:val="20"/>
                          </w:rPr>
                        </w:pPr>
                        <w:r w:rsidRPr="00ED2F52">
                          <w:rPr>
                            <w:color w:val="000000"/>
                            <w:sz w:val="20"/>
                          </w:rPr>
                          <w:t> </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60EA8047"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1F47FB89" w14:textId="77777777">
                        <w:pPr>
                          <w:jc w:val="right"/>
                          <w:rPr>
                            <w:color w:val="000000"/>
                            <w:sz w:val="20"/>
                          </w:rPr>
                        </w:pPr>
                        <w:r w:rsidRPr="00ED2F52">
                          <w:rPr>
                            <w:color w:val="000000"/>
                            <w:sz w:val="20"/>
                          </w:rPr>
                          <w:t> </w:t>
                        </w:r>
                      </w:p>
                    </w:tc>
                  </w:tr>
                  <w:tr w14:paraId="165B1CFC" w14:textId="77777777" w:rsidTr="00ED2F52">
                    <w:tblPrEx>
                      <w:tblW w:w="12720" w:type="dxa"/>
                      <w:tblLayout w:type="fixed"/>
                      <w:tblLook w:val="04A0"/>
                    </w:tblPrEx>
                    <w:trPr>
                      <w:trHeight w:val="26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61C5B621" w14:textId="77777777">
                        <w:pPr>
                          <w:rPr>
                            <w:color w:val="000000"/>
                            <w:sz w:val="20"/>
                          </w:rPr>
                        </w:pPr>
                        <w:r w:rsidRPr="00ED2F52">
                          <w:rPr>
                            <w:color w:val="000000"/>
                            <w:sz w:val="20"/>
                          </w:rPr>
                          <w:t xml:space="preserve">C. Implement Activities </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78E8FA15"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1CCEFFA0"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4C316AAD" w14:textId="77777777">
                        <w:pPr>
                          <w:jc w:val="right"/>
                          <w:rPr>
                            <w:color w:val="000000"/>
                            <w:sz w:val="20"/>
                          </w:rPr>
                        </w:pPr>
                        <w:r w:rsidRPr="00ED2F52">
                          <w:rPr>
                            <w:color w:val="00000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1ED6489D"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1DAC79BE"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7CC7252B" w14:textId="77777777">
                        <w:pPr>
                          <w:jc w:val="right"/>
                          <w:rPr>
                            <w:color w:val="000000"/>
                            <w:sz w:val="20"/>
                          </w:rPr>
                        </w:pPr>
                        <w:r w:rsidRPr="00ED2F52">
                          <w:rPr>
                            <w:color w:val="000000"/>
                            <w:sz w:val="20"/>
                          </w:rPr>
                          <w:t> </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7EE9D6D5"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6BE39F17" w14:textId="77777777">
                        <w:pPr>
                          <w:jc w:val="right"/>
                          <w:rPr>
                            <w:color w:val="000000"/>
                            <w:sz w:val="20"/>
                          </w:rPr>
                        </w:pPr>
                        <w:r w:rsidRPr="00ED2F52">
                          <w:rPr>
                            <w:color w:val="000000"/>
                            <w:sz w:val="20"/>
                          </w:rPr>
                          <w:t> </w:t>
                        </w:r>
                      </w:p>
                    </w:tc>
                  </w:tr>
                  <w:tr w14:paraId="127D9952" w14:textId="77777777" w:rsidTr="00ED2F52">
                    <w:tblPrEx>
                      <w:tblW w:w="12720" w:type="dxa"/>
                      <w:tblLayout w:type="fixed"/>
                      <w:tblLook w:val="04A0"/>
                    </w:tblPrEx>
                    <w:trPr>
                      <w:trHeight w:val="26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4073AB1D" w14:textId="77777777">
                        <w:pPr>
                          <w:rPr>
                            <w:color w:val="000000"/>
                            <w:sz w:val="20"/>
                          </w:rPr>
                        </w:pPr>
                        <w:r w:rsidRPr="00ED2F52">
                          <w:rPr>
                            <w:color w:val="000000"/>
                            <w:sz w:val="20"/>
                          </w:rPr>
                          <w:t xml:space="preserve">D. Record Data </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307860E3" w14:textId="77777777">
                        <w:pPr>
                          <w:jc w:val="center"/>
                          <w:rPr>
                            <w:color w:val="000000"/>
                            <w:sz w:val="20"/>
                          </w:rPr>
                        </w:pPr>
                        <w:r w:rsidRPr="00ED2F52">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1529A6C8"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79EFF09D" w14:textId="77777777">
                        <w:pPr>
                          <w:jc w:val="right"/>
                          <w:rPr>
                            <w:color w:val="000000"/>
                            <w:sz w:val="20"/>
                          </w:rPr>
                        </w:pPr>
                        <w:r w:rsidRPr="00ED2F52">
                          <w:rPr>
                            <w:color w:val="00000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04EEAC74"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35A8387"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274C462" w14:textId="77777777">
                        <w:pPr>
                          <w:jc w:val="right"/>
                          <w:rPr>
                            <w:color w:val="000000"/>
                            <w:sz w:val="20"/>
                          </w:rPr>
                        </w:pPr>
                        <w:r w:rsidRPr="00ED2F52">
                          <w:rPr>
                            <w:color w:val="000000"/>
                            <w:sz w:val="20"/>
                          </w:rPr>
                          <w:t> </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649EC47B"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39E49D91" w14:textId="77777777">
                        <w:pPr>
                          <w:jc w:val="right"/>
                          <w:rPr>
                            <w:color w:val="000000"/>
                            <w:sz w:val="20"/>
                          </w:rPr>
                        </w:pPr>
                        <w:r w:rsidRPr="00ED2F52">
                          <w:rPr>
                            <w:color w:val="000000"/>
                            <w:sz w:val="20"/>
                          </w:rPr>
                          <w:t> </w:t>
                        </w:r>
                      </w:p>
                    </w:tc>
                  </w:tr>
                  <w:tr w14:paraId="48E1668E" w14:textId="77777777" w:rsidTr="00ED2F52">
                    <w:tblPrEx>
                      <w:tblW w:w="12720" w:type="dxa"/>
                      <w:tblLayout w:type="fixed"/>
                      <w:tblLook w:val="04A0"/>
                    </w:tblPrEx>
                    <w:trPr>
                      <w:trHeight w:val="52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776FA9DD" w14:textId="77777777">
                        <w:pPr>
                          <w:rPr>
                            <w:color w:val="000000"/>
                            <w:sz w:val="20"/>
                          </w:rPr>
                        </w:pPr>
                        <w:r w:rsidRPr="00ED2F52">
                          <w:rPr>
                            <w:color w:val="000000"/>
                            <w:sz w:val="20"/>
                          </w:rPr>
                          <w:t>E. Time to Transmit or Disclose Information</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11D483A4" w14:textId="77777777">
                        <w:pPr>
                          <w:jc w:val="right"/>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20CAE3E7"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2295C6AC" w14:textId="77777777">
                        <w:pPr>
                          <w:jc w:val="right"/>
                          <w:rPr>
                            <w:color w:val="000000"/>
                            <w:sz w:val="20"/>
                          </w:rPr>
                        </w:pPr>
                        <w:r w:rsidRPr="00ED2F52">
                          <w:rPr>
                            <w:color w:val="00000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6F37F56"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2668F1B1"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30CD8E9" w14:textId="77777777">
                        <w:pPr>
                          <w:jc w:val="right"/>
                          <w:rPr>
                            <w:color w:val="000000"/>
                            <w:sz w:val="20"/>
                          </w:rPr>
                        </w:pPr>
                        <w:r w:rsidRPr="00ED2F52">
                          <w:rPr>
                            <w:color w:val="000000"/>
                            <w:sz w:val="20"/>
                          </w:rPr>
                          <w:t> </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3EEA32AB"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39A6A3A9" w14:textId="77777777">
                        <w:pPr>
                          <w:jc w:val="right"/>
                          <w:rPr>
                            <w:color w:val="000000"/>
                            <w:sz w:val="20"/>
                          </w:rPr>
                        </w:pPr>
                        <w:r w:rsidRPr="00ED2F52">
                          <w:rPr>
                            <w:color w:val="000000"/>
                            <w:sz w:val="20"/>
                          </w:rPr>
                          <w:t> </w:t>
                        </w:r>
                      </w:p>
                    </w:tc>
                  </w:tr>
                  <w:tr w14:paraId="5A1222A3" w14:textId="77777777" w:rsidTr="00ED2F52">
                    <w:tblPrEx>
                      <w:tblW w:w="12720" w:type="dxa"/>
                      <w:tblLayout w:type="fixed"/>
                      <w:tblLook w:val="04A0"/>
                    </w:tblPrEx>
                    <w:trPr>
                      <w:trHeight w:val="26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0A283F77" w14:textId="77777777">
                        <w:pPr>
                          <w:rPr>
                            <w:i/>
                            <w:iCs/>
                            <w:color w:val="000000"/>
                            <w:sz w:val="20"/>
                            <w:u w:val="single"/>
                          </w:rPr>
                        </w:pPr>
                        <w:r w:rsidRPr="00ED2F52">
                          <w:rPr>
                            <w:i/>
                            <w:iCs/>
                            <w:color w:val="000000"/>
                            <w:sz w:val="20"/>
                            <w:u w:val="single"/>
                          </w:rPr>
                          <w:t>Existing Sources</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45175E98" w14:textId="77777777">
                        <w:pPr>
                          <w:jc w:val="right"/>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2C94C70F"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2A55C1F" w14:textId="77777777">
                        <w:pPr>
                          <w:jc w:val="right"/>
                          <w:rPr>
                            <w:color w:val="000000"/>
                            <w:sz w:val="20"/>
                          </w:rPr>
                        </w:pPr>
                        <w:r w:rsidRPr="00ED2F52">
                          <w:rPr>
                            <w:color w:val="00000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7CCBEAA6"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5F5D6E5"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3341DAF2" w14:textId="77777777">
                        <w:pPr>
                          <w:jc w:val="right"/>
                          <w:rPr>
                            <w:color w:val="000000"/>
                            <w:sz w:val="20"/>
                          </w:rPr>
                        </w:pPr>
                        <w:r w:rsidRPr="00ED2F52">
                          <w:rPr>
                            <w:color w:val="000000"/>
                            <w:sz w:val="20"/>
                          </w:rPr>
                          <w:t> </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007941E5"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46E1A8B6" w14:textId="77777777">
                        <w:pPr>
                          <w:jc w:val="right"/>
                          <w:rPr>
                            <w:color w:val="000000"/>
                            <w:sz w:val="20"/>
                          </w:rPr>
                        </w:pPr>
                        <w:r w:rsidRPr="00ED2F52">
                          <w:rPr>
                            <w:color w:val="000000"/>
                            <w:sz w:val="20"/>
                          </w:rPr>
                          <w:t> </w:t>
                        </w:r>
                      </w:p>
                    </w:tc>
                  </w:tr>
                  <w:tr w14:paraId="6BC442EF" w14:textId="77777777" w:rsidTr="00ED2F52">
                    <w:tblPrEx>
                      <w:tblW w:w="12720" w:type="dxa"/>
                      <w:tblLayout w:type="fixed"/>
                      <w:tblLook w:val="04A0"/>
                    </w:tblPrEx>
                    <w:trPr>
                      <w:trHeight w:val="26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04C7A853" w14:textId="77777777">
                        <w:pPr>
                          <w:rPr>
                            <w:color w:val="000000"/>
                            <w:sz w:val="20"/>
                          </w:rPr>
                        </w:pPr>
                        <w:r w:rsidRPr="00ED2F52">
                          <w:rPr>
                            <w:color w:val="000000"/>
                            <w:sz w:val="20"/>
                          </w:rPr>
                          <w:t>Data Collection</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7A913B36" w14:textId="77777777">
                        <w:pPr>
                          <w:jc w:val="center"/>
                          <w:rPr>
                            <w:color w:val="000000"/>
                            <w:sz w:val="20"/>
                          </w:rPr>
                        </w:pPr>
                        <w:r w:rsidRPr="00ED2F52">
                          <w:rPr>
                            <w:color w:val="000000"/>
                            <w:sz w:val="20"/>
                          </w:rPr>
                          <w:t>0.1</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30997643" w14:textId="77777777">
                        <w:pPr>
                          <w:jc w:val="center"/>
                          <w:rPr>
                            <w:sz w:val="20"/>
                          </w:rPr>
                        </w:pPr>
                        <w:r w:rsidRPr="00ED2F52">
                          <w:rPr>
                            <w:sz w:val="20"/>
                          </w:rPr>
                          <w:t>1</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0A5AB4B2" w14:textId="77777777">
                        <w:pPr>
                          <w:jc w:val="center"/>
                          <w:rPr>
                            <w:color w:val="000000"/>
                            <w:sz w:val="20"/>
                          </w:rPr>
                        </w:pPr>
                        <w:r w:rsidRPr="00ED2F52">
                          <w:rPr>
                            <w:color w:val="000000"/>
                            <w:sz w:val="20"/>
                          </w:rPr>
                          <w:t>0.1</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54D2C7A9" w14:textId="77777777">
                        <w:pPr>
                          <w:jc w:val="center"/>
                          <w:rPr>
                            <w:sz w:val="20"/>
                          </w:rPr>
                        </w:pPr>
                        <w:r w:rsidRPr="00ED2F52">
                          <w:rPr>
                            <w:sz w:val="20"/>
                          </w:rPr>
                          <w:t>85</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54284AC" w14:textId="77777777">
                        <w:pPr>
                          <w:jc w:val="center"/>
                          <w:rPr>
                            <w:color w:val="000000"/>
                            <w:sz w:val="20"/>
                          </w:rPr>
                        </w:pPr>
                        <w:r w:rsidRPr="00ED2F52">
                          <w:rPr>
                            <w:color w:val="000000"/>
                            <w:sz w:val="20"/>
                          </w:rPr>
                          <w:t>9</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3E89200" w14:textId="77777777">
                        <w:pPr>
                          <w:jc w:val="center"/>
                          <w:rPr>
                            <w:color w:val="000000"/>
                            <w:sz w:val="20"/>
                          </w:rPr>
                        </w:pPr>
                        <w:r w:rsidRPr="00ED2F52">
                          <w:rPr>
                            <w:color w:val="000000"/>
                            <w:sz w:val="20"/>
                          </w:rPr>
                          <w:t>0.425</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1C35E9D6" w14:textId="77777777">
                        <w:pPr>
                          <w:jc w:val="center"/>
                          <w:rPr>
                            <w:color w:val="000000"/>
                            <w:sz w:val="20"/>
                          </w:rPr>
                        </w:pPr>
                        <w:r w:rsidRPr="00ED2F52">
                          <w:rPr>
                            <w:color w:val="000000"/>
                            <w:sz w:val="20"/>
                          </w:rPr>
                          <w:t>0.85</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B58766E" w14:textId="1E2B01BF">
                        <w:pPr>
                          <w:jc w:val="right"/>
                          <w:rPr>
                            <w:color w:val="000000"/>
                            <w:sz w:val="20"/>
                          </w:rPr>
                        </w:pPr>
                        <w:r w:rsidRPr="00ED2F52">
                          <w:rPr>
                            <w:color w:val="000000"/>
                            <w:sz w:val="20"/>
                          </w:rPr>
                          <w:t xml:space="preserve">$1,208 </w:t>
                        </w:r>
                      </w:p>
                    </w:tc>
                  </w:tr>
                  <w:tr w14:paraId="7EADDC77" w14:textId="77777777" w:rsidTr="00ED2F52">
                    <w:tblPrEx>
                      <w:tblW w:w="12720" w:type="dxa"/>
                      <w:tblLayout w:type="fixed"/>
                      <w:tblLook w:val="04A0"/>
                    </w:tblPrEx>
                    <w:trPr>
                      <w:trHeight w:val="26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6348B705" w14:textId="77777777">
                        <w:pPr>
                          <w:rPr>
                            <w:color w:val="000000"/>
                            <w:sz w:val="20"/>
                          </w:rPr>
                        </w:pPr>
                        <w:r w:rsidRPr="00ED2F52">
                          <w:rPr>
                            <w:color w:val="000000"/>
                            <w:sz w:val="20"/>
                          </w:rPr>
                          <w:t>Records of Performance Tests</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77A21FBE"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21A8AF91"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5F6404BF" w14:textId="77777777">
                        <w:pPr>
                          <w:jc w:val="center"/>
                          <w:rPr>
                            <w:color w:val="000000"/>
                            <w:sz w:val="20"/>
                          </w:rPr>
                        </w:pPr>
                        <w:r w:rsidRPr="00ED2F52">
                          <w:rPr>
                            <w:color w:val="000000"/>
                            <w:sz w:val="20"/>
                          </w:rPr>
                          <w:t>24</w:t>
                        </w:r>
                      </w:p>
                    </w:tc>
                    <w:tc>
                      <w:tcPr>
                        <w:tcW w:w="12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1B1700A2"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C801A3F"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397BC318" w14:textId="77777777">
                        <w:pPr>
                          <w:jc w:val="center"/>
                          <w:rPr>
                            <w:color w:val="000000"/>
                            <w:sz w:val="20"/>
                          </w:rPr>
                        </w:pPr>
                        <w:r w:rsidRPr="00ED2F52">
                          <w:rPr>
                            <w:color w:val="000000"/>
                            <w:sz w:val="20"/>
                          </w:rPr>
                          <w:t>0</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5BF85240"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6078359E" w14:textId="77777777">
                        <w:pPr>
                          <w:jc w:val="right"/>
                          <w:rPr>
                            <w:color w:val="000000"/>
                            <w:sz w:val="20"/>
                          </w:rPr>
                        </w:pPr>
                        <w:r w:rsidRPr="00ED2F52">
                          <w:rPr>
                            <w:color w:val="000000"/>
                            <w:sz w:val="20"/>
                          </w:rPr>
                          <w:t xml:space="preserve">$0.00 </w:t>
                        </w:r>
                      </w:p>
                    </w:tc>
                  </w:tr>
                  <w:tr w14:paraId="2CE6E280" w14:textId="77777777" w:rsidTr="00ED2F52">
                    <w:tblPrEx>
                      <w:tblW w:w="12720" w:type="dxa"/>
                      <w:tblLayout w:type="fixed"/>
                      <w:tblLook w:val="04A0"/>
                    </w:tblPrEx>
                    <w:trPr>
                      <w:trHeight w:val="78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6EEFBAE9" w14:textId="77777777">
                        <w:pPr>
                          <w:rPr>
                            <w:color w:val="000000"/>
                            <w:sz w:val="20"/>
                          </w:rPr>
                        </w:pPr>
                        <w:r w:rsidRPr="00ED2F52">
                          <w:rPr>
                            <w:color w:val="000000"/>
                            <w:sz w:val="20"/>
                          </w:rPr>
                          <w:t>Recordkeeping of NOx emission rate, operating days data, CPMS data</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7DE27C3E"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74C5639C"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538B5912" w14:textId="77777777">
                        <w:pPr>
                          <w:jc w:val="center"/>
                          <w:rPr>
                            <w:color w:val="000000"/>
                            <w:sz w:val="20"/>
                          </w:rPr>
                        </w:pPr>
                        <w:r w:rsidRPr="00ED2F52">
                          <w:rPr>
                            <w:color w:val="000000"/>
                            <w:sz w:val="20"/>
                          </w:rPr>
                          <w:t>0</w:t>
                        </w:r>
                      </w:p>
                    </w:tc>
                    <w:tc>
                      <w:tcPr>
                        <w:tcW w:w="12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23E4FC0E"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22A669DF"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6538601C" w14:textId="77777777">
                        <w:pPr>
                          <w:jc w:val="center"/>
                          <w:rPr>
                            <w:color w:val="000000"/>
                            <w:sz w:val="20"/>
                          </w:rPr>
                        </w:pPr>
                        <w:r w:rsidRPr="00ED2F52">
                          <w:rPr>
                            <w:color w:val="000000"/>
                            <w:sz w:val="20"/>
                          </w:rPr>
                          <w:t>0</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3ECBF2AE"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3129D541" w14:textId="77777777">
                        <w:pPr>
                          <w:jc w:val="right"/>
                          <w:rPr>
                            <w:color w:val="000000"/>
                            <w:sz w:val="20"/>
                          </w:rPr>
                        </w:pPr>
                        <w:r w:rsidRPr="00ED2F52">
                          <w:rPr>
                            <w:color w:val="000000"/>
                            <w:sz w:val="20"/>
                          </w:rPr>
                          <w:t xml:space="preserve">$0.00 </w:t>
                        </w:r>
                      </w:p>
                    </w:tc>
                  </w:tr>
                  <w:tr w14:paraId="18506F9E" w14:textId="77777777" w:rsidTr="00ED2F52">
                    <w:tblPrEx>
                      <w:tblW w:w="12720" w:type="dxa"/>
                      <w:tblLayout w:type="fixed"/>
                      <w:tblLook w:val="04A0"/>
                    </w:tblPrEx>
                    <w:trPr>
                      <w:trHeight w:val="26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308C11B5" w14:textId="77777777">
                        <w:pPr>
                          <w:rPr>
                            <w:i/>
                            <w:iCs/>
                            <w:color w:val="000000"/>
                            <w:sz w:val="20"/>
                            <w:u w:val="single"/>
                          </w:rPr>
                        </w:pPr>
                        <w:r w:rsidRPr="00ED2F52">
                          <w:rPr>
                            <w:i/>
                            <w:iCs/>
                            <w:color w:val="000000"/>
                            <w:sz w:val="20"/>
                            <w:u w:val="single"/>
                          </w:rPr>
                          <w:t>New Sources</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089011FE"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1A0EEA75" w14:textId="77777777">
                        <w:pPr>
                          <w:jc w:val="center"/>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49455249" w14:textId="77777777">
                        <w:pPr>
                          <w:jc w:val="center"/>
                          <w:rPr>
                            <w:color w:val="000000"/>
                            <w:sz w:val="20"/>
                          </w:rPr>
                        </w:pPr>
                        <w:r w:rsidRPr="00ED2F52">
                          <w:rPr>
                            <w:color w:val="000000"/>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037294D0"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DC39E51"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349D7074" w14:textId="77777777">
                        <w:pPr>
                          <w:jc w:val="center"/>
                          <w:rPr>
                            <w:color w:val="000000"/>
                            <w:sz w:val="20"/>
                          </w:rPr>
                        </w:pPr>
                        <w:r w:rsidRPr="00ED2F52">
                          <w:rPr>
                            <w:color w:val="000000"/>
                            <w:sz w:val="20"/>
                          </w:rPr>
                          <w:t> </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16EFE29E"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BD57E06" w14:textId="77777777">
                        <w:pPr>
                          <w:jc w:val="right"/>
                          <w:rPr>
                            <w:color w:val="000000"/>
                            <w:sz w:val="20"/>
                          </w:rPr>
                        </w:pPr>
                        <w:r w:rsidRPr="00ED2F52">
                          <w:rPr>
                            <w:color w:val="000000"/>
                            <w:sz w:val="20"/>
                          </w:rPr>
                          <w:t> </w:t>
                        </w:r>
                      </w:p>
                    </w:tc>
                  </w:tr>
                  <w:tr w14:paraId="21E00D0E" w14:textId="77777777" w:rsidTr="00ED2F52">
                    <w:tblPrEx>
                      <w:tblW w:w="12720" w:type="dxa"/>
                      <w:tblLayout w:type="fixed"/>
                      <w:tblLook w:val="04A0"/>
                    </w:tblPrEx>
                    <w:trPr>
                      <w:trHeight w:val="26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60D6C628" w14:textId="77777777">
                        <w:pPr>
                          <w:rPr>
                            <w:color w:val="000000"/>
                            <w:sz w:val="20"/>
                          </w:rPr>
                        </w:pPr>
                        <w:r w:rsidRPr="00ED2F52">
                          <w:rPr>
                            <w:color w:val="000000"/>
                            <w:sz w:val="20"/>
                          </w:rPr>
                          <w:t>Data Collection</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2A7CCA7E"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10711513"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5D423073" w14:textId="77777777">
                        <w:pPr>
                          <w:jc w:val="center"/>
                          <w:rPr>
                            <w:color w:val="000000"/>
                            <w:sz w:val="20"/>
                          </w:rPr>
                        </w:pPr>
                        <w:r w:rsidRPr="00ED2F52">
                          <w:rPr>
                            <w:color w:val="000000"/>
                            <w:sz w:val="20"/>
                          </w:rPr>
                          <w:t>0</w:t>
                        </w:r>
                      </w:p>
                    </w:tc>
                    <w:tc>
                      <w:tcPr>
                        <w:tcW w:w="12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4F498E9B"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3F0C08D"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617BECF" w14:textId="77777777">
                        <w:pPr>
                          <w:jc w:val="center"/>
                          <w:rPr>
                            <w:color w:val="000000"/>
                            <w:sz w:val="20"/>
                          </w:rPr>
                        </w:pPr>
                        <w:r w:rsidRPr="00ED2F52">
                          <w:rPr>
                            <w:color w:val="000000"/>
                            <w:sz w:val="20"/>
                          </w:rPr>
                          <w:t>0</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67FFE004"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E41EAF8" w14:textId="77777777">
                        <w:pPr>
                          <w:jc w:val="right"/>
                          <w:rPr>
                            <w:color w:val="000000"/>
                            <w:sz w:val="20"/>
                          </w:rPr>
                        </w:pPr>
                        <w:r w:rsidRPr="00ED2F52">
                          <w:rPr>
                            <w:color w:val="000000"/>
                            <w:sz w:val="20"/>
                          </w:rPr>
                          <w:t xml:space="preserve">$0 </w:t>
                        </w:r>
                      </w:p>
                    </w:tc>
                  </w:tr>
                  <w:tr w14:paraId="58BE75D1" w14:textId="77777777" w:rsidTr="00ED2F52">
                    <w:tblPrEx>
                      <w:tblW w:w="12720" w:type="dxa"/>
                      <w:tblLayout w:type="fixed"/>
                      <w:tblLook w:val="04A0"/>
                    </w:tblPrEx>
                    <w:trPr>
                      <w:trHeight w:val="26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2B618736" w14:textId="77777777">
                        <w:pPr>
                          <w:rPr>
                            <w:color w:val="000000"/>
                            <w:sz w:val="20"/>
                          </w:rPr>
                        </w:pPr>
                        <w:r w:rsidRPr="00ED2F52">
                          <w:rPr>
                            <w:color w:val="000000"/>
                            <w:sz w:val="20"/>
                          </w:rPr>
                          <w:t>Records of Performance Tests</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578CF423"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557ED488"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7DAC3BDF" w14:textId="77777777">
                        <w:pPr>
                          <w:jc w:val="center"/>
                          <w:rPr>
                            <w:color w:val="000000"/>
                            <w:sz w:val="20"/>
                          </w:rPr>
                        </w:pPr>
                        <w:r w:rsidRPr="00ED2F52">
                          <w:rPr>
                            <w:color w:val="000000"/>
                            <w:sz w:val="20"/>
                          </w:rPr>
                          <w:t>0</w:t>
                        </w:r>
                      </w:p>
                    </w:tc>
                    <w:tc>
                      <w:tcPr>
                        <w:tcW w:w="12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5381CB61"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5641B56"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C797693" w14:textId="77777777">
                        <w:pPr>
                          <w:jc w:val="center"/>
                          <w:rPr>
                            <w:color w:val="000000"/>
                            <w:sz w:val="20"/>
                          </w:rPr>
                        </w:pPr>
                        <w:r w:rsidRPr="00ED2F52">
                          <w:rPr>
                            <w:color w:val="000000"/>
                            <w:sz w:val="20"/>
                          </w:rPr>
                          <w:t>0</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3AC6D86B"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796953BD" w14:textId="77777777">
                        <w:pPr>
                          <w:jc w:val="right"/>
                          <w:rPr>
                            <w:color w:val="000000"/>
                            <w:sz w:val="20"/>
                          </w:rPr>
                        </w:pPr>
                        <w:r w:rsidRPr="00ED2F52">
                          <w:rPr>
                            <w:color w:val="000000"/>
                            <w:sz w:val="20"/>
                          </w:rPr>
                          <w:t xml:space="preserve">$0 </w:t>
                        </w:r>
                      </w:p>
                    </w:tc>
                  </w:tr>
                  <w:tr w14:paraId="45AF13A0" w14:textId="77777777" w:rsidTr="00ED2F52">
                    <w:tblPrEx>
                      <w:tblW w:w="12720" w:type="dxa"/>
                      <w:tblLayout w:type="fixed"/>
                      <w:tblLook w:val="04A0"/>
                    </w:tblPrEx>
                    <w:trPr>
                      <w:trHeight w:val="26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1DBAAC05" w14:textId="77777777">
                        <w:pPr>
                          <w:rPr>
                            <w:color w:val="000000"/>
                            <w:sz w:val="20"/>
                          </w:rPr>
                        </w:pPr>
                        <w:r w:rsidRPr="00ED2F52">
                          <w:rPr>
                            <w:color w:val="000000"/>
                            <w:sz w:val="20"/>
                          </w:rPr>
                          <w:t>CPMS Recordkeeping</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1D65EE2C"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6A6EC3DB"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365C9967" w14:textId="77777777">
                        <w:pPr>
                          <w:jc w:val="center"/>
                          <w:rPr>
                            <w:color w:val="000000"/>
                            <w:sz w:val="20"/>
                          </w:rPr>
                        </w:pPr>
                        <w:r w:rsidRPr="00ED2F52">
                          <w:rPr>
                            <w:color w:val="000000"/>
                            <w:sz w:val="20"/>
                          </w:rPr>
                          <w:t>0</w:t>
                        </w:r>
                      </w:p>
                    </w:tc>
                    <w:tc>
                      <w:tcPr>
                        <w:tcW w:w="12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1975CD07"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7473964"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6271A5D7" w14:textId="77777777">
                        <w:pPr>
                          <w:jc w:val="center"/>
                          <w:rPr>
                            <w:color w:val="000000"/>
                            <w:sz w:val="20"/>
                          </w:rPr>
                        </w:pPr>
                        <w:r w:rsidRPr="00ED2F52">
                          <w:rPr>
                            <w:color w:val="000000"/>
                            <w:sz w:val="20"/>
                          </w:rPr>
                          <w:t>0</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3CF41441"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7AB9D1B5" w14:textId="77777777">
                        <w:pPr>
                          <w:jc w:val="right"/>
                          <w:rPr>
                            <w:color w:val="000000"/>
                            <w:sz w:val="20"/>
                          </w:rPr>
                        </w:pPr>
                        <w:r w:rsidRPr="00ED2F52">
                          <w:rPr>
                            <w:color w:val="000000"/>
                            <w:sz w:val="20"/>
                          </w:rPr>
                          <w:t xml:space="preserve">$0 </w:t>
                        </w:r>
                      </w:p>
                    </w:tc>
                  </w:tr>
                  <w:tr w14:paraId="7E5485C2" w14:textId="77777777" w:rsidTr="00ED2F52">
                    <w:tblPrEx>
                      <w:tblW w:w="12720" w:type="dxa"/>
                      <w:tblLayout w:type="fixed"/>
                      <w:tblLook w:val="04A0"/>
                    </w:tblPrEx>
                    <w:trPr>
                      <w:trHeight w:val="26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6890B92A" w14:textId="77777777">
                        <w:pPr>
                          <w:rPr>
                            <w:color w:val="000000"/>
                            <w:sz w:val="20"/>
                          </w:rPr>
                        </w:pPr>
                        <w:r w:rsidRPr="00ED2F52">
                          <w:rPr>
                            <w:color w:val="000000"/>
                            <w:sz w:val="20"/>
                          </w:rPr>
                          <w:t>F. Time to Train Personnel</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131C6A82"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442EC66E"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517F558F" w14:textId="77777777">
                        <w:pPr>
                          <w:jc w:val="center"/>
                          <w:rPr>
                            <w:color w:val="000000"/>
                            <w:sz w:val="20"/>
                          </w:rPr>
                        </w:pPr>
                        <w:r w:rsidRPr="00ED2F52">
                          <w:rPr>
                            <w:color w:val="000000"/>
                            <w:sz w:val="20"/>
                          </w:rPr>
                          <w:t>0</w:t>
                        </w:r>
                      </w:p>
                    </w:tc>
                    <w:tc>
                      <w:tcPr>
                        <w:tcW w:w="12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1D02227F"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75F229EA"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663EF6A8" w14:textId="77777777">
                        <w:pPr>
                          <w:jc w:val="center"/>
                          <w:rPr>
                            <w:color w:val="000000"/>
                            <w:sz w:val="20"/>
                          </w:rPr>
                        </w:pPr>
                        <w:r w:rsidRPr="00ED2F52">
                          <w:rPr>
                            <w:color w:val="000000"/>
                            <w:sz w:val="20"/>
                          </w:rPr>
                          <w:t>0</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18898697"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6EFD167C" w14:textId="77777777">
                        <w:pPr>
                          <w:jc w:val="right"/>
                          <w:rPr>
                            <w:color w:val="000000"/>
                            <w:sz w:val="20"/>
                          </w:rPr>
                        </w:pPr>
                        <w:r w:rsidRPr="00ED2F52">
                          <w:rPr>
                            <w:color w:val="000000"/>
                            <w:sz w:val="20"/>
                          </w:rPr>
                          <w:t xml:space="preserve">$0 </w:t>
                        </w:r>
                      </w:p>
                    </w:tc>
                  </w:tr>
                  <w:tr w14:paraId="2BC4610A" w14:textId="77777777" w:rsidTr="00ED2F52">
                    <w:tblPrEx>
                      <w:tblW w:w="12720" w:type="dxa"/>
                      <w:tblLayout w:type="fixed"/>
                      <w:tblLook w:val="04A0"/>
                    </w:tblPrEx>
                    <w:trPr>
                      <w:trHeight w:val="26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0B9C6747" w14:textId="77777777">
                        <w:pPr>
                          <w:rPr>
                            <w:color w:val="000000"/>
                            <w:sz w:val="20"/>
                          </w:rPr>
                        </w:pPr>
                        <w:r w:rsidRPr="00ED2F52">
                          <w:rPr>
                            <w:color w:val="000000"/>
                            <w:sz w:val="20"/>
                          </w:rPr>
                          <w:t xml:space="preserve">G. Time for Audits </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0A32D5C1" w14:textId="77777777">
                        <w:pPr>
                          <w:jc w:val="center"/>
                          <w:rPr>
                            <w:color w:val="000000"/>
                            <w:sz w:val="20"/>
                          </w:rPr>
                        </w:pPr>
                        <w:r w:rsidRPr="00ED2F52">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5B3F011D"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1B1A91A0" w14:textId="77777777">
                        <w:pPr>
                          <w:jc w:val="right"/>
                          <w:rPr>
                            <w:color w:val="000000"/>
                            <w:sz w:val="20"/>
                          </w:rPr>
                        </w:pPr>
                        <w:r w:rsidRPr="00ED2F52">
                          <w:rPr>
                            <w:color w:val="00000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55163AA"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7E6967F7"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CC66E8F" w14:textId="77777777">
                        <w:pPr>
                          <w:jc w:val="right"/>
                          <w:rPr>
                            <w:color w:val="000000"/>
                            <w:sz w:val="20"/>
                          </w:rPr>
                        </w:pPr>
                        <w:r w:rsidRPr="00ED2F52">
                          <w:rPr>
                            <w:color w:val="000000"/>
                            <w:sz w:val="20"/>
                          </w:rPr>
                          <w:t> </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538C394B"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457EC7D0" w14:textId="77777777">
                        <w:pPr>
                          <w:jc w:val="right"/>
                          <w:rPr>
                            <w:color w:val="000000"/>
                            <w:sz w:val="20"/>
                          </w:rPr>
                        </w:pPr>
                        <w:r w:rsidRPr="00ED2F52">
                          <w:rPr>
                            <w:color w:val="000000"/>
                            <w:sz w:val="20"/>
                          </w:rPr>
                          <w:t> </w:t>
                        </w:r>
                      </w:p>
                    </w:tc>
                  </w:tr>
                  <w:tr w14:paraId="05293973" w14:textId="77777777" w:rsidTr="00ED2F52">
                    <w:tblPrEx>
                      <w:tblW w:w="12720" w:type="dxa"/>
                      <w:tblLayout w:type="fixed"/>
                      <w:tblLook w:val="04A0"/>
                    </w:tblPrEx>
                    <w:trPr>
                      <w:trHeight w:val="63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27CB7462" w14:textId="77777777">
                        <w:pPr>
                          <w:rPr>
                            <w:b/>
                            <w:bCs/>
                            <w:i/>
                            <w:iCs/>
                            <w:color w:val="000000"/>
                            <w:sz w:val="20"/>
                          </w:rPr>
                        </w:pPr>
                        <w:r w:rsidRPr="00ED2F52">
                          <w:rPr>
                            <w:b/>
                            <w:bCs/>
                            <w:i/>
                            <w:iCs/>
                            <w:color w:val="000000"/>
                            <w:sz w:val="20"/>
                          </w:rPr>
                          <w:t>Subtotal for Recordkeeping Requirements</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433C8C79" w14:textId="77777777">
                        <w:pPr>
                          <w:jc w:val="right"/>
                          <w:rPr>
                            <w:b/>
                            <w:bCs/>
                            <w:i/>
                            <w:iCs/>
                            <w:color w:val="000000"/>
                            <w:sz w:val="20"/>
                          </w:rPr>
                        </w:pPr>
                        <w:r w:rsidRPr="00ED2F52">
                          <w:rPr>
                            <w:b/>
                            <w:bCs/>
                            <w:i/>
                            <w:i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4E5D2A1" w14:textId="77777777">
                        <w:pPr>
                          <w:jc w:val="right"/>
                          <w:rPr>
                            <w:b/>
                            <w:bCs/>
                            <w:i/>
                            <w:iCs/>
                            <w:sz w:val="20"/>
                          </w:rPr>
                        </w:pPr>
                        <w:r w:rsidRPr="00ED2F52">
                          <w:rPr>
                            <w:b/>
                            <w:bCs/>
                            <w:i/>
                            <w:i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7FCE27B3" w14:textId="77777777">
                        <w:pPr>
                          <w:jc w:val="right"/>
                          <w:rPr>
                            <w:b/>
                            <w:bCs/>
                            <w:i/>
                            <w:iCs/>
                            <w:color w:val="000000"/>
                            <w:sz w:val="20"/>
                          </w:rPr>
                        </w:pPr>
                        <w:r w:rsidRPr="00ED2F52">
                          <w:rPr>
                            <w:b/>
                            <w:bCs/>
                            <w:i/>
                            <w:iCs/>
                            <w:color w:val="000000"/>
                            <w:sz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22D60D98" w14:textId="77777777">
                        <w:pPr>
                          <w:jc w:val="right"/>
                          <w:rPr>
                            <w:b/>
                            <w:bCs/>
                            <w:i/>
                            <w:iCs/>
                            <w:sz w:val="20"/>
                          </w:rPr>
                        </w:pPr>
                        <w:r w:rsidRPr="00ED2F52">
                          <w:rPr>
                            <w:b/>
                            <w:bCs/>
                            <w:i/>
                            <w:iCs/>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8D43499" w14:textId="77777777">
                        <w:pPr>
                          <w:jc w:val="center"/>
                          <w:rPr>
                            <w:b/>
                            <w:bCs/>
                            <w:i/>
                            <w:iCs/>
                            <w:color w:val="000000"/>
                            <w:sz w:val="20"/>
                          </w:rPr>
                        </w:pPr>
                        <w:r w:rsidRPr="00ED2F52">
                          <w:rPr>
                            <w:b/>
                            <w:bCs/>
                            <w:i/>
                            <w:iCs/>
                            <w:color w:val="000000"/>
                            <w:sz w:val="20"/>
                          </w:rPr>
                          <w:t>10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4FF283C9" w14:textId="77777777">
                        <w:pPr>
                          <w:jc w:val="center"/>
                          <w:rPr>
                            <w:b/>
                            <w:bCs/>
                            <w:i/>
                            <w:iCs/>
                            <w:color w:val="000000"/>
                            <w:sz w:val="20"/>
                          </w:rPr>
                        </w:pPr>
                        <w:r w:rsidRPr="00ED2F52">
                          <w:rPr>
                            <w:b/>
                            <w:bCs/>
                            <w:i/>
                            <w:iCs/>
                            <w:color w:val="000000"/>
                            <w:sz w:val="20"/>
                          </w:rPr>
                          <w:t> </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25B68452" w14:textId="77777777">
                        <w:pPr>
                          <w:jc w:val="center"/>
                          <w:rPr>
                            <w:b/>
                            <w:bCs/>
                            <w:i/>
                            <w:iCs/>
                            <w:color w:val="000000"/>
                            <w:sz w:val="20"/>
                          </w:rPr>
                        </w:pPr>
                        <w:r w:rsidRPr="00ED2F52">
                          <w:rPr>
                            <w:b/>
                            <w:bCs/>
                            <w:i/>
                            <w:iCs/>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65FF1082" w14:textId="77777777">
                        <w:pPr>
                          <w:jc w:val="right"/>
                          <w:rPr>
                            <w:b/>
                            <w:bCs/>
                            <w:i/>
                            <w:iCs/>
                            <w:color w:val="000000"/>
                            <w:sz w:val="20"/>
                          </w:rPr>
                        </w:pPr>
                        <w:r w:rsidRPr="00ED2F52">
                          <w:rPr>
                            <w:b/>
                            <w:bCs/>
                            <w:i/>
                            <w:iCs/>
                            <w:color w:val="000000"/>
                            <w:sz w:val="20"/>
                          </w:rPr>
                          <w:t xml:space="preserve">$1,209 </w:t>
                        </w:r>
                      </w:p>
                    </w:tc>
                  </w:tr>
                  <w:tr w14:paraId="3C1AE554" w14:textId="77777777" w:rsidTr="00ED2F52">
                    <w:tblPrEx>
                      <w:tblW w:w="12720" w:type="dxa"/>
                      <w:tblLayout w:type="fixed"/>
                      <w:tblLook w:val="04A0"/>
                    </w:tblPrEx>
                    <w:trPr>
                      <w:trHeight w:val="74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198DABAC" w14:textId="77777777">
                        <w:pPr>
                          <w:rPr>
                            <w:b/>
                            <w:bCs/>
                            <w:color w:val="000000"/>
                            <w:sz w:val="20"/>
                          </w:rPr>
                        </w:pPr>
                        <w:r w:rsidRPr="00ED2F52">
                          <w:rPr>
                            <w:b/>
                            <w:bCs/>
                            <w:color w:val="000000"/>
                            <w:sz w:val="20"/>
                          </w:rPr>
                          <w:t xml:space="preserve">Total Labor Burden and Cost (rounded) </w:t>
                        </w:r>
                        <w:r w:rsidRPr="00ED2F52">
                          <w:rPr>
                            <w:b/>
                            <w:bCs/>
                            <w:color w:val="000000"/>
                            <w:sz w:val="20"/>
                            <w:vertAlign w:val="superscript"/>
                          </w:rPr>
                          <w:t>e</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6AFFB67B" w14:textId="77777777">
                        <w:pPr>
                          <w:jc w:val="right"/>
                          <w:rPr>
                            <w:b/>
                            <w:bCs/>
                            <w:color w:val="000000"/>
                            <w:sz w:val="20"/>
                          </w:rPr>
                        </w:pPr>
                        <w:r w:rsidRPr="00ED2F52">
                          <w:rPr>
                            <w:b/>
                            <w:b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6F087415" w14:textId="77777777">
                        <w:pPr>
                          <w:jc w:val="center"/>
                          <w:rPr>
                            <w:b/>
                            <w:bCs/>
                            <w:sz w:val="20"/>
                          </w:rPr>
                        </w:pPr>
                        <w:r w:rsidRPr="00ED2F52">
                          <w:rPr>
                            <w:b/>
                            <w:b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325A3CF2" w14:textId="77777777">
                        <w:pPr>
                          <w:jc w:val="right"/>
                          <w:rPr>
                            <w:b/>
                            <w:bCs/>
                            <w:color w:val="000000"/>
                            <w:sz w:val="20"/>
                          </w:rPr>
                        </w:pPr>
                        <w:r w:rsidRPr="00ED2F52">
                          <w:rPr>
                            <w:b/>
                            <w:bCs/>
                            <w:color w:val="00000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4AE0D85F" w14:textId="77777777">
                        <w:pPr>
                          <w:jc w:val="right"/>
                          <w:rPr>
                            <w:b/>
                            <w:bCs/>
                            <w:sz w:val="20"/>
                          </w:rPr>
                        </w:pPr>
                        <w:r w:rsidRPr="00ED2F52">
                          <w:rPr>
                            <w:b/>
                            <w:bCs/>
                            <w:sz w:val="20"/>
                          </w:rPr>
                          <w:t> </w:t>
                        </w:r>
                      </w:p>
                    </w:tc>
                    <w:tc>
                      <w:tcPr>
                        <w:tcW w:w="3620" w:type="dxa"/>
                        <w:gridSpan w:val="3"/>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2ED980CA" w14:textId="77777777">
                        <w:pPr>
                          <w:jc w:val="center"/>
                          <w:rPr>
                            <w:b/>
                            <w:bCs/>
                            <w:color w:val="000000"/>
                            <w:sz w:val="20"/>
                          </w:rPr>
                        </w:pPr>
                        <w:r w:rsidRPr="00ED2F52">
                          <w:rPr>
                            <w:b/>
                            <w:bCs/>
                            <w:color w:val="000000"/>
                            <w:sz w:val="20"/>
                          </w:rPr>
                          <w:t>1,200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692E9BC6" w14:textId="77777777">
                        <w:pPr>
                          <w:jc w:val="right"/>
                          <w:rPr>
                            <w:b/>
                            <w:bCs/>
                            <w:color w:val="000000"/>
                            <w:sz w:val="20"/>
                          </w:rPr>
                        </w:pPr>
                        <w:r w:rsidRPr="00ED2F52">
                          <w:rPr>
                            <w:b/>
                            <w:bCs/>
                            <w:color w:val="000000"/>
                            <w:sz w:val="20"/>
                          </w:rPr>
                          <w:t xml:space="preserve">$150,000 </w:t>
                        </w:r>
                      </w:p>
                    </w:tc>
                  </w:tr>
                  <w:tr w14:paraId="21D344A8" w14:textId="77777777" w:rsidTr="00ED2F52">
                    <w:tblPrEx>
                      <w:tblW w:w="12720" w:type="dxa"/>
                      <w:tblLayout w:type="fixed"/>
                      <w:tblLook w:val="04A0"/>
                    </w:tblPrEx>
                    <w:trPr>
                      <w:trHeight w:val="62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6EDC9EA8" w14:textId="77777777">
                        <w:pPr>
                          <w:rPr>
                            <w:b/>
                            <w:bCs/>
                            <w:sz w:val="20"/>
                          </w:rPr>
                        </w:pPr>
                        <w:r w:rsidRPr="00ED2F52">
                          <w:rPr>
                            <w:b/>
                            <w:bCs/>
                            <w:sz w:val="20"/>
                          </w:rPr>
                          <w:t xml:space="preserve">Total Capital and O&amp;M Cost (rounded) </w:t>
                        </w:r>
                        <w:r w:rsidRPr="00ED2F52">
                          <w:rPr>
                            <w:b/>
                            <w:bCs/>
                            <w:sz w:val="20"/>
                            <w:vertAlign w:val="superscript"/>
                          </w:rPr>
                          <w:t>e</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20BF7663" w14:textId="77777777">
                        <w:pPr>
                          <w:jc w:val="right"/>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6C2D8868"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29D6F2D2" w14:textId="77777777">
                        <w:pPr>
                          <w:jc w:val="right"/>
                          <w:rPr>
                            <w:color w:val="000000"/>
                            <w:sz w:val="20"/>
                          </w:rPr>
                        </w:pPr>
                        <w:r w:rsidRPr="00ED2F52">
                          <w:rPr>
                            <w:color w:val="00000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362E31A4"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253321C5"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35A33718" w14:textId="77777777">
                        <w:pPr>
                          <w:jc w:val="right"/>
                          <w:rPr>
                            <w:color w:val="000000"/>
                            <w:sz w:val="20"/>
                          </w:rPr>
                        </w:pPr>
                        <w:r w:rsidRPr="00ED2F52">
                          <w:rPr>
                            <w:color w:val="000000"/>
                            <w:sz w:val="20"/>
                          </w:rPr>
                          <w:t> </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518553DB"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2EEE4FC" w14:textId="77777777">
                        <w:pPr>
                          <w:jc w:val="right"/>
                          <w:rPr>
                            <w:b/>
                            <w:bCs/>
                            <w:color w:val="000000"/>
                            <w:sz w:val="20"/>
                          </w:rPr>
                        </w:pPr>
                        <w:r w:rsidRPr="00ED2F52">
                          <w:rPr>
                            <w:b/>
                            <w:bCs/>
                            <w:color w:val="000000"/>
                            <w:sz w:val="20"/>
                          </w:rPr>
                          <w:t> </w:t>
                        </w:r>
                      </w:p>
                    </w:tc>
                  </w:tr>
                  <w:tr w14:paraId="31FB9C7E" w14:textId="77777777" w:rsidTr="00ED2F52">
                    <w:tblPrEx>
                      <w:tblW w:w="12720" w:type="dxa"/>
                      <w:tblLayout w:type="fixed"/>
                      <w:tblLook w:val="04A0"/>
                    </w:tblPrEx>
                    <w:trPr>
                      <w:trHeight w:val="300"/>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40FDA1D9" w14:textId="77777777">
                        <w:pPr>
                          <w:rPr>
                            <w:b/>
                            <w:bCs/>
                            <w:sz w:val="20"/>
                          </w:rPr>
                        </w:pPr>
                        <w:r w:rsidRPr="00ED2F52">
                          <w:rPr>
                            <w:b/>
                            <w:bCs/>
                            <w:sz w:val="20"/>
                          </w:rPr>
                          <w:t xml:space="preserve">Grand TOTAL (rounded) </w:t>
                        </w:r>
                        <w:r w:rsidRPr="00ED2F52">
                          <w:rPr>
                            <w:b/>
                            <w:bCs/>
                            <w:sz w:val="20"/>
                            <w:vertAlign w:val="superscript"/>
                          </w:rPr>
                          <w:t>e</w:t>
                        </w:r>
                      </w:p>
                    </w:tc>
                    <w:tc>
                      <w:tcPr>
                        <w:tcW w:w="1040" w:type="dxa"/>
                        <w:tcBorders>
                          <w:top w:val="nil"/>
                          <w:left w:val="nil"/>
                          <w:bottom w:val="single" w:sz="4" w:space="0" w:color="auto"/>
                          <w:right w:val="single" w:sz="4" w:space="0" w:color="auto"/>
                        </w:tcBorders>
                        <w:shd w:val="clear" w:color="auto" w:fill="auto"/>
                        <w:vAlign w:val="center"/>
                        <w:hideMark/>
                      </w:tcPr>
                      <w:p w:rsidR="00ED2F52" w:rsidRPr="00ED2F52" w:rsidP="00ED2F52" w14:paraId="5D36D0E1" w14:textId="77777777">
                        <w:pPr>
                          <w:jc w:val="right"/>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1AF839C8"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3FCD72AA" w14:textId="77777777">
                        <w:pPr>
                          <w:jc w:val="right"/>
                          <w:rPr>
                            <w:color w:val="000000"/>
                            <w:sz w:val="20"/>
                          </w:rPr>
                        </w:pPr>
                        <w:r w:rsidRPr="00ED2F52">
                          <w:rPr>
                            <w:color w:val="000000"/>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47B4C8C3"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7D86B4FB"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33DA00B6" w14:textId="77777777">
                        <w:pPr>
                          <w:jc w:val="right"/>
                          <w:rPr>
                            <w:color w:val="000000"/>
                            <w:sz w:val="20"/>
                          </w:rPr>
                        </w:pPr>
                        <w:r w:rsidRPr="00ED2F52">
                          <w:rPr>
                            <w:color w:val="000000"/>
                            <w:sz w:val="20"/>
                          </w:rPr>
                          <w:t> </w:t>
                        </w:r>
                      </w:p>
                    </w:tc>
                    <w:tc>
                      <w:tcPr>
                        <w:tcW w:w="1180" w:type="dxa"/>
                        <w:tcBorders>
                          <w:top w:val="nil"/>
                          <w:left w:val="nil"/>
                          <w:bottom w:val="single" w:sz="4" w:space="0" w:color="auto"/>
                          <w:right w:val="single" w:sz="4" w:space="0" w:color="auto"/>
                        </w:tcBorders>
                        <w:shd w:val="clear" w:color="auto" w:fill="auto"/>
                        <w:vAlign w:val="center"/>
                        <w:hideMark/>
                      </w:tcPr>
                      <w:p w:rsidR="00ED2F52" w:rsidRPr="00ED2F52" w:rsidP="00ED2F52" w14:paraId="4D5A25F3"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166EC155" w14:textId="77777777">
                        <w:pPr>
                          <w:jc w:val="right"/>
                          <w:rPr>
                            <w:b/>
                            <w:bCs/>
                            <w:color w:val="000000"/>
                            <w:sz w:val="20"/>
                          </w:rPr>
                        </w:pPr>
                        <w:r w:rsidRPr="00ED2F52">
                          <w:rPr>
                            <w:b/>
                            <w:bCs/>
                            <w:color w:val="000000"/>
                            <w:sz w:val="20"/>
                          </w:rPr>
                          <w:t xml:space="preserve">$200,000 </w:t>
                        </w:r>
                      </w:p>
                    </w:tc>
                  </w:tr>
                  <w:tr w14:paraId="10FC59C7" w14:textId="77777777" w:rsidTr="00ED2F52">
                    <w:tblPrEx>
                      <w:tblW w:w="12720" w:type="dxa"/>
                      <w:tblLayout w:type="fixed"/>
                      <w:tblLook w:val="04A0"/>
                    </w:tblPrEx>
                    <w:trPr>
                      <w:trHeight w:val="120"/>
                    </w:trPr>
                    <w:tc>
                      <w:tcPr>
                        <w:tcW w:w="3000" w:type="dxa"/>
                        <w:tcBorders>
                          <w:top w:val="nil"/>
                          <w:left w:val="nil"/>
                          <w:bottom w:val="nil"/>
                          <w:right w:val="nil"/>
                        </w:tcBorders>
                        <w:shd w:val="clear" w:color="auto" w:fill="auto"/>
                        <w:noWrap/>
                        <w:vAlign w:val="bottom"/>
                        <w:hideMark/>
                      </w:tcPr>
                      <w:p w:rsidR="00ED2F52" w:rsidRPr="00ED2F52" w:rsidP="00ED2F52" w14:paraId="1CAF539C" w14:textId="77777777">
                        <w:pPr>
                          <w:jc w:val="right"/>
                          <w:rPr>
                            <w:b/>
                            <w:bCs/>
                            <w:color w:val="000000"/>
                            <w:sz w:val="20"/>
                          </w:rPr>
                        </w:pPr>
                      </w:p>
                    </w:tc>
                    <w:tc>
                      <w:tcPr>
                        <w:tcW w:w="1040" w:type="dxa"/>
                        <w:tcBorders>
                          <w:top w:val="nil"/>
                          <w:left w:val="nil"/>
                          <w:bottom w:val="nil"/>
                          <w:right w:val="nil"/>
                        </w:tcBorders>
                        <w:shd w:val="clear" w:color="auto" w:fill="auto"/>
                        <w:noWrap/>
                        <w:vAlign w:val="bottom"/>
                        <w:hideMark/>
                      </w:tcPr>
                      <w:p w:rsidR="00ED2F52" w:rsidRPr="00ED2F52" w:rsidP="00ED2F52" w14:paraId="0D27463E" w14:textId="77777777">
                        <w:pPr>
                          <w:rPr>
                            <w:sz w:val="20"/>
                          </w:rPr>
                        </w:pPr>
                      </w:p>
                    </w:tc>
                    <w:tc>
                      <w:tcPr>
                        <w:tcW w:w="1320" w:type="dxa"/>
                        <w:tcBorders>
                          <w:top w:val="nil"/>
                          <w:left w:val="nil"/>
                          <w:bottom w:val="nil"/>
                          <w:right w:val="nil"/>
                        </w:tcBorders>
                        <w:shd w:val="clear" w:color="auto" w:fill="auto"/>
                        <w:noWrap/>
                        <w:vAlign w:val="bottom"/>
                        <w:hideMark/>
                      </w:tcPr>
                      <w:p w:rsidR="00ED2F52" w:rsidRPr="00ED2F52" w:rsidP="00ED2F52" w14:paraId="36BE5F56" w14:textId="77777777">
                        <w:pPr>
                          <w:rPr>
                            <w:sz w:val="20"/>
                          </w:rPr>
                        </w:pPr>
                      </w:p>
                    </w:tc>
                    <w:tc>
                      <w:tcPr>
                        <w:tcW w:w="1240" w:type="dxa"/>
                        <w:tcBorders>
                          <w:top w:val="nil"/>
                          <w:left w:val="nil"/>
                          <w:bottom w:val="nil"/>
                          <w:right w:val="nil"/>
                        </w:tcBorders>
                        <w:shd w:val="clear" w:color="auto" w:fill="auto"/>
                        <w:noWrap/>
                        <w:vAlign w:val="bottom"/>
                        <w:hideMark/>
                      </w:tcPr>
                      <w:p w:rsidR="00ED2F52" w:rsidRPr="00ED2F52" w:rsidP="00ED2F52" w14:paraId="405C4387" w14:textId="77777777">
                        <w:pPr>
                          <w:rPr>
                            <w:sz w:val="20"/>
                          </w:rPr>
                        </w:pPr>
                      </w:p>
                    </w:tc>
                    <w:tc>
                      <w:tcPr>
                        <w:tcW w:w="1240" w:type="dxa"/>
                        <w:tcBorders>
                          <w:top w:val="nil"/>
                          <w:left w:val="nil"/>
                          <w:bottom w:val="nil"/>
                          <w:right w:val="nil"/>
                        </w:tcBorders>
                        <w:shd w:val="clear" w:color="auto" w:fill="auto"/>
                        <w:noWrap/>
                        <w:vAlign w:val="bottom"/>
                        <w:hideMark/>
                      </w:tcPr>
                      <w:p w:rsidR="00ED2F52" w:rsidRPr="00ED2F52" w:rsidP="00ED2F52" w14:paraId="2E97715A" w14:textId="77777777">
                        <w:pPr>
                          <w:rPr>
                            <w:sz w:val="20"/>
                          </w:rPr>
                        </w:pPr>
                      </w:p>
                    </w:tc>
                    <w:tc>
                      <w:tcPr>
                        <w:tcW w:w="1160" w:type="dxa"/>
                        <w:tcBorders>
                          <w:top w:val="nil"/>
                          <w:left w:val="nil"/>
                          <w:bottom w:val="nil"/>
                          <w:right w:val="nil"/>
                        </w:tcBorders>
                        <w:shd w:val="clear" w:color="auto" w:fill="auto"/>
                        <w:noWrap/>
                        <w:vAlign w:val="bottom"/>
                        <w:hideMark/>
                      </w:tcPr>
                      <w:p w:rsidR="00ED2F52" w:rsidRPr="00ED2F52" w:rsidP="00ED2F52" w14:paraId="02E46556" w14:textId="77777777">
                        <w:pPr>
                          <w:rPr>
                            <w:sz w:val="20"/>
                          </w:rPr>
                        </w:pPr>
                      </w:p>
                    </w:tc>
                    <w:tc>
                      <w:tcPr>
                        <w:tcW w:w="1280" w:type="dxa"/>
                        <w:tcBorders>
                          <w:top w:val="nil"/>
                          <w:left w:val="nil"/>
                          <w:bottom w:val="nil"/>
                          <w:right w:val="nil"/>
                        </w:tcBorders>
                        <w:shd w:val="clear" w:color="auto" w:fill="auto"/>
                        <w:noWrap/>
                        <w:vAlign w:val="bottom"/>
                        <w:hideMark/>
                      </w:tcPr>
                      <w:p w:rsidR="00ED2F52" w:rsidRPr="00ED2F52" w:rsidP="00ED2F52" w14:paraId="0F104D57" w14:textId="77777777">
                        <w:pPr>
                          <w:rPr>
                            <w:sz w:val="20"/>
                          </w:rPr>
                        </w:pPr>
                      </w:p>
                    </w:tc>
                    <w:tc>
                      <w:tcPr>
                        <w:tcW w:w="1180" w:type="dxa"/>
                        <w:tcBorders>
                          <w:top w:val="nil"/>
                          <w:left w:val="nil"/>
                          <w:bottom w:val="nil"/>
                          <w:right w:val="nil"/>
                        </w:tcBorders>
                        <w:shd w:val="clear" w:color="auto" w:fill="auto"/>
                        <w:noWrap/>
                        <w:vAlign w:val="bottom"/>
                        <w:hideMark/>
                      </w:tcPr>
                      <w:p w:rsidR="00ED2F52" w:rsidRPr="00ED2F52" w:rsidP="00ED2F52" w14:paraId="7F73C5D1" w14:textId="77777777">
                        <w:pPr>
                          <w:rPr>
                            <w:sz w:val="20"/>
                          </w:rPr>
                        </w:pPr>
                      </w:p>
                    </w:tc>
                    <w:tc>
                      <w:tcPr>
                        <w:tcW w:w="1260" w:type="dxa"/>
                        <w:tcBorders>
                          <w:top w:val="nil"/>
                          <w:left w:val="nil"/>
                          <w:bottom w:val="nil"/>
                          <w:right w:val="nil"/>
                        </w:tcBorders>
                        <w:shd w:val="clear" w:color="auto" w:fill="auto"/>
                        <w:noWrap/>
                        <w:vAlign w:val="bottom"/>
                        <w:hideMark/>
                      </w:tcPr>
                      <w:p w:rsidR="00ED2F52" w:rsidRPr="00ED2F52" w:rsidP="00ED2F52" w14:paraId="1778D126" w14:textId="77777777">
                        <w:pPr>
                          <w:rPr>
                            <w:sz w:val="20"/>
                          </w:rPr>
                        </w:pPr>
                      </w:p>
                    </w:tc>
                  </w:tr>
                  <w:tr w14:paraId="53E9AC78" w14:textId="77777777" w:rsidTr="00ED2F52">
                    <w:tblPrEx>
                      <w:tblW w:w="12720" w:type="dxa"/>
                      <w:tblLayout w:type="fixed"/>
                      <w:tblLook w:val="04A0"/>
                    </w:tblPrEx>
                    <w:trPr>
                      <w:trHeight w:val="300"/>
                    </w:trPr>
                    <w:tc>
                      <w:tcPr>
                        <w:tcW w:w="12720" w:type="dxa"/>
                        <w:gridSpan w:val="9"/>
                        <w:tcBorders>
                          <w:top w:val="nil"/>
                          <w:left w:val="nil"/>
                          <w:bottom w:val="nil"/>
                          <w:right w:val="nil"/>
                        </w:tcBorders>
                        <w:shd w:val="clear" w:color="auto" w:fill="auto"/>
                        <w:vAlign w:val="center"/>
                        <w:hideMark/>
                      </w:tcPr>
                      <w:p w:rsidR="00ED2F52" w:rsidRPr="00ED2F52" w:rsidP="00ED2F52" w14:paraId="3C0CD8E5" w14:textId="77777777">
                        <w:pPr>
                          <w:rPr>
                            <w:color w:val="000000"/>
                            <w:sz w:val="20"/>
                          </w:rPr>
                        </w:pPr>
                        <w:r w:rsidRPr="00ED2F52">
                          <w:rPr>
                            <w:color w:val="000000"/>
                            <w:sz w:val="20"/>
                            <w:vertAlign w:val="superscript"/>
                          </w:rPr>
                          <w:t>a</w:t>
                        </w:r>
                        <w:r w:rsidRPr="00ED2F52">
                          <w:rPr>
                            <w:color w:val="000000"/>
                            <w:sz w:val="20"/>
                          </w:rPr>
                          <w:t xml:space="preserve">  We have assumed that there are approximately 85 affected furnaces and that 10% of the existing units will have new construction/reconstruction.</w:t>
                        </w:r>
                      </w:p>
                    </w:tc>
                  </w:tr>
                  <w:tr w14:paraId="47429461" w14:textId="77777777" w:rsidTr="00ED2F52">
                    <w:tblPrEx>
                      <w:tblW w:w="12720" w:type="dxa"/>
                      <w:tblLayout w:type="fixed"/>
                      <w:tblLook w:val="04A0"/>
                    </w:tblPrEx>
                    <w:trPr>
                      <w:trHeight w:val="1580"/>
                    </w:trPr>
                    <w:tc>
                      <w:tcPr>
                        <w:tcW w:w="12720" w:type="dxa"/>
                        <w:gridSpan w:val="9"/>
                        <w:tcBorders>
                          <w:top w:val="nil"/>
                          <w:left w:val="nil"/>
                          <w:bottom w:val="nil"/>
                          <w:right w:val="nil"/>
                        </w:tcBorders>
                        <w:shd w:val="clear" w:color="auto" w:fill="auto"/>
                        <w:vAlign w:val="bottom"/>
                        <w:hideMark/>
                      </w:tcPr>
                      <w:p w:rsidR="00ED2F52" w:rsidRPr="00ED2F52" w:rsidP="00ED2F52" w14:paraId="468A6B48" w14:textId="77777777">
                        <w:pPr>
                          <w:rPr>
                            <w:color w:val="000000"/>
                            <w:sz w:val="20"/>
                          </w:rPr>
                        </w:pPr>
                        <w:r w:rsidRPr="00ED2F52">
                          <w:rPr>
                            <w:color w:val="000000"/>
                            <w:sz w:val="20"/>
                            <w:vertAlign w:val="superscript"/>
                          </w:rPr>
                          <w:t>b</w:t>
                        </w:r>
                        <w:r w:rsidRPr="00ED2F52">
                          <w:rPr>
                            <w:color w:val="000000"/>
                            <w:sz w:val="20"/>
                          </w:rPr>
                          <w:t xml:space="preserve">  This ICR uses the following labor rates: $161.62 per hour for Executive, Administrative, and Managerial labor; $127.68 per hour for Technical labor, and $64.22 per hour for Clerical labor.  These rates are from the United States Department of Labor, Bureau of Labor Statistics, June 2022, “Table 2. Civilian Workers, by Occupational and Industry group.”  The rates are from column 1, “Total Compensation.”  The rates have been increased by 110 percent to account for the benefit packages available to those employed by private industry.  Archived report releases can be accessed from https://www.bls.gov/bls/news-release/ecec.htm#2021;  from homepage, select Economic Releases, Archived News Releases, Employer Costs for Employee Compensation, Select a past year, Select a published report.</w:t>
                        </w:r>
                      </w:p>
                    </w:tc>
                  </w:tr>
                  <w:tr w14:paraId="0AD4A0BA" w14:textId="77777777" w:rsidTr="00ED2F52">
                    <w:tblPrEx>
                      <w:tblW w:w="12720" w:type="dxa"/>
                      <w:tblLayout w:type="fixed"/>
                      <w:tblLook w:val="04A0"/>
                    </w:tblPrEx>
                    <w:trPr>
                      <w:trHeight w:val="170"/>
                    </w:trPr>
                    <w:tc>
                      <w:tcPr>
                        <w:tcW w:w="12720" w:type="dxa"/>
                        <w:gridSpan w:val="9"/>
                        <w:tcBorders>
                          <w:top w:val="nil"/>
                          <w:left w:val="nil"/>
                          <w:bottom w:val="nil"/>
                          <w:right w:val="nil"/>
                        </w:tcBorders>
                        <w:shd w:val="clear" w:color="auto" w:fill="auto"/>
                        <w:vAlign w:val="center"/>
                        <w:hideMark/>
                      </w:tcPr>
                      <w:p w:rsidR="00ED2F52" w:rsidRPr="00ED2F52" w:rsidP="00ED2F52" w14:paraId="6043244E" w14:textId="77777777">
                        <w:pPr>
                          <w:rPr>
                            <w:color w:val="000000"/>
                            <w:sz w:val="20"/>
                          </w:rPr>
                        </w:pPr>
                        <w:r w:rsidRPr="00ED2F52">
                          <w:rPr>
                            <w:color w:val="000000"/>
                            <w:sz w:val="20"/>
                            <w:vertAlign w:val="superscript"/>
                          </w:rPr>
                          <w:t>c</w:t>
                        </w:r>
                        <w:r w:rsidRPr="00ED2F52">
                          <w:rPr>
                            <w:color w:val="000000"/>
                            <w:sz w:val="20"/>
                          </w:rPr>
                          <w:t xml:space="preserve">  New furnaces test for NOx. We have assumed that 5 percent of respondents would repeat initial performance test due to failure.</w:t>
                        </w:r>
                      </w:p>
                    </w:tc>
                  </w:tr>
                  <w:tr w14:paraId="5979077D" w14:textId="77777777" w:rsidTr="00ED2F52">
                    <w:tblPrEx>
                      <w:tblW w:w="12720" w:type="dxa"/>
                      <w:tblLayout w:type="fixed"/>
                      <w:tblLook w:val="04A0"/>
                    </w:tblPrEx>
                    <w:trPr>
                      <w:trHeight w:val="223"/>
                    </w:trPr>
                    <w:tc>
                      <w:tcPr>
                        <w:tcW w:w="12720" w:type="dxa"/>
                        <w:gridSpan w:val="9"/>
                        <w:tcBorders>
                          <w:top w:val="nil"/>
                          <w:left w:val="nil"/>
                          <w:bottom w:val="nil"/>
                          <w:right w:val="nil"/>
                        </w:tcBorders>
                        <w:shd w:val="clear" w:color="auto" w:fill="auto"/>
                        <w:vAlign w:val="center"/>
                        <w:hideMark/>
                      </w:tcPr>
                      <w:p w:rsidR="00ED2F52" w:rsidRPr="00ED2F52" w:rsidP="00ED2F52" w14:paraId="1A26B1A0" w14:textId="77777777">
                        <w:pPr>
                          <w:rPr>
                            <w:sz w:val="20"/>
                          </w:rPr>
                        </w:pPr>
                        <w:r w:rsidRPr="00ED2F52">
                          <w:rPr>
                            <w:sz w:val="20"/>
                            <w:vertAlign w:val="superscript"/>
                          </w:rPr>
                          <w:t>d</w:t>
                        </w:r>
                        <w:r w:rsidRPr="00ED2F52">
                          <w:rPr>
                            <w:sz w:val="20"/>
                          </w:rPr>
                          <w:t xml:space="preserve">  The rule requires existing furnaces re-test annually for NOx.  Existing furnaces are assumed to not have existing CPMS installed. </w:t>
                        </w:r>
                      </w:p>
                    </w:tc>
                  </w:tr>
                  <w:tr w14:paraId="790A26FB" w14:textId="77777777" w:rsidTr="00ED2F52">
                    <w:tblPrEx>
                      <w:tblW w:w="12720" w:type="dxa"/>
                      <w:tblLayout w:type="fixed"/>
                      <w:tblLook w:val="04A0"/>
                    </w:tblPrEx>
                    <w:trPr>
                      <w:trHeight w:val="230"/>
                    </w:trPr>
                    <w:tc>
                      <w:tcPr>
                        <w:tcW w:w="12720" w:type="dxa"/>
                        <w:gridSpan w:val="9"/>
                        <w:tcBorders>
                          <w:top w:val="nil"/>
                          <w:left w:val="nil"/>
                          <w:bottom w:val="nil"/>
                          <w:right w:val="nil"/>
                        </w:tcBorders>
                        <w:shd w:val="clear" w:color="auto" w:fill="auto"/>
                        <w:hideMark/>
                      </w:tcPr>
                      <w:p w:rsidR="00ED2F52" w:rsidRPr="00ED2F52" w:rsidP="00ED2F52" w14:paraId="13212160" w14:textId="77777777">
                        <w:pPr>
                          <w:rPr>
                            <w:color w:val="000000"/>
                            <w:sz w:val="20"/>
                          </w:rPr>
                        </w:pPr>
                        <w:r w:rsidRPr="00ED2F52">
                          <w:rPr>
                            <w:color w:val="000000"/>
                            <w:sz w:val="20"/>
                            <w:vertAlign w:val="superscript"/>
                          </w:rPr>
                          <w:t>e</w:t>
                        </w:r>
                        <w:r w:rsidRPr="00ED2F52">
                          <w:rPr>
                            <w:color w:val="000000"/>
                            <w:sz w:val="20"/>
                          </w:rPr>
                          <w:t xml:space="preserve">  Totals have been rounded to 3 significant figures.  Figures may not add exactly due to rounding.</w:t>
                        </w:r>
                      </w:p>
                    </w:tc>
                  </w:tr>
                </w:tbl>
                <w:p w:rsidR="00AB48F8" w:rsidP="00036248" w14:paraId="5114C341" w14:textId="5A742EF0">
                  <w:pPr>
                    <w:rPr>
                      <w:b/>
                      <w:bCs/>
                      <w:szCs w:val="24"/>
                    </w:rPr>
                  </w:pPr>
                </w:p>
                <w:p w:rsidR="00965A1B" w:rsidP="00036248" w14:paraId="3639968A" w14:textId="77777777">
                  <w:pPr>
                    <w:rPr>
                      <w:b/>
                      <w:bCs/>
                      <w:szCs w:val="24"/>
                    </w:rPr>
                  </w:pPr>
                </w:p>
                <w:p w:rsidR="00036248" w:rsidP="00036248" w14:paraId="478EBF53" w14:textId="0CA2E716">
                  <w:pPr>
                    <w:rPr>
                      <w:b/>
                      <w:bCs/>
                      <w:szCs w:val="24"/>
                    </w:rPr>
                  </w:pPr>
                  <w:r w:rsidRPr="00D17F6A">
                    <w:rPr>
                      <w:b/>
                      <w:bCs/>
                      <w:szCs w:val="24"/>
                    </w:rPr>
                    <w:t xml:space="preserve">Table </w:t>
                  </w:r>
                  <w:r w:rsidR="00CD3BBE">
                    <w:rPr>
                      <w:b/>
                      <w:bCs/>
                      <w:szCs w:val="24"/>
                    </w:rPr>
                    <w:t>11</w:t>
                  </w:r>
                  <w:r w:rsidRPr="00D17F6A">
                    <w:rPr>
                      <w:b/>
                      <w:bCs/>
                      <w:szCs w:val="24"/>
                    </w:rPr>
                    <w:t xml:space="preserve">: </w:t>
                  </w:r>
                  <w:r>
                    <w:rPr>
                      <w:b/>
                      <w:bCs/>
                      <w:szCs w:val="24"/>
                    </w:rPr>
                    <w:t xml:space="preserve">Annual </w:t>
                  </w:r>
                  <w:r w:rsidRPr="00D17F6A">
                    <w:rPr>
                      <w:b/>
                      <w:bCs/>
                      <w:szCs w:val="24"/>
                    </w:rPr>
                    <w:t xml:space="preserve">Respondent Burden and Cost – </w:t>
                  </w:r>
                  <w:r>
                    <w:rPr>
                      <w:b/>
                      <w:bCs/>
                      <w:szCs w:val="24"/>
                    </w:rPr>
                    <w:t>Glass and Glass Product Manufacturing</w:t>
                  </w:r>
                  <w:r w:rsidR="00CD3BBE">
                    <w:rPr>
                      <w:b/>
                      <w:bCs/>
                      <w:szCs w:val="24"/>
                    </w:rPr>
                    <w:t>, Year 2</w:t>
                  </w:r>
                </w:p>
                <w:p w:rsidR="00AB48F8" w:rsidP="00036248" w14:paraId="6087EB97" w14:textId="77777777">
                  <w:pPr>
                    <w:rPr>
                      <w:b/>
                      <w:bCs/>
                      <w:szCs w:val="24"/>
                    </w:rPr>
                  </w:pPr>
                </w:p>
                <w:tbl>
                  <w:tblPr>
                    <w:tblW w:w="12840" w:type="dxa"/>
                    <w:tblLayout w:type="fixed"/>
                    <w:tblLook w:val="04A0"/>
                  </w:tblPr>
                  <w:tblGrid>
                    <w:gridCol w:w="2920"/>
                    <w:gridCol w:w="1120"/>
                    <w:gridCol w:w="1320"/>
                    <w:gridCol w:w="1240"/>
                    <w:gridCol w:w="1340"/>
                    <w:gridCol w:w="1160"/>
                    <w:gridCol w:w="1280"/>
                    <w:gridCol w:w="1260"/>
                    <w:gridCol w:w="1200"/>
                  </w:tblGrid>
                  <w:tr w14:paraId="5431FB31" w14:textId="77777777" w:rsidTr="00ED2F52">
                    <w:tblPrEx>
                      <w:tblW w:w="12840" w:type="dxa"/>
                      <w:tblLayout w:type="fixed"/>
                      <w:tblLook w:val="04A0"/>
                    </w:tblPrEx>
                    <w:trPr>
                      <w:trHeight w:val="1300"/>
                    </w:trPr>
                    <w:tc>
                      <w:tcPr>
                        <w:tcW w:w="2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2F52" w:rsidRPr="00ED2F52" w:rsidP="00ED2F52" w14:paraId="5A12C24F" w14:textId="77777777">
                        <w:pPr>
                          <w:jc w:val="center"/>
                          <w:rPr>
                            <w:b/>
                            <w:bCs/>
                            <w:color w:val="000000"/>
                            <w:sz w:val="20"/>
                          </w:rPr>
                        </w:pPr>
                        <w:r w:rsidRPr="00ED2F52">
                          <w:rPr>
                            <w:b/>
                            <w:bCs/>
                            <w:color w:val="000000"/>
                            <w:sz w:val="20"/>
                          </w:rPr>
                          <w:t>Burden Item</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1CB538ED" w14:textId="77777777">
                        <w:pPr>
                          <w:jc w:val="center"/>
                          <w:rPr>
                            <w:color w:val="000000"/>
                            <w:sz w:val="20"/>
                          </w:rPr>
                        </w:pPr>
                        <w:r w:rsidRPr="00ED2F52">
                          <w:rPr>
                            <w:color w:val="000000"/>
                            <w:sz w:val="20"/>
                          </w:rPr>
                          <w:t>(A)</w:t>
                        </w:r>
                        <w:r w:rsidRPr="00ED2F52">
                          <w:rPr>
                            <w:color w:val="000000"/>
                            <w:sz w:val="20"/>
                          </w:rPr>
                          <w:br/>
                        </w:r>
                        <w:r w:rsidRPr="00ED2F52">
                          <w:rPr>
                            <w:color w:val="000000"/>
                            <w:sz w:val="20"/>
                          </w:rPr>
                          <w:t>Hours per Occurrence</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6F55A8F9" w14:textId="77777777">
                        <w:pPr>
                          <w:jc w:val="center"/>
                          <w:rPr>
                            <w:sz w:val="20"/>
                          </w:rPr>
                        </w:pPr>
                        <w:r w:rsidRPr="00ED2F52">
                          <w:rPr>
                            <w:sz w:val="20"/>
                          </w:rPr>
                          <w:t>(B)</w:t>
                        </w:r>
                        <w:r w:rsidRPr="00ED2F52">
                          <w:rPr>
                            <w:sz w:val="20"/>
                          </w:rPr>
                          <w:br/>
                        </w:r>
                        <w:r w:rsidRPr="00ED2F52">
                          <w:rPr>
                            <w:sz w:val="20"/>
                          </w:rPr>
                          <w:t>Occurrences/ Respondent/ Year</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4440403C" w14:textId="77777777">
                        <w:pPr>
                          <w:jc w:val="center"/>
                          <w:rPr>
                            <w:color w:val="000000"/>
                            <w:sz w:val="20"/>
                          </w:rPr>
                        </w:pPr>
                        <w:r w:rsidRPr="00ED2F52">
                          <w:rPr>
                            <w:color w:val="000000"/>
                            <w:sz w:val="20"/>
                          </w:rPr>
                          <w:t>(C)</w:t>
                        </w:r>
                        <w:r w:rsidRPr="00ED2F52">
                          <w:rPr>
                            <w:color w:val="000000"/>
                            <w:sz w:val="20"/>
                          </w:rPr>
                          <w:br/>
                        </w:r>
                        <w:r w:rsidRPr="00ED2F52">
                          <w:rPr>
                            <w:color w:val="000000"/>
                            <w:sz w:val="20"/>
                          </w:rPr>
                          <w:t xml:space="preserve">Hours/ Respondent/ Year </w:t>
                        </w:r>
                        <w:r w:rsidRPr="00ED2F52">
                          <w:rPr>
                            <w:color w:val="000000"/>
                            <w:sz w:val="20"/>
                          </w:rPr>
                          <w:br/>
                        </w:r>
                        <w:r w:rsidRPr="00ED2F52">
                          <w:rPr>
                            <w:color w:val="000000"/>
                            <w:sz w:val="20"/>
                          </w:rPr>
                          <w:t>(A x B)</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6FED074D" w14:textId="77777777">
                        <w:pPr>
                          <w:jc w:val="center"/>
                          <w:rPr>
                            <w:sz w:val="20"/>
                          </w:rPr>
                        </w:pPr>
                        <w:r w:rsidRPr="00ED2F52">
                          <w:rPr>
                            <w:sz w:val="20"/>
                          </w:rPr>
                          <w:t>(D)</w:t>
                        </w:r>
                        <w:r w:rsidRPr="00ED2F52">
                          <w:rPr>
                            <w:sz w:val="20"/>
                          </w:rPr>
                          <w:br/>
                        </w:r>
                        <w:r w:rsidRPr="00ED2F52">
                          <w:rPr>
                            <w:sz w:val="20"/>
                          </w:rPr>
                          <w:t>Respondents/</w:t>
                        </w:r>
                        <w:r w:rsidRPr="00ED2F52">
                          <w:rPr>
                            <w:sz w:val="20"/>
                          </w:rPr>
                          <w:br/>
                        </w:r>
                        <w:r w:rsidRPr="00ED2F52">
                          <w:rPr>
                            <w:sz w:val="20"/>
                          </w:rPr>
                          <w:t>Year</w:t>
                        </w:r>
                        <w:r w:rsidRPr="00ED2F52">
                          <w:rPr>
                            <w:sz w:val="20"/>
                            <w:vertAlign w:val="superscript"/>
                          </w:rPr>
                          <w:t>a</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733DF614" w14:textId="77777777">
                        <w:pPr>
                          <w:jc w:val="center"/>
                          <w:rPr>
                            <w:color w:val="000000"/>
                            <w:sz w:val="20"/>
                          </w:rPr>
                        </w:pPr>
                        <w:r w:rsidRPr="00ED2F52">
                          <w:rPr>
                            <w:color w:val="000000"/>
                            <w:sz w:val="20"/>
                          </w:rPr>
                          <w:t>(E)</w:t>
                        </w:r>
                        <w:r w:rsidRPr="00ED2F52">
                          <w:rPr>
                            <w:color w:val="000000"/>
                            <w:sz w:val="20"/>
                          </w:rPr>
                          <w:br/>
                        </w:r>
                        <w:r w:rsidRPr="00ED2F52">
                          <w:rPr>
                            <w:color w:val="000000"/>
                            <w:sz w:val="20"/>
                          </w:rPr>
                          <w:t xml:space="preserve">Technical Hours/Year </w:t>
                        </w:r>
                        <w:r w:rsidRPr="00ED2F52">
                          <w:rPr>
                            <w:color w:val="000000"/>
                            <w:sz w:val="20"/>
                          </w:rPr>
                          <w:br/>
                        </w:r>
                        <w:r w:rsidRPr="00ED2F52">
                          <w:rPr>
                            <w:color w:val="000000"/>
                            <w:sz w:val="20"/>
                          </w:rPr>
                          <w:t>(C x D)</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2B1646B1" w14:textId="77777777">
                        <w:pPr>
                          <w:jc w:val="center"/>
                          <w:rPr>
                            <w:color w:val="000000"/>
                            <w:sz w:val="20"/>
                          </w:rPr>
                        </w:pPr>
                        <w:r w:rsidRPr="00ED2F52">
                          <w:rPr>
                            <w:color w:val="000000"/>
                            <w:sz w:val="20"/>
                          </w:rPr>
                          <w:t xml:space="preserve">(F) Managerial Hours/Year </w:t>
                        </w:r>
                        <w:r w:rsidRPr="00ED2F52">
                          <w:rPr>
                            <w:color w:val="000000"/>
                            <w:sz w:val="20"/>
                          </w:rPr>
                          <w:br/>
                        </w:r>
                        <w:r w:rsidRPr="00ED2F52">
                          <w:rPr>
                            <w:color w:val="000000"/>
                            <w:sz w:val="20"/>
                          </w:rPr>
                          <w:t>(E x 0.05)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10A2BDA9" w14:textId="77777777">
                        <w:pPr>
                          <w:jc w:val="center"/>
                          <w:rPr>
                            <w:color w:val="000000"/>
                            <w:sz w:val="20"/>
                          </w:rPr>
                        </w:pPr>
                        <w:r w:rsidRPr="00ED2F52">
                          <w:rPr>
                            <w:color w:val="000000"/>
                            <w:sz w:val="20"/>
                          </w:rPr>
                          <w:t xml:space="preserve">(G) </w:t>
                        </w:r>
                        <w:r w:rsidRPr="00ED2F52">
                          <w:rPr>
                            <w:color w:val="000000"/>
                            <w:sz w:val="20"/>
                          </w:rPr>
                          <w:br/>
                        </w:r>
                        <w:r w:rsidRPr="00ED2F52">
                          <w:rPr>
                            <w:color w:val="000000"/>
                            <w:sz w:val="20"/>
                          </w:rPr>
                          <w:t xml:space="preserve">Clerical Hours/Year </w:t>
                        </w:r>
                        <w:r w:rsidRPr="00ED2F52">
                          <w:rPr>
                            <w:color w:val="000000"/>
                            <w:sz w:val="20"/>
                          </w:rPr>
                          <w:br/>
                        </w:r>
                        <w:r w:rsidRPr="00ED2F52">
                          <w:rPr>
                            <w:color w:val="000000"/>
                            <w:sz w:val="20"/>
                          </w:rPr>
                          <w:t>(E x 0.10)</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4E52A933" w14:textId="77777777">
                        <w:pPr>
                          <w:jc w:val="center"/>
                          <w:rPr>
                            <w:color w:val="000000"/>
                            <w:sz w:val="20"/>
                          </w:rPr>
                        </w:pPr>
                        <w:r w:rsidRPr="00ED2F52">
                          <w:rPr>
                            <w:color w:val="000000"/>
                            <w:sz w:val="20"/>
                          </w:rPr>
                          <w:t>(H)</w:t>
                        </w:r>
                        <w:r w:rsidRPr="00ED2F52">
                          <w:rPr>
                            <w:color w:val="000000"/>
                            <w:sz w:val="20"/>
                          </w:rPr>
                          <w:br/>
                        </w:r>
                        <w:r w:rsidRPr="00ED2F52">
                          <w:rPr>
                            <w:color w:val="000000"/>
                            <w:sz w:val="20"/>
                          </w:rPr>
                          <w:t>Cost/ Year</w:t>
                        </w:r>
                        <w:r w:rsidRPr="00ED2F52">
                          <w:rPr>
                            <w:color w:val="000000"/>
                            <w:sz w:val="20"/>
                            <w:vertAlign w:val="superscript"/>
                          </w:rPr>
                          <w:t>b</w:t>
                        </w:r>
                      </w:p>
                    </w:tc>
                  </w:tr>
                  <w:tr w14:paraId="23845659" w14:textId="77777777" w:rsidTr="00ED2F52">
                    <w:tblPrEx>
                      <w:tblW w:w="12840" w:type="dxa"/>
                      <w:tblLayout w:type="fixed"/>
                      <w:tblLook w:val="04A0"/>
                    </w:tblPrEx>
                    <w:trPr>
                      <w:trHeight w:val="26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1C7E75B2" w14:textId="77777777">
                        <w:pPr>
                          <w:rPr>
                            <w:color w:val="000000"/>
                            <w:sz w:val="20"/>
                          </w:rPr>
                        </w:pPr>
                        <w:r w:rsidRPr="00ED2F52">
                          <w:rPr>
                            <w:color w:val="000000"/>
                            <w:sz w:val="20"/>
                          </w:rPr>
                          <w:t xml:space="preserve">1. APPLICATIONS </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3A7600E9" w14:textId="77777777">
                        <w:pPr>
                          <w:jc w:val="center"/>
                          <w:rPr>
                            <w:color w:val="000000"/>
                            <w:sz w:val="20"/>
                          </w:rPr>
                        </w:pPr>
                        <w:r w:rsidRPr="00ED2F52">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5C0DBCEA"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161547C9" w14:textId="77777777">
                        <w:pPr>
                          <w:jc w:val="right"/>
                          <w:rPr>
                            <w:color w:val="000000"/>
                            <w:sz w:val="20"/>
                          </w:rPr>
                        </w:pPr>
                        <w:r w:rsidRPr="00ED2F52">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ED2F52" w:rsidRPr="00ED2F52" w:rsidP="00ED2F52" w14:paraId="496F9747"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90B4D8B"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1AAA3AA"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A558641"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2E0C28C2" w14:textId="77777777">
                        <w:pPr>
                          <w:jc w:val="right"/>
                          <w:rPr>
                            <w:color w:val="000000"/>
                            <w:sz w:val="20"/>
                          </w:rPr>
                        </w:pPr>
                        <w:r w:rsidRPr="00ED2F52">
                          <w:rPr>
                            <w:color w:val="000000"/>
                            <w:sz w:val="20"/>
                          </w:rPr>
                          <w:t> </w:t>
                        </w:r>
                      </w:p>
                    </w:tc>
                  </w:tr>
                  <w:tr w14:paraId="5F3FB079" w14:textId="77777777" w:rsidTr="00ED2F52">
                    <w:tblPrEx>
                      <w:tblW w:w="12840" w:type="dxa"/>
                      <w:tblLayout w:type="fixed"/>
                      <w:tblLook w:val="04A0"/>
                    </w:tblPrEx>
                    <w:trPr>
                      <w:trHeight w:val="71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26F14CD4" w14:textId="77777777">
                        <w:pPr>
                          <w:rPr>
                            <w:color w:val="000000"/>
                            <w:sz w:val="20"/>
                          </w:rPr>
                        </w:pPr>
                        <w:r w:rsidRPr="00ED2F52">
                          <w:rPr>
                            <w:color w:val="000000"/>
                            <w:sz w:val="20"/>
                          </w:rPr>
                          <w:t xml:space="preserve">2. SURVEY AND STUDIES </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121D3936" w14:textId="77777777">
                        <w:pPr>
                          <w:jc w:val="center"/>
                          <w:rPr>
                            <w:color w:val="000000"/>
                            <w:sz w:val="20"/>
                          </w:rPr>
                        </w:pPr>
                        <w:r w:rsidRPr="00ED2F52">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6287814"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5993583A" w14:textId="77777777">
                        <w:pPr>
                          <w:jc w:val="right"/>
                          <w:rPr>
                            <w:color w:val="000000"/>
                            <w:sz w:val="20"/>
                          </w:rPr>
                        </w:pPr>
                        <w:r w:rsidRPr="00ED2F52">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ED2F52" w:rsidRPr="00ED2F52" w:rsidP="00ED2F52" w14:paraId="04AC956C"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6BECF65F"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7CB485CE"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347E343C"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68A6BA23" w14:textId="77777777">
                        <w:pPr>
                          <w:jc w:val="right"/>
                          <w:rPr>
                            <w:color w:val="000000"/>
                            <w:sz w:val="20"/>
                          </w:rPr>
                        </w:pPr>
                        <w:r w:rsidRPr="00ED2F52">
                          <w:rPr>
                            <w:color w:val="000000"/>
                            <w:sz w:val="20"/>
                          </w:rPr>
                          <w:t> </w:t>
                        </w:r>
                      </w:p>
                    </w:tc>
                  </w:tr>
                  <w:tr w14:paraId="427137E1" w14:textId="77777777" w:rsidTr="00ED2F52">
                    <w:tblPrEx>
                      <w:tblW w:w="12840" w:type="dxa"/>
                      <w:tblLayout w:type="fixed"/>
                      <w:tblLook w:val="04A0"/>
                    </w:tblPrEx>
                    <w:trPr>
                      <w:trHeight w:val="113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2961F10B" w14:textId="77777777">
                        <w:pPr>
                          <w:rPr>
                            <w:color w:val="000000"/>
                            <w:sz w:val="20"/>
                          </w:rPr>
                        </w:pPr>
                        <w:r w:rsidRPr="00ED2F52">
                          <w:rPr>
                            <w:color w:val="000000"/>
                            <w:sz w:val="20"/>
                          </w:rPr>
                          <w:t>3.ACQUISITION, INSTALLATION, AND UTILIZATION OF TECHNOLOGY AND SYSTEMS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2D68F9BB"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2F414065"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755024C6" w14:textId="77777777">
                        <w:pPr>
                          <w:jc w:val="center"/>
                          <w:rPr>
                            <w:color w:val="000000"/>
                            <w:sz w:val="20"/>
                          </w:rPr>
                        </w:pPr>
                        <w:r w:rsidRPr="00ED2F52">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ED2F52" w:rsidRPr="00ED2F52" w:rsidP="00ED2F52" w14:paraId="1E9FC814"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72CB5C63"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7EA439D9"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7D4C2BA5"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6E3355D8" w14:textId="77777777">
                        <w:pPr>
                          <w:jc w:val="right"/>
                          <w:rPr>
                            <w:color w:val="000000"/>
                            <w:sz w:val="20"/>
                          </w:rPr>
                        </w:pPr>
                        <w:r w:rsidRPr="00ED2F52">
                          <w:rPr>
                            <w:color w:val="000000"/>
                            <w:sz w:val="20"/>
                          </w:rPr>
                          <w:t xml:space="preserve">$0 </w:t>
                        </w:r>
                      </w:p>
                    </w:tc>
                  </w:tr>
                  <w:tr w14:paraId="15A65039" w14:textId="77777777" w:rsidTr="00ED2F52">
                    <w:tblPrEx>
                      <w:tblW w:w="12840" w:type="dxa"/>
                      <w:tblLayout w:type="fixed"/>
                      <w:tblLook w:val="04A0"/>
                    </w:tblPrEx>
                    <w:trPr>
                      <w:trHeight w:val="26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0C7988AF" w14:textId="77777777">
                        <w:pPr>
                          <w:rPr>
                            <w:color w:val="000000"/>
                            <w:sz w:val="20"/>
                          </w:rPr>
                        </w:pPr>
                        <w:r w:rsidRPr="00ED2F52">
                          <w:rPr>
                            <w:color w:val="000000"/>
                            <w:sz w:val="20"/>
                          </w:rPr>
                          <w:t>4. REPORT REQUIREMENTS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2D7D622A"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3E2BAEC3" w14:textId="77777777">
                        <w:pPr>
                          <w:jc w:val="center"/>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2CDC4FF3" w14:textId="77777777">
                        <w:pPr>
                          <w:jc w:val="center"/>
                          <w:rPr>
                            <w:color w:val="000000"/>
                            <w:sz w:val="20"/>
                          </w:rPr>
                        </w:pPr>
                        <w:r w:rsidRPr="00ED2F52">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ED2F52" w:rsidRPr="00ED2F52" w:rsidP="00ED2F52" w14:paraId="1AF3E057"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18F232E3"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1E96FAAB"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11B418C" w14:textId="77777777">
                        <w:pPr>
                          <w:jc w:val="center"/>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2DAE6004" w14:textId="77777777">
                        <w:pPr>
                          <w:jc w:val="right"/>
                          <w:rPr>
                            <w:color w:val="000000"/>
                            <w:sz w:val="20"/>
                          </w:rPr>
                        </w:pPr>
                        <w:r w:rsidRPr="00ED2F52">
                          <w:rPr>
                            <w:color w:val="000000"/>
                            <w:sz w:val="20"/>
                          </w:rPr>
                          <w:t> </w:t>
                        </w:r>
                      </w:p>
                    </w:tc>
                  </w:tr>
                  <w:tr w14:paraId="693A6458" w14:textId="77777777" w:rsidTr="00ED2F52">
                    <w:tblPrEx>
                      <w:tblW w:w="12840" w:type="dxa"/>
                      <w:tblLayout w:type="fixed"/>
                      <w:tblLook w:val="04A0"/>
                    </w:tblPrEx>
                    <w:trPr>
                      <w:trHeight w:val="52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28605B39" w14:textId="77777777">
                        <w:pPr>
                          <w:rPr>
                            <w:color w:val="000000"/>
                            <w:sz w:val="20"/>
                          </w:rPr>
                        </w:pPr>
                        <w:r w:rsidRPr="00ED2F52">
                          <w:rPr>
                            <w:color w:val="000000"/>
                            <w:sz w:val="20"/>
                          </w:rPr>
                          <w:t>Initial Notification Form of Applicability</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13985C3F"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57179BC0"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3FBEFDCD" w14:textId="77777777">
                        <w:pPr>
                          <w:jc w:val="center"/>
                          <w:rPr>
                            <w:color w:val="000000"/>
                            <w:sz w:val="20"/>
                          </w:rPr>
                        </w:pPr>
                        <w:r w:rsidRPr="00ED2F52">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ED2F52" w:rsidRPr="00ED2F52" w:rsidP="00ED2F52" w14:paraId="1D1B6E47"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4062543D"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174675B7"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51EA0E3"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030EC8CF" w14:textId="77777777">
                        <w:pPr>
                          <w:jc w:val="right"/>
                          <w:rPr>
                            <w:color w:val="000000"/>
                            <w:sz w:val="20"/>
                          </w:rPr>
                        </w:pPr>
                        <w:r w:rsidRPr="00ED2F52">
                          <w:rPr>
                            <w:color w:val="000000"/>
                            <w:sz w:val="20"/>
                          </w:rPr>
                          <w:t xml:space="preserve">$0.00 </w:t>
                        </w:r>
                      </w:p>
                    </w:tc>
                  </w:tr>
                  <w:tr w14:paraId="51432697" w14:textId="77777777" w:rsidTr="00ED2F52">
                    <w:tblPrEx>
                      <w:tblW w:w="12840" w:type="dxa"/>
                      <w:tblLayout w:type="fixed"/>
                      <w:tblLook w:val="04A0"/>
                    </w:tblPrEx>
                    <w:trPr>
                      <w:trHeight w:val="52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00287830" w14:textId="77777777">
                        <w:pPr>
                          <w:rPr>
                            <w:color w:val="000000"/>
                            <w:sz w:val="20"/>
                          </w:rPr>
                        </w:pPr>
                        <w:r w:rsidRPr="00ED2F52">
                          <w:rPr>
                            <w:color w:val="000000"/>
                            <w:sz w:val="20"/>
                          </w:rPr>
                          <w:t>A. Familiarize with regulatory requirement</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2B97895A"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6F7D1936"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2D3D1AD7" w14:textId="77777777">
                        <w:pPr>
                          <w:jc w:val="center"/>
                          <w:rPr>
                            <w:color w:val="000000"/>
                            <w:sz w:val="20"/>
                          </w:rPr>
                        </w:pPr>
                        <w:r w:rsidRPr="00ED2F52">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ED2F52" w:rsidRPr="00ED2F52" w:rsidP="00ED2F52" w14:paraId="1C3B6514"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2DA161DF"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33464EE"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C10CBCA"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1B66C93F" w14:textId="77777777">
                        <w:pPr>
                          <w:jc w:val="right"/>
                          <w:rPr>
                            <w:color w:val="000000"/>
                            <w:sz w:val="20"/>
                          </w:rPr>
                        </w:pPr>
                        <w:r w:rsidRPr="00ED2F52">
                          <w:rPr>
                            <w:color w:val="000000"/>
                            <w:sz w:val="20"/>
                          </w:rPr>
                          <w:t xml:space="preserve">$0.00 </w:t>
                        </w:r>
                      </w:p>
                    </w:tc>
                  </w:tr>
                  <w:tr w14:paraId="4C564BC7" w14:textId="77777777" w:rsidTr="00ED2F52">
                    <w:tblPrEx>
                      <w:tblW w:w="12840" w:type="dxa"/>
                      <w:tblLayout w:type="fixed"/>
                      <w:tblLook w:val="04A0"/>
                    </w:tblPrEx>
                    <w:trPr>
                      <w:trHeight w:val="315"/>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182C4B3F" w14:textId="77777777">
                        <w:pPr>
                          <w:rPr>
                            <w:color w:val="000000"/>
                            <w:sz w:val="20"/>
                          </w:rPr>
                        </w:pPr>
                        <w:r w:rsidRPr="00ED2F52">
                          <w:rPr>
                            <w:color w:val="000000"/>
                            <w:sz w:val="20"/>
                          </w:rPr>
                          <w:t>B. Required Activities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764F61F0"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5E6D1AEA" w14:textId="77777777">
                        <w:pPr>
                          <w:jc w:val="center"/>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1AAE5E0C" w14:textId="77777777">
                        <w:pPr>
                          <w:jc w:val="center"/>
                          <w:rPr>
                            <w:color w:val="000000"/>
                            <w:sz w:val="20"/>
                          </w:rPr>
                        </w:pPr>
                        <w:r w:rsidRPr="00ED2F52">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ED2F52" w:rsidRPr="00ED2F52" w:rsidP="00ED2F52" w14:paraId="2E5AC070"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6A954680"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7BBE9714"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9B6E0C3" w14:textId="77777777">
                        <w:pPr>
                          <w:jc w:val="center"/>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57D9747A" w14:textId="77777777">
                        <w:pPr>
                          <w:jc w:val="right"/>
                          <w:rPr>
                            <w:color w:val="000000"/>
                            <w:sz w:val="20"/>
                          </w:rPr>
                        </w:pPr>
                        <w:r w:rsidRPr="00ED2F52">
                          <w:rPr>
                            <w:color w:val="000000"/>
                            <w:sz w:val="20"/>
                          </w:rPr>
                          <w:t> </w:t>
                        </w:r>
                      </w:p>
                    </w:tc>
                  </w:tr>
                  <w:tr w14:paraId="477D132D" w14:textId="77777777" w:rsidTr="00ED2F52">
                    <w:tblPrEx>
                      <w:tblW w:w="12840" w:type="dxa"/>
                      <w:tblLayout w:type="fixed"/>
                      <w:tblLook w:val="04A0"/>
                    </w:tblPrEx>
                    <w:trPr>
                      <w:trHeight w:val="31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25A5FADE" w14:textId="77777777">
                        <w:pPr>
                          <w:rPr>
                            <w:i/>
                            <w:iCs/>
                            <w:color w:val="000000"/>
                            <w:sz w:val="20"/>
                          </w:rPr>
                        </w:pPr>
                        <w:r w:rsidRPr="00ED2F52">
                          <w:rPr>
                            <w:i/>
                            <w:iCs/>
                            <w:color w:val="000000"/>
                            <w:sz w:val="20"/>
                          </w:rPr>
                          <w:t xml:space="preserve">New Sources - Testing </w:t>
                        </w:r>
                        <w:r w:rsidRPr="00ED2F52">
                          <w:rPr>
                            <w:color w:val="000000"/>
                            <w:sz w:val="20"/>
                            <w:vertAlign w:val="superscript"/>
                          </w:rPr>
                          <w:t>c</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6B95EDDD"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71D3219B" w14:textId="77777777">
                        <w:pPr>
                          <w:jc w:val="center"/>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4BBD2DEB" w14:textId="77777777">
                        <w:pPr>
                          <w:jc w:val="center"/>
                          <w:rPr>
                            <w:color w:val="000000"/>
                            <w:sz w:val="20"/>
                          </w:rPr>
                        </w:pPr>
                        <w:r w:rsidRPr="00ED2F52">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33977EE4"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5EBC798"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154F918"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43E4F69E" w14:textId="77777777">
                        <w:pPr>
                          <w:jc w:val="center"/>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41D5F0A0" w14:textId="77777777">
                        <w:pPr>
                          <w:jc w:val="right"/>
                          <w:rPr>
                            <w:color w:val="000000"/>
                            <w:sz w:val="20"/>
                          </w:rPr>
                        </w:pPr>
                        <w:r w:rsidRPr="00ED2F52">
                          <w:rPr>
                            <w:color w:val="000000"/>
                            <w:sz w:val="20"/>
                          </w:rPr>
                          <w:t> </w:t>
                        </w:r>
                      </w:p>
                    </w:tc>
                  </w:tr>
                  <w:tr w14:paraId="5621B48C" w14:textId="77777777" w:rsidTr="00ED2F52">
                    <w:tblPrEx>
                      <w:tblW w:w="12840" w:type="dxa"/>
                      <w:tblLayout w:type="fixed"/>
                      <w:tblLook w:val="04A0"/>
                    </w:tblPrEx>
                    <w:trPr>
                      <w:trHeight w:val="51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24557227" w14:textId="77777777">
                        <w:pPr>
                          <w:rPr>
                            <w:sz w:val="20"/>
                          </w:rPr>
                        </w:pPr>
                        <w:r w:rsidRPr="00ED2F52">
                          <w:rPr>
                            <w:sz w:val="20"/>
                          </w:rPr>
                          <w:t>Initial NOx Performance Test (furnaces)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7D08FC9C"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5CCFE096"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2DE7B455" w14:textId="77777777">
                        <w:pPr>
                          <w:jc w:val="center"/>
                          <w:rPr>
                            <w:color w:val="000000"/>
                            <w:sz w:val="20"/>
                          </w:rPr>
                        </w:pPr>
                        <w:r w:rsidRPr="00ED2F52">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2CFDF28D"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254EE49D"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EA52942"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12CBB19"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2C1253B3" w14:textId="77777777">
                        <w:pPr>
                          <w:jc w:val="right"/>
                          <w:rPr>
                            <w:color w:val="000000"/>
                            <w:sz w:val="20"/>
                          </w:rPr>
                        </w:pPr>
                        <w:r w:rsidRPr="00ED2F52">
                          <w:rPr>
                            <w:color w:val="000000"/>
                            <w:sz w:val="20"/>
                          </w:rPr>
                          <w:t xml:space="preserve">$0.00 </w:t>
                        </w:r>
                      </w:p>
                    </w:tc>
                  </w:tr>
                  <w:tr w14:paraId="5FE4C96C" w14:textId="77777777" w:rsidTr="00ED2F52">
                    <w:tblPrEx>
                      <w:tblW w:w="12840" w:type="dxa"/>
                      <w:tblLayout w:type="fixed"/>
                      <w:tblLook w:val="04A0"/>
                    </w:tblPrEx>
                    <w:trPr>
                      <w:trHeight w:val="26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66183EE1" w14:textId="77777777">
                        <w:pPr>
                          <w:rPr>
                            <w:sz w:val="20"/>
                          </w:rPr>
                        </w:pPr>
                        <w:r w:rsidRPr="00ED2F52">
                          <w:rPr>
                            <w:sz w:val="20"/>
                          </w:rPr>
                          <w:t>Repeat NOx Performance Test</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4B3121FE"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36F1E876"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796FD2E0" w14:textId="77777777">
                        <w:pPr>
                          <w:jc w:val="center"/>
                          <w:rPr>
                            <w:color w:val="000000"/>
                            <w:sz w:val="20"/>
                          </w:rPr>
                        </w:pPr>
                        <w:r w:rsidRPr="00ED2F52">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51F9DDAD"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79BA0AE3"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7140ACE2"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9355535"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6E12BCE0" w14:textId="77777777">
                        <w:pPr>
                          <w:jc w:val="right"/>
                          <w:rPr>
                            <w:color w:val="000000"/>
                            <w:sz w:val="20"/>
                          </w:rPr>
                        </w:pPr>
                        <w:r w:rsidRPr="00ED2F52">
                          <w:rPr>
                            <w:color w:val="000000"/>
                            <w:sz w:val="20"/>
                          </w:rPr>
                          <w:t xml:space="preserve">$0.00 </w:t>
                        </w:r>
                      </w:p>
                    </w:tc>
                  </w:tr>
                  <w:tr w14:paraId="2C949545" w14:textId="77777777" w:rsidTr="00ED2F52">
                    <w:tblPrEx>
                      <w:tblW w:w="12840" w:type="dxa"/>
                      <w:tblLayout w:type="fixed"/>
                      <w:tblLook w:val="04A0"/>
                    </w:tblPrEx>
                    <w:trPr>
                      <w:trHeight w:val="52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67100B60" w14:textId="77777777">
                        <w:pPr>
                          <w:rPr>
                            <w:color w:val="000000"/>
                            <w:sz w:val="20"/>
                          </w:rPr>
                        </w:pPr>
                        <w:r w:rsidRPr="00ED2F52">
                          <w:rPr>
                            <w:color w:val="000000"/>
                            <w:sz w:val="20"/>
                          </w:rPr>
                          <w:t>Initial Performance Evaluation of NOx CEMS or CPMS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6D91453A"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7919BCBA"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B6A12BF" w14:textId="77777777">
                        <w:pPr>
                          <w:jc w:val="center"/>
                          <w:rPr>
                            <w:color w:val="000000"/>
                            <w:sz w:val="20"/>
                          </w:rPr>
                        </w:pPr>
                        <w:r w:rsidRPr="00ED2F52">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5F5E07DF"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560D1CD"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E5D6C81"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41187232"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61E1C021" w14:textId="77777777">
                        <w:pPr>
                          <w:jc w:val="right"/>
                          <w:rPr>
                            <w:color w:val="000000"/>
                            <w:sz w:val="20"/>
                          </w:rPr>
                        </w:pPr>
                        <w:r w:rsidRPr="00ED2F52">
                          <w:rPr>
                            <w:color w:val="000000"/>
                            <w:sz w:val="20"/>
                          </w:rPr>
                          <w:t xml:space="preserve">$0.00 </w:t>
                        </w:r>
                      </w:p>
                    </w:tc>
                  </w:tr>
                  <w:tr w14:paraId="0370AF91" w14:textId="77777777" w:rsidTr="00ED2F52">
                    <w:tblPrEx>
                      <w:tblW w:w="12840" w:type="dxa"/>
                      <w:tblLayout w:type="fixed"/>
                      <w:tblLook w:val="04A0"/>
                    </w:tblPrEx>
                    <w:trPr>
                      <w:trHeight w:val="52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5B2F4564" w14:textId="77777777">
                        <w:pPr>
                          <w:rPr>
                            <w:color w:val="000000"/>
                            <w:sz w:val="20"/>
                          </w:rPr>
                        </w:pPr>
                        <w:r w:rsidRPr="00ED2F52">
                          <w:rPr>
                            <w:color w:val="000000"/>
                            <w:sz w:val="20"/>
                          </w:rPr>
                          <w:t>Repeat Performance Evaluation of NOx CEMS or CPMS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3F85F88D"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119D104B"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5186C345" w14:textId="77777777">
                        <w:pPr>
                          <w:jc w:val="center"/>
                          <w:rPr>
                            <w:color w:val="000000"/>
                            <w:sz w:val="20"/>
                          </w:rPr>
                        </w:pPr>
                        <w:r w:rsidRPr="00ED2F52">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39FE067C"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614B8369"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8FD2E1C"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13DEAF48"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60F71F17" w14:textId="77777777">
                        <w:pPr>
                          <w:jc w:val="right"/>
                          <w:rPr>
                            <w:color w:val="000000"/>
                            <w:sz w:val="20"/>
                          </w:rPr>
                        </w:pPr>
                        <w:r w:rsidRPr="00ED2F52">
                          <w:rPr>
                            <w:color w:val="000000"/>
                            <w:sz w:val="20"/>
                          </w:rPr>
                          <w:t xml:space="preserve">$0.00 </w:t>
                        </w:r>
                      </w:p>
                    </w:tc>
                  </w:tr>
                  <w:tr w14:paraId="0810AF00" w14:textId="77777777" w:rsidTr="00ED2F52">
                    <w:tblPrEx>
                      <w:tblW w:w="12840" w:type="dxa"/>
                      <w:tblLayout w:type="fixed"/>
                      <w:tblLook w:val="04A0"/>
                    </w:tblPrEx>
                    <w:trPr>
                      <w:trHeight w:val="57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150C0AF8" w14:textId="77777777">
                        <w:pPr>
                          <w:rPr>
                            <w:i/>
                            <w:iCs/>
                            <w:color w:val="000000"/>
                            <w:sz w:val="20"/>
                          </w:rPr>
                        </w:pPr>
                        <w:r w:rsidRPr="00ED2F52">
                          <w:rPr>
                            <w:i/>
                            <w:iCs/>
                            <w:color w:val="000000"/>
                            <w:sz w:val="20"/>
                          </w:rPr>
                          <w:t xml:space="preserve">Existing Sources - Initial Testing </w:t>
                        </w:r>
                        <w:r w:rsidRPr="00ED2F52">
                          <w:rPr>
                            <w:color w:val="000000"/>
                            <w:sz w:val="20"/>
                            <w:vertAlign w:val="superscript"/>
                          </w:rPr>
                          <w:t>d</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0A0D95E7" w14:textId="77777777">
                        <w:pPr>
                          <w:jc w:val="center"/>
                          <w:rPr>
                            <w:sz w:val="20"/>
                          </w:rPr>
                        </w:pPr>
                        <w:r w:rsidRPr="00ED2F52">
                          <w:rPr>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463C6F2C" w14:textId="77777777">
                        <w:pPr>
                          <w:jc w:val="center"/>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1781C3ED" w14:textId="77777777">
                        <w:pPr>
                          <w:jc w:val="center"/>
                          <w:rPr>
                            <w:color w:val="000000"/>
                            <w:sz w:val="20"/>
                          </w:rPr>
                        </w:pPr>
                        <w:r w:rsidRPr="00ED2F52">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684625E0"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6627E6DA"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3D0294A"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3CCCB89" w14:textId="77777777">
                        <w:pPr>
                          <w:jc w:val="center"/>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62A8FD77" w14:textId="77777777">
                        <w:pPr>
                          <w:jc w:val="right"/>
                          <w:rPr>
                            <w:color w:val="000000"/>
                            <w:sz w:val="20"/>
                          </w:rPr>
                        </w:pPr>
                        <w:r w:rsidRPr="00ED2F52">
                          <w:rPr>
                            <w:color w:val="000000"/>
                            <w:sz w:val="20"/>
                          </w:rPr>
                          <w:t> </w:t>
                        </w:r>
                      </w:p>
                    </w:tc>
                  </w:tr>
                  <w:tr w14:paraId="7CA7BC4C" w14:textId="77777777" w:rsidTr="00ED2F52">
                    <w:tblPrEx>
                      <w:tblW w:w="12840" w:type="dxa"/>
                      <w:tblLayout w:type="fixed"/>
                      <w:tblLook w:val="04A0"/>
                    </w:tblPrEx>
                    <w:trPr>
                      <w:trHeight w:val="52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031654A4" w14:textId="77777777">
                        <w:pPr>
                          <w:rPr>
                            <w:color w:val="000000"/>
                            <w:sz w:val="20"/>
                          </w:rPr>
                        </w:pPr>
                        <w:r w:rsidRPr="00ED2F52">
                          <w:rPr>
                            <w:color w:val="000000"/>
                            <w:sz w:val="20"/>
                          </w:rPr>
                          <w:t>Initial Performance Evaluation of NOx CEMS or CPMS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0AB9CF8E"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155C2201"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0A91394E" w14:textId="77777777">
                        <w:pPr>
                          <w:jc w:val="center"/>
                          <w:rPr>
                            <w:color w:val="000000"/>
                            <w:sz w:val="20"/>
                          </w:rPr>
                        </w:pPr>
                        <w:r w:rsidRPr="00ED2F52">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00500B5E"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19D0BC73"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77DA58D0"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E8E09A3"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7A146D08" w14:textId="77777777">
                        <w:pPr>
                          <w:jc w:val="right"/>
                          <w:rPr>
                            <w:color w:val="000000"/>
                            <w:sz w:val="20"/>
                          </w:rPr>
                        </w:pPr>
                        <w:r w:rsidRPr="00ED2F52">
                          <w:rPr>
                            <w:color w:val="000000"/>
                            <w:sz w:val="20"/>
                          </w:rPr>
                          <w:t xml:space="preserve">$0.00 </w:t>
                        </w:r>
                      </w:p>
                    </w:tc>
                  </w:tr>
                  <w:tr w14:paraId="41DF1FD3" w14:textId="77777777" w:rsidTr="00ED2F52">
                    <w:tblPrEx>
                      <w:tblW w:w="12840" w:type="dxa"/>
                      <w:tblLayout w:type="fixed"/>
                      <w:tblLook w:val="04A0"/>
                    </w:tblPrEx>
                    <w:trPr>
                      <w:trHeight w:val="52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49EF9B22" w14:textId="77777777">
                        <w:pPr>
                          <w:rPr>
                            <w:color w:val="000000"/>
                            <w:sz w:val="20"/>
                          </w:rPr>
                        </w:pPr>
                        <w:r w:rsidRPr="00ED2F52">
                          <w:rPr>
                            <w:color w:val="000000"/>
                            <w:sz w:val="20"/>
                          </w:rPr>
                          <w:t>Repeat Performance Evaluation of NOx CEMS or CPMS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081F3402"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301ADD3C"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11A61C98" w14:textId="77777777">
                        <w:pPr>
                          <w:jc w:val="center"/>
                          <w:rPr>
                            <w:color w:val="000000"/>
                            <w:sz w:val="20"/>
                          </w:rPr>
                        </w:pPr>
                        <w:r w:rsidRPr="00ED2F52">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2CA3A5DF"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1D1F2DC3"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02B4BD5"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8091AD9"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0057C2F7" w14:textId="77777777">
                        <w:pPr>
                          <w:jc w:val="right"/>
                          <w:rPr>
                            <w:color w:val="000000"/>
                            <w:sz w:val="20"/>
                          </w:rPr>
                        </w:pPr>
                        <w:r w:rsidRPr="00ED2F52">
                          <w:rPr>
                            <w:color w:val="000000"/>
                            <w:sz w:val="20"/>
                          </w:rPr>
                          <w:t xml:space="preserve">$0.00 </w:t>
                        </w:r>
                      </w:p>
                    </w:tc>
                  </w:tr>
                  <w:tr w14:paraId="16825848" w14:textId="77777777" w:rsidTr="00ED2F52">
                    <w:tblPrEx>
                      <w:tblW w:w="12840" w:type="dxa"/>
                      <w:tblLayout w:type="fixed"/>
                      <w:tblLook w:val="04A0"/>
                    </w:tblPrEx>
                    <w:trPr>
                      <w:trHeight w:val="57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27D4ADEF" w14:textId="77777777">
                        <w:pPr>
                          <w:rPr>
                            <w:i/>
                            <w:iCs/>
                            <w:color w:val="000000"/>
                            <w:sz w:val="20"/>
                          </w:rPr>
                        </w:pPr>
                        <w:r w:rsidRPr="00ED2F52">
                          <w:rPr>
                            <w:i/>
                            <w:iCs/>
                            <w:color w:val="000000"/>
                            <w:sz w:val="20"/>
                          </w:rPr>
                          <w:t xml:space="preserve">Existing Sources - Annual Testing </w:t>
                        </w:r>
                        <w:r w:rsidRPr="00ED2F52">
                          <w:rPr>
                            <w:color w:val="000000"/>
                            <w:sz w:val="20"/>
                            <w:vertAlign w:val="superscript"/>
                          </w:rPr>
                          <w:t>d</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2521683E"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DA8D1C4" w14:textId="77777777">
                        <w:pPr>
                          <w:jc w:val="center"/>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20840B5F" w14:textId="77777777">
                        <w:pPr>
                          <w:jc w:val="center"/>
                          <w:rPr>
                            <w:color w:val="000000"/>
                            <w:sz w:val="20"/>
                          </w:rPr>
                        </w:pPr>
                        <w:r w:rsidRPr="00ED2F52">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ED2F52" w:rsidRPr="00ED2F52" w:rsidP="00ED2F52" w14:paraId="04B4F3B6"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2CF64970"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7F6C09A0"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6EBA4B50" w14:textId="77777777">
                        <w:pPr>
                          <w:jc w:val="center"/>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7BE83691" w14:textId="77777777">
                        <w:pPr>
                          <w:jc w:val="right"/>
                          <w:rPr>
                            <w:color w:val="000000"/>
                            <w:sz w:val="20"/>
                          </w:rPr>
                        </w:pPr>
                        <w:r w:rsidRPr="00ED2F52">
                          <w:rPr>
                            <w:color w:val="000000"/>
                            <w:sz w:val="20"/>
                          </w:rPr>
                          <w:t> </w:t>
                        </w:r>
                      </w:p>
                    </w:tc>
                  </w:tr>
                  <w:tr w14:paraId="1E71331B" w14:textId="77777777" w:rsidTr="00ED2F52">
                    <w:tblPrEx>
                      <w:tblW w:w="12840" w:type="dxa"/>
                      <w:tblLayout w:type="fixed"/>
                      <w:tblLook w:val="04A0"/>
                    </w:tblPrEx>
                    <w:trPr>
                      <w:trHeight w:val="52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21818286" w14:textId="77777777">
                        <w:pPr>
                          <w:rPr>
                            <w:color w:val="000000"/>
                            <w:sz w:val="20"/>
                          </w:rPr>
                        </w:pPr>
                        <w:r w:rsidRPr="00ED2F52">
                          <w:rPr>
                            <w:color w:val="000000"/>
                            <w:sz w:val="20"/>
                          </w:rPr>
                          <w:t>Annual NOx Performance Test (furnaces)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00790349"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3D7FA844"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566FAA4" w14:textId="77777777">
                        <w:pPr>
                          <w:jc w:val="center"/>
                          <w:rPr>
                            <w:color w:val="000000"/>
                            <w:sz w:val="20"/>
                          </w:rPr>
                        </w:pPr>
                        <w:r w:rsidRPr="00ED2F52">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3AAA44E3"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121941A"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703B88E7"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36FFEF7E"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13938C11" w14:textId="77777777">
                        <w:pPr>
                          <w:jc w:val="right"/>
                          <w:rPr>
                            <w:color w:val="000000"/>
                            <w:sz w:val="20"/>
                          </w:rPr>
                        </w:pPr>
                        <w:r w:rsidRPr="00ED2F52">
                          <w:rPr>
                            <w:color w:val="000000"/>
                            <w:sz w:val="20"/>
                          </w:rPr>
                          <w:t xml:space="preserve">$0.00 </w:t>
                        </w:r>
                      </w:p>
                    </w:tc>
                  </w:tr>
                  <w:tr w14:paraId="3817C10E" w14:textId="77777777" w:rsidTr="00ED2F52">
                    <w:tblPrEx>
                      <w:tblW w:w="12840" w:type="dxa"/>
                      <w:tblLayout w:type="fixed"/>
                      <w:tblLook w:val="04A0"/>
                    </w:tblPrEx>
                    <w:trPr>
                      <w:trHeight w:val="26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77C25EDC" w14:textId="77777777">
                        <w:pPr>
                          <w:rPr>
                            <w:color w:val="000000"/>
                            <w:sz w:val="20"/>
                          </w:rPr>
                        </w:pPr>
                        <w:r w:rsidRPr="00ED2F52">
                          <w:rPr>
                            <w:color w:val="000000"/>
                            <w:sz w:val="20"/>
                          </w:rPr>
                          <w:t xml:space="preserve">Repeat NOx Performance Test </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76BE05C5"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72F04D7A"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07D9255A" w14:textId="77777777">
                        <w:pPr>
                          <w:jc w:val="center"/>
                          <w:rPr>
                            <w:color w:val="000000"/>
                            <w:sz w:val="20"/>
                          </w:rPr>
                        </w:pPr>
                        <w:r w:rsidRPr="00ED2F52">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307AB40E"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6E5A4610"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183ED0DF"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3CDFB4A2"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6D21787A" w14:textId="77777777">
                        <w:pPr>
                          <w:jc w:val="right"/>
                          <w:rPr>
                            <w:color w:val="000000"/>
                            <w:sz w:val="20"/>
                          </w:rPr>
                        </w:pPr>
                        <w:r w:rsidRPr="00ED2F52">
                          <w:rPr>
                            <w:color w:val="000000"/>
                            <w:sz w:val="20"/>
                          </w:rPr>
                          <w:t xml:space="preserve">$0.00 </w:t>
                        </w:r>
                      </w:p>
                    </w:tc>
                  </w:tr>
                  <w:tr w14:paraId="58040C18" w14:textId="77777777" w:rsidTr="00ED2F52">
                    <w:tblPrEx>
                      <w:tblW w:w="12840" w:type="dxa"/>
                      <w:tblLayout w:type="fixed"/>
                      <w:tblLook w:val="04A0"/>
                    </w:tblPrEx>
                    <w:trPr>
                      <w:trHeight w:val="523"/>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0255FCBF" w14:textId="77777777">
                        <w:pPr>
                          <w:rPr>
                            <w:i/>
                            <w:iCs/>
                            <w:color w:val="000000"/>
                            <w:sz w:val="20"/>
                          </w:rPr>
                        </w:pPr>
                        <w:r w:rsidRPr="00ED2F52">
                          <w:rPr>
                            <w:i/>
                            <w:iCs/>
                            <w:color w:val="000000"/>
                            <w:sz w:val="20"/>
                          </w:rPr>
                          <w:t xml:space="preserve">New and Existing Sources - Monitoring </w:t>
                        </w:r>
                        <w:r w:rsidRPr="00ED2F52">
                          <w:rPr>
                            <w:color w:val="000000"/>
                            <w:sz w:val="20"/>
                            <w:vertAlign w:val="superscript"/>
                          </w:rPr>
                          <w:t>e</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37CDE9E1"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719222F2" w14:textId="77777777">
                        <w:pPr>
                          <w:jc w:val="center"/>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0E539654" w14:textId="77777777">
                        <w:pPr>
                          <w:jc w:val="center"/>
                          <w:rPr>
                            <w:color w:val="000000"/>
                            <w:sz w:val="20"/>
                          </w:rPr>
                        </w:pPr>
                        <w:r w:rsidRPr="00ED2F52">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37BAC419"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1301B3AC"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435696FD"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6BEB4904" w14:textId="77777777">
                        <w:pPr>
                          <w:jc w:val="center"/>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3C5D07E1" w14:textId="77777777">
                        <w:pPr>
                          <w:jc w:val="right"/>
                          <w:rPr>
                            <w:color w:val="000000"/>
                            <w:sz w:val="20"/>
                          </w:rPr>
                        </w:pPr>
                        <w:r w:rsidRPr="00ED2F52">
                          <w:rPr>
                            <w:color w:val="000000"/>
                            <w:sz w:val="20"/>
                          </w:rPr>
                          <w:t> </w:t>
                        </w:r>
                      </w:p>
                    </w:tc>
                  </w:tr>
                  <w:tr w14:paraId="39994518" w14:textId="77777777" w:rsidTr="00ED2F52">
                    <w:tblPrEx>
                      <w:tblW w:w="12840" w:type="dxa"/>
                      <w:tblLayout w:type="fixed"/>
                      <w:tblLook w:val="04A0"/>
                    </w:tblPrEx>
                    <w:trPr>
                      <w:trHeight w:val="52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2E50C7E4" w14:textId="77777777">
                        <w:pPr>
                          <w:rPr>
                            <w:color w:val="000000"/>
                            <w:sz w:val="20"/>
                          </w:rPr>
                        </w:pPr>
                        <w:r w:rsidRPr="00ED2F52">
                          <w:rPr>
                            <w:color w:val="000000"/>
                            <w:sz w:val="20"/>
                          </w:rPr>
                          <w:t>Daily Calibration Drift Tests - NOx CEMS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6C114121"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6CFC7DE1"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2D761A59" w14:textId="77777777">
                        <w:pPr>
                          <w:jc w:val="center"/>
                          <w:rPr>
                            <w:color w:val="000000"/>
                            <w:sz w:val="20"/>
                          </w:rPr>
                        </w:pPr>
                        <w:r w:rsidRPr="00ED2F52">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26DD9AAE"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1E83D097"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41E6005B"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FA8722F"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6C3147B8" w14:textId="77777777">
                        <w:pPr>
                          <w:jc w:val="right"/>
                          <w:rPr>
                            <w:color w:val="000000"/>
                            <w:sz w:val="20"/>
                          </w:rPr>
                        </w:pPr>
                        <w:r w:rsidRPr="00ED2F52">
                          <w:rPr>
                            <w:color w:val="000000"/>
                            <w:sz w:val="20"/>
                          </w:rPr>
                          <w:t xml:space="preserve">$0.00 </w:t>
                        </w:r>
                      </w:p>
                    </w:tc>
                  </w:tr>
                  <w:tr w14:paraId="45DD13AA" w14:textId="77777777" w:rsidTr="00ED2F52">
                    <w:tblPrEx>
                      <w:tblW w:w="12840" w:type="dxa"/>
                      <w:tblLayout w:type="fixed"/>
                      <w:tblLook w:val="04A0"/>
                    </w:tblPrEx>
                    <w:trPr>
                      <w:trHeight w:val="26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47FC8F3F" w14:textId="77777777">
                        <w:pPr>
                          <w:rPr>
                            <w:color w:val="000000"/>
                            <w:sz w:val="20"/>
                          </w:rPr>
                        </w:pPr>
                        <w:r w:rsidRPr="00ED2F52">
                          <w:rPr>
                            <w:color w:val="000000"/>
                            <w:sz w:val="20"/>
                          </w:rPr>
                          <w:t>Quarterly Accuracy Assessment</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3F104272"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6DD1F218" w14:textId="77777777">
                        <w:pPr>
                          <w:jc w:val="center"/>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2A416507" w14:textId="77777777">
                        <w:pPr>
                          <w:jc w:val="center"/>
                          <w:rPr>
                            <w:color w:val="000000"/>
                            <w:sz w:val="20"/>
                          </w:rPr>
                        </w:pPr>
                        <w:r w:rsidRPr="00ED2F52">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29CD7D02"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4B4189CC"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C50294F"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1A4D7925" w14:textId="77777777">
                        <w:pPr>
                          <w:jc w:val="center"/>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292D31D2" w14:textId="77777777">
                        <w:pPr>
                          <w:jc w:val="right"/>
                          <w:rPr>
                            <w:color w:val="000000"/>
                            <w:sz w:val="20"/>
                          </w:rPr>
                        </w:pPr>
                        <w:r w:rsidRPr="00ED2F52">
                          <w:rPr>
                            <w:color w:val="000000"/>
                            <w:sz w:val="20"/>
                          </w:rPr>
                          <w:t> </w:t>
                        </w:r>
                      </w:p>
                    </w:tc>
                  </w:tr>
                  <w:tr w14:paraId="0DC9306F" w14:textId="77777777" w:rsidTr="00ED2F52">
                    <w:tblPrEx>
                      <w:tblW w:w="12840" w:type="dxa"/>
                      <w:tblLayout w:type="fixed"/>
                      <w:tblLook w:val="04A0"/>
                    </w:tblPrEx>
                    <w:trPr>
                      <w:trHeight w:val="52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4D483A72" w14:textId="77777777">
                        <w:pPr>
                          <w:rPr>
                            <w:color w:val="000000"/>
                            <w:sz w:val="20"/>
                          </w:rPr>
                        </w:pPr>
                        <w:r w:rsidRPr="00ED2F52">
                          <w:rPr>
                            <w:color w:val="000000"/>
                            <w:sz w:val="20"/>
                          </w:rPr>
                          <w:t>C. Create Information (Included in 4B)</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66F71183"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2F67B039"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37E0482F" w14:textId="77777777">
                        <w:pPr>
                          <w:jc w:val="right"/>
                          <w:rPr>
                            <w:color w:val="000000"/>
                            <w:sz w:val="20"/>
                          </w:rPr>
                        </w:pPr>
                        <w:r w:rsidRPr="00ED2F52">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323E05DF"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10740AD7"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4ED090E1"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3252D91D" w14:textId="77777777">
                        <w:pPr>
                          <w:jc w:val="center"/>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2F5FEB0D" w14:textId="77777777">
                        <w:pPr>
                          <w:jc w:val="right"/>
                          <w:rPr>
                            <w:color w:val="000000"/>
                            <w:sz w:val="20"/>
                          </w:rPr>
                        </w:pPr>
                        <w:r w:rsidRPr="00ED2F52">
                          <w:rPr>
                            <w:color w:val="000000"/>
                            <w:sz w:val="20"/>
                          </w:rPr>
                          <w:t> </w:t>
                        </w:r>
                      </w:p>
                    </w:tc>
                  </w:tr>
                  <w:tr w14:paraId="4B3D8C4C" w14:textId="77777777" w:rsidTr="00ED2F52">
                    <w:tblPrEx>
                      <w:tblW w:w="12840" w:type="dxa"/>
                      <w:tblLayout w:type="fixed"/>
                      <w:tblLook w:val="04A0"/>
                    </w:tblPrEx>
                    <w:trPr>
                      <w:trHeight w:val="52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7A53DC93" w14:textId="77777777">
                        <w:pPr>
                          <w:rPr>
                            <w:color w:val="000000"/>
                            <w:sz w:val="20"/>
                          </w:rPr>
                        </w:pPr>
                        <w:r w:rsidRPr="00ED2F52">
                          <w:rPr>
                            <w:color w:val="000000"/>
                            <w:sz w:val="20"/>
                          </w:rPr>
                          <w:t>D. Gather Existing Information (Included in 4E)</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7E41F3D3"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4333F2BE"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3AF43E10" w14:textId="77777777">
                        <w:pPr>
                          <w:jc w:val="right"/>
                          <w:rPr>
                            <w:color w:val="000000"/>
                            <w:sz w:val="20"/>
                          </w:rPr>
                        </w:pPr>
                        <w:r w:rsidRPr="00ED2F52">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46FDB9E3"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ED11DA6"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076B172A"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32646007" w14:textId="77777777">
                        <w:pPr>
                          <w:jc w:val="center"/>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4FC4C81B" w14:textId="77777777">
                        <w:pPr>
                          <w:jc w:val="right"/>
                          <w:rPr>
                            <w:color w:val="000000"/>
                            <w:sz w:val="20"/>
                          </w:rPr>
                        </w:pPr>
                        <w:r w:rsidRPr="00ED2F52">
                          <w:rPr>
                            <w:color w:val="000000"/>
                            <w:sz w:val="20"/>
                          </w:rPr>
                          <w:t> </w:t>
                        </w:r>
                      </w:p>
                    </w:tc>
                  </w:tr>
                  <w:tr w14:paraId="294AB3D0" w14:textId="77777777" w:rsidTr="00ED2F52">
                    <w:tblPrEx>
                      <w:tblW w:w="12840" w:type="dxa"/>
                      <w:tblLayout w:type="fixed"/>
                      <w:tblLook w:val="04A0"/>
                    </w:tblPrEx>
                    <w:trPr>
                      <w:trHeight w:val="26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133C2D4F" w14:textId="77777777">
                        <w:pPr>
                          <w:rPr>
                            <w:color w:val="000000"/>
                            <w:sz w:val="20"/>
                          </w:rPr>
                        </w:pPr>
                        <w:r w:rsidRPr="00ED2F52">
                          <w:rPr>
                            <w:color w:val="000000"/>
                            <w:sz w:val="20"/>
                          </w:rPr>
                          <w:t>E. Write Report</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06A2E02F" w14:textId="77777777">
                        <w:pPr>
                          <w:jc w:val="right"/>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317F0C32"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72039894" w14:textId="77777777">
                        <w:pPr>
                          <w:jc w:val="right"/>
                          <w:rPr>
                            <w:color w:val="000000"/>
                            <w:sz w:val="20"/>
                          </w:rPr>
                        </w:pPr>
                        <w:r w:rsidRPr="00ED2F52">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0F014B5F"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FB53AAD"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698DD69"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172C176" w14:textId="77777777">
                        <w:pPr>
                          <w:jc w:val="center"/>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3A74AE2C" w14:textId="77777777">
                        <w:pPr>
                          <w:jc w:val="right"/>
                          <w:rPr>
                            <w:color w:val="000000"/>
                            <w:sz w:val="20"/>
                          </w:rPr>
                        </w:pPr>
                        <w:r w:rsidRPr="00ED2F52">
                          <w:rPr>
                            <w:color w:val="000000"/>
                            <w:sz w:val="20"/>
                          </w:rPr>
                          <w:t> </w:t>
                        </w:r>
                      </w:p>
                    </w:tc>
                  </w:tr>
                  <w:tr w14:paraId="23EF0A5E" w14:textId="77777777" w:rsidTr="00ED2F52">
                    <w:tblPrEx>
                      <w:tblW w:w="12840" w:type="dxa"/>
                      <w:tblLayout w:type="fixed"/>
                      <w:tblLook w:val="04A0"/>
                    </w:tblPrEx>
                    <w:trPr>
                      <w:trHeight w:val="26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31E106A2" w14:textId="77777777">
                        <w:pPr>
                          <w:rPr>
                            <w:i/>
                            <w:iCs/>
                            <w:color w:val="000000"/>
                            <w:sz w:val="20"/>
                            <w:u w:val="single"/>
                          </w:rPr>
                        </w:pPr>
                        <w:r w:rsidRPr="00ED2F52">
                          <w:rPr>
                            <w:i/>
                            <w:iCs/>
                            <w:color w:val="000000"/>
                            <w:sz w:val="20"/>
                            <w:u w:val="single"/>
                          </w:rPr>
                          <w:t>New Sources-Reporting</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20C8470D"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3E5A7B2A" w14:textId="77777777">
                        <w:pPr>
                          <w:jc w:val="center"/>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3033D200" w14:textId="77777777">
                        <w:pPr>
                          <w:jc w:val="center"/>
                          <w:rPr>
                            <w:color w:val="000000"/>
                            <w:sz w:val="20"/>
                          </w:rPr>
                        </w:pPr>
                        <w:r w:rsidRPr="00ED2F52">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4F0C1860"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1E0FF491"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65262269"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302F7C8" w14:textId="77777777">
                        <w:pPr>
                          <w:jc w:val="center"/>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23E85AC5" w14:textId="77777777">
                        <w:pPr>
                          <w:jc w:val="right"/>
                          <w:rPr>
                            <w:color w:val="000000"/>
                            <w:sz w:val="20"/>
                          </w:rPr>
                        </w:pPr>
                        <w:r w:rsidRPr="00ED2F52">
                          <w:rPr>
                            <w:color w:val="000000"/>
                            <w:sz w:val="20"/>
                          </w:rPr>
                          <w:t> </w:t>
                        </w:r>
                      </w:p>
                    </w:tc>
                  </w:tr>
                  <w:tr w14:paraId="3EFBF7B4" w14:textId="77777777" w:rsidTr="00ED2F52">
                    <w:tblPrEx>
                      <w:tblW w:w="12840" w:type="dxa"/>
                      <w:tblLayout w:type="fixed"/>
                      <w:tblLook w:val="04A0"/>
                    </w:tblPrEx>
                    <w:trPr>
                      <w:trHeight w:val="57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246D779D" w14:textId="77777777">
                        <w:pPr>
                          <w:rPr>
                            <w:color w:val="000000"/>
                            <w:sz w:val="20"/>
                          </w:rPr>
                        </w:pPr>
                        <w:r w:rsidRPr="00ED2F52">
                          <w:rPr>
                            <w:color w:val="000000"/>
                            <w:sz w:val="20"/>
                          </w:rPr>
                          <w:t>Notification of Initial Performance Test</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1692961C"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10955C02"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4CF7762B" w14:textId="77777777">
                        <w:pPr>
                          <w:jc w:val="center"/>
                          <w:rPr>
                            <w:color w:val="000000"/>
                            <w:sz w:val="20"/>
                          </w:rPr>
                        </w:pPr>
                        <w:r w:rsidRPr="00ED2F52">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4C7D275D"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785BE928"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790CA395"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74EC754D"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2E5CF3A6" w14:textId="77777777">
                        <w:pPr>
                          <w:jc w:val="right"/>
                          <w:rPr>
                            <w:color w:val="000000"/>
                            <w:sz w:val="20"/>
                          </w:rPr>
                        </w:pPr>
                        <w:r w:rsidRPr="00ED2F52">
                          <w:rPr>
                            <w:color w:val="000000"/>
                            <w:sz w:val="20"/>
                          </w:rPr>
                          <w:t xml:space="preserve">$0.00 </w:t>
                        </w:r>
                      </w:p>
                    </w:tc>
                  </w:tr>
                  <w:tr w14:paraId="052E5626" w14:textId="77777777" w:rsidTr="00ED2F52">
                    <w:tblPrEx>
                      <w:tblW w:w="12840" w:type="dxa"/>
                      <w:tblLayout w:type="fixed"/>
                      <w:tblLook w:val="04A0"/>
                    </w:tblPrEx>
                    <w:trPr>
                      <w:trHeight w:val="78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635A8A68" w14:textId="77777777">
                        <w:pPr>
                          <w:rPr>
                            <w:color w:val="000000"/>
                            <w:sz w:val="20"/>
                          </w:rPr>
                        </w:pPr>
                        <w:r w:rsidRPr="00ED2F52">
                          <w:rPr>
                            <w:color w:val="000000"/>
                            <w:sz w:val="20"/>
                          </w:rPr>
                          <w:t>Report of Performance Tests submitted via CEDRI or analogous electronic reporting</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237CA5B4"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7FEDAFC5"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5C7D2069" w14:textId="77777777">
                        <w:pPr>
                          <w:jc w:val="center"/>
                          <w:rPr>
                            <w:color w:val="000000"/>
                            <w:sz w:val="20"/>
                          </w:rPr>
                        </w:pPr>
                        <w:r w:rsidRPr="00ED2F52">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4751421F"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13628145"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4505FE05"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11EEEA60"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15A20F36" w14:textId="77777777">
                        <w:pPr>
                          <w:jc w:val="right"/>
                          <w:rPr>
                            <w:color w:val="000000"/>
                            <w:sz w:val="20"/>
                          </w:rPr>
                        </w:pPr>
                        <w:r w:rsidRPr="00ED2F52">
                          <w:rPr>
                            <w:color w:val="000000"/>
                            <w:sz w:val="20"/>
                          </w:rPr>
                          <w:t xml:space="preserve">$0.00 </w:t>
                        </w:r>
                      </w:p>
                    </w:tc>
                  </w:tr>
                  <w:tr w14:paraId="61DBB0E3" w14:textId="77777777" w:rsidTr="00ED2F52">
                    <w:tblPrEx>
                      <w:tblW w:w="12840" w:type="dxa"/>
                      <w:tblLayout w:type="fixed"/>
                      <w:tblLook w:val="04A0"/>
                    </w:tblPrEx>
                    <w:trPr>
                      <w:trHeight w:val="52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5DABA6E0" w14:textId="77777777">
                        <w:pPr>
                          <w:rPr>
                            <w:color w:val="000000"/>
                            <w:sz w:val="20"/>
                          </w:rPr>
                        </w:pPr>
                        <w:r w:rsidRPr="00ED2F52">
                          <w:rPr>
                            <w:color w:val="000000"/>
                            <w:sz w:val="20"/>
                          </w:rPr>
                          <w:t>Notification of Demonstration of CEMS or CPMS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1D2DCC9F"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10FC329"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54BEB5BD" w14:textId="77777777">
                        <w:pPr>
                          <w:jc w:val="center"/>
                          <w:rPr>
                            <w:color w:val="000000"/>
                            <w:sz w:val="20"/>
                          </w:rPr>
                        </w:pPr>
                        <w:r w:rsidRPr="00ED2F52">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334EF631"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774795A2"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10444DE8"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76D800B"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2ED5F9C4" w14:textId="77777777">
                        <w:pPr>
                          <w:jc w:val="right"/>
                          <w:rPr>
                            <w:color w:val="000000"/>
                            <w:sz w:val="20"/>
                          </w:rPr>
                        </w:pPr>
                        <w:r w:rsidRPr="00ED2F52">
                          <w:rPr>
                            <w:color w:val="000000"/>
                            <w:sz w:val="20"/>
                          </w:rPr>
                          <w:t xml:space="preserve">$0.00 </w:t>
                        </w:r>
                      </w:p>
                    </w:tc>
                  </w:tr>
                  <w:tr w14:paraId="0B195496" w14:textId="77777777" w:rsidTr="00ED2F52">
                    <w:tblPrEx>
                      <w:tblW w:w="12840" w:type="dxa"/>
                      <w:tblLayout w:type="fixed"/>
                      <w:tblLook w:val="04A0"/>
                    </w:tblPrEx>
                    <w:trPr>
                      <w:trHeight w:val="78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441DE8C1" w14:textId="77777777">
                        <w:pPr>
                          <w:rPr>
                            <w:color w:val="000000"/>
                            <w:sz w:val="20"/>
                          </w:rPr>
                        </w:pPr>
                        <w:r w:rsidRPr="00ED2F52">
                          <w:rPr>
                            <w:color w:val="000000"/>
                            <w:sz w:val="20"/>
                          </w:rPr>
                          <w:t>Notification of Initial Performance Evaluation of NOx CEMS or CPMS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4A770A5B"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53D52185"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3273CAB4" w14:textId="77777777">
                        <w:pPr>
                          <w:jc w:val="center"/>
                          <w:rPr>
                            <w:color w:val="000000"/>
                            <w:sz w:val="20"/>
                          </w:rPr>
                        </w:pPr>
                        <w:r w:rsidRPr="00ED2F52">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1F3417A3"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2C7B7D31"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187E8464"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48A99DA9"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2E12321D" w14:textId="77777777">
                        <w:pPr>
                          <w:jc w:val="right"/>
                          <w:rPr>
                            <w:color w:val="000000"/>
                            <w:sz w:val="20"/>
                          </w:rPr>
                        </w:pPr>
                        <w:r w:rsidRPr="00ED2F52">
                          <w:rPr>
                            <w:color w:val="000000"/>
                            <w:sz w:val="20"/>
                          </w:rPr>
                          <w:t xml:space="preserve">$0.00 </w:t>
                        </w:r>
                      </w:p>
                    </w:tc>
                  </w:tr>
                  <w:tr w14:paraId="161ED451" w14:textId="77777777" w:rsidTr="00ED2F52">
                    <w:tblPrEx>
                      <w:tblW w:w="12840" w:type="dxa"/>
                      <w:tblLayout w:type="fixed"/>
                      <w:tblLook w:val="04A0"/>
                    </w:tblPrEx>
                    <w:trPr>
                      <w:trHeight w:val="52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65CEADFF" w14:textId="77777777">
                        <w:pPr>
                          <w:rPr>
                            <w:color w:val="000000"/>
                            <w:sz w:val="20"/>
                          </w:rPr>
                        </w:pPr>
                        <w:r w:rsidRPr="00ED2F52">
                          <w:rPr>
                            <w:color w:val="000000"/>
                            <w:sz w:val="20"/>
                          </w:rPr>
                          <w:t>Report of Performance Evaluation of NOx CEMS or CPMS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44F5EF9F"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29F67464"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EDBDAB2" w14:textId="77777777">
                        <w:pPr>
                          <w:jc w:val="center"/>
                          <w:rPr>
                            <w:color w:val="000000"/>
                            <w:sz w:val="20"/>
                          </w:rPr>
                        </w:pPr>
                        <w:r w:rsidRPr="00ED2F52">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0361CB9D"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9CCFDB5"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82DE105"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31E559C"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3DC6FE84" w14:textId="77777777">
                        <w:pPr>
                          <w:jc w:val="right"/>
                          <w:rPr>
                            <w:color w:val="000000"/>
                            <w:sz w:val="20"/>
                          </w:rPr>
                        </w:pPr>
                        <w:r w:rsidRPr="00ED2F52">
                          <w:rPr>
                            <w:color w:val="000000"/>
                            <w:sz w:val="20"/>
                          </w:rPr>
                          <w:t xml:space="preserve">$0.00 </w:t>
                        </w:r>
                      </w:p>
                    </w:tc>
                  </w:tr>
                  <w:tr w14:paraId="2E657E7B" w14:textId="77777777" w:rsidTr="00ED2F52">
                    <w:tblPrEx>
                      <w:tblW w:w="12840" w:type="dxa"/>
                      <w:tblLayout w:type="fixed"/>
                      <w:tblLook w:val="04A0"/>
                    </w:tblPrEx>
                    <w:trPr>
                      <w:trHeight w:val="26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37C3E10C" w14:textId="77777777">
                        <w:pPr>
                          <w:rPr>
                            <w:i/>
                            <w:iCs/>
                            <w:color w:val="000000"/>
                            <w:sz w:val="20"/>
                            <w:u w:val="single"/>
                          </w:rPr>
                        </w:pPr>
                        <w:r w:rsidRPr="00ED2F52">
                          <w:rPr>
                            <w:i/>
                            <w:iCs/>
                            <w:color w:val="000000"/>
                            <w:sz w:val="20"/>
                            <w:u w:val="single"/>
                          </w:rPr>
                          <w:t>Existing Sources-Reporting</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709D56FC" w14:textId="77777777">
                        <w:pPr>
                          <w:jc w:val="right"/>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5F1EE247"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3EDBAAD0" w14:textId="77777777">
                        <w:pPr>
                          <w:jc w:val="right"/>
                          <w:rPr>
                            <w:color w:val="000000"/>
                            <w:sz w:val="20"/>
                          </w:rPr>
                        </w:pPr>
                        <w:r w:rsidRPr="00ED2F52">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0C34D26B"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61791914"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7DC3F5AB"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61B4A66B"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6A61361A" w14:textId="77777777">
                        <w:pPr>
                          <w:jc w:val="right"/>
                          <w:rPr>
                            <w:color w:val="000000"/>
                            <w:sz w:val="20"/>
                          </w:rPr>
                        </w:pPr>
                        <w:r w:rsidRPr="00ED2F52">
                          <w:rPr>
                            <w:color w:val="000000"/>
                            <w:sz w:val="20"/>
                          </w:rPr>
                          <w:t> </w:t>
                        </w:r>
                      </w:p>
                    </w:tc>
                  </w:tr>
                  <w:tr w14:paraId="4E0981F7" w14:textId="77777777" w:rsidTr="00ED2F52">
                    <w:tblPrEx>
                      <w:tblW w:w="12840" w:type="dxa"/>
                      <w:tblLayout w:type="fixed"/>
                      <w:tblLook w:val="04A0"/>
                    </w:tblPrEx>
                    <w:trPr>
                      <w:trHeight w:val="52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06B1F1E7" w14:textId="77777777">
                        <w:pPr>
                          <w:rPr>
                            <w:color w:val="000000"/>
                            <w:sz w:val="20"/>
                          </w:rPr>
                        </w:pPr>
                        <w:r w:rsidRPr="00ED2F52">
                          <w:rPr>
                            <w:color w:val="000000"/>
                            <w:sz w:val="20"/>
                          </w:rPr>
                          <w:t>Notification of Annual Performance Test</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7399EDC0"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7342DFD9"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79286D5" w14:textId="77777777">
                        <w:pPr>
                          <w:jc w:val="center"/>
                          <w:rPr>
                            <w:color w:val="000000"/>
                            <w:sz w:val="20"/>
                          </w:rPr>
                        </w:pPr>
                        <w:r w:rsidRPr="00ED2F52">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7B4B9515"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1DA34290"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1B3D5293"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1A959717"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77D1FDFB" w14:textId="77777777">
                        <w:pPr>
                          <w:jc w:val="right"/>
                          <w:rPr>
                            <w:color w:val="000000"/>
                            <w:sz w:val="20"/>
                          </w:rPr>
                        </w:pPr>
                        <w:r w:rsidRPr="00ED2F52">
                          <w:rPr>
                            <w:color w:val="000000"/>
                            <w:sz w:val="20"/>
                          </w:rPr>
                          <w:t xml:space="preserve">$0.00 </w:t>
                        </w:r>
                      </w:p>
                    </w:tc>
                  </w:tr>
                  <w:tr w14:paraId="3388E224" w14:textId="77777777" w:rsidTr="00ED2F52">
                    <w:tblPrEx>
                      <w:tblW w:w="12840" w:type="dxa"/>
                      <w:tblLayout w:type="fixed"/>
                      <w:tblLook w:val="04A0"/>
                    </w:tblPrEx>
                    <w:trPr>
                      <w:trHeight w:val="78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5DCBBD44" w14:textId="77777777">
                        <w:pPr>
                          <w:rPr>
                            <w:color w:val="000000"/>
                            <w:sz w:val="20"/>
                          </w:rPr>
                        </w:pPr>
                        <w:r w:rsidRPr="00ED2F52">
                          <w:rPr>
                            <w:color w:val="000000"/>
                            <w:sz w:val="20"/>
                          </w:rPr>
                          <w:t>Report of Annual Performance Test Results submitted via CEDRI or analogous electronic reporting</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6C28C00E"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725CB791"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9FB37D3" w14:textId="77777777">
                        <w:pPr>
                          <w:jc w:val="center"/>
                          <w:rPr>
                            <w:color w:val="000000"/>
                            <w:sz w:val="20"/>
                          </w:rPr>
                        </w:pPr>
                        <w:r w:rsidRPr="00ED2F52">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6599871F"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4DE19890"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62A6A028"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D5B0230"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176FB53F" w14:textId="77777777">
                        <w:pPr>
                          <w:jc w:val="right"/>
                          <w:rPr>
                            <w:color w:val="000000"/>
                            <w:sz w:val="20"/>
                          </w:rPr>
                        </w:pPr>
                        <w:r w:rsidRPr="00ED2F52">
                          <w:rPr>
                            <w:color w:val="000000"/>
                            <w:sz w:val="20"/>
                          </w:rPr>
                          <w:t xml:space="preserve">$0.00 </w:t>
                        </w:r>
                      </w:p>
                    </w:tc>
                  </w:tr>
                  <w:tr w14:paraId="0CB15220" w14:textId="77777777" w:rsidTr="00ED2F52">
                    <w:tblPrEx>
                      <w:tblW w:w="12840" w:type="dxa"/>
                      <w:tblLayout w:type="fixed"/>
                      <w:tblLook w:val="04A0"/>
                    </w:tblPrEx>
                    <w:trPr>
                      <w:trHeight w:val="52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25585805" w14:textId="77777777">
                        <w:pPr>
                          <w:rPr>
                            <w:color w:val="000000"/>
                            <w:sz w:val="20"/>
                          </w:rPr>
                        </w:pPr>
                        <w:r w:rsidRPr="00ED2F52">
                          <w:rPr>
                            <w:color w:val="000000"/>
                            <w:sz w:val="20"/>
                          </w:rPr>
                          <w:t>Notification of Demonstration of CEMS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49358298"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24DFE5B3"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3C7BCDC2" w14:textId="77777777">
                        <w:pPr>
                          <w:jc w:val="center"/>
                          <w:rPr>
                            <w:color w:val="000000"/>
                            <w:sz w:val="20"/>
                          </w:rPr>
                        </w:pPr>
                        <w:r w:rsidRPr="00ED2F52">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74915B1F"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761B7B1"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4AD0A57E"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4169A259"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0C86066E" w14:textId="77777777">
                        <w:pPr>
                          <w:jc w:val="right"/>
                          <w:rPr>
                            <w:color w:val="000000"/>
                            <w:sz w:val="20"/>
                          </w:rPr>
                        </w:pPr>
                        <w:r w:rsidRPr="00ED2F52">
                          <w:rPr>
                            <w:color w:val="000000"/>
                            <w:sz w:val="20"/>
                          </w:rPr>
                          <w:t xml:space="preserve">$0.00 </w:t>
                        </w:r>
                      </w:p>
                    </w:tc>
                  </w:tr>
                  <w:tr w14:paraId="584A84D9" w14:textId="77777777" w:rsidTr="00ED2F52">
                    <w:tblPrEx>
                      <w:tblW w:w="12840" w:type="dxa"/>
                      <w:tblLayout w:type="fixed"/>
                      <w:tblLook w:val="04A0"/>
                    </w:tblPrEx>
                    <w:trPr>
                      <w:trHeight w:val="78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09A856E4" w14:textId="77777777">
                        <w:pPr>
                          <w:rPr>
                            <w:color w:val="000000"/>
                            <w:sz w:val="20"/>
                          </w:rPr>
                        </w:pPr>
                        <w:r w:rsidRPr="00ED2F52">
                          <w:rPr>
                            <w:color w:val="000000"/>
                            <w:sz w:val="20"/>
                          </w:rPr>
                          <w:t>Notification of Initial Performance Evaluation of NOx CEMS or CPMS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1A1A2453"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77F0402B"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56DA9E6A" w14:textId="77777777">
                        <w:pPr>
                          <w:jc w:val="center"/>
                          <w:rPr>
                            <w:color w:val="000000"/>
                            <w:sz w:val="20"/>
                          </w:rPr>
                        </w:pPr>
                        <w:r w:rsidRPr="00ED2F52">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1BFC3ED2"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702D0DC"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02136835"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3D917C64"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115DD895" w14:textId="77777777">
                        <w:pPr>
                          <w:jc w:val="right"/>
                          <w:rPr>
                            <w:color w:val="000000"/>
                            <w:sz w:val="20"/>
                          </w:rPr>
                        </w:pPr>
                        <w:r w:rsidRPr="00ED2F52">
                          <w:rPr>
                            <w:color w:val="000000"/>
                            <w:sz w:val="20"/>
                          </w:rPr>
                          <w:t xml:space="preserve">$0.00 </w:t>
                        </w:r>
                      </w:p>
                    </w:tc>
                  </w:tr>
                  <w:tr w14:paraId="136418D8" w14:textId="77777777" w:rsidTr="00ED2F52">
                    <w:tblPrEx>
                      <w:tblW w:w="12840" w:type="dxa"/>
                      <w:tblLayout w:type="fixed"/>
                      <w:tblLook w:val="04A0"/>
                    </w:tblPrEx>
                    <w:trPr>
                      <w:trHeight w:val="78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3DD765EE" w14:textId="77777777">
                        <w:pPr>
                          <w:rPr>
                            <w:color w:val="000000"/>
                            <w:sz w:val="20"/>
                          </w:rPr>
                        </w:pPr>
                        <w:r w:rsidRPr="00ED2F52">
                          <w:rPr>
                            <w:color w:val="000000"/>
                            <w:sz w:val="20"/>
                          </w:rPr>
                          <w:t>Report of Initial Performance Evaluation of NOx CEMS or CPMS Test Results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0B6E20EC"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1AF1BFD3"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4758BD12" w14:textId="77777777">
                        <w:pPr>
                          <w:jc w:val="center"/>
                          <w:rPr>
                            <w:color w:val="000000"/>
                            <w:sz w:val="20"/>
                          </w:rPr>
                        </w:pPr>
                        <w:r w:rsidRPr="00ED2F52">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325A36F4"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49FAF932"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3C36C2BD"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1BD9A2C1"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074594A4" w14:textId="77777777">
                        <w:pPr>
                          <w:jc w:val="right"/>
                          <w:rPr>
                            <w:color w:val="000000"/>
                            <w:sz w:val="20"/>
                          </w:rPr>
                        </w:pPr>
                        <w:r w:rsidRPr="00ED2F52">
                          <w:rPr>
                            <w:color w:val="000000"/>
                            <w:sz w:val="20"/>
                          </w:rPr>
                          <w:t xml:space="preserve">$0.00 </w:t>
                        </w:r>
                      </w:p>
                    </w:tc>
                  </w:tr>
                  <w:tr w14:paraId="6FB3ABA7" w14:textId="77777777" w:rsidTr="00ED2F52">
                    <w:tblPrEx>
                      <w:tblW w:w="12840" w:type="dxa"/>
                      <w:tblLayout w:type="fixed"/>
                      <w:tblLook w:val="04A0"/>
                    </w:tblPrEx>
                    <w:trPr>
                      <w:trHeight w:val="26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0219D1F7" w14:textId="77777777">
                        <w:pPr>
                          <w:rPr>
                            <w:color w:val="000000"/>
                            <w:sz w:val="20"/>
                          </w:rPr>
                        </w:pPr>
                        <w:r w:rsidRPr="00ED2F52">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3398ACC0"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3280830" w14:textId="77777777">
                        <w:pPr>
                          <w:jc w:val="center"/>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31CEDA07" w14:textId="77777777">
                        <w:pPr>
                          <w:jc w:val="center"/>
                          <w:rPr>
                            <w:color w:val="000000"/>
                            <w:sz w:val="20"/>
                          </w:rPr>
                        </w:pPr>
                        <w:r w:rsidRPr="00ED2F52">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678F080C"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7534AC77"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00C957F5"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473FF5E5" w14:textId="77777777">
                        <w:pPr>
                          <w:jc w:val="center"/>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7BC92C41" w14:textId="77777777">
                        <w:pPr>
                          <w:jc w:val="right"/>
                          <w:rPr>
                            <w:color w:val="000000"/>
                            <w:sz w:val="20"/>
                          </w:rPr>
                        </w:pPr>
                        <w:r w:rsidRPr="00ED2F52">
                          <w:rPr>
                            <w:color w:val="000000"/>
                            <w:sz w:val="20"/>
                          </w:rPr>
                          <w:t> </w:t>
                        </w:r>
                      </w:p>
                    </w:tc>
                  </w:tr>
                  <w:tr w14:paraId="70FFAD25" w14:textId="77777777" w:rsidTr="00ED2F52">
                    <w:tblPrEx>
                      <w:tblW w:w="12840" w:type="dxa"/>
                      <w:tblLayout w:type="fixed"/>
                      <w:tblLook w:val="04A0"/>
                    </w:tblPrEx>
                    <w:trPr>
                      <w:trHeight w:val="53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5ACD1130" w14:textId="77777777">
                        <w:pPr>
                          <w:rPr>
                            <w:b/>
                            <w:bCs/>
                            <w:i/>
                            <w:iCs/>
                            <w:color w:val="000000"/>
                            <w:sz w:val="20"/>
                          </w:rPr>
                        </w:pPr>
                        <w:r w:rsidRPr="00ED2F52">
                          <w:rPr>
                            <w:b/>
                            <w:bCs/>
                            <w:i/>
                            <w:iCs/>
                            <w:color w:val="000000"/>
                            <w:sz w:val="20"/>
                          </w:rPr>
                          <w:t>Subtotal for Reporting Requirements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08195175" w14:textId="77777777">
                        <w:pPr>
                          <w:jc w:val="right"/>
                          <w:rPr>
                            <w:b/>
                            <w:bCs/>
                            <w:i/>
                            <w:iCs/>
                            <w:color w:val="000000"/>
                            <w:sz w:val="20"/>
                          </w:rPr>
                        </w:pPr>
                        <w:r w:rsidRPr="00ED2F52">
                          <w:rPr>
                            <w:b/>
                            <w:bCs/>
                            <w:i/>
                            <w:i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4E56A203" w14:textId="77777777">
                        <w:pPr>
                          <w:jc w:val="right"/>
                          <w:rPr>
                            <w:b/>
                            <w:bCs/>
                            <w:i/>
                            <w:iCs/>
                            <w:sz w:val="20"/>
                          </w:rPr>
                        </w:pPr>
                        <w:r w:rsidRPr="00ED2F52">
                          <w:rPr>
                            <w:b/>
                            <w:bCs/>
                            <w:i/>
                            <w:i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C9222E1" w14:textId="77777777">
                        <w:pPr>
                          <w:jc w:val="right"/>
                          <w:rPr>
                            <w:b/>
                            <w:bCs/>
                            <w:i/>
                            <w:iCs/>
                            <w:color w:val="000000"/>
                            <w:sz w:val="20"/>
                          </w:rPr>
                        </w:pPr>
                        <w:r w:rsidRPr="00ED2F52">
                          <w:rPr>
                            <w:b/>
                            <w:bCs/>
                            <w:i/>
                            <w:iCs/>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3D51111E" w14:textId="77777777">
                        <w:pPr>
                          <w:jc w:val="right"/>
                          <w:rPr>
                            <w:b/>
                            <w:bCs/>
                            <w:i/>
                            <w:iCs/>
                            <w:sz w:val="20"/>
                          </w:rPr>
                        </w:pPr>
                        <w:r w:rsidRPr="00ED2F52">
                          <w:rPr>
                            <w:b/>
                            <w:bCs/>
                            <w:i/>
                            <w:iCs/>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6A0A7DA5" w14:textId="77777777">
                        <w:pPr>
                          <w:jc w:val="center"/>
                          <w:rPr>
                            <w:b/>
                            <w:bCs/>
                            <w:i/>
                            <w:iCs/>
                            <w:color w:val="000000"/>
                            <w:sz w:val="20"/>
                          </w:rPr>
                        </w:pPr>
                        <w:r w:rsidRPr="00ED2F52">
                          <w:rPr>
                            <w:b/>
                            <w:bCs/>
                            <w:i/>
                            <w:iCs/>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F83034D" w14:textId="77777777">
                        <w:pPr>
                          <w:jc w:val="center"/>
                          <w:rPr>
                            <w:b/>
                            <w:bCs/>
                            <w:i/>
                            <w:iCs/>
                            <w:color w:val="000000"/>
                            <w:sz w:val="20"/>
                          </w:rPr>
                        </w:pPr>
                        <w:r w:rsidRPr="00ED2F52">
                          <w:rPr>
                            <w:b/>
                            <w:bCs/>
                            <w:i/>
                            <w:iCs/>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0226B13" w14:textId="77777777">
                        <w:pPr>
                          <w:jc w:val="center"/>
                          <w:rPr>
                            <w:b/>
                            <w:bCs/>
                            <w:i/>
                            <w:iCs/>
                            <w:color w:val="000000"/>
                            <w:sz w:val="20"/>
                          </w:rPr>
                        </w:pPr>
                        <w:r w:rsidRPr="00ED2F52">
                          <w:rPr>
                            <w:b/>
                            <w:bCs/>
                            <w:i/>
                            <w:iCs/>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5372AA64" w14:textId="77777777">
                        <w:pPr>
                          <w:jc w:val="right"/>
                          <w:rPr>
                            <w:b/>
                            <w:bCs/>
                            <w:i/>
                            <w:iCs/>
                            <w:color w:val="000000"/>
                            <w:sz w:val="20"/>
                          </w:rPr>
                        </w:pPr>
                        <w:r w:rsidRPr="00ED2F52">
                          <w:rPr>
                            <w:b/>
                            <w:bCs/>
                            <w:i/>
                            <w:iCs/>
                            <w:color w:val="000000"/>
                            <w:sz w:val="20"/>
                          </w:rPr>
                          <w:t xml:space="preserve">$0 </w:t>
                        </w:r>
                      </w:p>
                    </w:tc>
                  </w:tr>
                  <w:tr w14:paraId="7A54AAC9" w14:textId="77777777" w:rsidTr="00ED2F52">
                    <w:tblPrEx>
                      <w:tblW w:w="12840" w:type="dxa"/>
                      <w:tblLayout w:type="fixed"/>
                      <w:tblLook w:val="04A0"/>
                    </w:tblPrEx>
                    <w:trPr>
                      <w:trHeight w:val="52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1BA25716" w14:textId="77777777">
                        <w:pPr>
                          <w:rPr>
                            <w:color w:val="000000"/>
                            <w:sz w:val="20"/>
                          </w:rPr>
                        </w:pPr>
                        <w:r w:rsidRPr="00ED2F52">
                          <w:rPr>
                            <w:color w:val="000000"/>
                            <w:sz w:val="20"/>
                          </w:rPr>
                          <w:t>5. RECORDKEEPING REQUIREMENTS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3DF3972C" w14:textId="77777777">
                        <w:pPr>
                          <w:jc w:val="right"/>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44FB44F5"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769139E7" w14:textId="77777777">
                        <w:pPr>
                          <w:jc w:val="right"/>
                          <w:rPr>
                            <w:color w:val="000000"/>
                            <w:sz w:val="20"/>
                          </w:rPr>
                        </w:pPr>
                        <w:r w:rsidRPr="00ED2F52">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3C673706"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EB6AE6E"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14E9638"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EE5972B"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28E528A3" w14:textId="77777777">
                        <w:pPr>
                          <w:jc w:val="right"/>
                          <w:rPr>
                            <w:color w:val="000000"/>
                            <w:sz w:val="20"/>
                          </w:rPr>
                        </w:pPr>
                        <w:r w:rsidRPr="00ED2F52">
                          <w:rPr>
                            <w:color w:val="000000"/>
                            <w:sz w:val="20"/>
                          </w:rPr>
                          <w:t> </w:t>
                        </w:r>
                      </w:p>
                    </w:tc>
                  </w:tr>
                  <w:tr w14:paraId="0FEEE614" w14:textId="77777777" w:rsidTr="00ED2F52">
                    <w:tblPrEx>
                      <w:tblW w:w="12840" w:type="dxa"/>
                      <w:tblLayout w:type="fixed"/>
                      <w:tblLook w:val="04A0"/>
                    </w:tblPrEx>
                    <w:trPr>
                      <w:trHeight w:val="52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1D28DC5B" w14:textId="77777777">
                        <w:pPr>
                          <w:rPr>
                            <w:color w:val="000000"/>
                            <w:sz w:val="20"/>
                          </w:rPr>
                        </w:pPr>
                        <w:r w:rsidRPr="00ED2F52">
                          <w:rPr>
                            <w:color w:val="000000"/>
                            <w:sz w:val="20"/>
                          </w:rPr>
                          <w:t>A. Familiarize with regulatory requirement</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439A41EF"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FE0547B"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2C15A051" w14:textId="77777777">
                        <w:pPr>
                          <w:jc w:val="right"/>
                          <w:rPr>
                            <w:color w:val="000000"/>
                            <w:sz w:val="20"/>
                          </w:rPr>
                        </w:pPr>
                        <w:r w:rsidRPr="00ED2F52">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ED2F52" w:rsidRPr="00ED2F52" w:rsidP="00ED2F52" w14:paraId="54B40EA7"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1AA30499"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7AF41295"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079D665"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5D228255" w14:textId="77777777">
                        <w:pPr>
                          <w:jc w:val="right"/>
                          <w:rPr>
                            <w:color w:val="000000"/>
                            <w:sz w:val="20"/>
                          </w:rPr>
                        </w:pPr>
                        <w:r w:rsidRPr="00ED2F52">
                          <w:rPr>
                            <w:color w:val="000000"/>
                            <w:sz w:val="20"/>
                          </w:rPr>
                          <w:t> </w:t>
                        </w:r>
                      </w:p>
                    </w:tc>
                  </w:tr>
                  <w:tr w14:paraId="65E31CB3" w14:textId="77777777" w:rsidTr="00ED2F52">
                    <w:tblPrEx>
                      <w:tblW w:w="12840" w:type="dxa"/>
                      <w:tblLayout w:type="fixed"/>
                      <w:tblLook w:val="04A0"/>
                    </w:tblPrEx>
                    <w:trPr>
                      <w:trHeight w:val="26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5AFD3B1F" w14:textId="77777777">
                        <w:pPr>
                          <w:rPr>
                            <w:color w:val="000000"/>
                            <w:sz w:val="20"/>
                          </w:rPr>
                        </w:pPr>
                        <w:r w:rsidRPr="00ED2F52">
                          <w:rPr>
                            <w:color w:val="000000"/>
                            <w:sz w:val="20"/>
                          </w:rPr>
                          <w:t xml:space="preserve">B. Plan Activities </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3FD1F465"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7499A240"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44F2701B" w14:textId="77777777">
                        <w:pPr>
                          <w:jc w:val="right"/>
                          <w:rPr>
                            <w:color w:val="000000"/>
                            <w:sz w:val="20"/>
                          </w:rPr>
                        </w:pPr>
                        <w:r w:rsidRPr="00ED2F52">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ED2F52" w:rsidRPr="00ED2F52" w:rsidP="00ED2F52" w14:paraId="23C38338"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1E8DB2CB"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3D10D91B"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4A65C5F6"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3D685073" w14:textId="77777777">
                        <w:pPr>
                          <w:jc w:val="right"/>
                          <w:rPr>
                            <w:color w:val="000000"/>
                            <w:sz w:val="20"/>
                          </w:rPr>
                        </w:pPr>
                        <w:r w:rsidRPr="00ED2F52">
                          <w:rPr>
                            <w:color w:val="000000"/>
                            <w:sz w:val="20"/>
                          </w:rPr>
                          <w:t> </w:t>
                        </w:r>
                      </w:p>
                    </w:tc>
                  </w:tr>
                  <w:tr w14:paraId="4D891310" w14:textId="77777777" w:rsidTr="00ED2F52">
                    <w:tblPrEx>
                      <w:tblW w:w="12840" w:type="dxa"/>
                      <w:tblLayout w:type="fixed"/>
                      <w:tblLook w:val="04A0"/>
                    </w:tblPrEx>
                    <w:trPr>
                      <w:trHeight w:val="26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54D0DF76" w14:textId="77777777">
                        <w:pPr>
                          <w:rPr>
                            <w:color w:val="000000"/>
                            <w:sz w:val="20"/>
                          </w:rPr>
                        </w:pPr>
                        <w:r w:rsidRPr="00ED2F52">
                          <w:rPr>
                            <w:color w:val="000000"/>
                            <w:sz w:val="20"/>
                          </w:rPr>
                          <w:t xml:space="preserve">C. Implement Activities </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6C1982F0"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29C11F8F"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70E479DA" w14:textId="77777777">
                        <w:pPr>
                          <w:jc w:val="right"/>
                          <w:rPr>
                            <w:color w:val="000000"/>
                            <w:sz w:val="20"/>
                          </w:rPr>
                        </w:pPr>
                        <w:r w:rsidRPr="00ED2F52">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ED2F52" w:rsidRPr="00ED2F52" w:rsidP="00ED2F52" w14:paraId="08239649"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8492C2F"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0A30F3B9"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1302C239"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6BE1B928" w14:textId="77777777">
                        <w:pPr>
                          <w:jc w:val="right"/>
                          <w:rPr>
                            <w:color w:val="000000"/>
                            <w:sz w:val="20"/>
                          </w:rPr>
                        </w:pPr>
                        <w:r w:rsidRPr="00ED2F52">
                          <w:rPr>
                            <w:color w:val="000000"/>
                            <w:sz w:val="20"/>
                          </w:rPr>
                          <w:t> </w:t>
                        </w:r>
                      </w:p>
                    </w:tc>
                  </w:tr>
                  <w:tr w14:paraId="5F49D411" w14:textId="77777777" w:rsidTr="00ED2F52">
                    <w:tblPrEx>
                      <w:tblW w:w="12840" w:type="dxa"/>
                      <w:tblLayout w:type="fixed"/>
                      <w:tblLook w:val="04A0"/>
                    </w:tblPrEx>
                    <w:trPr>
                      <w:trHeight w:val="26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1EAD3D6F" w14:textId="77777777">
                        <w:pPr>
                          <w:rPr>
                            <w:color w:val="000000"/>
                            <w:sz w:val="20"/>
                          </w:rPr>
                        </w:pPr>
                        <w:r w:rsidRPr="00ED2F52">
                          <w:rPr>
                            <w:color w:val="000000"/>
                            <w:sz w:val="20"/>
                          </w:rPr>
                          <w:t xml:space="preserve">D. Record Data </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771A7F06" w14:textId="77777777">
                        <w:pPr>
                          <w:jc w:val="center"/>
                          <w:rPr>
                            <w:color w:val="000000"/>
                            <w:sz w:val="20"/>
                          </w:rPr>
                        </w:pPr>
                        <w:r w:rsidRPr="00ED2F52">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4E87EFC2"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5005B294" w14:textId="77777777">
                        <w:pPr>
                          <w:jc w:val="right"/>
                          <w:rPr>
                            <w:color w:val="000000"/>
                            <w:sz w:val="20"/>
                          </w:rPr>
                        </w:pPr>
                        <w:r w:rsidRPr="00ED2F52">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ED2F52" w:rsidRPr="00ED2F52" w:rsidP="00ED2F52" w14:paraId="05A0AE16"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0433F10"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ED6FDB7"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8D0121A"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31532F49" w14:textId="77777777">
                        <w:pPr>
                          <w:jc w:val="right"/>
                          <w:rPr>
                            <w:color w:val="000000"/>
                            <w:sz w:val="20"/>
                          </w:rPr>
                        </w:pPr>
                        <w:r w:rsidRPr="00ED2F52">
                          <w:rPr>
                            <w:color w:val="000000"/>
                            <w:sz w:val="20"/>
                          </w:rPr>
                          <w:t> </w:t>
                        </w:r>
                      </w:p>
                    </w:tc>
                  </w:tr>
                  <w:tr w14:paraId="44CE4CF6" w14:textId="77777777" w:rsidTr="00ED2F52">
                    <w:tblPrEx>
                      <w:tblW w:w="12840" w:type="dxa"/>
                      <w:tblLayout w:type="fixed"/>
                      <w:tblLook w:val="04A0"/>
                    </w:tblPrEx>
                    <w:trPr>
                      <w:trHeight w:val="52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2E597422" w14:textId="77777777">
                        <w:pPr>
                          <w:rPr>
                            <w:color w:val="000000"/>
                            <w:sz w:val="20"/>
                          </w:rPr>
                        </w:pPr>
                        <w:r w:rsidRPr="00ED2F52">
                          <w:rPr>
                            <w:color w:val="000000"/>
                            <w:sz w:val="20"/>
                          </w:rPr>
                          <w:t>E. Time to Transmit or Disclose Information</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38C8FBAB" w14:textId="77777777">
                        <w:pPr>
                          <w:jc w:val="right"/>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116B9542"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749B90D" w14:textId="77777777">
                        <w:pPr>
                          <w:jc w:val="right"/>
                          <w:rPr>
                            <w:color w:val="000000"/>
                            <w:sz w:val="20"/>
                          </w:rPr>
                        </w:pPr>
                        <w:r w:rsidRPr="00ED2F52">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ED2F52" w:rsidRPr="00ED2F52" w:rsidP="00ED2F52" w14:paraId="124D0AC8"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0A35314"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04B6F77E"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7A414C5A"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361AFFA6" w14:textId="77777777">
                        <w:pPr>
                          <w:jc w:val="right"/>
                          <w:rPr>
                            <w:color w:val="000000"/>
                            <w:sz w:val="20"/>
                          </w:rPr>
                        </w:pPr>
                        <w:r w:rsidRPr="00ED2F52">
                          <w:rPr>
                            <w:color w:val="000000"/>
                            <w:sz w:val="20"/>
                          </w:rPr>
                          <w:t> </w:t>
                        </w:r>
                      </w:p>
                    </w:tc>
                  </w:tr>
                  <w:tr w14:paraId="3298336D" w14:textId="77777777" w:rsidTr="00ED2F52">
                    <w:tblPrEx>
                      <w:tblW w:w="12840" w:type="dxa"/>
                      <w:tblLayout w:type="fixed"/>
                      <w:tblLook w:val="04A0"/>
                    </w:tblPrEx>
                    <w:trPr>
                      <w:trHeight w:val="26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396B420C" w14:textId="77777777">
                        <w:pPr>
                          <w:rPr>
                            <w:i/>
                            <w:iCs/>
                            <w:color w:val="000000"/>
                            <w:sz w:val="20"/>
                            <w:u w:val="single"/>
                          </w:rPr>
                        </w:pPr>
                        <w:r w:rsidRPr="00ED2F52">
                          <w:rPr>
                            <w:i/>
                            <w:iCs/>
                            <w:color w:val="000000"/>
                            <w:sz w:val="20"/>
                            <w:u w:val="single"/>
                          </w:rPr>
                          <w:t>Existing Sources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62D1A78A" w14:textId="77777777">
                        <w:pPr>
                          <w:jc w:val="right"/>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20154987"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BB28533" w14:textId="77777777">
                        <w:pPr>
                          <w:jc w:val="right"/>
                          <w:rPr>
                            <w:color w:val="000000"/>
                            <w:sz w:val="20"/>
                          </w:rPr>
                        </w:pPr>
                        <w:r w:rsidRPr="00ED2F52">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ED2F52" w:rsidRPr="00ED2F52" w:rsidP="00ED2F52" w14:paraId="3AACE878"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165F0FA6"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7E814CA"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7D728024"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2CAAE176" w14:textId="77777777">
                        <w:pPr>
                          <w:jc w:val="right"/>
                          <w:rPr>
                            <w:color w:val="000000"/>
                            <w:sz w:val="20"/>
                          </w:rPr>
                        </w:pPr>
                        <w:r w:rsidRPr="00ED2F52">
                          <w:rPr>
                            <w:color w:val="000000"/>
                            <w:sz w:val="20"/>
                          </w:rPr>
                          <w:t> </w:t>
                        </w:r>
                      </w:p>
                    </w:tc>
                  </w:tr>
                  <w:tr w14:paraId="10C9DB94" w14:textId="77777777" w:rsidTr="00ED2F52">
                    <w:tblPrEx>
                      <w:tblW w:w="12840" w:type="dxa"/>
                      <w:tblLayout w:type="fixed"/>
                      <w:tblLook w:val="04A0"/>
                    </w:tblPrEx>
                    <w:trPr>
                      <w:trHeight w:val="26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13F9A1FC" w14:textId="77777777">
                        <w:pPr>
                          <w:rPr>
                            <w:color w:val="000000"/>
                            <w:sz w:val="20"/>
                          </w:rPr>
                        </w:pPr>
                        <w:r w:rsidRPr="00ED2F52">
                          <w:rPr>
                            <w:color w:val="000000"/>
                            <w:sz w:val="20"/>
                          </w:rPr>
                          <w:t>Data Collection</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6AC7FBAA"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150E8EAA"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A83C46E" w14:textId="77777777">
                        <w:pPr>
                          <w:jc w:val="center"/>
                          <w:rPr>
                            <w:color w:val="000000"/>
                            <w:sz w:val="20"/>
                          </w:rPr>
                        </w:pPr>
                        <w:r w:rsidRPr="00ED2F52">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5C13A466"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7896C13B"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4A7FEF04"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9014C96"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31E3F20E" w14:textId="77777777">
                        <w:pPr>
                          <w:jc w:val="right"/>
                          <w:rPr>
                            <w:color w:val="000000"/>
                            <w:sz w:val="20"/>
                          </w:rPr>
                        </w:pPr>
                        <w:r w:rsidRPr="00ED2F52">
                          <w:rPr>
                            <w:color w:val="000000"/>
                            <w:sz w:val="20"/>
                          </w:rPr>
                          <w:t xml:space="preserve">$0.00 </w:t>
                        </w:r>
                      </w:p>
                    </w:tc>
                  </w:tr>
                  <w:tr w14:paraId="323F9CEF" w14:textId="77777777" w:rsidTr="00ED2F52">
                    <w:tblPrEx>
                      <w:tblW w:w="12840" w:type="dxa"/>
                      <w:tblLayout w:type="fixed"/>
                      <w:tblLook w:val="04A0"/>
                    </w:tblPrEx>
                    <w:trPr>
                      <w:trHeight w:val="26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2AF98419" w14:textId="77777777">
                        <w:pPr>
                          <w:rPr>
                            <w:color w:val="000000"/>
                            <w:sz w:val="20"/>
                          </w:rPr>
                        </w:pPr>
                        <w:r w:rsidRPr="00ED2F52">
                          <w:rPr>
                            <w:color w:val="000000"/>
                            <w:sz w:val="20"/>
                          </w:rPr>
                          <w:t>Records of Performance Tests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414D89ED"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56B11094"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1D5E28B" w14:textId="77777777">
                        <w:pPr>
                          <w:jc w:val="center"/>
                          <w:rPr>
                            <w:color w:val="000000"/>
                            <w:sz w:val="20"/>
                          </w:rPr>
                        </w:pPr>
                        <w:r w:rsidRPr="00ED2F52">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6560D419"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4EB5A89C"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A12473C"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1A43851E"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2B568BD8" w14:textId="77777777">
                        <w:pPr>
                          <w:jc w:val="right"/>
                          <w:rPr>
                            <w:color w:val="000000"/>
                            <w:sz w:val="20"/>
                          </w:rPr>
                        </w:pPr>
                        <w:r w:rsidRPr="00ED2F52">
                          <w:rPr>
                            <w:color w:val="000000"/>
                            <w:sz w:val="20"/>
                          </w:rPr>
                          <w:t xml:space="preserve">$0.00 </w:t>
                        </w:r>
                      </w:p>
                    </w:tc>
                  </w:tr>
                  <w:tr w14:paraId="2FBB1119" w14:textId="77777777" w:rsidTr="00ED2F52">
                    <w:tblPrEx>
                      <w:tblW w:w="12840" w:type="dxa"/>
                      <w:tblLayout w:type="fixed"/>
                      <w:tblLook w:val="04A0"/>
                    </w:tblPrEx>
                    <w:trPr>
                      <w:trHeight w:val="78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4D7450E5" w14:textId="77777777">
                        <w:pPr>
                          <w:rPr>
                            <w:color w:val="000000"/>
                            <w:sz w:val="20"/>
                          </w:rPr>
                        </w:pPr>
                        <w:r w:rsidRPr="00ED2F52">
                          <w:rPr>
                            <w:color w:val="000000"/>
                            <w:sz w:val="20"/>
                          </w:rPr>
                          <w:t>Recordkeeping of NOx emission rate, operating days data, CEMS or CPMS data</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02503364"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59D040C5"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25519D50" w14:textId="77777777">
                        <w:pPr>
                          <w:jc w:val="center"/>
                          <w:rPr>
                            <w:color w:val="000000"/>
                            <w:sz w:val="20"/>
                          </w:rPr>
                        </w:pPr>
                        <w:r w:rsidRPr="00ED2F52">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470CC514"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4FF160E3"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7A1ECF62"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B06EA86"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235FDD57" w14:textId="77777777">
                        <w:pPr>
                          <w:jc w:val="right"/>
                          <w:rPr>
                            <w:color w:val="000000"/>
                            <w:sz w:val="20"/>
                          </w:rPr>
                        </w:pPr>
                        <w:r w:rsidRPr="00ED2F52">
                          <w:rPr>
                            <w:color w:val="000000"/>
                            <w:sz w:val="20"/>
                          </w:rPr>
                          <w:t xml:space="preserve">$0.00 </w:t>
                        </w:r>
                      </w:p>
                    </w:tc>
                  </w:tr>
                  <w:tr w14:paraId="22FFFBED" w14:textId="77777777" w:rsidTr="00ED2F52">
                    <w:tblPrEx>
                      <w:tblW w:w="12840" w:type="dxa"/>
                      <w:tblLayout w:type="fixed"/>
                      <w:tblLook w:val="04A0"/>
                    </w:tblPrEx>
                    <w:trPr>
                      <w:trHeight w:val="26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368BB24A" w14:textId="77777777">
                        <w:pPr>
                          <w:rPr>
                            <w:i/>
                            <w:iCs/>
                            <w:color w:val="000000"/>
                            <w:sz w:val="20"/>
                            <w:u w:val="single"/>
                          </w:rPr>
                        </w:pPr>
                        <w:r w:rsidRPr="00ED2F52">
                          <w:rPr>
                            <w:i/>
                            <w:iCs/>
                            <w:color w:val="000000"/>
                            <w:sz w:val="20"/>
                            <w:u w:val="single"/>
                          </w:rPr>
                          <w:t>New Sources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2843A24B"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45B5CFD1" w14:textId="77777777">
                        <w:pPr>
                          <w:jc w:val="center"/>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AF26415" w14:textId="77777777">
                        <w:pPr>
                          <w:jc w:val="center"/>
                          <w:rPr>
                            <w:color w:val="000000"/>
                            <w:sz w:val="20"/>
                          </w:rPr>
                        </w:pPr>
                        <w:r w:rsidRPr="00ED2F52">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6FF66DB1"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BDB0713"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7CAB53C4"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3B98DAC" w14:textId="77777777">
                        <w:pPr>
                          <w:jc w:val="center"/>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107CE8E9" w14:textId="77777777">
                        <w:pPr>
                          <w:jc w:val="right"/>
                          <w:rPr>
                            <w:color w:val="000000"/>
                            <w:sz w:val="20"/>
                          </w:rPr>
                        </w:pPr>
                        <w:r w:rsidRPr="00ED2F52">
                          <w:rPr>
                            <w:color w:val="000000"/>
                            <w:sz w:val="20"/>
                          </w:rPr>
                          <w:t> </w:t>
                        </w:r>
                      </w:p>
                    </w:tc>
                  </w:tr>
                  <w:tr w14:paraId="006F1EB6" w14:textId="77777777" w:rsidTr="00ED2F52">
                    <w:tblPrEx>
                      <w:tblW w:w="12840" w:type="dxa"/>
                      <w:tblLayout w:type="fixed"/>
                      <w:tblLook w:val="04A0"/>
                    </w:tblPrEx>
                    <w:trPr>
                      <w:trHeight w:val="26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51707F4D" w14:textId="77777777">
                        <w:pPr>
                          <w:rPr>
                            <w:color w:val="000000"/>
                            <w:sz w:val="20"/>
                          </w:rPr>
                        </w:pPr>
                        <w:r w:rsidRPr="00ED2F52">
                          <w:rPr>
                            <w:color w:val="000000"/>
                            <w:sz w:val="20"/>
                          </w:rPr>
                          <w:t>Data Collection</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63D07C65"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50411D36"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D0A7762" w14:textId="77777777">
                        <w:pPr>
                          <w:jc w:val="center"/>
                          <w:rPr>
                            <w:color w:val="000000"/>
                            <w:sz w:val="20"/>
                          </w:rPr>
                        </w:pPr>
                        <w:r w:rsidRPr="00ED2F52">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4592D17A"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2C7B1E4C"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0A460F72"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3CCB46FB"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5D6ED85C" w14:textId="77777777">
                        <w:pPr>
                          <w:jc w:val="right"/>
                          <w:rPr>
                            <w:color w:val="000000"/>
                            <w:sz w:val="20"/>
                          </w:rPr>
                        </w:pPr>
                        <w:r w:rsidRPr="00ED2F52">
                          <w:rPr>
                            <w:color w:val="000000"/>
                            <w:sz w:val="20"/>
                          </w:rPr>
                          <w:t xml:space="preserve">$0 </w:t>
                        </w:r>
                      </w:p>
                    </w:tc>
                  </w:tr>
                  <w:tr w14:paraId="7D7C2992" w14:textId="77777777" w:rsidTr="00ED2F52">
                    <w:tblPrEx>
                      <w:tblW w:w="12840" w:type="dxa"/>
                      <w:tblLayout w:type="fixed"/>
                      <w:tblLook w:val="04A0"/>
                    </w:tblPrEx>
                    <w:trPr>
                      <w:trHeight w:val="26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41F9E510" w14:textId="77777777">
                        <w:pPr>
                          <w:rPr>
                            <w:color w:val="000000"/>
                            <w:sz w:val="20"/>
                          </w:rPr>
                        </w:pPr>
                        <w:r w:rsidRPr="00ED2F52">
                          <w:rPr>
                            <w:color w:val="000000"/>
                            <w:sz w:val="20"/>
                          </w:rPr>
                          <w:t>Records of Performance Tests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2AD57274"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599490B3"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33800496" w14:textId="77777777">
                        <w:pPr>
                          <w:jc w:val="center"/>
                          <w:rPr>
                            <w:color w:val="000000"/>
                            <w:sz w:val="20"/>
                          </w:rPr>
                        </w:pPr>
                        <w:r w:rsidRPr="00ED2F52">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513CB500"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20F897EB"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7BE8E0D1"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3005B8F3"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6695020A" w14:textId="77777777">
                        <w:pPr>
                          <w:jc w:val="right"/>
                          <w:rPr>
                            <w:color w:val="000000"/>
                            <w:sz w:val="20"/>
                          </w:rPr>
                        </w:pPr>
                        <w:r w:rsidRPr="00ED2F52">
                          <w:rPr>
                            <w:color w:val="000000"/>
                            <w:sz w:val="20"/>
                          </w:rPr>
                          <w:t xml:space="preserve">$0 </w:t>
                        </w:r>
                      </w:p>
                    </w:tc>
                  </w:tr>
                  <w:tr w14:paraId="6E639913" w14:textId="77777777" w:rsidTr="00ED2F52">
                    <w:tblPrEx>
                      <w:tblW w:w="12840" w:type="dxa"/>
                      <w:tblLayout w:type="fixed"/>
                      <w:tblLook w:val="04A0"/>
                    </w:tblPrEx>
                    <w:trPr>
                      <w:trHeight w:val="26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1F53D47B" w14:textId="77777777">
                        <w:pPr>
                          <w:rPr>
                            <w:color w:val="000000"/>
                            <w:sz w:val="20"/>
                          </w:rPr>
                        </w:pPr>
                        <w:r w:rsidRPr="00ED2F52">
                          <w:rPr>
                            <w:color w:val="000000"/>
                            <w:sz w:val="20"/>
                          </w:rPr>
                          <w:t>CEMS or CPMS Recordkeeping</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6E0B31B2"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3E7E70A7"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13B47B3B" w14:textId="77777777">
                        <w:pPr>
                          <w:jc w:val="center"/>
                          <w:rPr>
                            <w:color w:val="000000"/>
                            <w:sz w:val="20"/>
                          </w:rPr>
                        </w:pPr>
                        <w:r w:rsidRPr="00ED2F52">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0DE841A1"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222A83FF"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416A48D"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3B3AA0A"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1E8EFBEE" w14:textId="77777777">
                        <w:pPr>
                          <w:jc w:val="right"/>
                          <w:rPr>
                            <w:color w:val="000000"/>
                            <w:sz w:val="20"/>
                          </w:rPr>
                        </w:pPr>
                        <w:r w:rsidRPr="00ED2F52">
                          <w:rPr>
                            <w:color w:val="000000"/>
                            <w:sz w:val="20"/>
                          </w:rPr>
                          <w:t xml:space="preserve">$0 </w:t>
                        </w:r>
                      </w:p>
                    </w:tc>
                  </w:tr>
                  <w:tr w14:paraId="7A4DE930" w14:textId="77777777" w:rsidTr="00ED2F52">
                    <w:tblPrEx>
                      <w:tblW w:w="12840" w:type="dxa"/>
                      <w:tblLayout w:type="fixed"/>
                      <w:tblLook w:val="04A0"/>
                    </w:tblPrEx>
                    <w:trPr>
                      <w:trHeight w:val="26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7DF44FE8" w14:textId="77777777">
                        <w:pPr>
                          <w:rPr>
                            <w:color w:val="000000"/>
                            <w:sz w:val="20"/>
                          </w:rPr>
                        </w:pPr>
                        <w:r w:rsidRPr="00ED2F52">
                          <w:rPr>
                            <w:color w:val="000000"/>
                            <w:sz w:val="20"/>
                          </w:rPr>
                          <w:t>F. Time to Train Personnel</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20AA679A"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44553D36"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151A1849" w14:textId="77777777">
                        <w:pPr>
                          <w:jc w:val="center"/>
                          <w:rPr>
                            <w:color w:val="000000"/>
                            <w:sz w:val="20"/>
                          </w:rPr>
                        </w:pPr>
                        <w:r w:rsidRPr="00ED2F52">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25226FEE"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52CB4E9"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0F251202"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1C309585"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0EE4CB0A" w14:textId="77777777">
                        <w:pPr>
                          <w:jc w:val="right"/>
                          <w:rPr>
                            <w:color w:val="000000"/>
                            <w:sz w:val="20"/>
                          </w:rPr>
                        </w:pPr>
                        <w:r w:rsidRPr="00ED2F52">
                          <w:rPr>
                            <w:color w:val="000000"/>
                            <w:sz w:val="20"/>
                          </w:rPr>
                          <w:t xml:space="preserve">$0 </w:t>
                        </w:r>
                      </w:p>
                    </w:tc>
                  </w:tr>
                  <w:tr w14:paraId="6FF0F54B" w14:textId="77777777" w:rsidTr="00ED2F52">
                    <w:tblPrEx>
                      <w:tblW w:w="12840" w:type="dxa"/>
                      <w:tblLayout w:type="fixed"/>
                      <w:tblLook w:val="04A0"/>
                    </w:tblPrEx>
                    <w:trPr>
                      <w:trHeight w:val="26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19F7DD3C" w14:textId="77777777">
                        <w:pPr>
                          <w:rPr>
                            <w:color w:val="000000"/>
                            <w:sz w:val="20"/>
                          </w:rPr>
                        </w:pPr>
                        <w:r w:rsidRPr="00ED2F52">
                          <w:rPr>
                            <w:color w:val="000000"/>
                            <w:sz w:val="20"/>
                          </w:rPr>
                          <w:t xml:space="preserve">G. Time for Audits </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54EF17F1" w14:textId="77777777">
                        <w:pPr>
                          <w:jc w:val="center"/>
                          <w:rPr>
                            <w:color w:val="000000"/>
                            <w:sz w:val="20"/>
                          </w:rPr>
                        </w:pPr>
                        <w:r w:rsidRPr="00ED2F52">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73766DE3"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2162888A" w14:textId="77777777">
                        <w:pPr>
                          <w:jc w:val="right"/>
                          <w:rPr>
                            <w:color w:val="000000"/>
                            <w:sz w:val="20"/>
                          </w:rPr>
                        </w:pPr>
                        <w:r w:rsidRPr="00ED2F52">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ED2F52" w:rsidRPr="00ED2F52" w:rsidP="00ED2F52" w14:paraId="5C1CDF56"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AB0D1D7"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4C6EF8A6"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845E673"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0CA6A412" w14:textId="77777777">
                        <w:pPr>
                          <w:jc w:val="right"/>
                          <w:rPr>
                            <w:color w:val="000000"/>
                            <w:sz w:val="20"/>
                          </w:rPr>
                        </w:pPr>
                        <w:r w:rsidRPr="00ED2F52">
                          <w:rPr>
                            <w:color w:val="000000"/>
                            <w:sz w:val="20"/>
                          </w:rPr>
                          <w:t> </w:t>
                        </w:r>
                      </w:p>
                    </w:tc>
                  </w:tr>
                  <w:tr w14:paraId="44E5A0E3" w14:textId="77777777" w:rsidTr="00ED2F52">
                    <w:tblPrEx>
                      <w:tblW w:w="12840" w:type="dxa"/>
                      <w:tblLayout w:type="fixed"/>
                      <w:tblLook w:val="04A0"/>
                    </w:tblPrEx>
                    <w:trPr>
                      <w:trHeight w:val="63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09FF2547" w14:textId="77777777">
                        <w:pPr>
                          <w:rPr>
                            <w:b/>
                            <w:bCs/>
                            <w:i/>
                            <w:iCs/>
                            <w:color w:val="000000"/>
                            <w:sz w:val="20"/>
                          </w:rPr>
                        </w:pPr>
                        <w:r w:rsidRPr="00ED2F52">
                          <w:rPr>
                            <w:b/>
                            <w:bCs/>
                            <w:i/>
                            <w:iCs/>
                            <w:color w:val="000000"/>
                            <w:sz w:val="20"/>
                          </w:rPr>
                          <w:t>Subtotal for Recordkeeping Requirements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1C45BEFB" w14:textId="77777777">
                        <w:pPr>
                          <w:jc w:val="right"/>
                          <w:rPr>
                            <w:b/>
                            <w:bCs/>
                            <w:i/>
                            <w:iCs/>
                            <w:color w:val="000000"/>
                            <w:sz w:val="20"/>
                          </w:rPr>
                        </w:pPr>
                        <w:r w:rsidRPr="00ED2F52">
                          <w:rPr>
                            <w:b/>
                            <w:bCs/>
                            <w:i/>
                            <w:i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3ABC60C6" w14:textId="77777777">
                        <w:pPr>
                          <w:jc w:val="right"/>
                          <w:rPr>
                            <w:b/>
                            <w:bCs/>
                            <w:i/>
                            <w:iCs/>
                            <w:sz w:val="20"/>
                          </w:rPr>
                        </w:pPr>
                        <w:r w:rsidRPr="00ED2F52">
                          <w:rPr>
                            <w:b/>
                            <w:bCs/>
                            <w:i/>
                            <w:i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7D9719B" w14:textId="77777777">
                        <w:pPr>
                          <w:jc w:val="right"/>
                          <w:rPr>
                            <w:b/>
                            <w:bCs/>
                            <w:i/>
                            <w:iCs/>
                            <w:color w:val="000000"/>
                            <w:sz w:val="20"/>
                          </w:rPr>
                        </w:pPr>
                        <w:r w:rsidRPr="00ED2F52">
                          <w:rPr>
                            <w:b/>
                            <w:bCs/>
                            <w:i/>
                            <w:iCs/>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1BE833CF" w14:textId="77777777">
                        <w:pPr>
                          <w:jc w:val="right"/>
                          <w:rPr>
                            <w:b/>
                            <w:bCs/>
                            <w:i/>
                            <w:iCs/>
                            <w:sz w:val="20"/>
                          </w:rPr>
                        </w:pPr>
                        <w:r w:rsidRPr="00ED2F52">
                          <w:rPr>
                            <w:b/>
                            <w:bCs/>
                            <w:i/>
                            <w:iCs/>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6184046" w14:textId="77777777">
                        <w:pPr>
                          <w:jc w:val="center"/>
                          <w:rPr>
                            <w:b/>
                            <w:bCs/>
                            <w:i/>
                            <w:iCs/>
                            <w:color w:val="000000"/>
                            <w:sz w:val="20"/>
                          </w:rPr>
                        </w:pPr>
                        <w:r w:rsidRPr="00ED2F52">
                          <w:rPr>
                            <w:b/>
                            <w:bCs/>
                            <w:i/>
                            <w:iCs/>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B66A07C" w14:textId="77777777">
                        <w:pPr>
                          <w:jc w:val="center"/>
                          <w:rPr>
                            <w:b/>
                            <w:bCs/>
                            <w:i/>
                            <w:iCs/>
                            <w:color w:val="000000"/>
                            <w:sz w:val="20"/>
                          </w:rPr>
                        </w:pPr>
                        <w:r w:rsidRPr="00ED2F52">
                          <w:rPr>
                            <w:b/>
                            <w:bCs/>
                            <w:i/>
                            <w:iCs/>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B2793D6" w14:textId="77777777">
                        <w:pPr>
                          <w:jc w:val="center"/>
                          <w:rPr>
                            <w:b/>
                            <w:bCs/>
                            <w:i/>
                            <w:iCs/>
                            <w:color w:val="000000"/>
                            <w:sz w:val="20"/>
                          </w:rPr>
                        </w:pPr>
                        <w:r w:rsidRPr="00ED2F52">
                          <w:rPr>
                            <w:b/>
                            <w:bCs/>
                            <w:i/>
                            <w:iCs/>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085F239B" w14:textId="77777777">
                        <w:pPr>
                          <w:jc w:val="right"/>
                          <w:rPr>
                            <w:b/>
                            <w:bCs/>
                            <w:i/>
                            <w:iCs/>
                            <w:color w:val="000000"/>
                            <w:sz w:val="20"/>
                          </w:rPr>
                        </w:pPr>
                        <w:r w:rsidRPr="00ED2F52">
                          <w:rPr>
                            <w:b/>
                            <w:bCs/>
                            <w:i/>
                            <w:iCs/>
                            <w:color w:val="000000"/>
                            <w:sz w:val="20"/>
                          </w:rPr>
                          <w:t xml:space="preserve">$0 </w:t>
                        </w:r>
                      </w:p>
                    </w:tc>
                  </w:tr>
                  <w:tr w14:paraId="33835159" w14:textId="77777777" w:rsidTr="00ED2F52">
                    <w:tblPrEx>
                      <w:tblW w:w="12840" w:type="dxa"/>
                      <w:tblLayout w:type="fixed"/>
                      <w:tblLook w:val="04A0"/>
                    </w:tblPrEx>
                    <w:trPr>
                      <w:trHeight w:val="74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385A0B6B" w14:textId="77777777">
                        <w:pPr>
                          <w:rPr>
                            <w:b/>
                            <w:bCs/>
                            <w:color w:val="000000"/>
                            <w:sz w:val="20"/>
                          </w:rPr>
                        </w:pPr>
                        <w:r w:rsidRPr="00ED2F52">
                          <w:rPr>
                            <w:b/>
                            <w:bCs/>
                            <w:color w:val="000000"/>
                            <w:sz w:val="20"/>
                          </w:rPr>
                          <w:t xml:space="preserve">Total Labor Burden and Cost (rounded) </w:t>
                        </w:r>
                        <w:r w:rsidRPr="00ED2F52">
                          <w:rPr>
                            <w:b/>
                            <w:bCs/>
                            <w:color w:val="000000"/>
                            <w:sz w:val="20"/>
                            <w:vertAlign w:val="superscript"/>
                          </w:rPr>
                          <w:t>e</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7174D160" w14:textId="77777777">
                        <w:pPr>
                          <w:jc w:val="right"/>
                          <w:rPr>
                            <w:b/>
                            <w:bCs/>
                            <w:color w:val="000000"/>
                            <w:sz w:val="20"/>
                          </w:rPr>
                        </w:pPr>
                        <w:r w:rsidRPr="00ED2F52">
                          <w:rPr>
                            <w:b/>
                            <w:b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299130FC" w14:textId="77777777">
                        <w:pPr>
                          <w:jc w:val="center"/>
                          <w:rPr>
                            <w:b/>
                            <w:bCs/>
                            <w:sz w:val="20"/>
                          </w:rPr>
                        </w:pPr>
                        <w:r w:rsidRPr="00ED2F52">
                          <w:rPr>
                            <w:b/>
                            <w:b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4210F69C" w14:textId="77777777">
                        <w:pPr>
                          <w:jc w:val="right"/>
                          <w:rPr>
                            <w:b/>
                            <w:bCs/>
                            <w:color w:val="000000"/>
                            <w:sz w:val="20"/>
                          </w:rPr>
                        </w:pPr>
                        <w:r w:rsidRPr="00ED2F52">
                          <w:rPr>
                            <w:b/>
                            <w:bCs/>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ED2F52" w:rsidRPr="00ED2F52" w:rsidP="00ED2F52" w14:paraId="1FD187F4" w14:textId="77777777">
                        <w:pPr>
                          <w:jc w:val="right"/>
                          <w:rPr>
                            <w:b/>
                            <w:bCs/>
                            <w:sz w:val="20"/>
                          </w:rPr>
                        </w:pPr>
                        <w:r w:rsidRPr="00ED2F52">
                          <w:rPr>
                            <w:b/>
                            <w:bCs/>
                            <w:sz w:val="20"/>
                          </w:rPr>
                          <w:t> </w:t>
                        </w:r>
                      </w:p>
                    </w:tc>
                    <w:tc>
                      <w:tcPr>
                        <w:tcW w:w="3700" w:type="dxa"/>
                        <w:gridSpan w:val="3"/>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445967D8" w14:textId="77777777">
                        <w:pPr>
                          <w:jc w:val="center"/>
                          <w:rPr>
                            <w:b/>
                            <w:bCs/>
                            <w:color w:val="000000"/>
                            <w:sz w:val="20"/>
                          </w:rPr>
                        </w:pPr>
                        <w:r w:rsidRPr="00ED2F52">
                          <w:rPr>
                            <w:b/>
                            <w:bCs/>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34F198E5" w14:textId="77777777">
                        <w:pPr>
                          <w:jc w:val="right"/>
                          <w:rPr>
                            <w:b/>
                            <w:bCs/>
                            <w:color w:val="000000"/>
                            <w:sz w:val="20"/>
                          </w:rPr>
                        </w:pPr>
                        <w:r w:rsidRPr="00ED2F52">
                          <w:rPr>
                            <w:b/>
                            <w:bCs/>
                            <w:color w:val="000000"/>
                            <w:sz w:val="20"/>
                          </w:rPr>
                          <w:t xml:space="preserve">$0 </w:t>
                        </w:r>
                      </w:p>
                    </w:tc>
                  </w:tr>
                  <w:tr w14:paraId="5E57B693" w14:textId="77777777" w:rsidTr="00ED2F52">
                    <w:tblPrEx>
                      <w:tblW w:w="12840" w:type="dxa"/>
                      <w:tblLayout w:type="fixed"/>
                      <w:tblLook w:val="04A0"/>
                    </w:tblPrEx>
                    <w:trPr>
                      <w:trHeight w:val="62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4FD49A19" w14:textId="77777777">
                        <w:pPr>
                          <w:rPr>
                            <w:b/>
                            <w:bCs/>
                            <w:sz w:val="20"/>
                          </w:rPr>
                        </w:pPr>
                        <w:r w:rsidRPr="00ED2F52">
                          <w:rPr>
                            <w:b/>
                            <w:bCs/>
                            <w:sz w:val="20"/>
                          </w:rPr>
                          <w:t xml:space="preserve">Total Capital and O&amp;M Cost (rounded) </w:t>
                        </w:r>
                        <w:r w:rsidRPr="00ED2F52">
                          <w:rPr>
                            <w:b/>
                            <w:bCs/>
                            <w:sz w:val="20"/>
                            <w:vertAlign w:val="superscript"/>
                          </w:rPr>
                          <w:t>e</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2A2897F6" w14:textId="77777777">
                        <w:pPr>
                          <w:jc w:val="right"/>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725A7AE7"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1429D526" w14:textId="77777777">
                        <w:pPr>
                          <w:jc w:val="right"/>
                          <w:rPr>
                            <w:color w:val="000000"/>
                            <w:sz w:val="20"/>
                          </w:rPr>
                        </w:pPr>
                        <w:r w:rsidRPr="00ED2F52">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ED2F52" w:rsidRPr="00ED2F52" w:rsidP="00ED2F52" w14:paraId="23E2D591"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027EF72"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719C51A"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2AB445F"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1F6AC6C2" w14:textId="77777777">
                        <w:pPr>
                          <w:jc w:val="right"/>
                          <w:rPr>
                            <w:b/>
                            <w:bCs/>
                            <w:color w:val="000000"/>
                            <w:sz w:val="20"/>
                          </w:rPr>
                        </w:pPr>
                        <w:r w:rsidRPr="00ED2F52">
                          <w:rPr>
                            <w:b/>
                            <w:bCs/>
                            <w:color w:val="000000"/>
                            <w:sz w:val="20"/>
                          </w:rPr>
                          <w:t> </w:t>
                        </w:r>
                      </w:p>
                    </w:tc>
                  </w:tr>
                  <w:tr w14:paraId="6F57A0DE" w14:textId="77777777" w:rsidTr="00ED2F52">
                    <w:tblPrEx>
                      <w:tblW w:w="12840" w:type="dxa"/>
                      <w:tblLayout w:type="fixed"/>
                      <w:tblLook w:val="04A0"/>
                    </w:tblPrEx>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660404C9" w14:textId="77777777">
                        <w:pPr>
                          <w:rPr>
                            <w:b/>
                            <w:bCs/>
                            <w:sz w:val="20"/>
                          </w:rPr>
                        </w:pPr>
                        <w:r w:rsidRPr="00ED2F52">
                          <w:rPr>
                            <w:b/>
                            <w:bCs/>
                            <w:sz w:val="20"/>
                          </w:rPr>
                          <w:t xml:space="preserve">Grand TOTAL (rounded) </w:t>
                        </w:r>
                        <w:r w:rsidRPr="00ED2F52">
                          <w:rPr>
                            <w:b/>
                            <w:bCs/>
                            <w:sz w:val="20"/>
                            <w:vertAlign w:val="superscript"/>
                          </w:rPr>
                          <w:t>e</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433875A0" w14:textId="77777777">
                        <w:pPr>
                          <w:jc w:val="right"/>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68055676"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2FD2D6D1" w14:textId="77777777">
                        <w:pPr>
                          <w:jc w:val="right"/>
                          <w:rPr>
                            <w:color w:val="000000"/>
                            <w:sz w:val="20"/>
                          </w:rPr>
                        </w:pPr>
                        <w:r w:rsidRPr="00ED2F52">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ED2F52" w:rsidRPr="00ED2F52" w:rsidP="00ED2F52" w14:paraId="4687E39F"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6634207A"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78CEE0BA"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33903BCD"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3F53079B" w14:textId="77777777">
                        <w:pPr>
                          <w:jc w:val="right"/>
                          <w:rPr>
                            <w:b/>
                            <w:bCs/>
                            <w:color w:val="000000"/>
                            <w:sz w:val="20"/>
                          </w:rPr>
                        </w:pPr>
                        <w:r w:rsidRPr="00ED2F52">
                          <w:rPr>
                            <w:b/>
                            <w:bCs/>
                            <w:color w:val="000000"/>
                            <w:sz w:val="20"/>
                          </w:rPr>
                          <w:t xml:space="preserve">$0 </w:t>
                        </w:r>
                      </w:p>
                    </w:tc>
                  </w:tr>
                  <w:tr w14:paraId="7A2E8882" w14:textId="77777777" w:rsidTr="00ED2F52">
                    <w:tblPrEx>
                      <w:tblW w:w="12840" w:type="dxa"/>
                      <w:tblLayout w:type="fixed"/>
                      <w:tblLook w:val="04A0"/>
                    </w:tblPrEx>
                    <w:trPr>
                      <w:trHeight w:val="260"/>
                    </w:trPr>
                    <w:tc>
                      <w:tcPr>
                        <w:tcW w:w="2920" w:type="dxa"/>
                        <w:tcBorders>
                          <w:top w:val="nil"/>
                          <w:left w:val="nil"/>
                          <w:bottom w:val="nil"/>
                          <w:right w:val="nil"/>
                        </w:tcBorders>
                        <w:shd w:val="clear" w:color="auto" w:fill="auto"/>
                        <w:noWrap/>
                        <w:vAlign w:val="bottom"/>
                        <w:hideMark/>
                      </w:tcPr>
                      <w:p w:rsidR="00ED2F52" w:rsidRPr="00ED2F52" w:rsidP="00ED2F52" w14:paraId="0FC36381" w14:textId="77777777">
                        <w:pPr>
                          <w:jc w:val="right"/>
                          <w:rPr>
                            <w:b/>
                            <w:bCs/>
                            <w:color w:val="000000"/>
                            <w:sz w:val="20"/>
                          </w:rPr>
                        </w:pPr>
                      </w:p>
                    </w:tc>
                    <w:tc>
                      <w:tcPr>
                        <w:tcW w:w="1120" w:type="dxa"/>
                        <w:tcBorders>
                          <w:top w:val="nil"/>
                          <w:left w:val="nil"/>
                          <w:bottom w:val="nil"/>
                          <w:right w:val="nil"/>
                        </w:tcBorders>
                        <w:shd w:val="clear" w:color="auto" w:fill="auto"/>
                        <w:noWrap/>
                        <w:vAlign w:val="bottom"/>
                        <w:hideMark/>
                      </w:tcPr>
                      <w:p w:rsidR="00ED2F52" w:rsidRPr="00ED2F52" w:rsidP="00ED2F52" w14:paraId="55CD1345" w14:textId="77777777">
                        <w:pPr>
                          <w:rPr>
                            <w:sz w:val="20"/>
                          </w:rPr>
                        </w:pPr>
                      </w:p>
                    </w:tc>
                    <w:tc>
                      <w:tcPr>
                        <w:tcW w:w="1320" w:type="dxa"/>
                        <w:tcBorders>
                          <w:top w:val="nil"/>
                          <w:left w:val="nil"/>
                          <w:bottom w:val="nil"/>
                          <w:right w:val="nil"/>
                        </w:tcBorders>
                        <w:shd w:val="clear" w:color="auto" w:fill="auto"/>
                        <w:noWrap/>
                        <w:vAlign w:val="bottom"/>
                        <w:hideMark/>
                      </w:tcPr>
                      <w:p w:rsidR="00ED2F52" w:rsidRPr="00ED2F52" w:rsidP="00ED2F52" w14:paraId="37691BE1" w14:textId="77777777">
                        <w:pPr>
                          <w:rPr>
                            <w:sz w:val="20"/>
                          </w:rPr>
                        </w:pPr>
                      </w:p>
                    </w:tc>
                    <w:tc>
                      <w:tcPr>
                        <w:tcW w:w="1240" w:type="dxa"/>
                        <w:tcBorders>
                          <w:top w:val="nil"/>
                          <w:left w:val="nil"/>
                          <w:bottom w:val="nil"/>
                          <w:right w:val="nil"/>
                        </w:tcBorders>
                        <w:shd w:val="clear" w:color="auto" w:fill="auto"/>
                        <w:noWrap/>
                        <w:vAlign w:val="bottom"/>
                        <w:hideMark/>
                      </w:tcPr>
                      <w:p w:rsidR="00ED2F52" w:rsidRPr="00ED2F52" w:rsidP="00ED2F52" w14:paraId="565F4A19" w14:textId="77777777">
                        <w:pPr>
                          <w:rPr>
                            <w:sz w:val="20"/>
                          </w:rPr>
                        </w:pPr>
                      </w:p>
                    </w:tc>
                    <w:tc>
                      <w:tcPr>
                        <w:tcW w:w="1340" w:type="dxa"/>
                        <w:tcBorders>
                          <w:top w:val="nil"/>
                          <w:left w:val="nil"/>
                          <w:bottom w:val="nil"/>
                          <w:right w:val="nil"/>
                        </w:tcBorders>
                        <w:shd w:val="clear" w:color="auto" w:fill="auto"/>
                        <w:noWrap/>
                        <w:vAlign w:val="bottom"/>
                        <w:hideMark/>
                      </w:tcPr>
                      <w:p w:rsidR="00ED2F52" w:rsidRPr="00ED2F52" w:rsidP="00ED2F52" w14:paraId="20AA863D" w14:textId="77777777">
                        <w:pPr>
                          <w:rPr>
                            <w:sz w:val="20"/>
                          </w:rPr>
                        </w:pPr>
                      </w:p>
                    </w:tc>
                    <w:tc>
                      <w:tcPr>
                        <w:tcW w:w="1160" w:type="dxa"/>
                        <w:tcBorders>
                          <w:top w:val="nil"/>
                          <w:left w:val="nil"/>
                          <w:bottom w:val="nil"/>
                          <w:right w:val="nil"/>
                        </w:tcBorders>
                        <w:shd w:val="clear" w:color="auto" w:fill="auto"/>
                        <w:noWrap/>
                        <w:vAlign w:val="bottom"/>
                        <w:hideMark/>
                      </w:tcPr>
                      <w:p w:rsidR="00ED2F52" w:rsidRPr="00ED2F52" w:rsidP="00ED2F52" w14:paraId="48EC8DE1" w14:textId="77777777">
                        <w:pPr>
                          <w:rPr>
                            <w:sz w:val="20"/>
                          </w:rPr>
                        </w:pPr>
                      </w:p>
                    </w:tc>
                    <w:tc>
                      <w:tcPr>
                        <w:tcW w:w="1280" w:type="dxa"/>
                        <w:tcBorders>
                          <w:top w:val="nil"/>
                          <w:left w:val="nil"/>
                          <w:bottom w:val="nil"/>
                          <w:right w:val="nil"/>
                        </w:tcBorders>
                        <w:shd w:val="clear" w:color="auto" w:fill="auto"/>
                        <w:noWrap/>
                        <w:vAlign w:val="bottom"/>
                        <w:hideMark/>
                      </w:tcPr>
                      <w:p w:rsidR="00ED2F52" w:rsidRPr="00ED2F52" w:rsidP="00ED2F52" w14:paraId="360BC1A9" w14:textId="77777777">
                        <w:pPr>
                          <w:rPr>
                            <w:sz w:val="20"/>
                          </w:rPr>
                        </w:pPr>
                      </w:p>
                    </w:tc>
                    <w:tc>
                      <w:tcPr>
                        <w:tcW w:w="1260" w:type="dxa"/>
                        <w:tcBorders>
                          <w:top w:val="nil"/>
                          <w:left w:val="nil"/>
                          <w:bottom w:val="nil"/>
                          <w:right w:val="nil"/>
                        </w:tcBorders>
                        <w:shd w:val="clear" w:color="auto" w:fill="auto"/>
                        <w:noWrap/>
                        <w:vAlign w:val="bottom"/>
                        <w:hideMark/>
                      </w:tcPr>
                      <w:p w:rsidR="00ED2F52" w:rsidRPr="00ED2F52" w:rsidP="00ED2F52" w14:paraId="7C1150D3" w14:textId="77777777">
                        <w:pPr>
                          <w:rPr>
                            <w:sz w:val="20"/>
                          </w:rPr>
                        </w:pPr>
                      </w:p>
                    </w:tc>
                    <w:tc>
                      <w:tcPr>
                        <w:tcW w:w="1200" w:type="dxa"/>
                        <w:tcBorders>
                          <w:top w:val="nil"/>
                          <w:left w:val="nil"/>
                          <w:bottom w:val="nil"/>
                          <w:right w:val="nil"/>
                        </w:tcBorders>
                        <w:shd w:val="clear" w:color="auto" w:fill="auto"/>
                        <w:noWrap/>
                        <w:vAlign w:val="bottom"/>
                        <w:hideMark/>
                      </w:tcPr>
                      <w:p w:rsidR="00ED2F52" w:rsidRPr="00ED2F52" w:rsidP="00ED2F52" w14:paraId="3F56A617" w14:textId="77777777">
                        <w:pPr>
                          <w:rPr>
                            <w:sz w:val="20"/>
                          </w:rPr>
                        </w:pPr>
                      </w:p>
                    </w:tc>
                  </w:tr>
                  <w:tr w14:paraId="08A6EA17" w14:textId="77777777" w:rsidTr="00ED2F52">
                    <w:tblPrEx>
                      <w:tblW w:w="12840" w:type="dxa"/>
                      <w:tblLayout w:type="fixed"/>
                      <w:tblLook w:val="04A0"/>
                    </w:tblPrEx>
                    <w:trPr>
                      <w:trHeight w:val="313"/>
                    </w:trPr>
                    <w:tc>
                      <w:tcPr>
                        <w:tcW w:w="12840" w:type="dxa"/>
                        <w:gridSpan w:val="9"/>
                        <w:tcBorders>
                          <w:top w:val="nil"/>
                          <w:left w:val="nil"/>
                          <w:bottom w:val="nil"/>
                          <w:right w:val="nil"/>
                        </w:tcBorders>
                        <w:shd w:val="clear" w:color="auto" w:fill="auto"/>
                        <w:vAlign w:val="center"/>
                        <w:hideMark/>
                      </w:tcPr>
                      <w:p w:rsidR="00ED2F52" w:rsidRPr="00ED2F52" w:rsidP="00ED2F52" w14:paraId="6637E05B" w14:textId="77777777">
                        <w:pPr>
                          <w:rPr>
                            <w:color w:val="000000"/>
                            <w:sz w:val="20"/>
                          </w:rPr>
                        </w:pPr>
                        <w:r w:rsidRPr="00ED2F52">
                          <w:rPr>
                            <w:color w:val="000000"/>
                            <w:sz w:val="20"/>
                            <w:vertAlign w:val="superscript"/>
                          </w:rPr>
                          <w:t>a</w:t>
                        </w:r>
                        <w:r w:rsidRPr="00ED2F52">
                          <w:rPr>
                            <w:color w:val="000000"/>
                            <w:sz w:val="20"/>
                          </w:rPr>
                          <w:t xml:space="preserve">  We have assumed that there are approximately 85 affected furnaces and that 10% of the existing units will have new construction/reconstruction.</w:t>
                        </w:r>
                      </w:p>
                    </w:tc>
                  </w:tr>
                  <w:tr w14:paraId="6FF09837" w14:textId="77777777" w:rsidTr="00ED2F52">
                    <w:tblPrEx>
                      <w:tblW w:w="12840" w:type="dxa"/>
                      <w:tblLayout w:type="fixed"/>
                      <w:tblLook w:val="04A0"/>
                    </w:tblPrEx>
                    <w:trPr>
                      <w:trHeight w:val="1580"/>
                    </w:trPr>
                    <w:tc>
                      <w:tcPr>
                        <w:tcW w:w="12840" w:type="dxa"/>
                        <w:gridSpan w:val="9"/>
                        <w:tcBorders>
                          <w:top w:val="nil"/>
                          <w:left w:val="nil"/>
                          <w:bottom w:val="nil"/>
                          <w:right w:val="nil"/>
                        </w:tcBorders>
                        <w:shd w:val="clear" w:color="auto" w:fill="auto"/>
                        <w:vAlign w:val="bottom"/>
                        <w:hideMark/>
                      </w:tcPr>
                      <w:p w:rsidR="00ED2F52" w:rsidRPr="00ED2F52" w:rsidP="00ED2F52" w14:paraId="066F1E78" w14:textId="77777777">
                        <w:pPr>
                          <w:rPr>
                            <w:color w:val="000000"/>
                            <w:sz w:val="20"/>
                          </w:rPr>
                        </w:pPr>
                        <w:r w:rsidRPr="00ED2F52">
                          <w:rPr>
                            <w:color w:val="000000"/>
                            <w:sz w:val="20"/>
                            <w:vertAlign w:val="superscript"/>
                          </w:rPr>
                          <w:t>b</w:t>
                        </w:r>
                        <w:r w:rsidRPr="00ED2F52">
                          <w:rPr>
                            <w:color w:val="000000"/>
                            <w:sz w:val="20"/>
                          </w:rPr>
                          <w:t xml:space="preserve">  This ICR uses the following labor rates: $161.62 per hour for Executive, Administrative, and Managerial labor; $127.68 per hour for Technical labor, and $64.22 per hour for Clerical labor.  These rates are from the United States Department of Labor, Bureau of Labor Statistics, June 2022, “Table 2. Civilian Workers, by Occupational and Industry group.”  The rates are from column 1, “Total Compensation.”  The rates have been increased by 110 percent to account for the benefit packages available to those employed by private industry.  Archived report releases can be accessed from https://www.bls.gov/bls/news-release/ecec.htm#2021;  from homepage, select Economic Releases, Archived News Releases, Employer Costs for Employee Compensation, Select a past year, Select a published report.</w:t>
                        </w:r>
                      </w:p>
                    </w:tc>
                  </w:tr>
                  <w:tr w14:paraId="01C3416B" w14:textId="77777777" w:rsidTr="00ED2F52">
                    <w:tblPrEx>
                      <w:tblW w:w="12840" w:type="dxa"/>
                      <w:tblLayout w:type="fixed"/>
                      <w:tblLook w:val="04A0"/>
                    </w:tblPrEx>
                    <w:trPr>
                      <w:trHeight w:val="463"/>
                    </w:trPr>
                    <w:tc>
                      <w:tcPr>
                        <w:tcW w:w="12840" w:type="dxa"/>
                        <w:gridSpan w:val="9"/>
                        <w:tcBorders>
                          <w:top w:val="nil"/>
                          <w:left w:val="nil"/>
                          <w:bottom w:val="nil"/>
                          <w:right w:val="nil"/>
                        </w:tcBorders>
                        <w:shd w:val="clear" w:color="auto" w:fill="auto"/>
                        <w:vAlign w:val="center"/>
                        <w:hideMark/>
                      </w:tcPr>
                      <w:p w:rsidR="00ED2F52" w:rsidRPr="00ED2F52" w:rsidP="00ED2F52" w14:paraId="7C0C5FC7" w14:textId="77777777">
                        <w:pPr>
                          <w:rPr>
                            <w:color w:val="000000"/>
                            <w:sz w:val="20"/>
                          </w:rPr>
                        </w:pPr>
                        <w:r w:rsidRPr="00ED2F52">
                          <w:rPr>
                            <w:color w:val="000000"/>
                            <w:sz w:val="20"/>
                            <w:vertAlign w:val="superscript"/>
                          </w:rPr>
                          <w:t>c</w:t>
                        </w:r>
                        <w:r w:rsidRPr="00ED2F52">
                          <w:rPr>
                            <w:color w:val="000000"/>
                            <w:sz w:val="20"/>
                          </w:rPr>
                          <w:t xml:space="preserve">  New furnaces test for NOx. We have assumed that 5 percent of respondents would repeat initial performance test due to failure.</w:t>
                        </w:r>
                      </w:p>
                    </w:tc>
                  </w:tr>
                  <w:tr w14:paraId="415E75C4" w14:textId="77777777" w:rsidTr="00ED2F52">
                    <w:tblPrEx>
                      <w:tblW w:w="12840" w:type="dxa"/>
                      <w:tblLayout w:type="fixed"/>
                      <w:tblLook w:val="04A0"/>
                    </w:tblPrEx>
                    <w:trPr>
                      <w:trHeight w:val="420"/>
                    </w:trPr>
                    <w:tc>
                      <w:tcPr>
                        <w:tcW w:w="12840" w:type="dxa"/>
                        <w:gridSpan w:val="9"/>
                        <w:tcBorders>
                          <w:top w:val="nil"/>
                          <w:left w:val="nil"/>
                          <w:bottom w:val="nil"/>
                          <w:right w:val="nil"/>
                        </w:tcBorders>
                        <w:shd w:val="clear" w:color="auto" w:fill="auto"/>
                        <w:vAlign w:val="center"/>
                        <w:hideMark/>
                      </w:tcPr>
                      <w:p w:rsidR="00ED2F52" w:rsidRPr="00ED2F52" w:rsidP="00ED2F52" w14:paraId="3AB15D8B" w14:textId="77777777">
                        <w:pPr>
                          <w:rPr>
                            <w:sz w:val="20"/>
                          </w:rPr>
                        </w:pPr>
                        <w:r w:rsidRPr="00ED2F52">
                          <w:rPr>
                            <w:sz w:val="20"/>
                            <w:vertAlign w:val="superscript"/>
                          </w:rPr>
                          <w:t>d</w:t>
                        </w:r>
                        <w:r w:rsidRPr="00ED2F52">
                          <w:rPr>
                            <w:sz w:val="20"/>
                          </w:rPr>
                          <w:t xml:space="preserve">  The rule requires existing furnaces re-test annually for NOx.  Existing furnaces are assumed to not have existing CPMS installed. </w:t>
                        </w:r>
                      </w:p>
                    </w:tc>
                  </w:tr>
                  <w:tr w14:paraId="15F085FE" w14:textId="77777777" w:rsidTr="00ED2F52">
                    <w:tblPrEx>
                      <w:tblW w:w="12840" w:type="dxa"/>
                      <w:tblLayout w:type="fixed"/>
                      <w:tblLook w:val="04A0"/>
                    </w:tblPrEx>
                    <w:trPr>
                      <w:trHeight w:val="375"/>
                    </w:trPr>
                    <w:tc>
                      <w:tcPr>
                        <w:tcW w:w="12840" w:type="dxa"/>
                        <w:gridSpan w:val="9"/>
                        <w:tcBorders>
                          <w:top w:val="nil"/>
                          <w:left w:val="nil"/>
                          <w:bottom w:val="nil"/>
                          <w:right w:val="nil"/>
                        </w:tcBorders>
                        <w:shd w:val="clear" w:color="auto" w:fill="auto"/>
                        <w:hideMark/>
                      </w:tcPr>
                      <w:p w:rsidR="00ED2F52" w:rsidRPr="00ED2F52" w:rsidP="00ED2F52" w14:paraId="5FD8A9A2" w14:textId="77777777">
                        <w:pPr>
                          <w:rPr>
                            <w:color w:val="000000"/>
                            <w:sz w:val="20"/>
                          </w:rPr>
                        </w:pPr>
                        <w:r w:rsidRPr="00ED2F52">
                          <w:rPr>
                            <w:color w:val="000000"/>
                            <w:sz w:val="20"/>
                            <w:vertAlign w:val="superscript"/>
                          </w:rPr>
                          <w:t>e</w:t>
                        </w:r>
                        <w:r w:rsidRPr="00ED2F52">
                          <w:rPr>
                            <w:color w:val="000000"/>
                            <w:sz w:val="20"/>
                          </w:rPr>
                          <w:t xml:space="preserve">  Totals have been rounded to 3 significant figures.  Figures may not add exactly due to rounding.</w:t>
                        </w:r>
                      </w:p>
                    </w:tc>
                  </w:tr>
                </w:tbl>
                <w:p w:rsidR="00401A59" w:rsidRPr="00273D70" w:rsidP="00036248" w14:paraId="7C17823D" w14:textId="77777777">
                  <w:pPr>
                    <w:rPr>
                      <w:b/>
                      <w:bCs/>
                      <w:szCs w:val="24"/>
                    </w:rPr>
                  </w:pPr>
                </w:p>
                <w:p w:rsidR="00036248" w:rsidP="00036248" w14:paraId="4A4EADD1" w14:textId="7D62D535">
                  <w:pPr>
                    <w:rPr>
                      <w:b/>
                      <w:bCs/>
                      <w:szCs w:val="24"/>
                    </w:rPr>
                  </w:pPr>
                  <w:r w:rsidRPr="00D17F6A">
                    <w:rPr>
                      <w:b/>
                      <w:bCs/>
                      <w:szCs w:val="24"/>
                    </w:rPr>
                    <w:t xml:space="preserve">Table </w:t>
                  </w:r>
                  <w:r w:rsidR="00CD3BBE">
                    <w:rPr>
                      <w:b/>
                      <w:bCs/>
                      <w:szCs w:val="24"/>
                    </w:rPr>
                    <w:t>12</w:t>
                  </w:r>
                  <w:r w:rsidRPr="00D17F6A">
                    <w:rPr>
                      <w:b/>
                      <w:bCs/>
                      <w:szCs w:val="24"/>
                    </w:rPr>
                    <w:t xml:space="preserve">: </w:t>
                  </w:r>
                  <w:r>
                    <w:rPr>
                      <w:b/>
                      <w:bCs/>
                      <w:szCs w:val="24"/>
                    </w:rPr>
                    <w:t xml:space="preserve">Annual </w:t>
                  </w:r>
                  <w:r w:rsidRPr="00D17F6A">
                    <w:rPr>
                      <w:b/>
                      <w:bCs/>
                      <w:szCs w:val="24"/>
                    </w:rPr>
                    <w:t xml:space="preserve">Respondent Burden and Cost – </w:t>
                  </w:r>
                  <w:r>
                    <w:rPr>
                      <w:b/>
                      <w:bCs/>
                      <w:szCs w:val="24"/>
                    </w:rPr>
                    <w:t>Glass and Glass Product Manufacturing</w:t>
                  </w:r>
                  <w:r w:rsidR="00CD3BBE">
                    <w:rPr>
                      <w:b/>
                      <w:bCs/>
                      <w:szCs w:val="24"/>
                    </w:rPr>
                    <w:t>, Year 3</w:t>
                  </w:r>
                </w:p>
                <w:p w:rsidR="004857BB" w:rsidP="00036248" w14:paraId="539A408C" w14:textId="7B0958A8">
                  <w:pPr>
                    <w:rPr>
                      <w:b/>
                      <w:bCs/>
                      <w:szCs w:val="24"/>
                    </w:rPr>
                  </w:pPr>
                </w:p>
                <w:tbl>
                  <w:tblPr>
                    <w:tblW w:w="12600" w:type="dxa"/>
                    <w:tblLayout w:type="fixed"/>
                    <w:tblLook w:val="04A0"/>
                  </w:tblPr>
                  <w:tblGrid>
                    <w:gridCol w:w="2820"/>
                    <w:gridCol w:w="1120"/>
                    <w:gridCol w:w="1320"/>
                    <w:gridCol w:w="1240"/>
                    <w:gridCol w:w="1200"/>
                    <w:gridCol w:w="1160"/>
                    <w:gridCol w:w="1280"/>
                    <w:gridCol w:w="1260"/>
                    <w:gridCol w:w="1200"/>
                  </w:tblGrid>
                  <w:tr w14:paraId="586E3D0E" w14:textId="77777777" w:rsidTr="00ED2F52">
                    <w:tblPrEx>
                      <w:tblW w:w="12600" w:type="dxa"/>
                      <w:tblLayout w:type="fixed"/>
                      <w:tblLook w:val="04A0"/>
                    </w:tblPrEx>
                    <w:trPr>
                      <w:trHeight w:val="1300"/>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2F52" w:rsidRPr="00ED2F52" w:rsidP="00ED2F52" w14:paraId="289D92FC" w14:textId="77777777">
                        <w:pPr>
                          <w:jc w:val="center"/>
                          <w:rPr>
                            <w:b/>
                            <w:bCs/>
                            <w:color w:val="000000"/>
                            <w:sz w:val="20"/>
                          </w:rPr>
                        </w:pPr>
                        <w:r w:rsidRPr="00ED2F52">
                          <w:rPr>
                            <w:b/>
                            <w:bCs/>
                            <w:color w:val="000000"/>
                            <w:sz w:val="20"/>
                          </w:rPr>
                          <w:t>Burden Item</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401CA85C" w14:textId="77777777">
                        <w:pPr>
                          <w:jc w:val="center"/>
                          <w:rPr>
                            <w:color w:val="000000"/>
                            <w:sz w:val="20"/>
                          </w:rPr>
                        </w:pPr>
                        <w:r w:rsidRPr="00ED2F52">
                          <w:rPr>
                            <w:color w:val="000000"/>
                            <w:sz w:val="20"/>
                          </w:rPr>
                          <w:t>(A)</w:t>
                        </w:r>
                        <w:r w:rsidRPr="00ED2F52">
                          <w:rPr>
                            <w:color w:val="000000"/>
                            <w:sz w:val="20"/>
                          </w:rPr>
                          <w:br/>
                        </w:r>
                        <w:r w:rsidRPr="00ED2F52">
                          <w:rPr>
                            <w:color w:val="000000"/>
                            <w:sz w:val="20"/>
                          </w:rPr>
                          <w:t>Hours per Occurrence</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2673B0F5" w14:textId="77777777">
                        <w:pPr>
                          <w:jc w:val="center"/>
                          <w:rPr>
                            <w:sz w:val="20"/>
                          </w:rPr>
                        </w:pPr>
                        <w:r w:rsidRPr="00ED2F52">
                          <w:rPr>
                            <w:sz w:val="20"/>
                          </w:rPr>
                          <w:t>(B)</w:t>
                        </w:r>
                        <w:r w:rsidRPr="00ED2F52">
                          <w:rPr>
                            <w:sz w:val="20"/>
                          </w:rPr>
                          <w:br/>
                        </w:r>
                        <w:r w:rsidRPr="00ED2F52">
                          <w:rPr>
                            <w:sz w:val="20"/>
                          </w:rPr>
                          <w:t>Occurrences/ Respondent/ Year</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3F58712F" w14:textId="77777777">
                        <w:pPr>
                          <w:jc w:val="center"/>
                          <w:rPr>
                            <w:color w:val="000000"/>
                            <w:sz w:val="20"/>
                          </w:rPr>
                        </w:pPr>
                        <w:r w:rsidRPr="00ED2F52">
                          <w:rPr>
                            <w:color w:val="000000"/>
                            <w:sz w:val="20"/>
                          </w:rPr>
                          <w:t>(C)</w:t>
                        </w:r>
                        <w:r w:rsidRPr="00ED2F52">
                          <w:rPr>
                            <w:color w:val="000000"/>
                            <w:sz w:val="20"/>
                          </w:rPr>
                          <w:br/>
                        </w:r>
                        <w:r w:rsidRPr="00ED2F52">
                          <w:rPr>
                            <w:color w:val="000000"/>
                            <w:sz w:val="20"/>
                          </w:rPr>
                          <w:t xml:space="preserve">Hours/ Respondent/ Year </w:t>
                        </w:r>
                        <w:r w:rsidRPr="00ED2F52">
                          <w:rPr>
                            <w:color w:val="000000"/>
                            <w:sz w:val="20"/>
                          </w:rPr>
                          <w:br/>
                        </w:r>
                        <w:r w:rsidRPr="00ED2F52">
                          <w:rPr>
                            <w:color w:val="000000"/>
                            <w:sz w:val="20"/>
                          </w:rPr>
                          <w:t>(A x B)</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3EFAEB2C" w14:textId="77777777">
                        <w:pPr>
                          <w:jc w:val="center"/>
                          <w:rPr>
                            <w:sz w:val="20"/>
                          </w:rPr>
                        </w:pPr>
                        <w:r w:rsidRPr="00ED2F52">
                          <w:rPr>
                            <w:sz w:val="20"/>
                          </w:rPr>
                          <w:t>(D)</w:t>
                        </w:r>
                        <w:r w:rsidRPr="00ED2F52">
                          <w:rPr>
                            <w:sz w:val="20"/>
                          </w:rPr>
                          <w:br/>
                        </w:r>
                        <w:r w:rsidRPr="00ED2F52">
                          <w:rPr>
                            <w:sz w:val="20"/>
                          </w:rPr>
                          <w:t>Respondents/</w:t>
                        </w:r>
                        <w:r w:rsidRPr="00ED2F52">
                          <w:rPr>
                            <w:sz w:val="20"/>
                          </w:rPr>
                          <w:br/>
                        </w:r>
                        <w:r w:rsidRPr="00ED2F52">
                          <w:rPr>
                            <w:sz w:val="20"/>
                          </w:rPr>
                          <w:t>Year</w:t>
                        </w:r>
                        <w:r w:rsidRPr="00ED2F52">
                          <w:rPr>
                            <w:sz w:val="20"/>
                            <w:vertAlign w:val="superscript"/>
                          </w:rPr>
                          <w:t>a</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3B1CBB52" w14:textId="77777777">
                        <w:pPr>
                          <w:jc w:val="center"/>
                          <w:rPr>
                            <w:color w:val="000000"/>
                            <w:sz w:val="20"/>
                          </w:rPr>
                        </w:pPr>
                        <w:r w:rsidRPr="00ED2F52">
                          <w:rPr>
                            <w:color w:val="000000"/>
                            <w:sz w:val="20"/>
                          </w:rPr>
                          <w:t>(E)</w:t>
                        </w:r>
                        <w:r w:rsidRPr="00ED2F52">
                          <w:rPr>
                            <w:color w:val="000000"/>
                            <w:sz w:val="20"/>
                          </w:rPr>
                          <w:br/>
                        </w:r>
                        <w:r w:rsidRPr="00ED2F52">
                          <w:rPr>
                            <w:color w:val="000000"/>
                            <w:sz w:val="20"/>
                          </w:rPr>
                          <w:t xml:space="preserve">Technical Hours/Year </w:t>
                        </w:r>
                        <w:r w:rsidRPr="00ED2F52">
                          <w:rPr>
                            <w:color w:val="000000"/>
                            <w:sz w:val="20"/>
                          </w:rPr>
                          <w:br/>
                        </w:r>
                        <w:r w:rsidRPr="00ED2F52">
                          <w:rPr>
                            <w:color w:val="000000"/>
                            <w:sz w:val="20"/>
                          </w:rPr>
                          <w:t>(C x D)</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584B0571" w14:textId="77777777">
                        <w:pPr>
                          <w:jc w:val="center"/>
                          <w:rPr>
                            <w:color w:val="000000"/>
                            <w:sz w:val="20"/>
                          </w:rPr>
                        </w:pPr>
                        <w:r w:rsidRPr="00ED2F52">
                          <w:rPr>
                            <w:color w:val="000000"/>
                            <w:sz w:val="20"/>
                          </w:rPr>
                          <w:t xml:space="preserve">(F) Managerial Hours/Year </w:t>
                        </w:r>
                        <w:r w:rsidRPr="00ED2F52">
                          <w:rPr>
                            <w:color w:val="000000"/>
                            <w:sz w:val="20"/>
                          </w:rPr>
                          <w:br/>
                        </w:r>
                        <w:r w:rsidRPr="00ED2F52">
                          <w:rPr>
                            <w:color w:val="000000"/>
                            <w:sz w:val="20"/>
                          </w:rPr>
                          <w:t>(E x 0.05)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511C92EC" w14:textId="77777777">
                        <w:pPr>
                          <w:jc w:val="center"/>
                          <w:rPr>
                            <w:color w:val="000000"/>
                            <w:sz w:val="20"/>
                          </w:rPr>
                        </w:pPr>
                        <w:r w:rsidRPr="00ED2F52">
                          <w:rPr>
                            <w:color w:val="000000"/>
                            <w:sz w:val="20"/>
                          </w:rPr>
                          <w:t xml:space="preserve">(G) </w:t>
                        </w:r>
                        <w:r w:rsidRPr="00ED2F52">
                          <w:rPr>
                            <w:color w:val="000000"/>
                            <w:sz w:val="20"/>
                          </w:rPr>
                          <w:br/>
                        </w:r>
                        <w:r w:rsidRPr="00ED2F52">
                          <w:rPr>
                            <w:color w:val="000000"/>
                            <w:sz w:val="20"/>
                          </w:rPr>
                          <w:t xml:space="preserve">Clerical Hours/Year </w:t>
                        </w:r>
                        <w:r w:rsidRPr="00ED2F52">
                          <w:rPr>
                            <w:color w:val="000000"/>
                            <w:sz w:val="20"/>
                          </w:rPr>
                          <w:br/>
                        </w:r>
                        <w:r w:rsidRPr="00ED2F52">
                          <w:rPr>
                            <w:color w:val="000000"/>
                            <w:sz w:val="20"/>
                          </w:rPr>
                          <w:t>(E x 0.10)</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503D3D87" w14:textId="77777777">
                        <w:pPr>
                          <w:jc w:val="center"/>
                          <w:rPr>
                            <w:color w:val="000000"/>
                            <w:sz w:val="20"/>
                          </w:rPr>
                        </w:pPr>
                        <w:r w:rsidRPr="00ED2F52">
                          <w:rPr>
                            <w:color w:val="000000"/>
                            <w:sz w:val="20"/>
                          </w:rPr>
                          <w:t>(H)</w:t>
                        </w:r>
                        <w:r w:rsidRPr="00ED2F52">
                          <w:rPr>
                            <w:color w:val="000000"/>
                            <w:sz w:val="20"/>
                          </w:rPr>
                          <w:br/>
                        </w:r>
                        <w:r w:rsidRPr="00ED2F52">
                          <w:rPr>
                            <w:color w:val="000000"/>
                            <w:sz w:val="20"/>
                          </w:rPr>
                          <w:t>Cost/ Year</w:t>
                        </w:r>
                        <w:r w:rsidRPr="00ED2F52">
                          <w:rPr>
                            <w:color w:val="000000"/>
                            <w:sz w:val="20"/>
                            <w:vertAlign w:val="superscript"/>
                          </w:rPr>
                          <w:t>b</w:t>
                        </w:r>
                      </w:p>
                    </w:tc>
                  </w:tr>
                  <w:tr w14:paraId="5034E949" w14:textId="77777777" w:rsidTr="00ED2F52">
                    <w:tblPrEx>
                      <w:tblW w:w="12600" w:type="dxa"/>
                      <w:tblLayout w:type="fixed"/>
                      <w:tblLook w:val="04A0"/>
                    </w:tblPrEx>
                    <w:trPr>
                      <w:trHeight w:val="26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18293A33" w14:textId="77777777">
                        <w:pPr>
                          <w:rPr>
                            <w:color w:val="000000"/>
                            <w:sz w:val="20"/>
                          </w:rPr>
                        </w:pPr>
                        <w:r w:rsidRPr="00ED2F52">
                          <w:rPr>
                            <w:color w:val="000000"/>
                            <w:sz w:val="20"/>
                          </w:rPr>
                          <w:t xml:space="preserve">1. APPLICATIONS </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00AA7087" w14:textId="77777777">
                        <w:pPr>
                          <w:jc w:val="center"/>
                          <w:rPr>
                            <w:color w:val="000000"/>
                            <w:sz w:val="20"/>
                          </w:rPr>
                        </w:pPr>
                        <w:r w:rsidRPr="00ED2F52">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25AB8EC9"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41918126"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061462C4"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71DADCD"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8A17EF2"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68FCBDA"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658C3E0A" w14:textId="77777777">
                        <w:pPr>
                          <w:jc w:val="right"/>
                          <w:rPr>
                            <w:color w:val="000000"/>
                            <w:sz w:val="20"/>
                          </w:rPr>
                        </w:pPr>
                        <w:r w:rsidRPr="00ED2F52">
                          <w:rPr>
                            <w:color w:val="000000"/>
                            <w:sz w:val="20"/>
                          </w:rPr>
                          <w:t> </w:t>
                        </w:r>
                      </w:p>
                    </w:tc>
                  </w:tr>
                  <w:tr w14:paraId="1ED7C42A" w14:textId="77777777" w:rsidTr="00ED2F52">
                    <w:tblPrEx>
                      <w:tblW w:w="12600" w:type="dxa"/>
                      <w:tblLayout w:type="fixed"/>
                      <w:tblLook w:val="04A0"/>
                    </w:tblPrEx>
                    <w:trPr>
                      <w:trHeight w:val="71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18E685B1" w14:textId="77777777">
                        <w:pPr>
                          <w:rPr>
                            <w:color w:val="000000"/>
                            <w:sz w:val="20"/>
                          </w:rPr>
                        </w:pPr>
                        <w:r w:rsidRPr="00ED2F52">
                          <w:rPr>
                            <w:color w:val="000000"/>
                            <w:sz w:val="20"/>
                          </w:rPr>
                          <w:t xml:space="preserve">2. SURVEY AND STUDIES </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5EA3878E" w14:textId="77777777">
                        <w:pPr>
                          <w:jc w:val="center"/>
                          <w:rPr>
                            <w:color w:val="000000"/>
                            <w:sz w:val="20"/>
                          </w:rPr>
                        </w:pPr>
                        <w:r w:rsidRPr="00ED2F52">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42942B87"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4956A4D2"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1BFDF0C5"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780A7F4B"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45C25642"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4B73FF1D"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3C0ECCE8" w14:textId="77777777">
                        <w:pPr>
                          <w:jc w:val="right"/>
                          <w:rPr>
                            <w:color w:val="000000"/>
                            <w:sz w:val="20"/>
                          </w:rPr>
                        </w:pPr>
                        <w:r w:rsidRPr="00ED2F52">
                          <w:rPr>
                            <w:color w:val="000000"/>
                            <w:sz w:val="20"/>
                          </w:rPr>
                          <w:t> </w:t>
                        </w:r>
                      </w:p>
                    </w:tc>
                  </w:tr>
                  <w:tr w14:paraId="4BB4F8A5" w14:textId="77777777" w:rsidTr="00ED2F52">
                    <w:tblPrEx>
                      <w:tblW w:w="12600" w:type="dxa"/>
                      <w:tblLayout w:type="fixed"/>
                      <w:tblLook w:val="04A0"/>
                    </w:tblPrEx>
                    <w:trPr>
                      <w:trHeight w:val="113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568D379A" w14:textId="77777777">
                        <w:pPr>
                          <w:rPr>
                            <w:color w:val="000000"/>
                            <w:sz w:val="20"/>
                          </w:rPr>
                        </w:pPr>
                        <w:r w:rsidRPr="00ED2F52">
                          <w:rPr>
                            <w:color w:val="000000"/>
                            <w:sz w:val="20"/>
                          </w:rPr>
                          <w:t>3.ACQUISITION, INSTALLATION, AND UTILIZATION OF TECHNOLOGY AND SYSTEMS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029AFF91"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F4B1161"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4DE67674"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1D5B242C"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4C877244"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03378315"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3AC7115"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097AEBCE" w14:textId="77777777">
                        <w:pPr>
                          <w:jc w:val="right"/>
                          <w:rPr>
                            <w:color w:val="000000"/>
                            <w:sz w:val="20"/>
                          </w:rPr>
                        </w:pPr>
                        <w:r w:rsidRPr="00ED2F52">
                          <w:rPr>
                            <w:color w:val="000000"/>
                            <w:sz w:val="20"/>
                          </w:rPr>
                          <w:t xml:space="preserve">$0 </w:t>
                        </w:r>
                      </w:p>
                    </w:tc>
                  </w:tr>
                  <w:tr w14:paraId="3855D2B2" w14:textId="77777777" w:rsidTr="00ED2F52">
                    <w:tblPrEx>
                      <w:tblW w:w="12600" w:type="dxa"/>
                      <w:tblLayout w:type="fixed"/>
                      <w:tblLook w:val="04A0"/>
                    </w:tblPrEx>
                    <w:trPr>
                      <w:trHeight w:val="26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78B3B313" w14:textId="77777777">
                        <w:pPr>
                          <w:rPr>
                            <w:color w:val="000000"/>
                            <w:sz w:val="20"/>
                          </w:rPr>
                        </w:pPr>
                        <w:r w:rsidRPr="00ED2F52">
                          <w:rPr>
                            <w:color w:val="000000"/>
                            <w:sz w:val="20"/>
                          </w:rPr>
                          <w:t>4. REPORT REQUIREMENTS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20E9D0BF"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44F9F824" w14:textId="77777777">
                        <w:pPr>
                          <w:jc w:val="center"/>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44B1653A" w14:textId="77777777">
                        <w:pPr>
                          <w:jc w:val="center"/>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64854E57"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691B4B80"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72C5CEB"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BF58108" w14:textId="77777777">
                        <w:pPr>
                          <w:jc w:val="center"/>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7463EBB1" w14:textId="77777777">
                        <w:pPr>
                          <w:jc w:val="right"/>
                          <w:rPr>
                            <w:color w:val="000000"/>
                            <w:sz w:val="20"/>
                          </w:rPr>
                        </w:pPr>
                        <w:r w:rsidRPr="00ED2F52">
                          <w:rPr>
                            <w:color w:val="000000"/>
                            <w:sz w:val="20"/>
                          </w:rPr>
                          <w:t> </w:t>
                        </w:r>
                      </w:p>
                    </w:tc>
                  </w:tr>
                  <w:tr w14:paraId="0CF79B35" w14:textId="77777777" w:rsidTr="00ED2F52">
                    <w:tblPrEx>
                      <w:tblW w:w="12600" w:type="dxa"/>
                      <w:tblLayout w:type="fixed"/>
                      <w:tblLook w:val="04A0"/>
                    </w:tblPrEx>
                    <w:trPr>
                      <w:trHeight w:val="104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4F80D7FF" w14:textId="77777777">
                        <w:pPr>
                          <w:rPr>
                            <w:color w:val="000000"/>
                            <w:sz w:val="20"/>
                          </w:rPr>
                        </w:pPr>
                        <w:r w:rsidRPr="00ED2F52">
                          <w:rPr>
                            <w:color w:val="000000"/>
                            <w:sz w:val="20"/>
                          </w:rPr>
                          <w:t xml:space="preserve">REQUEST FOR EXTENSION OF COMPLIANCE - Per 52.40(d);  (based on BACT analysis of 2020 NSR ICR) </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1CEB299B" w14:textId="77777777">
                        <w:pPr>
                          <w:jc w:val="center"/>
                          <w:rPr>
                            <w:color w:val="000000"/>
                            <w:sz w:val="20"/>
                          </w:rPr>
                        </w:pPr>
                        <w:r w:rsidRPr="00ED2F52">
                          <w:rPr>
                            <w:color w:val="000000"/>
                            <w:sz w:val="20"/>
                          </w:rPr>
                          <w:t>156</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4A7DC3B" w14:textId="77777777">
                        <w:pPr>
                          <w:jc w:val="center"/>
                          <w:rPr>
                            <w:sz w:val="20"/>
                          </w:rPr>
                        </w:pPr>
                        <w:r w:rsidRPr="00ED2F52">
                          <w:rPr>
                            <w:sz w:val="20"/>
                          </w:rPr>
                          <w:t>1</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36B86A66" w14:textId="77777777">
                        <w:pPr>
                          <w:jc w:val="center"/>
                          <w:rPr>
                            <w:color w:val="000000"/>
                            <w:sz w:val="20"/>
                          </w:rPr>
                        </w:pPr>
                        <w:r w:rsidRPr="00ED2F52">
                          <w:rPr>
                            <w:color w:val="000000"/>
                            <w:sz w:val="20"/>
                          </w:rPr>
                          <w:t>156</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5BD68FEA" w14:textId="77777777">
                        <w:pPr>
                          <w:jc w:val="center"/>
                          <w:rPr>
                            <w:sz w:val="20"/>
                          </w:rPr>
                        </w:pPr>
                        <w:r w:rsidRPr="00ED2F52">
                          <w:rPr>
                            <w:sz w:val="20"/>
                          </w:rPr>
                          <w:t>0.85</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15BDB13" w14:textId="77777777">
                        <w:pPr>
                          <w:jc w:val="center"/>
                          <w:rPr>
                            <w:color w:val="000000"/>
                            <w:sz w:val="20"/>
                          </w:rPr>
                        </w:pPr>
                        <w:r w:rsidRPr="00ED2F52">
                          <w:rPr>
                            <w:color w:val="000000"/>
                            <w:sz w:val="20"/>
                          </w:rPr>
                          <w:t>132.6</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4BF0444A" w14:textId="77777777">
                        <w:pPr>
                          <w:jc w:val="center"/>
                          <w:rPr>
                            <w:color w:val="000000"/>
                            <w:sz w:val="20"/>
                          </w:rPr>
                        </w:pPr>
                        <w:r w:rsidRPr="00ED2F52">
                          <w:rPr>
                            <w:color w:val="000000"/>
                            <w:sz w:val="20"/>
                          </w:rPr>
                          <w:t>6.63</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B78A34C" w14:textId="77777777">
                        <w:pPr>
                          <w:jc w:val="center"/>
                          <w:rPr>
                            <w:color w:val="000000"/>
                            <w:sz w:val="20"/>
                          </w:rPr>
                        </w:pPr>
                        <w:r w:rsidRPr="00ED2F52">
                          <w:rPr>
                            <w:color w:val="000000"/>
                            <w:sz w:val="20"/>
                          </w:rPr>
                          <w:t>13.26</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3E1D8156" w14:textId="69A72875">
                        <w:pPr>
                          <w:jc w:val="right"/>
                          <w:rPr>
                            <w:color w:val="000000"/>
                            <w:sz w:val="20"/>
                          </w:rPr>
                        </w:pPr>
                        <w:r w:rsidRPr="00ED2F52">
                          <w:rPr>
                            <w:color w:val="000000"/>
                            <w:sz w:val="20"/>
                          </w:rPr>
                          <w:t xml:space="preserve">$18,853 </w:t>
                        </w:r>
                      </w:p>
                    </w:tc>
                  </w:tr>
                  <w:tr w14:paraId="26C6F92B" w14:textId="77777777" w:rsidTr="00ED2F52">
                    <w:tblPrEx>
                      <w:tblW w:w="12600" w:type="dxa"/>
                      <w:tblLayout w:type="fixed"/>
                      <w:tblLook w:val="04A0"/>
                    </w:tblPrEx>
                    <w:trPr>
                      <w:trHeight w:val="53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120A075D" w14:textId="77777777">
                        <w:pPr>
                          <w:rPr>
                            <w:color w:val="000000"/>
                            <w:sz w:val="20"/>
                          </w:rPr>
                        </w:pPr>
                        <w:r w:rsidRPr="00ED2F52">
                          <w:rPr>
                            <w:color w:val="000000"/>
                            <w:sz w:val="20"/>
                          </w:rPr>
                          <w:t>Initial Notification Form of Applicability</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25C93CB9"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342B590E"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7E042B60"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0100F20C"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1C5266B1"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03A4DD9"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77C94FFD"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010E906B" w14:textId="77777777">
                        <w:pPr>
                          <w:jc w:val="right"/>
                          <w:rPr>
                            <w:color w:val="000000"/>
                            <w:sz w:val="20"/>
                          </w:rPr>
                        </w:pPr>
                        <w:r w:rsidRPr="00ED2F52">
                          <w:rPr>
                            <w:color w:val="000000"/>
                            <w:sz w:val="20"/>
                          </w:rPr>
                          <w:t xml:space="preserve">$0.00 </w:t>
                        </w:r>
                      </w:p>
                    </w:tc>
                  </w:tr>
                  <w:tr w14:paraId="07487424" w14:textId="77777777" w:rsidTr="00ED2F52">
                    <w:tblPrEx>
                      <w:tblW w:w="12600" w:type="dxa"/>
                      <w:tblLayout w:type="fixed"/>
                      <w:tblLook w:val="04A0"/>
                    </w:tblPrEx>
                    <w:trPr>
                      <w:trHeight w:val="52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3A51A51D" w14:textId="77777777">
                        <w:pPr>
                          <w:rPr>
                            <w:color w:val="000000"/>
                            <w:sz w:val="20"/>
                          </w:rPr>
                        </w:pPr>
                        <w:r w:rsidRPr="00ED2F52">
                          <w:rPr>
                            <w:color w:val="000000"/>
                            <w:sz w:val="20"/>
                          </w:rPr>
                          <w:t>A. Familiarize with regulatory requirement</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69381B3E"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287A099E"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CCFC20B"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7954236B"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2BDFB0CA"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3F8E0508"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4663E0F8"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00BA5480" w14:textId="77777777">
                        <w:pPr>
                          <w:jc w:val="right"/>
                          <w:rPr>
                            <w:color w:val="000000"/>
                            <w:sz w:val="20"/>
                          </w:rPr>
                        </w:pPr>
                        <w:r w:rsidRPr="00ED2F52">
                          <w:rPr>
                            <w:color w:val="000000"/>
                            <w:sz w:val="20"/>
                          </w:rPr>
                          <w:t xml:space="preserve">$0.00 </w:t>
                        </w:r>
                      </w:p>
                    </w:tc>
                  </w:tr>
                  <w:tr w14:paraId="2E1F2437" w14:textId="77777777" w:rsidTr="00ED2F52">
                    <w:tblPrEx>
                      <w:tblW w:w="12600" w:type="dxa"/>
                      <w:tblLayout w:type="fixed"/>
                      <w:tblLook w:val="04A0"/>
                    </w:tblPrEx>
                    <w:trPr>
                      <w:trHeight w:val="315"/>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019C410E" w14:textId="77777777">
                        <w:pPr>
                          <w:rPr>
                            <w:color w:val="000000"/>
                            <w:sz w:val="20"/>
                          </w:rPr>
                        </w:pPr>
                        <w:r w:rsidRPr="00ED2F52">
                          <w:rPr>
                            <w:color w:val="000000"/>
                            <w:sz w:val="20"/>
                          </w:rPr>
                          <w:t>B. Required Activities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627868FF"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4060FBF5" w14:textId="77777777">
                        <w:pPr>
                          <w:jc w:val="center"/>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3AEB042" w14:textId="77777777">
                        <w:pPr>
                          <w:jc w:val="center"/>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3FACAE0A"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E9D9C35"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F7E90A4"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157FD94B" w14:textId="77777777">
                        <w:pPr>
                          <w:jc w:val="center"/>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64BFD36F" w14:textId="77777777">
                        <w:pPr>
                          <w:jc w:val="right"/>
                          <w:rPr>
                            <w:color w:val="000000"/>
                            <w:sz w:val="20"/>
                          </w:rPr>
                        </w:pPr>
                        <w:r w:rsidRPr="00ED2F52">
                          <w:rPr>
                            <w:color w:val="000000"/>
                            <w:sz w:val="20"/>
                          </w:rPr>
                          <w:t> </w:t>
                        </w:r>
                      </w:p>
                    </w:tc>
                  </w:tr>
                  <w:tr w14:paraId="1ADE89F7" w14:textId="77777777" w:rsidTr="00ED2F52">
                    <w:tblPrEx>
                      <w:tblW w:w="12600" w:type="dxa"/>
                      <w:tblLayout w:type="fixed"/>
                      <w:tblLook w:val="04A0"/>
                    </w:tblPrEx>
                    <w:trPr>
                      <w:trHeight w:val="31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7BBD121E" w14:textId="77777777">
                        <w:pPr>
                          <w:rPr>
                            <w:i/>
                            <w:iCs/>
                            <w:color w:val="000000"/>
                            <w:sz w:val="20"/>
                          </w:rPr>
                        </w:pPr>
                        <w:r w:rsidRPr="00ED2F52">
                          <w:rPr>
                            <w:i/>
                            <w:iCs/>
                            <w:color w:val="000000"/>
                            <w:sz w:val="20"/>
                          </w:rPr>
                          <w:t xml:space="preserve">New Sources - Testing </w:t>
                        </w:r>
                        <w:r w:rsidRPr="00ED2F52">
                          <w:rPr>
                            <w:color w:val="000000"/>
                            <w:sz w:val="20"/>
                            <w:vertAlign w:val="superscript"/>
                          </w:rPr>
                          <w:t>c</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1F6CF552"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320C1E56" w14:textId="77777777">
                        <w:pPr>
                          <w:jc w:val="center"/>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15F49107" w14:textId="77777777">
                        <w:pPr>
                          <w:jc w:val="center"/>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626C6D77"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74B069B6"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ED45225"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26025FE" w14:textId="77777777">
                        <w:pPr>
                          <w:jc w:val="center"/>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5D9E3EDD" w14:textId="77777777">
                        <w:pPr>
                          <w:jc w:val="right"/>
                          <w:rPr>
                            <w:color w:val="000000"/>
                            <w:sz w:val="20"/>
                          </w:rPr>
                        </w:pPr>
                        <w:r w:rsidRPr="00ED2F52">
                          <w:rPr>
                            <w:color w:val="000000"/>
                            <w:sz w:val="20"/>
                          </w:rPr>
                          <w:t> </w:t>
                        </w:r>
                      </w:p>
                    </w:tc>
                  </w:tr>
                  <w:tr w14:paraId="684657C2" w14:textId="77777777" w:rsidTr="00ED2F52">
                    <w:tblPrEx>
                      <w:tblW w:w="12600" w:type="dxa"/>
                      <w:tblLayout w:type="fixed"/>
                      <w:tblLook w:val="04A0"/>
                    </w:tblPrEx>
                    <w:trPr>
                      <w:trHeight w:val="51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665F8EDD" w14:textId="77777777">
                        <w:pPr>
                          <w:rPr>
                            <w:sz w:val="20"/>
                          </w:rPr>
                        </w:pPr>
                        <w:r w:rsidRPr="00ED2F52">
                          <w:rPr>
                            <w:sz w:val="20"/>
                          </w:rPr>
                          <w:t>Initial NOx Performance Test (furnaces)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7AF88EB8"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2C883244"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7FFD1345"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2AD94397"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6C02C5B4"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41678007"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3AA76D47"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44180360" w14:textId="77777777">
                        <w:pPr>
                          <w:jc w:val="right"/>
                          <w:rPr>
                            <w:color w:val="000000"/>
                            <w:sz w:val="20"/>
                          </w:rPr>
                        </w:pPr>
                        <w:r w:rsidRPr="00ED2F52">
                          <w:rPr>
                            <w:color w:val="000000"/>
                            <w:sz w:val="20"/>
                          </w:rPr>
                          <w:t xml:space="preserve">$0.00 </w:t>
                        </w:r>
                      </w:p>
                    </w:tc>
                  </w:tr>
                  <w:tr w14:paraId="00D5380C" w14:textId="77777777" w:rsidTr="00ED2F52">
                    <w:tblPrEx>
                      <w:tblW w:w="12600" w:type="dxa"/>
                      <w:tblLayout w:type="fixed"/>
                      <w:tblLook w:val="04A0"/>
                    </w:tblPrEx>
                    <w:trPr>
                      <w:trHeight w:val="26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6DA19E2B" w14:textId="77777777">
                        <w:pPr>
                          <w:rPr>
                            <w:sz w:val="20"/>
                          </w:rPr>
                        </w:pPr>
                        <w:r w:rsidRPr="00ED2F52">
                          <w:rPr>
                            <w:sz w:val="20"/>
                          </w:rPr>
                          <w:t>Repeat NOx Performance Test</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6C3DB8A7"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16E1C134"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DBD95F8"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1D2F4022"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8BC27B4"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54BE595"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6BB339A7"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55B7A22B" w14:textId="77777777">
                        <w:pPr>
                          <w:jc w:val="right"/>
                          <w:rPr>
                            <w:color w:val="000000"/>
                            <w:sz w:val="20"/>
                          </w:rPr>
                        </w:pPr>
                        <w:r w:rsidRPr="00ED2F52">
                          <w:rPr>
                            <w:color w:val="000000"/>
                            <w:sz w:val="20"/>
                          </w:rPr>
                          <w:t xml:space="preserve">$0.00 </w:t>
                        </w:r>
                      </w:p>
                    </w:tc>
                  </w:tr>
                  <w:tr w14:paraId="66E48DCE" w14:textId="77777777" w:rsidTr="00ED2F52">
                    <w:tblPrEx>
                      <w:tblW w:w="12600" w:type="dxa"/>
                      <w:tblLayout w:type="fixed"/>
                      <w:tblLook w:val="04A0"/>
                    </w:tblPrEx>
                    <w:trPr>
                      <w:trHeight w:val="52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0ED3D178" w14:textId="77777777">
                        <w:pPr>
                          <w:rPr>
                            <w:color w:val="000000"/>
                            <w:sz w:val="20"/>
                          </w:rPr>
                        </w:pPr>
                        <w:r w:rsidRPr="00ED2F52">
                          <w:rPr>
                            <w:color w:val="000000"/>
                            <w:sz w:val="20"/>
                          </w:rPr>
                          <w:t>Initial Performance Evaluation of NOx CEMS or CPMS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6F17A968"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79CAE4B0"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77B43DBA"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58B10A45"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1AE3E318"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338BC405"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13EBC56B"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570145EE" w14:textId="77777777">
                        <w:pPr>
                          <w:jc w:val="right"/>
                          <w:rPr>
                            <w:color w:val="000000"/>
                            <w:sz w:val="20"/>
                          </w:rPr>
                        </w:pPr>
                        <w:r w:rsidRPr="00ED2F52">
                          <w:rPr>
                            <w:color w:val="000000"/>
                            <w:sz w:val="20"/>
                          </w:rPr>
                          <w:t xml:space="preserve">$0.00 </w:t>
                        </w:r>
                      </w:p>
                    </w:tc>
                  </w:tr>
                  <w:tr w14:paraId="6AC8B9AC" w14:textId="77777777" w:rsidTr="00ED2F52">
                    <w:tblPrEx>
                      <w:tblW w:w="12600" w:type="dxa"/>
                      <w:tblLayout w:type="fixed"/>
                      <w:tblLook w:val="04A0"/>
                    </w:tblPrEx>
                    <w:trPr>
                      <w:trHeight w:val="52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69210993" w14:textId="77777777">
                        <w:pPr>
                          <w:rPr>
                            <w:color w:val="000000"/>
                            <w:sz w:val="20"/>
                          </w:rPr>
                        </w:pPr>
                        <w:r w:rsidRPr="00ED2F52">
                          <w:rPr>
                            <w:color w:val="000000"/>
                            <w:sz w:val="20"/>
                          </w:rPr>
                          <w:t>Repeat Performance Evaluation of NOx CEMS or CPMS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33794244"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4DEFF9D4"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0A500CAA"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3C0296A5"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4A5A1D52"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7E23A369"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3840DE11"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2B9413CF" w14:textId="77777777">
                        <w:pPr>
                          <w:jc w:val="right"/>
                          <w:rPr>
                            <w:color w:val="000000"/>
                            <w:sz w:val="20"/>
                          </w:rPr>
                        </w:pPr>
                        <w:r w:rsidRPr="00ED2F52">
                          <w:rPr>
                            <w:color w:val="000000"/>
                            <w:sz w:val="20"/>
                          </w:rPr>
                          <w:t xml:space="preserve">$0.00 </w:t>
                        </w:r>
                      </w:p>
                    </w:tc>
                  </w:tr>
                  <w:tr w14:paraId="5A6E3976" w14:textId="77777777" w:rsidTr="00ED2F52">
                    <w:tblPrEx>
                      <w:tblW w:w="12600" w:type="dxa"/>
                      <w:tblLayout w:type="fixed"/>
                      <w:tblLook w:val="04A0"/>
                    </w:tblPrEx>
                    <w:trPr>
                      <w:trHeight w:val="57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3187F4A5" w14:textId="77777777">
                        <w:pPr>
                          <w:rPr>
                            <w:i/>
                            <w:iCs/>
                            <w:color w:val="000000"/>
                            <w:sz w:val="20"/>
                          </w:rPr>
                        </w:pPr>
                        <w:r w:rsidRPr="00ED2F52">
                          <w:rPr>
                            <w:i/>
                            <w:iCs/>
                            <w:color w:val="000000"/>
                            <w:sz w:val="20"/>
                          </w:rPr>
                          <w:t xml:space="preserve">Existing Sources - Initial Testing </w:t>
                        </w:r>
                        <w:r w:rsidRPr="00ED2F52">
                          <w:rPr>
                            <w:color w:val="000000"/>
                            <w:sz w:val="20"/>
                            <w:vertAlign w:val="superscript"/>
                          </w:rPr>
                          <w:t>d</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47C12CD7" w14:textId="77777777">
                        <w:pPr>
                          <w:jc w:val="center"/>
                          <w:rPr>
                            <w:sz w:val="20"/>
                          </w:rPr>
                        </w:pPr>
                        <w:r w:rsidRPr="00ED2F52">
                          <w:rPr>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58E21835" w14:textId="77777777">
                        <w:pPr>
                          <w:jc w:val="center"/>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74C79CDE" w14:textId="77777777">
                        <w:pPr>
                          <w:jc w:val="center"/>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28D9D4E7"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47C97D41"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17D71091"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30A33802" w14:textId="77777777">
                        <w:pPr>
                          <w:jc w:val="center"/>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00A87A73" w14:textId="77777777">
                        <w:pPr>
                          <w:jc w:val="right"/>
                          <w:rPr>
                            <w:color w:val="000000"/>
                            <w:sz w:val="20"/>
                          </w:rPr>
                        </w:pPr>
                        <w:r w:rsidRPr="00ED2F52">
                          <w:rPr>
                            <w:color w:val="000000"/>
                            <w:sz w:val="20"/>
                          </w:rPr>
                          <w:t> </w:t>
                        </w:r>
                      </w:p>
                    </w:tc>
                  </w:tr>
                  <w:tr w14:paraId="7AA69054" w14:textId="77777777" w:rsidTr="00ED2F52">
                    <w:tblPrEx>
                      <w:tblW w:w="12600" w:type="dxa"/>
                      <w:tblLayout w:type="fixed"/>
                      <w:tblLook w:val="04A0"/>
                    </w:tblPrEx>
                    <w:trPr>
                      <w:trHeight w:val="52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519F39BC" w14:textId="77777777">
                        <w:pPr>
                          <w:rPr>
                            <w:color w:val="000000"/>
                            <w:sz w:val="20"/>
                          </w:rPr>
                        </w:pPr>
                        <w:r w:rsidRPr="00ED2F52">
                          <w:rPr>
                            <w:color w:val="000000"/>
                            <w:sz w:val="20"/>
                          </w:rPr>
                          <w:t>Initial Performance Evaluation of NOx CEMS or CPMS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6476CCBE"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3C9980FF"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7F686A8"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7798DAEE"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E13DEFD"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1B5E5393"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CB8E2B5"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2BDDE4FD" w14:textId="77777777">
                        <w:pPr>
                          <w:jc w:val="right"/>
                          <w:rPr>
                            <w:color w:val="000000"/>
                            <w:sz w:val="20"/>
                          </w:rPr>
                        </w:pPr>
                        <w:r w:rsidRPr="00ED2F52">
                          <w:rPr>
                            <w:color w:val="000000"/>
                            <w:sz w:val="20"/>
                          </w:rPr>
                          <w:t xml:space="preserve">$0.00 </w:t>
                        </w:r>
                      </w:p>
                    </w:tc>
                  </w:tr>
                  <w:tr w14:paraId="19EF71D3" w14:textId="77777777" w:rsidTr="00ED2F52">
                    <w:tblPrEx>
                      <w:tblW w:w="12600" w:type="dxa"/>
                      <w:tblLayout w:type="fixed"/>
                      <w:tblLook w:val="04A0"/>
                    </w:tblPrEx>
                    <w:trPr>
                      <w:trHeight w:val="52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62FBDF39" w14:textId="77777777">
                        <w:pPr>
                          <w:rPr>
                            <w:color w:val="000000"/>
                            <w:sz w:val="20"/>
                          </w:rPr>
                        </w:pPr>
                        <w:r w:rsidRPr="00ED2F52">
                          <w:rPr>
                            <w:color w:val="000000"/>
                            <w:sz w:val="20"/>
                          </w:rPr>
                          <w:t>Repeat Performance Evaluation of NOx CEMS or CPMS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73AF7F85"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2EBC0E26"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7F7792F4"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294DA1F6"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224B3602"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3A63A3D3"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1B9098DE"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15452D81" w14:textId="77777777">
                        <w:pPr>
                          <w:jc w:val="right"/>
                          <w:rPr>
                            <w:color w:val="000000"/>
                            <w:sz w:val="20"/>
                          </w:rPr>
                        </w:pPr>
                        <w:r w:rsidRPr="00ED2F52">
                          <w:rPr>
                            <w:color w:val="000000"/>
                            <w:sz w:val="20"/>
                          </w:rPr>
                          <w:t xml:space="preserve">$0.00 </w:t>
                        </w:r>
                      </w:p>
                    </w:tc>
                  </w:tr>
                  <w:tr w14:paraId="5EA4B096" w14:textId="77777777" w:rsidTr="00ED2F52">
                    <w:tblPrEx>
                      <w:tblW w:w="12600" w:type="dxa"/>
                      <w:tblLayout w:type="fixed"/>
                      <w:tblLook w:val="04A0"/>
                    </w:tblPrEx>
                    <w:trPr>
                      <w:trHeight w:val="57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11EE7BD4" w14:textId="77777777">
                        <w:pPr>
                          <w:rPr>
                            <w:i/>
                            <w:iCs/>
                            <w:color w:val="000000"/>
                            <w:sz w:val="20"/>
                          </w:rPr>
                        </w:pPr>
                        <w:r w:rsidRPr="00ED2F52">
                          <w:rPr>
                            <w:i/>
                            <w:iCs/>
                            <w:color w:val="000000"/>
                            <w:sz w:val="20"/>
                          </w:rPr>
                          <w:t xml:space="preserve">Existing Sources - Annual Testing </w:t>
                        </w:r>
                        <w:r w:rsidRPr="00ED2F52">
                          <w:rPr>
                            <w:color w:val="000000"/>
                            <w:sz w:val="20"/>
                            <w:vertAlign w:val="superscript"/>
                          </w:rPr>
                          <w:t>d</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05113522"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03006EA" w14:textId="77777777">
                        <w:pPr>
                          <w:jc w:val="center"/>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4D85DCE7" w14:textId="77777777">
                        <w:pPr>
                          <w:jc w:val="center"/>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237875F8"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F526A1B"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77BD84CB"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3C9C4AAB" w14:textId="77777777">
                        <w:pPr>
                          <w:jc w:val="center"/>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52E963C0" w14:textId="77777777">
                        <w:pPr>
                          <w:jc w:val="right"/>
                          <w:rPr>
                            <w:color w:val="000000"/>
                            <w:sz w:val="20"/>
                          </w:rPr>
                        </w:pPr>
                        <w:r w:rsidRPr="00ED2F52">
                          <w:rPr>
                            <w:color w:val="000000"/>
                            <w:sz w:val="20"/>
                          </w:rPr>
                          <w:t> </w:t>
                        </w:r>
                      </w:p>
                    </w:tc>
                  </w:tr>
                  <w:tr w14:paraId="181975DB" w14:textId="77777777" w:rsidTr="00ED2F52">
                    <w:tblPrEx>
                      <w:tblW w:w="12600" w:type="dxa"/>
                      <w:tblLayout w:type="fixed"/>
                      <w:tblLook w:val="04A0"/>
                    </w:tblPrEx>
                    <w:trPr>
                      <w:trHeight w:val="52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6F1763A6" w14:textId="77777777">
                        <w:pPr>
                          <w:rPr>
                            <w:color w:val="000000"/>
                            <w:sz w:val="20"/>
                          </w:rPr>
                        </w:pPr>
                        <w:r w:rsidRPr="00ED2F52">
                          <w:rPr>
                            <w:color w:val="000000"/>
                            <w:sz w:val="20"/>
                          </w:rPr>
                          <w:t>Annual NOx Performance Test (furnaces)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6F56CC7D"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6FEFDAE8"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5FADEE17"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2E93D348"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781D2C59"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123B3F35"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5F484E3"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109AA786" w14:textId="77777777">
                        <w:pPr>
                          <w:jc w:val="right"/>
                          <w:rPr>
                            <w:color w:val="000000"/>
                            <w:sz w:val="20"/>
                          </w:rPr>
                        </w:pPr>
                        <w:r w:rsidRPr="00ED2F52">
                          <w:rPr>
                            <w:color w:val="000000"/>
                            <w:sz w:val="20"/>
                          </w:rPr>
                          <w:t xml:space="preserve">$0.00 </w:t>
                        </w:r>
                      </w:p>
                    </w:tc>
                  </w:tr>
                  <w:tr w14:paraId="3159E5C7" w14:textId="77777777" w:rsidTr="00ED2F52">
                    <w:tblPrEx>
                      <w:tblW w:w="12600" w:type="dxa"/>
                      <w:tblLayout w:type="fixed"/>
                      <w:tblLook w:val="04A0"/>
                    </w:tblPrEx>
                    <w:trPr>
                      <w:trHeight w:val="26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23CB128D" w14:textId="77777777">
                        <w:pPr>
                          <w:rPr>
                            <w:color w:val="000000"/>
                            <w:sz w:val="20"/>
                          </w:rPr>
                        </w:pPr>
                        <w:r w:rsidRPr="00ED2F52">
                          <w:rPr>
                            <w:color w:val="000000"/>
                            <w:sz w:val="20"/>
                          </w:rPr>
                          <w:t xml:space="preserve">Repeat NOx Performance Test </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40936358"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715702AE"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320EB3A4"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790E59BD"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695AC95"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70AB2F6"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6080513F"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35B9BB79" w14:textId="77777777">
                        <w:pPr>
                          <w:jc w:val="right"/>
                          <w:rPr>
                            <w:color w:val="000000"/>
                            <w:sz w:val="20"/>
                          </w:rPr>
                        </w:pPr>
                        <w:r w:rsidRPr="00ED2F52">
                          <w:rPr>
                            <w:color w:val="000000"/>
                            <w:sz w:val="20"/>
                          </w:rPr>
                          <w:t xml:space="preserve">$0.00 </w:t>
                        </w:r>
                      </w:p>
                    </w:tc>
                  </w:tr>
                  <w:tr w14:paraId="6F13F118" w14:textId="77777777" w:rsidTr="00ED2F52">
                    <w:tblPrEx>
                      <w:tblW w:w="12600" w:type="dxa"/>
                      <w:tblLayout w:type="fixed"/>
                      <w:tblLook w:val="04A0"/>
                    </w:tblPrEx>
                    <w:trPr>
                      <w:trHeight w:val="57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60D0CE72" w14:textId="77777777">
                        <w:pPr>
                          <w:rPr>
                            <w:i/>
                            <w:iCs/>
                            <w:color w:val="000000"/>
                            <w:sz w:val="20"/>
                          </w:rPr>
                        </w:pPr>
                        <w:r w:rsidRPr="00ED2F52">
                          <w:rPr>
                            <w:i/>
                            <w:iCs/>
                            <w:color w:val="000000"/>
                            <w:sz w:val="20"/>
                          </w:rPr>
                          <w:t xml:space="preserve">New and Existing Sources - Monitoring </w:t>
                        </w:r>
                        <w:r w:rsidRPr="00ED2F52">
                          <w:rPr>
                            <w:color w:val="000000"/>
                            <w:sz w:val="20"/>
                            <w:vertAlign w:val="superscript"/>
                          </w:rPr>
                          <w:t>e</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458CCC5F"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45893400" w14:textId="77777777">
                        <w:pPr>
                          <w:jc w:val="center"/>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3B9CB586" w14:textId="77777777">
                        <w:pPr>
                          <w:jc w:val="center"/>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05ECA123"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61EE6BD1"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12AB224C"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4A4F6A44" w14:textId="77777777">
                        <w:pPr>
                          <w:jc w:val="center"/>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63AC966E" w14:textId="77777777">
                        <w:pPr>
                          <w:jc w:val="right"/>
                          <w:rPr>
                            <w:color w:val="000000"/>
                            <w:sz w:val="20"/>
                          </w:rPr>
                        </w:pPr>
                        <w:r w:rsidRPr="00ED2F52">
                          <w:rPr>
                            <w:color w:val="000000"/>
                            <w:sz w:val="20"/>
                          </w:rPr>
                          <w:t> </w:t>
                        </w:r>
                      </w:p>
                    </w:tc>
                  </w:tr>
                  <w:tr w14:paraId="54031C69" w14:textId="77777777" w:rsidTr="00ED2F52">
                    <w:tblPrEx>
                      <w:tblW w:w="12600" w:type="dxa"/>
                      <w:tblLayout w:type="fixed"/>
                      <w:tblLook w:val="04A0"/>
                    </w:tblPrEx>
                    <w:trPr>
                      <w:trHeight w:val="52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6B151E93" w14:textId="77777777">
                        <w:pPr>
                          <w:rPr>
                            <w:color w:val="000000"/>
                            <w:sz w:val="20"/>
                          </w:rPr>
                        </w:pPr>
                        <w:r w:rsidRPr="00ED2F52">
                          <w:rPr>
                            <w:color w:val="000000"/>
                            <w:sz w:val="20"/>
                          </w:rPr>
                          <w:t>Daily Calibration Drift Tests - NOx CEMS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2442ED28"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3690E5D5"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FCDEF19"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4A5A804D"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CF8EB4F"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4467E74D"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61215840"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574382F0" w14:textId="77777777">
                        <w:pPr>
                          <w:jc w:val="right"/>
                          <w:rPr>
                            <w:color w:val="000000"/>
                            <w:sz w:val="20"/>
                          </w:rPr>
                        </w:pPr>
                        <w:r w:rsidRPr="00ED2F52">
                          <w:rPr>
                            <w:color w:val="000000"/>
                            <w:sz w:val="20"/>
                          </w:rPr>
                          <w:t xml:space="preserve">$0.00 </w:t>
                        </w:r>
                      </w:p>
                    </w:tc>
                  </w:tr>
                  <w:tr w14:paraId="564CCDDF" w14:textId="77777777" w:rsidTr="00ED2F52">
                    <w:tblPrEx>
                      <w:tblW w:w="12600" w:type="dxa"/>
                      <w:tblLayout w:type="fixed"/>
                      <w:tblLook w:val="04A0"/>
                    </w:tblPrEx>
                    <w:trPr>
                      <w:trHeight w:val="26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1665BF37" w14:textId="77777777">
                        <w:pPr>
                          <w:rPr>
                            <w:color w:val="000000"/>
                            <w:sz w:val="20"/>
                          </w:rPr>
                        </w:pPr>
                        <w:r w:rsidRPr="00ED2F52">
                          <w:rPr>
                            <w:color w:val="000000"/>
                            <w:sz w:val="20"/>
                          </w:rPr>
                          <w:t>Quarterly Accuracy Assessment</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58655701"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42C799C7"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7E634E04"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42B4F0C8"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285EFEA"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751B3E1"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746EB0B4"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557DCDCB" w14:textId="77777777">
                        <w:pPr>
                          <w:jc w:val="right"/>
                          <w:rPr>
                            <w:color w:val="000000"/>
                            <w:sz w:val="20"/>
                          </w:rPr>
                        </w:pPr>
                        <w:r w:rsidRPr="00ED2F52">
                          <w:rPr>
                            <w:color w:val="000000"/>
                            <w:sz w:val="20"/>
                          </w:rPr>
                          <w:t xml:space="preserve">$0.00 </w:t>
                        </w:r>
                      </w:p>
                    </w:tc>
                  </w:tr>
                  <w:tr w14:paraId="4B8EC48E" w14:textId="77777777" w:rsidTr="00ED2F52">
                    <w:tblPrEx>
                      <w:tblW w:w="12600" w:type="dxa"/>
                      <w:tblLayout w:type="fixed"/>
                      <w:tblLook w:val="04A0"/>
                    </w:tblPrEx>
                    <w:trPr>
                      <w:trHeight w:val="52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5B82B7C8" w14:textId="77777777">
                        <w:pPr>
                          <w:rPr>
                            <w:color w:val="000000"/>
                            <w:sz w:val="20"/>
                          </w:rPr>
                        </w:pPr>
                        <w:r w:rsidRPr="00ED2F52">
                          <w:rPr>
                            <w:color w:val="000000"/>
                            <w:sz w:val="20"/>
                          </w:rPr>
                          <w:t>C. Create Information (Included in 4B)</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40D15058"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39040DE5"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B95E06E"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6FCFDEC8"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14A2A48E"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3E8FA5D7"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7DA032C" w14:textId="77777777">
                        <w:pPr>
                          <w:jc w:val="center"/>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71B86F32" w14:textId="77777777">
                        <w:pPr>
                          <w:jc w:val="right"/>
                          <w:rPr>
                            <w:color w:val="000000"/>
                            <w:sz w:val="20"/>
                          </w:rPr>
                        </w:pPr>
                        <w:r w:rsidRPr="00ED2F52">
                          <w:rPr>
                            <w:color w:val="000000"/>
                            <w:sz w:val="20"/>
                          </w:rPr>
                          <w:t> </w:t>
                        </w:r>
                      </w:p>
                    </w:tc>
                  </w:tr>
                  <w:tr w14:paraId="654316D1" w14:textId="77777777" w:rsidTr="00ED2F52">
                    <w:tblPrEx>
                      <w:tblW w:w="12600" w:type="dxa"/>
                      <w:tblLayout w:type="fixed"/>
                      <w:tblLook w:val="04A0"/>
                    </w:tblPrEx>
                    <w:trPr>
                      <w:trHeight w:val="52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3F174AEF" w14:textId="77777777">
                        <w:pPr>
                          <w:rPr>
                            <w:color w:val="000000"/>
                            <w:sz w:val="20"/>
                          </w:rPr>
                        </w:pPr>
                        <w:r w:rsidRPr="00ED2F52">
                          <w:rPr>
                            <w:color w:val="000000"/>
                            <w:sz w:val="20"/>
                          </w:rPr>
                          <w:t>D. Gather Existing Information (Included in 4E)</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7BA29A5F"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28092FC4"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037A326C"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01ECFFE7"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7C21E9E7"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3C172A79"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FC52F8F" w14:textId="77777777">
                        <w:pPr>
                          <w:jc w:val="center"/>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2ABE655B" w14:textId="77777777">
                        <w:pPr>
                          <w:jc w:val="right"/>
                          <w:rPr>
                            <w:color w:val="000000"/>
                            <w:sz w:val="20"/>
                          </w:rPr>
                        </w:pPr>
                        <w:r w:rsidRPr="00ED2F52">
                          <w:rPr>
                            <w:color w:val="000000"/>
                            <w:sz w:val="20"/>
                          </w:rPr>
                          <w:t> </w:t>
                        </w:r>
                      </w:p>
                    </w:tc>
                  </w:tr>
                  <w:tr w14:paraId="463C7718" w14:textId="77777777" w:rsidTr="00ED2F52">
                    <w:tblPrEx>
                      <w:tblW w:w="12600" w:type="dxa"/>
                      <w:tblLayout w:type="fixed"/>
                      <w:tblLook w:val="04A0"/>
                    </w:tblPrEx>
                    <w:trPr>
                      <w:trHeight w:val="26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59CF4A0F" w14:textId="77777777">
                        <w:pPr>
                          <w:rPr>
                            <w:color w:val="000000"/>
                            <w:sz w:val="20"/>
                          </w:rPr>
                        </w:pPr>
                        <w:r w:rsidRPr="00ED2F52">
                          <w:rPr>
                            <w:color w:val="000000"/>
                            <w:sz w:val="20"/>
                          </w:rPr>
                          <w:t>E. Write Report</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0058FE24" w14:textId="77777777">
                        <w:pPr>
                          <w:jc w:val="right"/>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711A52A3"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19E133D3"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6F8DEA36"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25EFB2D"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00D6B402"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47C46F37" w14:textId="77777777">
                        <w:pPr>
                          <w:jc w:val="center"/>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55EB7D8D" w14:textId="77777777">
                        <w:pPr>
                          <w:jc w:val="right"/>
                          <w:rPr>
                            <w:color w:val="000000"/>
                            <w:sz w:val="20"/>
                          </w:rPr>
                        </w:pPr>
                        <w:r w:rsidRPr="00ED2F52">
                          <w:rPr>
                            <w:color w:val="000000"/>
                            <w:sz w:val="20"/>
                          </w:rPr>
                          <w:t> </w:t>
                        </w:r>
                      </w:p>
                    </w:tc>
                  </w:tr>
                  <w:tr w14:paraId="32FF5545" w14:textId="77777777" w:rsidTr="00ED2F52">
                    <w:tblPrEx>
                      <w:tblW w:w="12600" w:type="dxa"/>
                      <w:tblLayout w:type="fixed"/>
                      <w:tblLook w:val="04A0"/>
                    </w:tblPrEx>
                    <w:trPr>
                      <w:trHeight w:val="26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18B1AAA3" w14:textId="77777777">
                        <w:pPr>
                          <w:rPr>
                            <w:i/>
                            <w:iCs/>
                            <w:color w:val="000000"/>
                            <w:sz w:val="20"/>
                            <w:u w:val="single"/>
                          </w:rPr>
                        </w:pPr>
                        <w:r w:rsidRPr="00ED2F52">
                          <w:rPr>
                            <w:i/>
                            <w:iCs/>
                            <w:color w:val="000000"/>
                            <w:sz w:val="20"/>
                            <w:u w:val="single"/>
                          </w:rPr>
                          <w:t>New Sources-Reporting</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72EBFDA9"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626F436A" w14:textId="77777777">
                        <w:pPr>
                          <w:jc w:val="center"/>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17A1FA2" w14:textId="77777777">
                        <w:pPr>
                          <w:jc w:val="center"/>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251C79CC"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07948D2"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7EB8597"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170E1E1" w14:textId="77777777">
                        <w:pPr>
                          <w:jc w:val="center"/>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6296170E" w14:textId="77777777">
                        <w:pPr>
                          <w:jc w:val="right"/>
                          <w:rPr>
                            <w:color w:val="000000"/>
                            <w:sz w:val="20"/>
                          </w:rPr>
                        </w:pPr>
                        <w:r w:rsidRPr="00ED2F52">
                          <w:rPr>
                            <w:color w:val="000000"/>
                            <w:sz w:val="20"/>
                          </w:rPr>
                          <w:t> </w:t>
                        </w:r>
                      </w:p>
                    </w:tc>
                  </w:tr>
                  <w:tr w14:paraId="3E0F7F62" w14:textId="77777777" w:rsidTr="00ED2F52">
                    <w:tblPrEx>
                      <w:tblW w:w="12600" w:type="dxa"/>
                      <w:tblLayout w:type="fixed"/>
                      <w:tblLook w:val="04A0"/>
                    </w:tblPrEx>
                    <w:trPr>
                      <w:trHeight w:val="57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08770D90" w14:textId="77777777">
                        <w:pPr>
                          <w:rPr>
                            <w:color w:val="000000"/>
                            <w:sz w:val="20"/>
                          </w:rPr>
                        </w:pPr>
                        <w:r w:rsidRPr="00ED2F52">
                          <w:rPr>
                            <w:color w:val="000000"/>
                            <w:sz w:val="20"/>
                          </w:rPr>
                          <w:t>Notification of Initial Performance Test</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5A500A74"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4BADE65F"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96BA95E"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624D79B3"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142C036"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08D4BEF2"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64AE0FE5"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04A4B70F" w14:textId="77777777">
                        <w:pPr>
                          <w:jc w:val="right"/>
                          <w:rPr>
                            <w:color w:val="000000"/>
                            <w:sz w:val="20"/>
                          </w:rPr>
                        </w:pPr>
                        <w:r w:rsidRPr="00ED2F52">
                          <w:rPr>
                            <w:color w:val="000000"/>
                            <w:sz w:val="20"/>
                          </w:rPr>
                          <w:t xml:space="preserve">$0.00 </w:t>
                        </w:r>
                      </w:p>
                    </w:tc>
                  </w:tr>
                  <w:tr w14:paraId="72392EB5" w14:textId="77777777" w:rsidTr="00ED2F52">
                    <w:tblPrEx>
                      <w:tblW w:w="12600" w:type="dxa"/>
                      <w:tblLayout w:type="fixed"/>
                      <w:tblLook w:val="04A0"/>
                    </w:tblPrEx>
                    <w:trPr>
                      <w:trHeight w:val="78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7396B0A2" w14:textId="77777777">
                        <w:pPr>
                          <w:rPr>
                            <w:color w:val="000000"/>
                            <w:sz w:val="20"/>
                          </w:rPr>
                        </w:pPr>
                        <w:r w:rsidRPr="00ED2F52">
                          <w:rPr>
                            <w:color w:val="000000"/>
                            <w:sz w:val="20"/>
                          </w:rPr>
                          <w:t>Report of Performance Tests submitted via CEDRI or analogous electronic reporting</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7703357A"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5127889F"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74B12CFA"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4C175E44"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78842D3"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0178769E"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56B3656"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7D1037CA" w14:textId="77777777">
                        <w:pPr>
                          <w:jc w:val="right"/>
                          <w:rPr>
                            <w:color w:val="000000"/>
                            <w:sz w:val="20"/>
                          </w:rPr>
                        </w:pPr>
                        <w:r w:rsidRPr="00ED2F52">
                          <w:rPr>
                            <w:color w:val="000000"/>
                            <w:sz w:val="20"/>
                          </w:rPr>
                          <w:t xml:space="preserve">$0.00 </w:t>
                        </w:r>
                      </w:p>
                    </w:tc>
                  </w:tr>
                  <w:tr w14:paraId="366299BE" w14:textId="77777777" w:rsidTr="00ED2F52">
                    <w:tblPrEx>
                      <w:tblW w:w="12600" w:type="dxa"/>
                      <w:tblLayout w:type="fixed"/>
                      <w:tblLook w:val="04A0"/>
                    </w:tblPrEx>
                    <w:trPr>
                      <w:trHeight w:val="52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16C1CD1E" w14:textId="77777777">
                        <w:pPr>
                          <w:rPr>
                            <w:color w:val="000000"/>
                            <w:sz w:val="20"/>
                          </w:rPr>
                        </w:pPr>
                        <w:r w:rsidRPr="00ED2F52">
                          <w:rPr>
                            <w:color w:val="000000"/>
                            <w:sz w:val="20"/>
                          </w:rPr>
                          <w:t>Notification of Demonstration of CEMS or CPMS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23E6B903"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65547C02"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75264359"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57F29961"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10F2F562"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3BC6D98"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7EC53482"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6E7C6CB0" w14:textId="77777777">
                        <w:pPr>
                          <w:jc w:val="right"/>
                          <w:rPr>
                            <w:color w:val="000000"/>
                            <w:sz w:val="20"/>
                          </w:rPr>
                        </w:pPr>
                        <w:r w:rsidRPr="00ED2F52">
                          <w:rPr>
                            <w:color w:val="000000"/>
                            <w:sz w:val="20"/>
                          </w:rPr>
                          <w:t xml:space="preserve">$0.00 </w:t>
                        </w:r>
                      </w:p>
                    </w:tc>
                  </w:tr>
                  <w:tr w14:paraId="0A3B87BB" w14:textId="77777777" w:rsidTr="00ED2F52">
                    <w:tblPrEx>
                      <w:tblW w:w="12600" w:type="dxa"/>
                      <w:tblLayout w:type="fixed"/>
                      <w:tblLook w:val="04A0"/>
                    </w:tblPrEx>
                    <w:trPr>
                      <w:trHeight w:val="78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7FB0E6F6" w14:textId="77777777">
                        <w:pPr>
                          <w:rPr>
                            <w:color w:val="000000"/>
                            <w:sz w:val="20"/>
                          </w:rPr>
                        </w:pPr>
                        <w:r w:rsidRPr="00ED2F52">
                          <w:rPr>
                            <w:color w:val="000000"/>
                            <w:sz w:val="20"/>
                          </w:rPr>
                          <w:t>Notification of Initial Performance Evaluation of NOx CEMS or CPMS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40995C82"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567ECBDB"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595F6839"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3C2E407A"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56C6621"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3A96E9B6"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4A90D045"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3092C926" w14:textId="77777777">
                        <w:pPr>
                          <w:jc w:val="right"/>
                          <w:rPr>
                            <w:color w:val="000000"/>
                            <w:sz w:val="20"/>
                          </w:rPr>
                        </w:pPr>
                        <w:r w:rsidRPr="00ED2F52">
                          <w:rPr>
                            <w:color w:val="000000"/>
                            <w:sz w:val="20"/>
                          </w:rPr>
                          <w:t xml:space="preserve">$0.00 </w:t>
                        </w:r>
                      </w:p>
                    </w:tc>
                  </w:tr>
                  <w:tr w14:paraId="23C1278B" w14:textId="77777777" w:rsidTr="00ED2F52">
                    <w:tblPrEx>
                      <w:tblW w:w="12600" w:type="dxa"/>
                      <w:tblLayout w:type="fixed"/>
                      <w:tblLook w:val="04A0"/>
                    </w:tblPrEx>
                    <w:trPr>
                      <w:trHeight w:val="78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28D2CB01" w14:textId="77777777">
                        <w:pPr>
                          <w:rPr>
                            <w:color w:val="000000"/>
                            <w:sz w:val="20"/>
                          </w:rPr>
                        </w:pPr>
                        <w:r w:rsidRPr="00ED2F52">
                          <w:rPr>
                            <w:color w:val="000000"/>
                            <w:sz w:val="20"/>
                          </w:rPr>
                          <w:t>Report of Performance Evaluation of NOx CEMS or CPMS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39C2B670"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7DDDAEB1"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3C83AB7F"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2256EFE5"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7C3DE5FA"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6DAC9417"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10BA2255"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4FC3C09D" w14:textId="77777777">
                        <w:pPr>
                          <w:jc w:val="right"/>
                          <w:rPr>
                            <w:color w:val="000000"/>
                            <w:sz w:val="20"/>
                          </w:rPr>
                        </w:pPr>
                        <w:r w:rsidRPr="00ED2F52">
                          <w:rPr>
                            <w:color w:val="000000"/>
                            <w:sz w:val="20"/>
                          </w:rPr>
                          <w:t xml:space="preserve">$0.00 </w:t>
                        </w:r>
                      </w:p>
                    </w:tc>
                  </w:tr>
                  <w:tr w14:paraId="0D2EC227" w14:textId="77777777" w:rsidTr="00ED2F52">
                    <w:tblPrEx>
                      <w:tblW w:w="12600" w:type="dxa"/>
                      <w:tblLayout w:type="fixed"/>
                      <w:tblLook w:val="04A0"/>
                    </w:tblPrEx>
                    <w:trPr>
                      <w:trHeight w:val="26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4416D789" w14:textId="77777777">
                        <w:pPr>
                          <w:rPr>
                            <w:i/>
                            <w:iCs/>
                            <w:color w:val="000000"/>
                            <w:sz w:val="20"/>
                            <w:u w:val="single"/>
                          </w:rPr>
                        </w:pPr>
                        <w:r w:rsidRPr="00ED2F52">
                          <w:rPr>
                            <w:i/>
                            <w:iCs/>
                            <w:color w:val="000000"/>
                            <w:sz w:val="20"/>
                            <w:u w:val="single"/>
                          </w:rPr>
                          <w:t>Existing Sources-Reporting</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3B578D05" w14:textId="77777777">
                        <w:pPr>
                          <w:jc w:val="right"/>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28C9C206"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5F252569"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2F19270E"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72FC0BDD"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4A601DF0"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64695561"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37FD583C" w14:textId="77777777">
                        <w:pPr>
                          <w:jc w:val="right"/>
                          <w:rPr>
                            <w:color w:val="000000"/>
                            <w:sz w:val="20"/>
                          </w:rPr>
                        </w:pPr>
                        <w:r w:rsidRPr="00ED2F52">
                          <w:rPr>
                            <w:color w:val="000000"/>
                            <w:sz w:val="20"/>
                          </w:rPr>
                          <w:t> </w:t>
                        </w:r>
                      </w:p>
                    </w:tc>
                  </w:tr>
                  <w:tr w14:paraId="719B9896" w14:textId="77777777" w:rsidTr="00ED2F52">
                    <w:tblPrEx>
                      <w:tblW w:w="12600" w:type="dxa"/>
                      <w:tblLayout w:type="fixed"/>
                      <w:tblLook w:val="04A0"/>
                    </w:tblPrEx>
                    <w:trPr>
                      <w:trHeight w:val="52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55DB092A" w14:textId="77777777">
                        <w:pPr>
                          <w:rPr>
                            <w:color w:val="000000"/>
                            <w:sz w:val="20"/>
                          </w:rPr>
                        </w:pPr>
                        <w:r w:rsidRPr="00ED2F52">
                          <w:rPr>
                            <w:color w:val="000000"/>
                            <w:sz w:val="20"/>
                          </w:rPr>
                          <w:t>Notification of Annual Performance Test</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4EFB7689"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1FFF3D4A"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1DDEF95B"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0E10D7C0"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731A35D"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0654EC9F"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3064E55"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23F7B9B2" w14:textId="77777777">
                        <w:pPr>
                          <w:jc w:val="right"/>
                          <w:rPr>
                            <w:color w:val="000000"/>
                            <w:sz w:val="20"/>
                          </w:rPr>
                        </w:pPr>
                        <w:r w:rsidRPr="00ED2F52">
                          <w:rPr>
                            <w:color w:val="000000"/>
                            <w:sz w:val="20"/>
                          </w:rPr>
                          <w:t xml:space="preserve">$0.00 </w:t>
                        </w:r>
                      </w:p>
                    </w:tc>
                  </w:tr>
                  <w:tr w14:paraId="5CA1698E" w14:textId="77777777" w:rsidTr="00ED2F52">
                    <w:tblPrEx>
                      <w:tblW w:w="12600" w:type="dxa"/>
                      <w:tblLayout w:type="fixed"/>
                      <w:tblLook w:val="04A0"/>
                    </w:tblPrEx>
                    <w:trPr>
                      <w:trHeight w:val="104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7939A8CD" w14:textId="77777777">
                        <w:pPr>
                          <w:rPr>
                            <w:color w:val="000000"/>
                            <w:sz w:val="20"/>
                          </w:rPr>
                        </w:pPr>
                        <w:r w:rsidRPr="00ED2F52">
                          <w:rPr>
                            <w:color w:val="000000"/>
                            <w:sz w:val="20"/>
                          </w:rPr>
                          <w:t>Report of Annual Performance Test Results submitted via CEDRI or analogous electronic reporting</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340DB97C"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D918B03"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238EB813"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35387D68"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32FC3B7"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6A742183"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4369D39"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3E3A4622" w14:textId="77777777">
                        <w:pPr>
                          <w:jc w:val="right"/>
                          <w:rPr>
                            <w:color w:val="000000"/>
                            <w:sz w:val="20"/>
                          </w:rPr>
                        </w:pPr>
                        <w:r w:rsidRPr="00ED2F52">
                          <w:rPr>
                            <w:color w:val="000000"/>
                            <w:sz w:val="20"/>
                          </w:rPr>
                          <w:t xml:space="preserve">$0.00 </w:t>
                        </w:r>
                      </w:p>
                    </w:tc>
                  </w:tr>
                  <w:tr w14:paraId="3F932198" w14:textId="77777777" w:rsidTr="00ED2F52">
                    <w:tblPrEx>
                      <w:tblW w:w="12600" w:type="dxa"/>
                      <w:tblLayout w:type="fixed"/>
                      <w:tblLook w:val="04A0"/>
                    </w:tblPrEx>
                    <w:trPr>
                      <w:trHeight w:val="52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375B594F" w14:textId="77777777">
                        <w:pPr>
                          <w:rPr>
                            <w:color w:val="000000"/>
                            <w:sz w:val="20"/>
                          </w:rPr>
                        </w:pPr>
                        <w:r w:rsidRPr="00ED2F52">
                          <w:rPr>
                            <w:color w:val="000000"/>
                            <w:sz w:val="20"/>
                          </w:rPr>
                          <w:t>Notification of Demonstration of CEMS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467DF4AE"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69208DE7"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20F0B6D4"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4DA2A9AC"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74541056"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8039FD0"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1E16D00C"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6C381BE5" w14:textId="77777777">
                        <w:pPr>
                          <w:jc w:val="right"/>
                          <w:rPr>
                            <w:color w:val="000000"/>
                            <w:sz w:val="20"/>
                          </w:rPr>
                        </w:pPr>
                        <w:r w:rsidRPr="00ED2F52">
                          <w:rPr>
                            <w:color w:val="000000"/>
                            <w:sz w:val="20"/>
                          </w:rPr>
                          <w:t xml:space="preserve">$0.00 </w:t>
                        </w:r>
                      </w:p>
                    </w:tc>
                  </w:tr>
                  <w:tr w14:paraId="245D703E" w14:textId="77777777" w:rsidTr="00ED2F52">
                    <w:tblPrEx>
                      <w:tblW w:w="12600" w:type="dxa"/>
                      <w:tblLayout w:type="fixed"/>
                      <w:tblLook w:val="04A0"/>
                    </w:tblPrEx>
                    <w:trPr>
                      <w:trHeight w:val="78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0A7C925F" w14:textId="77777777">
                        <w:pPr>
                          <w:rPr>
                            <w:color w:val="000000"/>
                            <w:sz w:val="20"/>
                          </w:rPr>
                        </w:pPr>
                        <w:r w:rsidRPr="00ED2F52">
                          <w:rPr>
                            <w:color w:val="000000"/>
                            <w:sz w:val="20"/>
                          </w:rPr>
                          <w:t>Notification of Initial Performance Evaluation of NOx CEMS or CPMS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68080B4B"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17A632B6"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5DF42A43"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7B062461"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5AE877D"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03908FC5"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BE8255F"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73EE9F2D" w14:textId="77777777">
                        <w:pPr>
                          <w:jc w:val="right"/>
                          <w:rPr>
                            <w:color w:val="000000"/>
                            <w:sz w:val="20"/>
                          </w:rPr>
                        </w:pPr>
                        <w:r w:rsidRPr="00ED2F52">
                          <w:rPr>
                            <w:color w:val="000000"/>
                            <w:sz w:val="20"/>
                          </w:rPr>
                          <w:t xml:space="preserve">$0.00 </w:t>
                        </w:r>
                      </w:p>
                    </w:tc>
                  </w:tr>
                  <w:tr w14:paraId="533B3A88" w14:textId="77777777" w:rsidTr="00ED2F52">
                    <w:tblPrEx>
                      <w:tblW w:w="12600" w:type="dxa"/>
                      <w:tblLayout w:type="fixed"/>
                      <w:tblLook w:val="04A0"/>
                    </w:tblPrEx>
                    <w:trPr>
                      <w:trHeight w:val="78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2FA7CDC5" w14:textId="77777777">
                        <w:pPr>
                          <w:rPr>
                            <w:color w:val="000000"/>
                            <w:sz w:val="20"/>
                          </w:rPr>
                        </w:pPr>
                        <w:r w:rsidRPr="00ED2F52">
                          <w:rPr>
                            <w:color w:val="000000"/>
                            <w:sz w:val="20"/>
                          </w:rPr>
                          <w:t>Report of Initial Performance Evaluation of NOx CEMS or CPMS Test Results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538DD0D6"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2918C85"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24C87793"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39A01128"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4CBEF257"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463C008"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11CAD73D"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2DAFFAF4" w14:textId="77777777">
                        <w:pPr>
                          <w:jc w:val="right"/>
                          <w:rPr>
                            <w:color w:val="000000"/>
                            <w:sz w:val="20"/>
                          </w:rPr>
                        </w:pPr>
                        <w:r w:rsidRPr="00ED2F52">
                          <w:rPr>
                            <w:color w:val="000000"/>
                            <w:sz w:val="20"/>
                          </w:rPr>
                          <w:t xml:space="preserve">$0.00 </w:t>
                        </w:r>
                      </w:p>
                    </w:tc>
                  </w:tr>
                  <w:tr w14:paraId="1528D021" w14:textId="77777777" w:rsidTr="00ED2F52">
                    <w:tblPrEx>
                      <w:tblW w:w="12600" w:type="dxa"/>
                      <w:tblLayout w:type="fixed"/>
                      <w:tblLook w:val="04A0"/>
                    </w:tblPrEx>
                    <w:trPr>
                      <w:trHeight w:val="26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22414FB8" w14:textId="77777777">
                        <w:pPr>
                          <w:rPr>
                            <w:color w:val="000000"/>
                            <w:sz w:val="20"/>
                          </w:rPr>
                        </w:pPr>
                        <w:r w:rsidRPr="00ED2F52">
                          <w:rPr>
                            <w:color w:val="000000"/>
                            <w:sz w:val="20"/>
                          </w:rPr>
                          <w:t> </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3E9C174B"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5365CBC" w14:textId="77777777">
                        <w:pPr>
                          <w:jc w:val="center"/>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11904C86" w14:textId="77777777">
                        <w:pPr>
                          <w:jc w:val="center"/>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67D47B4E"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D8B5C3D"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465E887F"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33A73F0A" w14:textId="77777777">
                        <w:pPr>
                          <w:jc w:val="center"/>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322A2060" w14:textId="77777777">
                        <w:pPr>
                          <w:jc w:val="right"/>
                          <w:rPr>
                            <w:color w:val="000000"/>
                            <w:sz w:val="20"/>
                          </w:rPr>
                        </w:pPr>
                        <w:r w:rsidRPr="00ED2F52">
                          <w:rPr>
                            <w:color w:val="000000"/>
                            <w:sz w:val="20"/>
                          </w:rPr>
                          <w:t> </w:t>
                        </w:r>
                      </w:p>
                    </w:tc>
                  </w:tr>
                  <w:tr w14:paraId="3640B94F" w14:textId="77777777" w:rsidTr="00ED2F52">
                    <w:tblPrEx>
                      <w:tblW w:w="12600" w:type="dxa"/>
                      <w:tblLayout w:type="fixed"/>
                      <w:tblLook w:val="04A0"/>
                    </w:tblPrEx>
                    <w:trPr>
                      <w:trHeight w:val="53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59C53FE1" w14:textId="77777777">
                        <w:pPr>
                          <w:rPr>
                            <w:b/>
                            <w:bCs/>
                            <w:i/>
                            <w:iCs/>
                            <w:color w:val="000000"/>
                            <w:sz w:val="20"/>
                          </w:rPr>
                        </w:pPr>
                        <w:r w:rsidRPr="00ED2F52">
                          <w:rPr>
                            <w:b/>
                            <w:bCs/>
                            <w:i/>
                            <w:iCs/>
                            <w:color w:val="000000"/>
                            <w:sz w:val="20"/>
                          </w:rPr>
                          <w:t>Subtotal for Reporting Requirements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7F3075EC" w14:textId="77777777">
                        <w:pPr>
                          <w:jc w:val="right"/>
                          <w:rPr>
                            <w:b/>
                            <w:bCs/>
                            <w:i/>
                            <w:iCs/>
                            <w:color w:val="000000"/>
                            <w:sz w:val="20"/>
                          </w:rPr>
                        </w:pPr>
                        <w:r w:rsidRPr="00ED2F52">
                          <w:rPr>
                            <w:b/>
                            <w:bCs/>
                            <w:i/>
                            <w:i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128E11D" w14:textId="77777777">
                        <w:pPr>
                          <w:jc w:val="right"/>
                          <w:rPr>
                            <w:b/>
                            <w:bCs/>
                            <w:i/>
                            <w:iCs/>
                            <w:sz w:val="20"/>
                          </w:rPr>
                        </w:pPr>
                        <w:r w:rsidRPr="00ED2F52">
                          <w:rPr>
                            <w:b/>
                            <w:bCs/>
                            <w:i/>
                            <w:i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1850CB1D" w14:textId="77777777">
                        <w:pPr>
                          <w:jc w:val="right"/>
                          <w:rPr>
                            <w:b/>
                            <w:bCs/>
                            <w:i/>
                            <w:iCs/>
                            <w:color w:val="000000"/>
                            <w:sz w:val="20"/>
                          </w:rPr>
                        </w:pPr>
                        <w:r w:rsidRPr="00ED2F52">
                          <w:rPr>
                            <w:b/>
                            <w:bCs/>
                            <w:i/>
                            <w:iCs/>
                            <w:color w:val="000000"/>
                            <w:sz w:val="20"/>
                          </w:rPr>
                          <w:t> </w:t>
                        </w:r>
                      </w:p>
                    </w:tc>
                    <w:tc>
                      <w:tcPr>
                        <w:tcW w:w="12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6E8CC624" w14:textId="77777777">
                        <w:pPr>
                          <w:jc w:val="right"/>
                          <w:rPr>
                            <w:b/>
                            <w:bCs/>
                            <w:i/>
                            <w:iCs/>
                            <w:sz w:val="20"/>
                          </w:rPr>
                        </w:pPr>
                        <w:r w:rsidRPr="00ED2F52">
                          <w:rPr>
                            <w:b/>
                            <w:bCs/>
                            <w:i/>
                            <w:iCs/>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299A37AC" w14:textId="77777777">
                        <w:pPr>
                          <w:jc w:val="center"/>
                          <w:rPr>
                            <w:b/>
                            <w:bCs/>
                            <w:i/>
                            <w:iCs/>
                            <w:color w:val="000000"/>
                            <w:sz w:val="20"/>
                          </w:rPr>
                        </w:pPr>
                        <w:r w:rsidRPr="00ED2F52">
                          <w:rPr>
                            <w:b/>
                            <w:bCs/>
                            <w:i/>
                            <w:iCs/>
                            <w:color w:val="000000"/>
                            <w:sz w:val="20"/>
                          </w:rPr>
                          <w:t>152</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1C568299" w14:textId="77777777">
                        <w:pPr>
                          <w:jc w:val="center"/>
                          <w:rPr>
                            <w:b/>
                            <w:bCs/>
                            <w:i/>
                            <w:iCs/>
                            <w:color w:val="000000"/>
                            <w:sz w:val="20"/>
                          </w:rPr>
                        </w:pPr>
                        <w:r w:rsidRPr="00ED2F52">
                          <w:rPr>
                            <w:b/>
                            <w:bCs/>
                            <w:i/>
                            <w:iCs/>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3DDCFB81" w14:textId="77777777">
                        <w:pPr>
                          <w:jc w:val="center"/>
                          <w:rPr>
                            <w:b/>
                            <w:bCs/>
                            <w:i/>
                            <w:iCs/>
                            <w:color w:val="000000"/>
                            <w:sz w:val="20"/>
                          </w:rPr>
                        </w:pPr>
                        <w:r w:rsidRPr="00ED2F52">
                          <w:rPr>
                            <w:b/>
                            <w:bCs/>
                            <w:i/>
                            <w:iCs/>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61A9481F" w14:textId="77777777">
                        <w:pPr>
                          <w:jc w:val="right"/>
                          <w:rPr>
                            <w:b/>
                            <w:bCs/>
                            <w:i/>
                            <w:iCs/>
                            <w:color w:val="000000"/>
                            <w:sz w:val="20"/>
                          </w:rPr>
                        </w:pPr>
                        <w:r w:rsidRPr="00ED2F52">
                          <w:rPr>
                            <w:b/>
                            <w:bCs/>
                            <w:i/>
                            <w:iCs/>
                            <w:color w:val="000000"/>
                            <w:sz w:val="20"/>
                          </w:rPr>
                          <w:t xml:space="preserve">$18,853 </w:t>
                        </w:r>
                      </w:p>
                    </w:tc>
                  </w:tr>
                  <w:tr w14:paraId="1658254A" w14:textId="77777777" w:rsidTr="00ED2F52">
                    <w:tblPrEx>
                      <w:tblW w:w="12600" w:type="dxa"/>
                      <w:tblLayout w:type="fixed"/>
                      <w:tblLook w:val="04A0"/>
                    </w:tblPrEx>
                    <w:trPr>
                      <w:trHeight w:val="52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6C11E2B0" w14:textId="77777777">
                        <w:pPr>
                          <w:rPr>
                            <w:color w:val="000000"/>
                            <w:sz w:val="20"/>
                          </w:rPr>
                        </w:pPr>
                        <w:r w:rsidRPr="00ED2F52">
                          <w:rPr>
                            <w:color w:val="000000"/>
                            <w:sz w:val="20"/>
                          </w:rPr>
                          <w:t>5. RECORDKEEPING REQUIREMENTS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053275B9" w14:textId="77777777">
                        <w:pPr>
                          <w:jc w:val="right"/>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7BDAF060"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19449F98"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78AB427D"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D229F0F"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143CE0C9"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7E884CCB"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4DF6F66A" w14:textId="77777777">
                        <w:pPr>
                          <w:jc w:val="right"/>
                          <w:rPr>
                            <w:color w:val="000000"/>
                            <w:sz w:val="20"/>
                          </w:rPr>
                        </w:pPr>
                        <w:r w:rsidRPr="00ED2F52">
                          <w:rPr>
                            <w:color w:val="000000"/>
                            <w:sz w:val="20"/>
                          </w:rPr>
                          <w:t> </w:t>
                        </w:r>
                      </w:p>
                    </w:tc>
                  </w:tr>
                  <w:tr w14:paraId="46E9573D" w14:textId="77777777" w:rsidTr="00ED2F52">
                    <w:tblPrEx>
                      <w:tblW w:w="12600" w:type="dxa"/>
                      <w:tblLayout w:type="fixed"/>
                      <w:tblLook w:val="04A0"/>
                    </w:tblPrEx>
                    <w:trPr>
                      <w:trHeight w:val="52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4E9B471F" w14:textId="77777777">
                        <w:pPr>
                          <w:rPr>
                            <w:color w:val="000000"/>
                            <w:sz w:val="20"/>
                          </w:rPr>
                        </w:pPr>
                        <w:r w:rsidRPr="00ED2F52">
                          <w:rPr>
                            <w:color w:val="000000"/>
                            <w:sz w:val="20"/>
                          </w:rPr>
                          <w:t>A. Familiarize with regulatory requirement</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360455CA"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5F5C04F1"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836743B"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0C15DDBE"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DE8817D"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1BBC6C7B"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69A7CE2"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0FB5A78C" w14:textId="77777777">
                        <w:pPr>
                          <w:jc w:val="right"/>
                          <w:rPr>
                            <w:color w:val="000000"/>
                            <w:sz w:val="20"/>
                          </w:rPr>
                        </w:pPr>
                        <w:r w:rsidRPr="00ED2F52">
                          <w:rPr>
                            <w:color w:val="000000"/>
                            <w:sz w:val="20"/>
                          </w:rPr>
                          <w:t> </w:t>
                        </w:r>
                      </w:p>
                    </w:tc>
                  </w:tr>
                  <w:tr w14:paraId="1EBC2E41" w14:textId="77777777" w:rsidTr="00ED2F52">
                    <w:tblPrEx>
                      <w:tblW w:w="12600" w:type="dxa"/>
                      <w:tblLayout w:type="fixed"/>
                      <w:tblLook w:val="04A0"/>
                    </w:tblPrEx>
                    <w:trPr>
                      <w:trHeight w:val="26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00C48D8A" w14:textId="77777777">
                        <w:pPr>
                          <w:rPr>
                            <w:color w:val="000000"/>
                            <w:sz w:val="20"/>
                          </w:rPr>
                        </w:pPr>
                        <w:r w:rsidRPr="00ED2F52">
                          <w:rPr>
                            <w:color w:val="000000"/>
                            <w:sz w:val="20"/>
                          </w:rPr>
                          <w:t xml:space="preserve">B. Plan Activities </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0F769A76"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5410649A"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13F05515"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05FCBC6E"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4BD58B79"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A546DAF"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7400AC69"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58E3302E" w14:textId="77777777">
                        <w:pPr>
                          <w:jc w:val="right"/>
                          <w:rPr>
                            <w:color w:val="000000"/>
                            <w:sz w:val="20"/>
                          </w:rPr>
                        </w:pPr>
                        <w:r w:rsidRPr="00ED2F52">
                          <w:rPr>
                            <w:color w:val="000000"/>
                            <w:sz w:val="20"/>
                          </w:rPr>
                          <w:t> </w:t>
                        </w:r>
                      </w:p>
                    </w:tc>
                  </w:tr>
                  <w:tr w14:paraId="69ECD5A4" w14:textId="77777777" w:rsidTr="00ED2F52">
                    <w:tblPrEx>
                      <w:tblW w:w="12600" w:type="dxa"/>
                      <w:tblLayout w:type="fixed"/>
                      <w:tblLook w:val="04A0"/>
                    </w:tblPrEx>
                    <w:trPr>
                      <w:trHeight w:val="26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3447296A" w14:textId="77777777">
                        <w:pPr>
                          <w:rPr>
                            <w:color w:val="000000"/>
                            <w:sz w:val="20"/>
                          </w:rPr>
                        </w:pPr>
                        <w:r w:rsidRPr="00ED2F52">
                          <w:rPr>
                            <w:color w:val="000000"/>
                            <w:sz w:val="20"/>
                          </w:rPr>
                          <w:t xml:space="preserve">C. Implement Activities </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290C8B05"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613E0B8B"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244DAD56"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52FF8DEA"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0F42366"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0FECE48"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6A3C6BE8"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2B0495A0" w14:textId="77777777">
                        <w:pPr>
                          <w:jc w:val="right"/>
                          <w:rPr>
                            <w:color w:val="000000"/>
                            <w:sz w:val="20"/>
                          </w:rPr>
                        </w:pPr>
                        <w:r w:rsidRPr="00ED2F52">
                          <w:rPr>
                            <w:color w:val="000000"/>
                            <w:sz w:val="20"/>
                          </w:rPr>
                          <w:t> </w:t>
                        </w:r>
                      </w:p>
                    </w:tc>
                  </w:tr>
                  <w:tr w14:paraId="36A0B517" w14:textId="77777777" w:rsidTr="00ED2F52">
                    <w:tblPrEx>
                      <w:tblW w:w="12600" w:type="dxa"/>
                      <w:tblLayout w:type="fixed"/>
                      <w:tblLook w:val="04A0"/>
                    </w:tblPrEx>
                    <w:trPr>
                      <w:trHeight w:val="26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3DCCEF76" w14:textId="77777777">
                        <w:pPr>
                          <w:rPr>
                            <w:color w:val="000000"/>
                            <w:sz w:val="20"/>
                          </w:rPr>
                        </w:pPr>
                        <w:r w:rsidRPr="00ED2F52">
                          <w:rPr>
                            <w:color w:val="000000"/>
                            <w:sz w:val="20"/>
                          </w:rPr>
                          <w:t xml:space="preserve">D. Record Data </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7A0B5782" w14:textId="77777777">
                        <w:pPr>
                          <w:jc w:val="center"/>
                          <w:rPr>
                            <w:color w:val="000000"/>
                            <w:sz w:val="20"/>
                          </w:rPr>
                        </w:pPr>
                        <w:r w:rsidRPr="00ED2F52">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202907AC"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1180542"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718EA285"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7FDB797"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B78C54B"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33592E1"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4950AA43" w14:textId="77777777">
                        <w:pPr>
                          <w:jc w:val="right"/>
                          <w:rPr>
                            <w:color w:val="000000"/>
                            <w:sz w:val="20"/>
                          </w:rPr>
                        </w:pPr>
                        <w:r w:rsidRPr="00ED2F52">
                          <w:rPr>
                            <w:color w:val="000000"/>
                            <w:sz w:val="20"/>
                          </w:rPr>
                          <w:t> </w:t>
                        </w:r>
                      </w:p>
                    </w:tc>
                  </w:tr>
                  <w:tr w14:paraId="43940E15" w14:textId="77777777" w:rsidTr="00ED2F52">
                    <w:tblPrEx>
                      <w:tblW w:w="12600" w:type="dxa"/>
                      <w:tblLayout w:type="fixed"/>
                      <w:tblLook w:val="04A0"/>
                    </w:tblPrEx>
                    <w:trPr>
                      <w:trHeight w:val="52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4E500AA5" w14:textId="77777777">
                        <w:pPr>
                          <w:rPr>
                            <w:color w:val="000000"/>
                            <w:sz w:val="20"/>
                          </w:rPr>
                        </w:pPr>
                        <w:r w:rsidRPr="00ED2F52">
                          <w:rPr>
                            <w:color w:val="000000"/>
                            <w:sz w:val="20"/>
                          </w:rPr>
                          <w:t>E. Time to Transmit or Disclose Information</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6FB54D3B" w14:textId="77777777">
                        <w:pPr>
                          <w:jc w:val="right"/>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1960C2DA"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301FE6C2"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52E477D8"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21D66B5E"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39E1BD15"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41F907E"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69F6FEA6" w14:textId="77777777">
                        <w:pPr>
                          <w:jc w:val="right"/>
                          <w:rPr>
                            <w:color w:val="000000"/>
                            <w:sz w:val="20"/>
                          </w:rPr>
                        </w:pPr>
                        <w:r w:rsidRPr="00ED2F52">
                          <w:rPr>
                            <w:color w:val="000000"/>
                            <w:sz w:val="20"/>
                          </w:rPr>
                          <w:t> </w:t>
                        </w:r>
                      </w:p>
                    </w:tc>
                  </w:tr>
                  <w:tr w14:paraId="18339C74" w14:textId="77777777" w:rsidTr="00ED2F52">
                    <w:tblPrEx>
                      <w:tblW w:w="12600" w:type="dxa"/>
                      <w:tblLayout w:type="fixed"/>
                      <w:tblLook w:val="04A0"/>
                    </w:tblPrEx>
                    <w:trPr>
                      <w:trHeight w:val="26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21ED0510" w14:textId="77777777">
                        <w:pPr>
                          <w:rPr>
                            <w:i/>
                            <w:iCs/>
                            <w:color w:val="000000"/>
                            <w:sz w:val="20"/>
                            <w:u w:val="single"/>
                          </w:rPr>
                        </w:pPr>
                        <w:r w:rsidRPr="00ED2F52">
                          <w:rPr>
                            <w:i/>
                            <w:iCs/>
                            <w:color w:val="000000"/>
                            <w:sz w:val="20"/>
                            <w:u w:val="single"/>
                          </w:rPr>
                          <w:t>Existing Sources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1CE7EA97" w14:textId="77777777">
                        <w:pPr>
                          <w:jc w:val="right"/>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81F6A0B"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3833CA8A"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35EDDFDC"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1B1B898"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1A033F24"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99A0A19"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7582062B" w14:textId="77777777">
                        <w:pPr>
                          <w:jc w:val="right"/>
                          <w:rPr>
                            <w:color w:val="000000"/>
                            <w:sz w:val="20"/>
                          </w:rPr>
                        </w:pPr>
                        <w:r w:rsidRPr="00ED2F52">
                          <w:rPr>
                            <w:color w:val="000000"/>
                            <w:sz w:val="20"/>
                          </w:rPr>
                          <w:t> </w:t>
                        </w:r>
                      </w:p>
                    </w:tc>
                  </w:tr>
                  <w:tr w14:paraId="6392D535" w14:textId="77777777" w:rsidTr="00ED2F52">
                    <w:tblPrEx>
                      <w:tblW w:w="12600" w:type="dxa"/>
                      <w:tblLayout w:type="fixed"/>
                      <w:tblLook w:val="04A0"/>
                    </w:tblPrEx>
                    <w:trPr>
                      <w:trHeight w:val="26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0F05D94C" w14:textId="77777777">
                        <w:pPr>
                          <w:rPr>
                            <w:color w:val="000000"/>
                            <w:sz w:val="20"/>
                          </w:rPr>
                        </w:pPr>
                        <w:r w:rsidRPr="00ED2F52">
                          <w:rPr>
                            <w:color w:val="000000"/>
                            <w:sz w:val="20"/>
                          </w:rPr>
                          <w:t>Data Collection</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6E6DF333" w14:textId="77777777">
                        <w:pPr>
                          <w:jc w:val="center"/>
                          <w:rPr>
                            <w:color w:val="000000"/>
                            <w:sz w:val="20"/>
                          </w:rPr>
                        </w:pPr>
                        <w:r w:rsidRPr="00ED2F52">
                          <w:rPr>
                            <w:color w:val="000000"/>
                            <w:sz w:val="20"/>
                          </w:rPr>
                          <w:t>0.1</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B17ED62" w14:textId="77777777">
                        <w:pPr>
                          <w:jc w:val="center"/>
                          <w:rPr>
                            <w:sz w:val="20"/>
                          </w:rPr>
                        </w:pPr>
                        <w:r w:rsidRPr="00ED2F52">
                          <w:rPr>
                            <w:sz w:val="20"/>
                          </w:rPr>
                          <w:t>1</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2FFA73D6" w14:textId="77777777">
                        <w:pPr>
                          <w:jc w:val="center"/>
                          <w:rPr>
                            <w:color w:val="000000"/>
                            <w:sz w:val="20"/>
                          </w:rPr>
                        </w:pPr>
                        <w:r w:rsidRPr="00ED2F52">
                          <w:rPr>
                            <w:color w:val="000000"/>
                            <w:sz w:val="20"/>
                          </w:rPr>
                          <w:t>0.1</w:t>
                        </w:r>
                      </w:p>
                    </w:tc>
                    <w:tc>
                      <w:tcPr>
                        <w:tcW w:w="12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363AAB2A" w14:textId="77777777">
                        <w:pPr>
                          <w:jc w:val="center"/>
                          <w:rPr>
                            <w:sz w:val="20"/>
                          </w:rPr>
                        </w:pPr>
                        <w:r w:rsidRPr="00ED2F52">
                          <w:rPr>
                            <w:sz w:val="20"/>
                          </w:rPr>
                          <w:t>85</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3C53C9C" w14:textId="77777777">
                        <w:pPr>
                          <w:jc w:val="center"/>
                          <w:rPr>
                            <w:color w:val="000000"/>
                            <w:sz w:val="20"/>
                          </w:rPr>
                        </w:pPr>
                        <w:r w:rsidRPr="00ED2F52">
                          <w:rPr>
                            <w:color w:val="000000"/>
                            <w:sz w:val="20"/>
                          </w:rPr>
                          <w:t>9</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40B2D1B0" w14:textId="77777777">
                        <w:pPr>
                          <w:jc w:val="center"/>
                          <w:rPr>
                            <w:color w:val="000000"/>
                            <w:sz w:val="20"/>
                          </w:rPr>
                        </w:pPr>
                        <w:r w:rsidRPr="00ED2F52">
                          <w:rPr>
                            <w:color w:val="000000"/>
                            <w:sz w:val="20"/>
                          </w:rPr>
                          <w:t>0.425</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7231C70" w14:textId="77777777">
                        <w:pPr>
                          <w:jc w:val="center"/>
                          <w:rPr>
                            <w:color w:val="000000"/>
                            <w:sz w:val="20"/>
                          </w:rPr>
                        </w:pPr>
                        <w:r w:rsidRPr="00ED2F52">
                          <w:rPr>
                            <w:color w:val="000000"/>
                            <w:sz w:val="20"/>
                          </w:rPr>
                          <w:t>0.85</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0906C3D1" w14:textId="7BD55B95">
                        <w:pPr>
                          <w:jc w:val="right"/>
                          <w:rPr>
                            <w:color w:val="000000"/>
                            <w:sz w:val="20"/>
                          </w:rPr>
                        </w:pPr>
                        <w:r w:rsidRPr="00ED2F52">
                          <w:rPr>
                            <w:color w:val="000000"/>
                            <w:sz w:val="20"/>
                          </w:rPr>
                          <w:t>$1,20</w:t>
                        </w:r>
                        <w:r w:rsidR="005617FD">
                          <w:rPr>
                            <w:color w:val="000000"/>
                            <w:sz w:val="20"/>
                          </w:rPr>
                          <w:t>9</w:t>
                        </w:r>
                        <w:r w:rsidRPr="00ED2F52">
                          <w:rPr>
                            <w:color w:val="000000"/>
                            <w:sz w:val="20"/>
                          </w:rPr>
                          <w:t xml:space="preserve"> </w:t>
                        </w:r>
                      </w:p>
                    </w:tc>
                  </w:tr>
                  <w:tr w14:paraId="733DC43A" w14:textId="77777777" w:rsidTr="00ED2F52">
                    <w:tblPrEx>
                      <w:tblW w:w="12600" w:type="dxa"/>
                      <w:tblLayout w:type="fixed"/>
                      <w:tblLook w:val="04A0"/>
                    </w:tblPrEx>
                    <w:trPr>
                      <w:trHeight w:val="26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130A3982" w14:textId="77777777">
                        <w:pPr>
                          <w:rPr>
                            <w:color w:val="000000"/>
                            <w:sz w:val="20"/>
                          </w:rPr>
                        </w:pPr>
                        <w:r w:rsidRPr="00ED2F52">
                          <w:rPr>
                            <w:color w:val="000000"/>
                            <w:sz w:val="20"/>
                          </w:rPr>
                          <w:t>Records of Performance Tests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0A4CEF3F"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4482EE25"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DF6EC5D"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34D68D58"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25F92FA1"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63A4F1FA"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49E3F064"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488A0DBC" w14:textId="77777777">
                        <w:pPr>
                          <w:jc w:val="right"/>
                          <w:rPr>
                            <w:color w:val="000000"/>
                            <w:sz w:val="20"/>
                          </w:rPr>
                        </w:pPr>
                        <w:r w:rsidRPr="00ED2F52">
                          <w:rPr>
                            <w:color w:val="000000"/>
                            <w:sz w:val="20"/>
                          </w:rPr>
                          <w:t xml:space="preserve">$0.00 </w:t>
                        </w:r>
                      </w:p>
                    </w:tc>
                  </w:tr>
                  <w:tr w14:paraId="6041D874" w14:textId="77777777" w:rsidTr="00ED2F52">
                    <w:tblPrEx>
                      <w:tblW w:w="12600" w:type="dxa"/>
                      <w:tblLayout w:type="fixed"/>
                      <w:tblLook w:val="04A0"/>
                    </w:tblPrEx>
                    <w:trPr>
                      <w:trHeight w:val="78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239DEA98" w14:textId="77777777">
                        <w:pPr>
                          <w:rPr>
                            <w:color w:val="000000"/>
                            <w:sz w:val="20"/>
                          </w:rPr>
                        </w:pPr>
                        <w:r w:rsidRPr="00ED2F52">
                          <w:rPr>
                            <w:color w:val="000000"/>
                            <w:sz w:val="20"/>
                          </w:rPr>
                          <w:t>Recordkeeping of NOx emission rate, operating days data, CEMS or CPMS data</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7C3D9711"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61D95CD0"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ACA784B"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7475C230"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64A7AFD5"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10117D16"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9F86E64"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1AAFAB0D" w14:textId="77777777">
                        <w:pPr>
                          <w:jc w:val="right"/>
                          <w:rPr>
                            <w:color w:val="000000"/>
                            <w:sz w:val="20"/>
                          </w:rPr>
                        </w:pPr>
                        <w:r w:rsidRPr="00ED2F52">
                          <w:rPr>
                            <w:color w:val="000000"/>
                            <w:sz w:val="20"/>
                          </w:rPr>
                          <w:t xml:space="preserve">$0.00 </w:t>
                        </w:r>
                      </w:p>
                    </w:tc>
                  </w:tr>
                  <w:tr w14:paraId="323990BD" w14:textId="77777777" w:rsidTr="00ED2F52">
                    <w:tblPrEx>
                      <w:tblW w:w="12600" w:type="dxa"/>
                      <w:tblLayout w:type="fixed"/>
                      <w:tblLook w:val="04A0"/>
                    </w:tblPrEx>
                    <w:trPr>
                      <w:trHeight w:val="26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5919C5F6" w14:textId="77777777">
                        <w:pPr>
                          <w:rPr>
                            <w:i/>
                            <w:iCs/>
                            <w:color w:val="000000"/>
                            <w:sz w:val="20"/>
                            <w:u w:val="single"/>
                          </w:rPr>
                        </w:pPr>
                        <w:r w:rsidRPr="00ED2F52">
                          <w:rPr>
                            <w:i/>
                            <w:iCs/>
                            <w:color w:val="000000"/>
                            <w:sz w:val="20"/>
                            <w:u w:val="single"/>
                          </w:rPr>
                          <w:t>New Sources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4CCC56D1"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562B71B5" w14:textId="77777777">
                        <w:pPr>
                          <w:jc w:val="center"/>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5BB6082A" w14:textId="77777777">
                        <w:pPr>
                          <w:jc w:val="center"/>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7164242C"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29CCA1EC"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A6CB0FA"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6CE4349" w14:textId="77777777">
                        <w:pPr>
                          <w:jc w:val="center"/>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51F8008A" w14:textId="77777777">
                        <w:pPr>
                          <w:jc w:val="right"/>
                          <w:rPr>
                            <w:color w:val="000000"/>
                            <w:sz w:val="20"/>
                          </w:rPr>
                        </w:pPr>
                        <w:r w:rsidRPr="00ED2F52">
                          <w:rPr>
                            <w:color w:val="000000"/>
                            <w:sz w:val="20"/>
                          </w:rPr>
                          <w:t> </w:t>
                        </w:r>
                      </w:p>
                    </w:tc>
                  </w:tr>
                  <w:tr w14:paraId="32B1D8D7" w14:textId="77777777" w:rsidTr="00ED2F52">
                    <w:tblPrEx>
                      <w:tblW w:w="12600" w:type="dxa"/>
                      <w:tblLayout w:type="fixed"/>
                      <w:tblLook w:val="04A0"/>
                    </w:tblPrEx>
                    <w:trPr>
                      <w:trHeight w:val="26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65727DFF" w14:textId="77777777">
                        <w:pPr>
                          <w:rPr>
                            <w:color w:val="000000"/>
                            <w:sz w:val="20"/>
                          </w:rPr>
                        </w:pPr>
                        <w:r w:rsidRPr="00ED2F52">
                          <w:rPr>
                            <w:color w:val="000000"/>
                            <w:sz w:val="20"/>
                          </w:rPr>
                          <w:t>Data Collection</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74588995"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3A31331"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2223EE3C"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57772673"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110ADB87"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68948409"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49A3DBD"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4C3F47C9" w14:textId="77777777">
                        <w:pPr>
                          <w:jc w:val="right"/>
                          <w:rPr>
                            <w:color w:val="000000"/>
                            <w:sz w:val="20"/>
                          </w:rPr>
                        </w:pPr>
                        <w:r w:rsidRPr="00ED2F52">
                          <w:rPr>
                            <w:color w:val="000000"/>
                            <w:sz w:val="20"/>
                          </w:rPr>
                          <w:t xml:space="preserve">$0 </w:t>
                        </w:r>
                      </w:p>
                    </w:tc>
                  </w:tr>
                  <w:tr w14:paraId="1CB08B26" w14:textId="77777777" w:rsidTr="00ED2F52">
                    <w:tblPrEx>
                      <w:tblW w:w="12600" w:type="dxa"/>
                      <w:tblLayout w:type="fixed"/>
                      <w:tblLook w:val="04A0"/>
                    </w:tblPrEx>
                    <w:trPr>
                      <w:trHeight w:val="26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6BD87C61" w14:textId="77777777">
                        <w:pPr>
                          <w:rPr>
                            <w:color w:val="000000"/>
                            <w:sz w:val="20"/>
                          </w:rPr>
                        </w:pPr>
                        <w:r w:rsidRPr="00ED2F52">
                          <w:rPr>
                            <w:color w:val="000000"/>
                            <w:sz w:val="20"/>
                          </w:rPr>
                          <w:t>Records of Performance Tests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6B2891FE"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E75A7C0"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52B12892"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716E4F3D"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2FE2CE13"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B086C92"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7D39E352"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30D2A92A" w14:textId="77777777">
                        <w:pPr>
                          <w:jc w:val="right"/>
                          <w:rPr>
                            <w:color w:val="000000"/>
                            <w:sz w:val="20"/>
                          </w:rPr>
                        </w:pPr>
                        <w:r w:rsidRPr="00ED2F52">
                          <w:rPr>
                            <w:color w:val="000000"/>
                            <w:sz w:val="20"/>
                          </w:rPr>
                          <w:t xml:space="preserve">$0 </w:t>
                        </w:r>
                      </w:p>
                    </w:tc>
                  </w:tr>
                  <w:tr w14:paraId="7F2ECB14" w14:textId="77777777" w:rsidTr="00ED2F52">
                    <w:tblPrEx>
                      <w:tblW w:w="12600" w:type="dxa"/>
                      <w:tblLayout w:type="fixed"/>
                      <w:tblLook w:val="04A0"/>
                    </w:tblPrEx>
                    <w:trPr>
                      <w:trHeight w:val="26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3BD6F0F2" w14:textId="77777777">
                        <w:pPr>
                          <w:rPr>
                            <w:color w:val="000000"/>
                            <w:sz w:val="20"/>
                          </w:rPr>
                        </w:pPr>
                        <w:r w:rsidRPr="00ED2F52">
                          <w:rPr>
                            <w:color w:val="000000"/>
                            <w:sz w:val="20"/>
                          </w:rPr>
                          <w:t>CEMS or CPMS Recordkeeping</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3FE639F9"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7E4AD8EC"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1870E347"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3DCBD2EA"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4F6736B8"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45AB1745"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4FA89785" w14:textId="77777777">
                        <w:pPr>
                          <w:jc w:val="center"/>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11C9A0E9" w14:textId="77777777">
                        <w:pPr>
                          <w:jc w:val="right"/>
                          <w:rPr>
                            <w:color w:val="000000"/>
                            <w:sz w:val="20"/>
                          </w:rPr>
                        </w:pPr>
                        <w:r w:rsidRPr="00ED2F52">
                          <w:rPr>
                            <w:color w:val="000000"/>
                            <w:sz w:val="20"/>
                          </w:rPr>
                          <w:t> </w:t>
                        </w:r>
                      </w:p>
                    </w:tc>
                  </w:tr>
                  <w:tr w14:paraId="0A0B0E9E" w14:textId="77777777" w:rsidTr="00ED2F52">
                    <w:tblPrEx>
                      <w:tblW w:w="12600" w:type="dxa"/>
                      <w:tblLayout w:type="fixed"/>
                      <w:tblLook w:val="04A0"/>
                    </w:tblPrEx>
                    <w:trPr>
                      <w:trHeight w:val="26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4131C68F" w14:textId="77777777">
                        <w:pPr>
                          <w:rPr>
                            <w:color w:val="000000"/>
                            <w:sz w:val="20"/>
                          </w:rPr>
                        </w:pPr>
                        <w:r w:rsidRPr="00ED2F52">
                          <w:rPr>
                            <w:color w:val="000000"/>
                            <w:sz w:val="20"/>
                          </w:rPr>
                          <w:t>F. Time to Train Personnel</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2D9B4560"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38C13D28"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853F3BB"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77BA42B8"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F9E7B5D"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3DEF75A1"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68068F9"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2747D6E0" w14:textId="77777777">
                        <w:pPr>
                          <w:jc w:val="right"/>
                          <w:rPr>
                            <w:color w:val="000000"/>
                            <w:sz w:val="20"/>
                          </w:rPr>
                        </w:pPr>
                        <w:r w:rsidRPr="00ED2F52">
                          <w:rPr>
                            <w:color w:val="000000"/>
                            <w:sz w:val="20"/>
                          </w:rPr>
                          <w:t xml:space="preserve">$0 </w:t>
                        </w:r>
                      </w:p>
                    </w:tc>
                  </w:tr>
                  <w:tr w14:paraId="07685A5E" w14:textId="77777777" w:rsidTr="00ED2F52">
                    <w:tblPrEx>
                      <w:tblW w:w="12600" w:type="dxa"/>
                      <w:tblLayout w:type="fixed"/>
                      <w:tblLook w:val="04A0"/>
                    </w:tblPrEx>
                    <w:trPr>
                      <w:trHeight w:val="26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653C8290" w14:textId="77777777">
                        <w:pPr>
                          <w:rPr>
                            <w:color w:val="000000"/>
                            <w:sz w:val="20"/>
                          </w:rPr>
                        </w:pPr>
                        <w:r w:rsidRPr="00ED2F52">
                          <w:rPr>
                            <w:color w:val="000000"/>
                            <w:sz w:val="20"/>
                          </w:rPr>
                          <w:t xml:space="preserve">G. Time for Audits </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5D69ACDF" w14:textId="77777777">
                        <w:pPr>
                          <w:jc w:val="center"/>
                          <w:rPr>
                            <w:color w:val="000000"/>
                            <w:sz w:val="20"/>
                          </w:rPr>
                        </w:pPr>
                        <w:r w:rsidRPr="00ED2F52">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3A19C9B1"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0A5B6D9C"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7088B922"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483347C9"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7255BC5D"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E282D86"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466763B1" w14:textId="77777777">
                        <w:pPr>
                          <w:jc w:val="right"/>
                          <w:rPr>
                            <w:color w:val="000000"/>
                            <w:sz w:val="20"/>
                          </w:rPr>
                        </w:pPr>
                        <w:r w:rsidRPr="00ED2F52">
                          <w:rPr>
                            <w:color w:val="000000"/>
                            <w:sz w:val="20"/>
                          </w:rPr>
                          <w:t> </w:t>
                        </w:r>
                      </w:p>
                    </w:tc>
                  </w:tr>
                  <w:tr w14:paraId="7B3AE804" w14:textId="77777777" w:rsidTr="00ED2F52">
                    <w:tblPrEx>
                      <w:tblW w:w="12600" w:type="dxa"/>
                      <w:tblLayout w:type="fixed"/>
                      <w:tblLook w:val="04A0"/>
                    </w:tblPrEx>
                    <w:trPr>
                      <w:trHeight w:val="63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495F6C30" w14:textId="77777777">
                        <w:pPr>
                          <w:rPr>
                            <w:b/>
                            <w:bCs/>
                            <w:i/>
                            <w:iCs/>
                            <w:color w:val="000000"/>
                            <w:sz w:val="20"/>
                          </w:rPr>
                        </w:pPr>
                        <w:r w:rsidRPr="00ED2F52">
                          <w:rPr>
                            <w:b/>
                            <w:bCs/>
                            <w:i/>
                            <w:iCs/>
                            <w:color w:val="000000"/>
                            <w:sz w:val="20"/>
                          </w:rPr>
                          <w:t>Subtotal for Recordkeeping Requirements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6CC65570" w14:textId="77777777">
                        <w:pPr>
                          <w:jc w:val="right"/>
                          <w:rPr>
                            <w:b/>
                            <w:bCs/>
                            <w:i/>
                            <w:iCs/>
                            <w:color w:val="000000"/>
                            <w:sz w:val="20"/>
                          </w:rPr>
                        </w:pPr>
                        <w:r w:rsidRPr="00ED2F52">
                          <w:rPr>
                            <w:b/>
                            <w:bCs/>
                            <w:i/>
                            <w:i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FC88807" w14:textId="77777777">
                        <w:pPr>
                          <w:jc w:val="right"/>
                          <w:rPr>
                            <w:b/>
                            <w:bCs/>
                            <w:i/>
                            <w:iCs/>
                            <w:sz w:val="20"/>
                          </w:rPr>
                        </w:pPr>
                        <w:r w:rsidRPr="00ED2F52">
                          <w:rPr>
                            <w:b/>
                            <w:bCs/>
                            <w:i/>
                            <w:i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1B171C08" w14:textId="77777777">
                        <w:pPr>
                          <w:jc w:val="right"/>
                          <w:rPr>
                            <w:b/>
                            <w:bCs/>
                            <w:i/>
                            <w:iCs/>
                            <w:color w:val="000000"/>
                            <w:sz w:val="20"/>
                          </w:rPr>
                        </w:pPr>
                        <w:r w:rsidRPr="00ED2F52">
                          <w:rPr>
                            <w:b/>
                            <w:bCs/>
                            <w:i/>
                            <w:iCs/>
                            <w:color w:val="000000"/>
                            <w:sz w:val="20"/>
                          </w:rPr>
                          <w:t> </w:t>
                        </w:r>
                      </w:p>
                    </w:tc>
                    <w:tc>
                      <w:tcPr>
                        <w:tcW w:w="12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609B2E2E" w14:textId="77777777">
                        <w:pPr>
                          <w:jc w:val="right"/>
                          <w:rPr>
                            <w:b/>
                            <w:bCs/>
                            <w:i/>
                            <w:iCs/>
                            <w:sz w:val="20"/>
                          </w:rPr>
                        </w:pPr>
                        <w:r w:rsidRPr="00ED2F52">
                          <w:rPr>
                            <w:b/>
                            <w:bCs/>
                            <w:i/>
                            <w:iCs/>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C477B4B" w14:textId="77777777">
                        <w:pPr>
                          <w:jc w:val="center"/>
                          <w:rPr>
                            <w:b/>
                            <w:bCs/>
                            <w:i/>
                            <w:iCs/>
                            <w:color w:val="000000"/>
                            <w:sz w:val="20"/>
                          </w:rPr>
                        </w:pPr>
                        <w:r w:rsidRPr="00ED2F52">
                          <w:rPr>
                            <w:b/>
                            <w:bCs/>
                            <w:i/>
                            <w:iCs/>
                            <w:color w:val="000000"/>
                            <w:sz w:val="20"/>
                          </w:rPr>
                          <w:t>10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1D51CB42" w14:textId="77777777">
                        <w:pPr>
                          <w:jc w:val="center"/>
                          <w:rPr>
                            <w:b/>
                            <w:bCs/>
                            <w:i/>
                            <w:iCs/>
                            <w:color w:val="000000"/>
                            <w:sz w:val="20"/>
                          </w:rPr>
                        </w:pPr>
                        <w:r w:rsidRPr="00ED2F52">
                          <w:rPr>
                            <w:b/>
                            <w:bCs/>
                            <w:i/>
                            <w:iCs/>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65EF62BD" w14:textId="77777777">
                        <w:pPr>
                          <w:jc w:val="center"/>
                          <w:rPr>
                            <w:b/>
                            <w:bCs/>
                            <w:i/>
                            <w:iCs/>
                            <w:color w:val="000000"/>
                            <w:sz w:val="20"/>
                          </w:rPr>
                        </w:pPr>
                        <w:r w:rsidRPr="00ED2F52">
                          <w:rPr>
                            <w:b/>
                            <w:bCs/>
                            <w:i/>
                            <w:iCs/>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2BABDC9B" w14:textId="77777777">
                        <w:pPr>
                          <w:jc w:val="right"/>
                          <w:rPr>
                            <w:b/>
                            <w:bCs/>
                            <w:i/>
                            <w:iCs/>
                            <w:color w:val="000000"/>
                            <w:sz w:val="20"/>
                          </w:rPr>
                        </w:pPr>
                        <w:r w:rsidRPr="00ED2F52">
                          <w:rPr>
                            <w:b/>
                            <w:bCs/>
                            <w:i/>
                            <w:iCs/>
                            <w:color w:val="000000"/>
                            <w:sz w:val="20"/>
                          </w:rPr>
                          <w:t xml:space="preserve">$1,209 </w:t>
                        </w:r>
                      </w:p>
                    </w:tc>
                  </w:tr>
                  <w:tr w14:paraId="38A5C14B" w14:textId="77777777" w:rsidTr="00ED2F52">
                    <w:tblPrEx>
                      <w:tblW w:w="12600" w:type="dxa"/>
                      <w:tblLayout w:type="fixed"/>
                      <w:tblLook w:val="04A0"/>
                    </w:tblPrEx>
                    <w:trPr>
                      <w:trHeight w:val="74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1DE3ED1F" w14:textId="77777777">
                        <w:pPr>
                          <w:rPr>
                            <w:b/>
                            <w:bCs/>
                            <w:color w:val="000000"/>
                            <w:sz w:val="20"/>
                          </w:rPr>
                        </w:pPr>
                        <w:r w:rsidRPr="00ED2F52">
                          <w:rPr>
                            <w:b/>
                            <w:bCs/>
                            <w:color w:val="000000"/>
                            <w:sz w:val="20"/>
                          </w:rPr>
                          <w:t xml:space="preserve">Total Labor Burden and Cost (rounded) </w:t>
                        </w:r>
                        <w:r w:rsidRPr="00ED2F52">
                          <w:rPr>
                            <w:b/>
                            <w:bCs/>
                            <w:color w:val="000000"/>
                            <w:sz w:val="20"/>
                            <w:vertAlign w:val="superscript"/>
                          </w:rPr>
                          <w:t>e</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4C0C87EA" w14:textId="77777777">
                        <w:pPr>
                          <w:jc w:val="right"/>
                          <w:rPr>
                            <w:b/>
                            <w:bCs/>
                            <w:color w:val="000000"/>
                            <w:sz w:val="20"/>
                          </w:rPr>
                        </w:pPr>
                        <w:r w:rsidRPr="00ED2F52">
                          <w:rPr>
                            <w:b/>
                            <w:b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17C70B0E" w14:textId="77777777">
                        <w:pPr>
                          <w:jc w:val="center"/>
                          <w:rPr>
                            <w:b/>
                            <w:bCs/>
                            <w:sz w:val="20"/>
                          </w:rPr>
                        </w:pPr>
                        <w:r w:rsidRPr="00ED2F52">
                          <w:rPr>
                            <w:b/>
                            <w:b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49FFD2E8" w14:textId="77777777">
                        <w:pPr>
                          <w:jc w:val="right"/>
                          <w:rPr>
                            <w:b/>
                            <w:bCs/>
                            <w:color w:val="000000"/>
                            <w:sz w:val="20"/>
                          </w:rPr>
                        </w:pPr>
                        <w:r w:rsidRPr="00ED2F52">
                          <w:rPr>
                            <w:b/>
                            <w:bCs/>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764AD84F" w14:textId="77777777">
                        <w:pPr>
                          <w:jc w:val="right"/>
                          <w:rPr>
                            <w:b/>
                            <w:bCs/>
                            <w:sz w:val="20"/>
                          </w:rPr>
                        </w:pPr>
                        <w:r w:rsidRPr="00ED2F52">
                          <w:rPr>
                            <w:b/>
                            <w:bCs/>
                            <w:sz w:val="20"/>
                          </w:rPr>
                          <w:t> </w:t>
                        </w:r>
                      </w:p>
                    </w:tc>
                    <w:tc>
                      <w:tcPr>
                        <w:tcW w:w="3700" w:type="dxa"/>
                        <w:gridSpan w:val="3"/>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30593A39" w14:textId="77777777">
                        <w:pPr>
                          <w:jc w:val="center"/>
                          <w:rPr>
                            <w:b/>
                            <w:bCs/>
                            <w:color w:val="000000"/>
                            <w:sz w:val="20"/>
                          </w:rPr>
                        </w:pPr>
                        <w:r w:rsidRPr="00ED2F52">
                          <w:rPr>
                            <w:b/>
                            <w:bCs/>
                            <w:color w:val="000000"/>
                            <w:sz w:val="20"/>
                          </w:rPr>
                          <w:t>200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6A1B695B" w14:textId="77777777">
                        <w:pPr>
                          <w:jc w:val="right"/>
                          <w:rPr>
                            <w:b/>
                            <w:bCs/>
                            <w:color w:val="000000"/>
                            <w:sz w:val="20"/>
                          </w:rPr>
                        </w:pPr>
                        <w:r w:rsidRPr="00ED2F52">
                          <w:rPr>
                            <w:b/>
                            <w:bCs/>
                            <w:color w:val="000000"/>
                            <w:sz w:val="20"/>
                          </w:rPr>
                          <w:t xml:space="preserve">$20,000 </w:t>
                        </w:r>
                      </w:p>
                    </w:tc>
                  </w:tr>
                  <w:tr w14:paraId="15A73790" w14:textId="77777777" w:rsidTr="00ED2F52">
                    <w:tblPrEx>
                      <w:tblW w:w="12600" w:type="dxa"/>
                      <w:tblLayout w:type="fixed"/>
                      <w:tblLook w:val="04A0"/>
                    </w:tblPrEx>
                    <w:trPr>
                      <w:trHeight w:val="62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49F5300A" w14:textId="77777777">
                        <w:pPr>
                          <w:rPr>
                            <w:b/>
                            <w:bCs/>
                            <w:sz w:val="20"/>
                          </w:rPr>
                        </w:pPr>
                        <w:r w:rsidRPr="00ED2F52">
                          <w:rPr>
                            <w:b/>
                            <w:bCs/>
                            <w:sz w:val="20"/>
                          </w:rPr>
                          <w:t xml:space="preserve">Total Capital and O&amp;M Cost (rounded) </w:t>
                        </w:r>
                        <w:r w:rsidRPr="00ED2F52">
                          <w:rPr>
                            <w:b/>
                            <w:bCs/>
                            <w:sz w:val="20"/>
                            <w:vertAlign w:val="superscript"/>
                          </w:rPr>
                          <w:t>e</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5E40C8A5" w14:textId="77777777">
                        <w:pPr>
                          <w:jc w:val="right"/>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765E5A0C"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1CB18515"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614B40E2"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1F04F82B"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1CB149D6"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86A63C4"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04824BEB" w14:textId="77777777">
                        <w:pPr>
                          <w:jc w:val="right"/>
                          <w:rPr>
                            <w:b/>
                            <w:bCs/>
                            <w:color w:val="000000"/>
                            <w:sz w:val="20"/>
                          </w:rPr>
                        </w:pPr>
                        <w:r w:rsidRPr="00ED2F52">
                          <w:rPr>
                            <w:b/>
                            <w:bCs/>
                            <w:color w:val="000000"/>
                            <w:sz w:val="20"/>
                          </w:rPr>
                          <w:t> </w:t>
                        </w:r>
                      </w:p>
                    </w:tc>
                  </w:tr>
                  <w:tr w14:paraId="68790FF6" w14:textId="77777777" w:rsidTr="00ED2F52">
                    <w:tblPrEx>
                      <w:tblW w:w="12600" w:type="dxa"/>
                      <w:tblLayout w:type="fixed"/>
                      <w:tblLook w:val="04A0"/>
                    </w:tblPrEx>
                    <w:trPr>
                      <w:trHeight w:val="30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4B0B43D6" w14:textId="77777777">
                        <w:pPr>
                          <w:rPr>
                            <w:b/>
                            <w:bCs/>
                            <w:sz w:val="20"/>
                          </w:rPr>
                        </w:pPr>
                        <w:r w:rsidRPr="00ED2F52">
                          <w:rPr>
                            <w:b/>
                            <w:bCs/>
                            <w:sz w:val="20"/>
                          </w:rPr>
                          <w:t xml:space="preserve">Grand TOTAL (rounded) </w:t>
                        </w:r>
                        <w:r w:rsidRPr="00ED2F52">
                          <w:rPr>
                            <w:b/>
                            <w:bCs/>
                            <w:sz w:val="20"/>
                            <w:vertAlign w:val="superscript"/>
                          </w:rPr>
                          <w:t>e</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0A364F3F" w14:textId="77777777">
                        <w:pPr>
                          <w:jc w:val="right"/>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608AE9F1"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4C3DBC62"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7770E2C6"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40B8CAB4"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0C453023"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55472E6"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23C8C6A3" w14:textId="77777777">
                        <w:pPr>
                          <w:jc w:val="right"/>
                          <w:rPr>
                            <w:b/>
                            <w:bCs/>
                            <w:color w:val="000000"/>
                            <w:sz w:val="20"/>
                          </w:rPr>
                        </w:pPr>
                        <w:r w:rsidRPr="00ED2F52">
                          <w:rPr>
                            <w:b/>
                            <w:bCs/>
                            <w:color w:val="000000"/>
                            <w:sz w:val="20"/>
                          </w:rPr>
                          <w:t xml:space="preserve">$0 </w:t>
                        </w:r>
                      </w:p>
                    </w:tc>
                  </w:tr>
                  <w:tr w14:paraId="74D4DDA3" w14:textId="77777777" w:rsidTr="00ED2F52">
                    <w:tblPrEx>
                      <w:tblW w:w="12600" w:type="dxa"/>
                      <w:tblLayout w:type="fixed"/>
                      <w:tblLook w:val="04A0"/>
                    </w:tblPrEx>
                    <w:trPr>
                      <w:trHeight w:val="260"/>
                    </w:trPr>
                    <w:tc>
                      <w:tcPr>
                        <w:tcW w:w="2820" w:type="dxa"/>
                        <w:tcBorders>
                          <w:top w:val="nil"/>
                          <w:left w:val="nil"/>
                          <w:bottom w:val="nil"/>
                          <w:right w:val="nil"/>
                        </w:tcBorders>
                        <w:shd w:val="clear" w:color="auto" w:fill="auto"/>
                        <w:noWrap/>
                        <w:vAlign w:val="bottom"/>
                        <w:hideMark/>
                      </w:tcPr>
                      <w:p w:rsidR="00ED2F52" w:rsidRPr="00ED2F52" w:rsidP="00ED2F52" w14:paraId="07664BC7" w14:textId="77777777">
                        <w:pPr>
                          <w:jc w:val="right"/>
                          <w:rPr>
                            <w:b/>
                            <w:bCs/>
                            <w:color w:val="000000"/>
                            <w:sz w:val="20"/>
                          </w:rPr>
                        </w:pPr>
                      </w:p>
                    </w:tc>
                    <w:tc>
                      <w:tcPr>
                        <w:tcW w:w="1120" w:type="dxa"/>
                        <w:tcBorders>
                          <w:top w:val="nil"/>
                          <w:left w:val="nil"/>
                          <w:bottom w:val="nil"/>
                          <w:right w:val="nil"/>
                        </w:tcBorders>
                        <w:shd w:val="clear" w:color="auto" w:fill="auto"/>
                        <w:noWrap/>
                        <w:vAlign w:val="bottom"/>
                        <w:hideMark/>
                      </w:tcPr>
                      <w:p w:rsidR="00ED2F52" w:rsidRPr="00ED2F52" w:rsidP="00ED2F52" w14:paraId="7A75CAFC" w14:textId="77777777">
                        <w:pPr>
                          <w:rPr>
                            <w:sz w:val="20"/>
                          </w:rPr>
                        </w:pPr>
                      </w:p>
                    </w:tc>
                    <w:tc>
                      <w:tcPr>
                        <w:tcW w:w="1320" w:type="dxa"/>
                        <w:tcBorders>
                          <w:top w:val="nil"/>
                          <w:left w:val="nil"/>
                          <w:bottom w:val="nil"/>
                          <w:right w:val="nil"/>
                        </w:tcBorders>
                        <w:shd w:val="clear" w:color="auto" w:fill="auto"/>
                        <w:noWrap/>
                        <w:vAlign w:val="bottom"/>
                        <w:hideMark/>
                      </w:tcPr>
                      <w:p w:rsidR="00ED2F52" w:rsidRPr="00ED2F52" w:rsidP="00ED2F52" w14:paraId="13F92082" w14:textId="77777777">
                        <w:pPr>
                          <w:rPr>
                            <w:sz w:val="20"/>
                          </w:rPr>
                        </w:pPr>
                      </w:p>
                    </w:tc>
                    <w:tc>
                      <w:tcPr>
                        <w:tcW w:w="1240" w:type="dxa"/>
                        <w:tcBorders>
                          <w:top w:val="nil"/>
                          <w:left w:val="nil"/>
                          <w:bottom w:val="nil"/>
                          <w:right w:val="nil"/>
                        </w:tcBorders>
                        <w:shd w:val="clear" w:color="auto" w:fill="auto"/>
                        <w:noWrap/>
                        <w:vAlign w:val="bottom"/>
                        <w:hideMark/>
                      </w:tcPr>
                      <w:p w:rsidR="00ED2F52" w:rsidRPr="00ED2F52" w:rsidP="00ED2F52" w14:paraId="5760D18C" w14:textId="77777777">
                        <w:pPr>
                          <w:rPr>
                            <w:sz w:val="20"/>
                          </w:rPr>
                        </w:pPr>
                      </w:p>
                    </w:tc>
                    <w:tc>
                      <w:tcPr>
                        <w:tcW w:w="1200" w:type="dxa"/>
                        <w:tcBorders>
                          <w:top w:val="nil"/>
                          <w:left w:val="nil"/>
                          <w:bottom w:val="nil"/>
                          <w:right w:val="nil"/>
                        </w:tcBorders>
                        <w:shd w:val="clear" w:color="auto" w:fill="auto"/>
                        <w:noWrap/>
                        <w:vAlign w:val="bottom"/>
                        <w:hideMark/>
                      </w:tcPr>
                      <w:p w:rsidR="00ED2F52" w:rsidRPr="00ED2F52" w:rsidP="00ED2F52" w14:paraId="3853DC26" w14:textId="77777777">
                        <w:pPr>
                          <w:rPr>
                            <w:sz w:val="20"/>
                          </w:rPr>
                        </w:pPr>
                      </w:p>
                    </w:tc>
                    <w:tc>
                      <w:tcPr>
                        <w:tcW w:w="1160" w:type="dxa"/>
                        <w:tcBorders>
                          <w:top w:val="nil"/>
                          <w:left w:val="nil"/>
                          <w:bottom w:val="nil"/>
                          <w:right w:val="nil"/>
                        </w:tcBorders>
                        <w:shd w:val="clear" w:color="auto" w:fill="auto"/>
                        <w:noWrap/>
                        <w:vAlign w:val="bottom"/>
                        <w:hideMark/>
                      </w:tcPr>
                      <w:p w:rsidR="00ED2F52" w:rsidRPr="00ED2F52" w:rsidP="00ED2F52" w14:paraId="0431740D" w14:textId="77777777">
                        <w:pPr>
                          <w:rPr>
                            <w:sz w:val="20"/>
                          </w:rPr>
                        </w:pPr>
                      </w:p>
                    </w:tc>
                    <w:tc>
                      <w:tcPr>
                        <w:tcW w:w="1280" w:type="dxa"/>
                        <w:tcBorders>
                          <w:top w:val="nil"/>
                          <w:left w:val="nil"/>
                          <w:bottom w:val="nil"/>
                          <w:right w:val="nil"/>
                        </w:tcBorders>
                        <w:shd w:val="clear" w:color="auto" w:fill="auto"/>
                        <w:noWrap/>
                        <w:vAlign w:val="bottom"/>
                        <w:hideMark/>
                      </w:tcPr>
                      <w:p w:rsidR="00ED2F52" w:rsidRPr="00ED2F52" w:rsidP="00ED2F52" w14:paraId="783DCCD1" w14:textId="77777777">
                        <w:pPr>
                          <w:rPr>
                            <w:sz w:val="20"/>
                          </w:rPr>
                        </w:pPr>
                      </w:p>
                    </w:tc>
                    <w:tc>
                      <w:tcPr>
                        <w:tcW w:w="1260" w:type="dxa"/>
                        <w:tcBorders>
                          <w:top w:val="nil"/>
                          <w:left w:val="nil"/>
                          <w:bottom w:val="nil"/>
                          <w:right w:val="nil"/>
                        </w:tcBorders>
                        <w:shd w:val="clear" w:color="auto" w:fill="auto"/>
                        <w:noWrap/>
                        <w:vAlign w:val="bottom"/>
                        <w:hideMark/>
                      </w:tcPr>
                      <w:p w:rsidR="00ED2F52" w:rsidRPr="00ED2F52" w:rsidP="00ED2F52" w14:paraId="75E773AB" w14:textId="77777777">
                        <w:pPr>
                          <w:rPr>
                            <w:sz w:val="20"/>
                          </w:rPr>
                        </w:pPr>
                      </w:p>
                    </w:tc>
                    <w:tc>
                      <w:tcPr>
                        <w:tcW w:w="1200" w:type="dxa"/>
                        <w:tcBorders>
                          <w:top w:val="nil"/>
                          <w:left w:val="nil"/>
                          <w:bottom w:val="nil"/>
                          <w:right w:val="nil"/>
                        </w:tcBorders>
                        <w:shd w:val="clear" w:color="auto" w:fill="auto"/>
                        <w:noWrap/>
                        <w:vAlign w:val="bottom"/>
                        <w:hideMark/>
                      </w:tcPr>
                      <w:p w:rsidR="00ED2F52" w:rsidRPr="00ED2F52" w:rsidP="00ED2F52" w14:paraId="4B4D702A" w14:textId="77777777">
                        <w:pPr>
                          <w:rPr>
                            <w:sz w:val="20"/>
                          </w:rPr>
                        </w:pPr>
                      </w:p>
                    </w:tc>
                  </w:tr>
                  <w:tr w14:paraId="48457A0A" w14:textId="77777777" w:rsidTr="00ED2F52">
                    <w:tblPrEx>
                      <w:tblW w:w="12600" w:type="dxa"/>
                      <w:tblLayout w:type="fixed"/>
                      <w:tblLook w:val="04A0"/>
                    </w:tblPrEx>
                    <w:trPr>
                      <w:trHeight w:val="313"/>
                    </w:trPr>
                    <w:tc>
                      <w:tcPr>
                        <w:tcW w:w="12600" w:type="dxa"/>
                        <w:gridSpan w:val="9"/>
                        <w:tcBorders>
                          <w:top w:val="nil"/>
                          <w:left w:val="nil"/>
                          <w:bottom w:val="nil"/>
                          <w:right w:val="nil"/>
                        </w:tcBorders>
                        <w:shd w:val="clear" w:color="auto" w:fill="auto"/>
                        <w:vAlign w:val="center"/>
                        <w:hideMark/>
                      </w:tcPr>
                      <w:p w:rsidR="00ED2F52" w:rsidRPr="00ED2F52" w:rsidP="00ED2F52" w14:paraId="2547A303" w14:textId="77777777">
                        <w:pPr>
                          <w:rPr>
                            <w:color w:val="000000"/>
                            <w:sz w:val="20"/>
                          </w:rPr>
                        </w:pPr>
                        <w:r w:rsidRPr="00ED2F52">
                          <w:rPr>
                            <w:color w:val="000000"/>
                            <w:sz w:val="20"/>
                            <w:vertAlign w:val="superscript"/>
                          </w:rPr>
                          <w:t>a</w:t>
                        </w:r>
                        <w:r w:rsidRPr="00ED2F52">
                          <w:rPr>
                            <w:color w:val="000000"/>
                            <w:sz w:val="20"/>
                          </w:rPr>
                          <w:t xml:space="preserve">  We have assumed that there are approximately 85 affected furnaces and that 10% of the existing units will have new construction/reconstruction.</w:t>
                        </w:r>
                      </w:p>
                    </w:tc>
                  </w:tr>
                  <w:tr w14:paraId="1F133F2D" w14:textId="77777777" w:rsidTr="00ED2F52">
                    <w:tblPrEx>
                      <w:tblW w:w="12600" w:type="dxa"/>
                      <w:tblLayout w:type="fixed"/>
                      <w:tblLook w:val="04A0"/>
                    </w:tblPrEx>
                    <w:trPr>
                      <w:trHeight w:val="1580"/>
                    </w:trPr>
                    <w:tc>
                      <w:tcPr>
                        <w:tcW w:w="12600" w:type="dxa"/>
                        <w:gridSpan w:val="9"/>
                        <w:tcBorders>
                          <w:top w:val="nil"/>
                          <w:left w:val="nil"/>
                          <w:bottom w:val="nil"/>
                          <w:right w:val="nil"/>
                        </w:tcBorders>
                        <w:shd w:val="clear" w:color="auto" w:fill="auto"/>
                        <w:vAlign w:val="bottom"/>
                        <w:hideMark/>
                      </w:tcPr>
                      <w:p w:rsidR="00ED2F52" w:rsidRPr="00ED2F52" w:rsidP="00ED2F52" w14:paraId="2C67A435" w14:textId="77777777">
                        <w:pPr>
                          <w:rPr>
                            <w:color w:val="000000"/>
                            <w:sz w:val="20"/>
                          </w:rPr>
                        </w:pPr>
                        <w:r w:rsidRPr="00ED2F52">
                          <w:rPr>
                            <w:color w:val="000000"/>
                            <w:sz w:val="20"/>
                            <w:vertAlign w:val="superscript"/>
                          </w:rPr>
                          <w:t>b</w:t>
                        </w:r>
                        <w:r w:rsidRPr="00ED2F52">
                          <w:rPr>
                            <w:color w:val="000000"/>
                            <w:sz w:val="20"/>
                          </w:rPr>
                          <w:t xml:space="preserve">  This ICR uses the following labor rates: $161.62 per hour for Executive, Administrative, and Managerial labor; $127.68 per hour for Technical labor, and $64.22 per hour for Clerical labor.  These rates are from the United States Department of Labor, Bureau of Labor Statistics, June 2022, “Table 2. Civilian Workers, by Occupational and Industry group.”  The rates are from column 1, “Total Compensation.”  The rates have been increased by 110 percent to account for the benefit packages available to those employed by private industry.  Archived report releases can be accessed from https://www.bls.gov/bls/news-release/ecec.htm#2021;  from homepage, select Economic Releases, Archived News Releases, Employer Costs for Employee Compensation, Select a past year, Select a published report.</w:t>
                        </w:r>
                      </w:p>
                    </w:tc>
                  </w:tr>
                  <w:tr w14:paraId="72FAB94B" w14:textId="77777777" w:rsidTr="00ED2F52">
                    <w:tblPrEx>
                      <w:tblW w:w="12600" w:type="dxa"/>
                      <w:tblLayout w:type="fixed"/>
                      <w:tblLook w:val="04A0"/>
                    </w:tblPrEx>
                    <w:trPr>
                      <w:trHeight w:val="463"/>
                    </w:trPr>
                    <w:tc>
                      <w:tcPr>
                        <w:tcW w:w="12600" w:type="dxa"/>
                        <w:gridSpan w:val="9"/>
                        <w:tcBorders>
                          <w:top w:val="nil"/>
                          <w:left w:val="nil"/>
                          <w:bottom w:val="nil"/>
                          <w:right w:val="nil"/>
                        </w:tcBorders>
                        <w:shd w:val="clear" w:color="auto" w:fill="auto"/>
                        <w:vAlign w:val="center"/>
                        <w:hideMark/>
                      </w:tcPr>
                      <w:p w:rsidR="00ED2F52" w:rsidRPr="00ED2F52" w:rsidP="00ED2F52" w14:paraId="406B647C" w14:textId="77777777">
                        <w:pPr>
                          <w:rPr>
                            <w:color w:val="000000"/>
                            <w:sz w:val="20"/>
                          </w:rPr>
                        </w:pPr>
                        <w:r w:rsidRPr="00ED2F52">
                          <w:rPr>
                            <w:color w:val="000000"/>
                            <w:sz w:val="20"/>
                            <w:vertAlign w:val="superscript"/>
                          </w:rPr>
                          <w:t>c</w:t>
                        </w:r>
                        <w:r w:rsidRPr="00ED2F52">
                          <w:rPr>
                            <w:color w:val="000000"/>
                            <w:sz w:val="20"/>
                          </w:rPr>
                          <w:t xml:space="preserve">  New furnaces test for NOx. We have assumed that 5 percent of respondents would repeat initial performance test due to failure.</w:t>
                        </w:r>
                      </w:p>
                    </w:tc>
                  </w:tr>
                  <w:tr w14:paraId="71C1363F" w14:textId="77777777" w:rsidTr="00ED2F52">
                    <w:tblPrEx>
                      <w:tblW w:w="12600" w:type="dxa"/>
                      <w:tblLayout w:type="fixed"/>
                      <w:tblLook w:val="04A0"/>
                    </w:tblPrEx>
                    <w:trPr>
                      <w:trHeight w:val="420"/>
                    </w:trPr>
                    <w:tc>
                      <w:tcPr>
                        <w:tcW w:w="12600" w:type="dxa"/>
                        <w:gridSpan w:val="9"/>
                        <w:tcBorders>
                          <w:top w:val="nil"/>
                          <w:left w:val="nil"/>
                          <w:bottom w:val="nil"/>
                          <w:right w:val="nil"/>
                        </w:tcBorders>
                        <w:shd w:val="clear" w:color="auto" w:fill="auto"/>
                        <w:vAlign w:val="center"/>
                        <w:hideMark/>
                      </w:tcPr>
                      <w:p w:rsidR="00ED2F52" w:rsidRPr="00ED2F52" w:rsidP="00ED2F52" w14:paraId="17A360B1" w14:textId="77777777">
                        <w:pPr>
                          <w:rPr>
                            <w:sz w:val="20"/>
                          </w:rPr>
                        </w:pPr>
                        <w:r w:rsidRPr="00ED2F52">
                          <w:rPr>
                            <w:sz w:val="20"/>
                            <w:vertAlign w:val="superscript"/>
                          </w:rPr>
                          <w:t>d</w:t>
                        </w:r>
                        <w:r w:rsidRPr="00ED2F52">
                          <w:rPr>
                            <w:sz w:val="20"/>
                          </w:rPr>
                          <w:t xml:space="preserve">  The rule requires existing furnaces re-test annually for NOx.  Existing furnaces are assumed to not have existing CPMS installed. </w:t>
                        </w:r>
                      </w:p>
                    </w:tc>
                  </w:tr>
                  <w:tr w14:paraId="0577E3BA" w14:textId="77777777" w:rsidTr="00ED2F52">
                    <w:tblPrEx>
                      <w:tblW w:w="12600" w:type="dxa"/>
                      <w:tblLayout w:type="fixed"/>
                      <w:tblLook w:val="04A0"/>
                    </w:tblPrEx>
                    <w:trPr>
                      <w:trHeight w:val="375"/>
                    </w:trPr>
                    <w:tc>
                      <w:tcPr>
                        <w:tcW w:w="12600" w:type="dxa"/>
                        <w:gridSpan w:val="9"/>
                        <w:tcBorders>
                          <w:top w:val="nil"/>
                          <w:left w:val="nil"/>
                          <w:bottom w:val="nil"/>
                          <w:right w:val="nil"/>
                        </w:tcBorders>
                        <w:shd w:val="clear" w:color="auto" w:fill="auto"/>
                        <w:hideMark/>
                      </w:tcPr>
                      <w:p w:rsidR="00ED2F52" w:rsidRPr="00ED2F52" w:rsidP="00ED2F52" w14:paraId="1C4B07D3" w14:textId="77777777">
                        <w:pPr>
                          <w:rPr>
                            <w:color w:val="000000"/>
                            <w:sz w:val="20"/>
                          </w:rPr>
                        </w:pPr>
                        <w:r w:rsidRPr="00ED2F52">
                          <w:rPr>
                            <w:color w:val="000000"/>
                            <w:sz w:val="20"/>
                            <w:vertAlign w:val="superscript"/>
                          </w:rPr>
                          <w:t>e</w:t>
                        </w:r>
                        <w:r w:rsidRPr="00ED2F52">
                          <w:rPr>
                            <w:color w:val="000000"/>
                            <w:sz w:val="20"/>
                          </w:rPr>
                          <w:t xml:space="preserve">  Totals have been rounded to 3 significant figures.  Figures may not add exactly due to rounding.</w:t>
                        </w:r>
                      </w:p>
                    </w:tc>
                  </w:tr>
                </w:tbl>
                <w:p w:rsidR="00036248" w:rsidP="005C2AC7" w14:paraId="4AB6016F" w14:textId="77777777">
                  <w:pPr>
                    <w:rPr>
                      <w:b/>
                      <w:bCs/>
                      <w:szCs w:val="24"/>
                    </w:rPr>
                  </w:pPr>
                </w:p>
                <w:p w:rsidR="00036248" w:rsidP="00036248" w14:paraId="5A3C6392" w14:textId="0E4E0423">
                  <w:pPr>
                    <w:rPr>
                      <w:b/>
                      <w:bCs/>
                      <w:szCs w:val="24"/>
                    </w:rPr>
                  </w:pPr>
                  <w:r w:rsidRPr="00D17F6A">
                    <w:rPr>
                      <w:b/>
                      <w:bCs/>
                      <w:szCs w:val="24"/>
                    </w:rPr>
                    <w:t xml:space="preserve">Table </w:t>
                  </w:r>
                  <w:r w:rsidR="00CD3BBE">
                    <w:rPr>
                      <w:b/>
                      <w:bCs/>
                      <w:szCs w:val="24"/>
                    </w:rPr>
                    <w:t>13</w:t>
                  </w:r>
                  <w:r w:rsidRPr="00D17F6A">
                    <w:rPr>
                      <w:b/>
                      <w:bCs/>
                      <w:szCs w:val="24"/>
                    </w:rPr>
                    <w:t xml:space="preserve">: </w:t>
                  </w:r>
                  <w:r>
                    <w:rPr>
                      <w:b/>
                      <w:bCs/>
                      <w:szCs w:val="24"/>
                    </w:rPr>
                    <w:t xml:space="preserve">Annual </w:t>
                  </w:r>
                  <w:r w:rsidRPr="00D17F6A">
                    <w:rPr>
                      <w:b/>
                      <w:bCs/>
                      <w:szCs w:val="24"/>
                    </w:rPr>
                    <w:t xml:space="preserve">Respondent Burden and Cost – </w:t>
                  </w:r>
                  <w:r w:rsidRPr="001E115D">
                    <w:rPr>
                      <w:b/>
                      <w:bCs/>
                      <w:szCs w:val="24"/>
                    </w:rPr>
                    <w:t>Basic Chemical Manufacturing</w:t>
                  </w:r>
                  <w:r>
                    <w:rPr>
                      <w:b/>
                      <w:bCs/>
                      <w:szCs w:val="24"/>
                    </w:rPr>
                    <w:t>,</w:t>
                  </w:r>
                  <w:r w:rsidRPr="001E115D">
                    <w:rPr>
                      <w:b/>
                      <w:bCs/>
                      <w:szCs w:val="24"/>
                    </w:rPr>
                    <w:t xml:space="preserve"> Petroleum and Coal Products Manufacturing</w:t>
                  </w:r>
                  <w:r>
                    <w:rPr>
                      <w:b/>
                      <w:bCs/>
                      <w:szCs w:val="24"/>
                    </w:rPr>
                    <w:t>,</w:t>
                  </w:r>
                  <w:r w:rsidRPr="001E115D">
                    <w:rPr>
                      <w:b/>
                      <w:bCs/>
                      <w:szCs w:val="24"/>
                    </w:rPr>
                    <w:t xml:space="preserve"> Pulp, </w:t>
                  </w:r>
                  <w:r w:rsidR="00CC39DA">
                    <w:rPr>
                      <w:b/>
                      <w:bCs/>
                      <w:szCs w:val="24"/>
                    </w:rPr>
                    <w:t>Metal</w:t>
                  </w:r>
                  <w:r w:rsidR="00A00AD8">
                    <w:rPr>
                      <w:b/>
                      <w:bCs/>
                      <w:szCs w:val="24"/>
                    </w:rPr>
                    <w:t xml:space="preserve"> Ore Mining, </w:t>
                  </w:r>
                  <w:r w:rsidRPr="001E115D">
                    <w:rPr>
                      <w:b/>
                      <w:bCs/>
                      <w:szCs w:val="24"/>
                    </w:rPr>
                    <w:t>Paper, and Paperboard Manufacturing</w:t>
                  </w:r>
                  <w:r w:rsidRPr="00D17F6A">
                    <w:rPr>
                      <w:b/>
                      <w:bCs/>
                      <w:szCs w:val="24"/>
                    </w:rPr>
                    <w:t xml:space="preserve">, </w:t>
                  </w:r>
                  <w:r>
                    <w:rPr>
                      <w:b/>
                      <w:bCs/>
                      <w:szCs w:val="24"/>
                    </w:rPr>
                    <w:t>Year 1</w:t>
                  </w:r>
                </w:p>
                <w:p w:rsidR="004857BB" w:rsidP="00036248" w14:paraId="34857FB6" w14:textId="2778452C">
                  <w:pPr>
                    <w:rPr>
                      <w:b/>
                      <w:bCs/>
                      <w:szCs w:val="24"/>
                    </w:rPr>
                  </w:pPr>
                </w:p>
                <w:tbl>
                  <w:tblPr>
                    <w:tblW w:w="12640" w:type="dxa"/>
                    <w:tblLayout w:type="fixed"/>
                    <w:tblLook w:val="04A0"/>
                  </w:tblPr>
                  <w:tblGrid>
                    <w:gridCol w:w="2620"/>
                    <w:gridCol w:w="1120"/>
                    <w:gridCol w:w="1320"/>
                    <w:gridCol w:w="1240"/>
                    <w:gridCol w:w="1300"/>
                    <w:gridCol w:w="1160"/>
                    <w:gridCol w:w="1280"/>
                    <w:gridCol w:w="1260"/>
                    <w:gridCol w:w="1340"/>
                  </w:tblGrid>
                  <w:tr w14:paraId="5CB9C830" w14:textId="77777777" w:rsidTr="00344573">
                    <w:tblPrEx>
                      <w:tblW w:w="12640" w:type="dxa"/>
                      <w:tblLayout w:type="fixed"/>
                      <w:tblLook w:val="04A0"/>
                    </w:tblPrEx>
                    <w:trPr>
                      <w:trHeight w:val="1300"/>
                    </w:trPr>
                    <w:tc>
                      <w:tcPr>
                        <w:tcW w:w="2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573" w:rsidRPr="00344573" w:rsidP="00344573" w14:paraId="37790FA8" w14:textId="77777777">
                        <w:pPr>
                          <w:jc w:val="center"/>
                          <w:rPr>
                            <w:b/>
                            <w:bCs/>
                            <w:color w:val="000000"/>
                            <w:sz w:val="20"/>
                          </w:rPr>
                        </w:pPr>
                        <w:r w:rsidRPr="00344573">
                          <w:rPr>
                            <w:b/>
                            <w:bCs/>
                            <w:color w:val="000000"/>
                            <w:sz w:val="20"/>
                          </w:rPr>
                          <w:t>Burden Item</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344573" w:rsidRPr="00344573" w:rsidP="00344573" w14:paraId="3A5A7CA5" w14:textId="77777777">
                        <w:pPr>
                          <w:jc w:val="center"/>
                          <w:rPr>
                            <w:color w:val="000000"/>
                            <w:sz w:val="20"/>
                          </w:rPr>
                        </w:pPr>
                        <w:r w:rsidRPr="00344573">
                          <w:rPr>
                            <w:color w:val="000000"/>
                            <w:sz w:val="20"/>
                          </w:rPr>
                          <w:t>(A)</w:t>
                        </w:r>
                        <w:r w:rsidRPr="00344573">
                          <w:rPr>
                            <w:color w:val="000000"/>
                            <w:sz w:val="20"/>
                          </w:rPr>
                          <w:br/>
                        </w:r>
                        <w:r w:rsidRPr="00344573">
                          <w:rPr>
                            <w:color w:val="000000"/>
                            <w:sz w:val="20"/>
                          </w:rPr>
                          <w:t>Hours per Occurrence</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344573" w:rsidRPr="00344573" w:rsidP="00344573" w14:paraId="3C6C8CE6" w14:textId="77777777">
                        <w:pPr>
                          <w:jc w:val="center"/>
                          <w:rPr>
                            <w:sz w:val="20"/>
                          </w:rPr>
                        </w:pPr>
                        <w:r w:rsidRPr="00344573">
                          <w:rPr>
                            <w:sz w:val="20"/>
                          </w:rPr>
                          <w:t>(B)</w:t>
                        </w:r>
                        <w:r w:rsidRPr="00344573">
                          <w:rPr>
                            <w:sz w:val="20"/>
                          </w:rPr>
                          <w:br/>
                        </w:r>
                        <w:r w:rsidRPr="00344573">
                          <w:rPr>
                            <w:sz w:val="20"/>
                          </w:rPr>
                          <w:t>Occurrences/ Respondent/ Year</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44573" w:rsidRPr="00344573" w:rsidP="00344573" w14:paraId="2B662DEB" w14:textId="77777777">
                        <w:pPr>
                          <w:jc w:val="center"/>
                          <w:rPr>
                            <w:color w:val="000000"/>
                            <w:sz w:val="20"/>
                          </w:rPr>
                        </w:pPr>
                        <w:r w:rsidRPr="00344573">
                          <w:rPr>
                            <w:color w:val="000000"/>
                            <w:sz w:val="20"/>
                          </w:rPr>
                          <w:t>(C)</w:t>
                        </w:r>
                        <w:r w:rsidRPr="00344573">
                          <w:rPr>
                            <w:color w:val="000000"/>
                            <w:sz w:val="20"/>
                          </w:rPr>
                          <w:br/>
                        </w:r>
                        <w:r w:rsidRPr="00344573">
                          <w:rPr>
                            <w:color w:val="000000"/>
                            <w:sz w:val="20"/>
                          </w:rPr>
                          <w:t xml:space="preserve">Hours/ Respondent/ Year </w:t>
                        </w:r>
                        <w:r w:rsidRPr="00344573">
                          <w:rPr>
                            <w:color w:val="000000"/>
                            <w:sz w:val="20"/>
                          </w:rPr>
                          <w:br/>
                        </w:r>
                        <w:r w:rsidRPr="00344573">
                          <w:rPr>
                            <w:color w:val="000000"/>
                            <w:sz w:val="20"/>
                          </w:rPr>
                          <w:t>(A x B)</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344573" w:rsidRPr="00344573" w:rsidP="00344573" w14:paraId="09FC6C76" w14:textId="77777777">
                        <w:pPr>
                          <w:jc w:val="center"/>
                          <w:rPr>
                            <w:sz w:val="20"/>
                          </w:rPr>
                        </w:pPr>
                        <w:r w:rsidRPr="00344573">
                          <w:rPr>
                            <w:sz w:val="20"/>
                          </w:rPr>
                          <w:t>(D)</w:t>
                        </w:r>
                        <w:r w:rsidRPr="00344573">
                          <w:rPr>
                            <w:sz w:val="20"/>
                          </w:rPr>
                          <w:br/>
                        </w:r>
                        <w:r w:rsidRPr="00344573">
                          <w:rPr>
                            <w:sz w:val="20"/>
                          </w:rPr>
                          <w:t>Respondents/</w:t>
                        </w:r>
                        <w:r w:rsidRPr="00344573">
                          <w:rPr>
                            <w:sz w:val="20"/>
                          </w:rPr>
                          <w:br/>
                        </w:r>
                        <w:r w:rsidRPr="00344573">
                          <w:rPr>
                            <w:sz w:val="20"/>
                          </w:rPr>
                          <w:t>Year</w:t>
                        </w:r>
                        <w:r w:rsidRPr="00344573">
                          <w:rPr>
                            <w:sz w:val="20"/>
                            <w:vertAlign w:val="superscript"/>
                          </w:rPr>
                          <w:t>a</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344573" w:rsidRPr="00344573" w:rsidP="00344573" w14:paraId="33D9A769" w14:textId="77777777">
                        <w:pPr>
                          <w:jc w:val="center"/>
                          <w:rPr>
                            <w:color w:val="000000"/>
                            <w:sz w:val="20"/>
                          </w:rPr>
                        </w:pPr>
                        <w:r w:rsidRPr="00344573">
                          <w:rPr>
                            <w:color w:val="000000"/>
                            <w:sz w:val="20"/>
                          </w:rPr>
                          <w:t>(E)</w:t>
                        </w:r>
                        <w:r w:rsidRPr="00344573">
                          <w:rPr>
                            <w:color w:val="000000"/>
                            <w:sz w:val="20"/>
                          </w:rPr>
                          <w:br/>
                        </w:r>
                        <w:r w:rsidRPr="00344573">
                          <w:rPr>
                            <w:color w:val="000000"/>
                            <w:sz w:val="20"/>
                          </w:rPr>
                          <w:t xml:space="preserve">Technical Hours/Year </w:t>
                        </w:r>
                        <w:r w:rsidRPr="00344573">
                          <w:rPr>
                            <w:color w:val="000000"/>
                            <w:sz w:val="20"/>
                          </w:rPr>
                          <w:br/>
                        </w:r>
                        <w:r w:rsidRPr="00344573">
                          <w:rPr>
                            <w:color w:val="000000"/>
                            <w:sz w:val="20"/>
                          </w:rPr>
                          <w:t>(C x D)</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344573" w:rsidRPr="00344573" w:rsidP="00344573" w14:paraId="3FF837FE" w14:textId="77777777">
                        <w:pPr>
                          <w:jc w:val="center"/>
                          <w:rPr>
                            <w:color w:val="000000"/>
                            <w:sz w:val="20"/>
                          </w:rPr>
                        </w:pPr>
                        <w:r w:rsidRPr="00344573">
                          <w:rPr>
                            <w:color w:val="000000"/>
                            <w:sz w:val="20"/>
                          </w:rPr>
                          <w:t xml:space="preserve">(F) Managerial Hours/Year </w:t>
                        </w:r>
                        <w:r w:rsidRPr="00344573">
                          <w:rPr>
                            <w:color w:val="000000"/>
                            <w:sz w:val="20"/>
                          </w:rPr>
                          <w:br/>
                        </w:r>
                        <w:r w:rsidRPr="00344573">
                          <w:rPr>
                            <w:color w:val="000000"/>
                            <w:sz w:val="20"/>
                          </w:rPr>
                          <w:t>(E x 0.05)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344573" w:rsidRPr="00344573" w:rsidP="00344573" w14:paraId="3088E4BD" w14:textId="77777777">
                        <w:pPr>
                          <w:jc w:val="center"/>
                          <w:rPr>
                            <w:color w:val="000000"/>
                            <w:sz w:val="20"/>
                          </w:rPr>
                        </w:pPr>
                        <w:r w:rsidRPr="00344573">
                          <w:rPr>
                            <w:color w:val="000000"/>
                            <w:sz w:val="20"/>
                          </w:rPr>
                          <w:t xml:space="preserve">(G) </w:t>
                        </w:r>
                        <w:r w:rsidRPr="00344573">
                          <w:rPr>
                            <w:color w:val="000000"/>
                            <w:sz w:val="20"/>
                          </w:rPr>
                          <w:br/>
                        </w:r>
                        <w:r w:rsidRPr="00344573">
                          <w:rPr>
                            <w:color w:val="000000"/>
                            <w:sz w:val="20"/>
                          </w:rPr>
                          <w:t xml:space="preserve">Clerical Hours/Year </w:t>
                        </w:r>
                        <w:r w:rsidRPr="00344573">
                          <w:rPr>
                            <w:color w:val="000000"/>
                            <w:sz w:val="20"/>
                          </w:rPr>
                          <w:br/>
                        </w:r>
                        <w:r w:rsidRPr="00344573">
                          <w:rPr>
                            <w:color w:val="000000"/>
                            <w:sz w:val="20"/>
                          </w:rPr>
                          <w:t>(E x 0.10)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344573" w:rsidRPr="00344573" w:rsidP="00344573" w14:paraId="0EBBFBDB" w14:textId="77777777">
                        <w:pPr>
                          <w:jc w:val="center"/>
                          <w:rPr>
                            <w:color w:val="000000"/>
                            <w:sz w:val="20"/>
                          </w:rPr>
                        </w:pPr>
                        <w:r w:rsidRPr="00344573">
                          <w:rPr>
                            <w:color w:val="000000"/>
                            <w:sz w:val="20"/>
                          </w:rPr>
                          <w:t>(H)</w:t>
                        </w:r>
                        <w:r w:rsidRPr="00344573">
                          <w:rPr>
                            <w:color w:val="000000"/>
                            <w:sz w:val="20"/>
                          </w:rPr>
                          <w:br/>
                        </w:r>
                        <w:r w:rsidRPr="00344573">
                          <w:rPr>
                            <w:color w:val="000000"/>
                            <w:sz w:val="20"/>
                          </w:rPr>
                          <w:t>Cost/ Year</w:t>
                        </w:r>
                        <w:r w:rsidRPr="00344573">
                          <w:rPr>
                            <w:color w:val="000000"/>
                            <w:sz w:val="20"/>
                            <w:vertAlign w:val="superscript"/>
                          </w:rPr>
                          <w:t>b</w:t>
                        </w:r>
                      </w:p>
                    </w:tc>
                  </w:tr>
                  <w:tr w14:paraId="261FEBA3" w14:textId="77777777" w:rsidTr="00344573">
                    <w:tblPrEx>
                      <w:tblW w:w="12640" w:type="dxa"/>
                      <w:tblLayout w:type="fixed"/>
                      <w:tblLook w:val="04A0"/>
                    </w:tblPrEx>
                    <w:trPr>
                      <w:trHeight w:val="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5E41CC27" w14:textId="77777777">
                        <w:pPr>
                          <w:rPr>
                            <w:color w:val="000000"/>
                            <w:sz w:val="20"/>
                          </w:rPr>
                        </w:pPr>
                        <w:r w:rsidRPr="00344573">
                          <w:rPr>
                            <w:color w:val="000000"/>
                            <w:sz w:val="20"/>
                          </w:rPr>
                          <w:t xml:space="preserve">1. APPLICATIONS </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1D41D188" w14:textId="77777777">
                        <w:pPr>
                          <w:jc w:val="center"/>
                          <w:rPr>
                            <w:color w:val="000000"/>
                            <w:sz w:val="20"/>
                          </w:rPr>
                        </w:pPr>
                        <w:r w:rsidRPr="00344573">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01100E53"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6002374E" w14:textId="77777777">
                        <w:pPr>
                          <w:jc w:val="right"/>
                          <w:rPr>
                            <w:color w:val="000000"/>
                            <w:sz w:val="20"/>
                          </w:rPr>
                        </w:pPr>
                        <w:r w:rsidRPr="00344573">
                          <w:rPr>
                            <w:color w:val="000000"/>
                            <w:sz w:val="20"/>
                          </w:rPr>
                          <w:t> </w:t>
                        </w:r>
                      </w:p>
                    </w:tc>
                    <w:tc>
                      <w:tcPr>
                        <w:tcW w:w="1300" w:type="dxa"/>
                        <w:tcBorders>
                          <w:top w:val="nil"/>
                          <w:left w:val="nil"/>
                          <w:bottom w:val="single" w:sz="4" w:space="0" w:color="auto"/>
                          <w:right w:val="single" w:sz="4" w:space="0" w:color="auto"/>
                        </w:tcBorders>
                        <w:shd w:val="clear" w:color="auto" w:fill="auto"/>
                        <w:vAlign w:val="center"/>
                        <w:hideMark/>
                      </w:tcPr>
                      <w:p w:rsidR="00344573" w:rsidRPr="00344573" w:rsidP="00344573" w14:paraId="50108B2B"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25B7E224"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1A6B39AD"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1E9056F9" w14:textId="77777777">
                        <w:pPr>
                          <w:jc w:val="right"/>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22655FFB" w14:textId="77777777">
                        <w:pPr>
                          <w:jc w:val="right"/>
                          <w:rPr>
                            <w:color w:val="000000"/>
                            <w:sz w:val="20"/>
                          </w:rPr>
                        </w:pPr>
                        <w:r w:rsidRPr="00344573">
                          <w:rPr>
                            <w:color w:val="000000"/>
                            <w:sz w:val="20"/>
                          </w:rPr>
                          <w:t> </w:t>
                        </w:r>
                      </w:p>
                    </w:tc>
                  </w:tr>
                  <w:tr w14:paraId="002BC245" w14:textId="77777777" w:rsidTr="00344573">
                    <w:tblPrEx>
                      <w:tblW w:w="12640" w:type="dxa"/>
                      <w:tblLayout w:type="fixed"/>
                      <w:tblLook w:val="04A0"/>
                    </w:tblPrEx>
                    <w:trPr>
                      <w:trHeight w:val="78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319FA2AF" w14:textId="77777777">
                        <w:pPr>
                          <w:rPr>
                            <w:color w:val="000000"/>
                            <w:sz w:val="20"/>
                          </w:rPr>
                        </w:pPr>
                        <w:r w:rsidRPr="00344573">
                          <w:rPr>
                            <w:color w:val="000000"/>
                            <w:sz w:val="20"/>
                          </w:rPr>
                          <w:t xml:space="preserve">2. SURVEY AND STUDIES </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5430DE94" w14:textId="77777777">
                        <w:pPr>
                          <w:jc w:val="center"/>
                          <w:rPr>
                            <w:color w:val="000000"/>
                            <w:sz w:val="20"/>
                          </w:rPr>
                        </w:pPr>
                        <w:r w:rsidRPr="00344573">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71D7A6C9"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792650BF" w14:textId="77777777">
                        <w:pPr>
                          <w:jc w:val="right"/>
                          <w:rPr>
                            <w:color w:val="000000"/>
                            <w:sz w:val="20"/>
                          </w:rPr>
                        </w:pPr>
                        <w:r w:rsidRPr="00344573">
                          <w:rPr>
                            <w:color w:val="000000"/>
                            <w:sz w:val="20"/>
                          </w:rPr>
                          <w:t> </w:t>
                        </w:r>
                      </w:p>
                    </w:tc>
                    <w:tc>
                      <w:tcPr>
                        <w:tcW w:w="1300" w:type="dxa"/>
                        <w:tcBorders>
                          <w:top w:val="nil"/>
                          <w:left w:val="nil"/>
                          <w:bottom w:val="single" w:sz="4" w:space="0" w:color="auto"/>
                          <w:right w:val="single" w:sz="4" w:space="0" w:color="auto"/>
                        </w:tcBorders>
                        <w:shd w:val="clear" w:color="auto" w:fill="auto"/>
                        <w:vAlign w:val="center"/>
                        <w:hideMark/>
                      </w:tcPr>
                      <w:p w:rsidR="00344573" w:rsidRPr="00344573" w:rsidP="00344573" w14:paraId="4DF4A699"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3DA8151F"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743F226C"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3518731C" w14:textId="77777777">
                        <w:pPr>
                          <w:jc w:val="right"/>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0604C5FA" w14:textId="77777777">
                        <w:pPr>
                          <w:jc w:val="right"/>
                          <w:rPr>
                            <w:color w:val="000000"/>
                            <w:sz w:val="20"/>
                          </w:rPr>
                        </w:pPr>
                        <w:r w:rsidRPr="00344573">
                          <w:rPr>
                            <w:color w:val="000000"/>
                            <w:sz w:val="20"/>
                          </w:rPr>
                          <w:t> </w:t>
                        </w:r>
                      </w:p>
                    </w:tc>
                  </w:tr>
                  <w:tr w14:paraId="0A88FF0F" w14:textId="77777777" w:rsidTr="00344573">
                    <w:tblPrEx>
                      <w:tblW w:w="12640" w:type="dxa"/>
                      <w:tblLayout w:type="fixed"/>
                      <w:tblLook w:val="04A0"/>
                    </w:tblPrEx>
                    <w:trPr>
                      <w:trHeight w:val="104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29C87841" w14:textId="77777777">
                        <w:pPr>
                          <w:rPr>
                            <w:color w:val="000000"/>
                            <w:sz w:val="20"/>
                          </w:rPr>
                        </w:pPr>
                        <w:r w:rsidRPr="00344573">
                          <w:rPr>
                            <w:color w:val="000000"/>
                            <w:sz w:val="20"/>
                          </w:rPr>
                          <w:t>3.ACQUISITION, INSTALLATION, AND UTILIZATION OF TECHNOLOGY AND SYSTEMS</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0ABA2F62"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23B87554"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7679F03A" w14:textId="77777777">
                        <w:pPr>
                          <w:jc w:val="center"/>
                          <w:rPr>
                            <w:color w:val="000000"/>
                            <w:sz w:val="20"/>
                          </w:rPr>
                        </w:pPr>
                        <w:r w:rsidRPr="00344573">
                          <w:rPr>
                            <w:color w:val="000000"/>
                            <w:sz w:val="20"/>
                          </w:rPr>
                          <w:t>0</w:t>
                        </w:r>
                      </w:p>
                    </w:tc>
                    <w:tc>
                      <w:tcPr>
                        <w:tcW w:w="1300" w:type="dxa"/>
                        <w:tcBorders>
                          <w:top w:val="nil"/>
                          <w:left w:val="nil"/>
                          <w:bottom w:val="single" w:sz="4" w:space="0" w:color="auto"/>
                          <w:right w:val="single" w:sz="4" w:space="0" w:color="auto"/>
                        </w:tcBorders>
                        <w:shd w:val="clear" w:color="auto" w:fill="auto"/>
                        <w:vAlign w:val="center"/>
                        <w:hideMark/>
                      </w:tcPr>
                      <w:p w:rsidR="00344573" w:rsidRPr="00344573" w:rsidP="00344573" w14:paraId="3F01E3AC"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4688080A"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6BA93734"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55B7C258" w14:textId="77777777">
                        <w:pPr>
                          <w:jc w:val="center"/>
                          <w:rPr>
                            <w:color w:val="000000"/>
                            <w:sz w:val="20"/>
                          </w:rPr>
                        </w:pPr>
                        <w:r w:rsidRPr="00344573">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05A79EF0" w14:textId="77777777">
                        <w:pPr>
                          <w:jc w:val="right"/>
                          <w:rPr>
                            <w:color w:val="000000"/>
                            <w:sz w:val="20"/>
                          </w:rPr>
                        </w:pPr>
                        <w:r w:rsidRPr="00344573">
                          <w:rPr>
                            <w:color w:val="000000"/>
                            <w:sz w:val="20"/>
                          </w:rPr>
                          <w:t xml:space="preserve">$0 </w:t>
                        </w:r>
                      </w:p>
                    </w:tc>
                  </w:tr>
                  <w:tr w14:paraId="3879CA1F" w14:textId="77777777" w:rsidTr="00344573">
                    <w:tblPrEx>
                      <w:tblW w:w="12640" w:type="dxa"/>
                      <w:tblLayout w:type="fixed"/>
                      <w:tblLook w:val="04A0"/>
                    </w:tblPrEx>
                    <w:trPr>
                      <w:trHeight w:val="50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44AD99D2" w14:textId="77777777">
                        <w:pPr>
                          <w:rPr>
                            <w:color w:val="000000"/>
                            <w:sz w:val="20"/>
                          </w:rPr>
                        </w:pPr>
                        <w:r w:rsidRPr="00344573">
                          <w:rPr>
                            <w:color w:val="000000"/>
                            <w:sz w:val="20"/>
                          </w:rPr>
                          <w:t>4. REPORT REQUIREMENTS</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52F2F00B" w14:textId="77777777">
                        <w:pPr>
                          <w:jc w:val="center"/>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4CEFBF45" w14:textId="77777777">
                        <w:pPr>
                          <w:jc w:val="center"/>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24899BC6" w14:textId="77777777">
                        <w:pPr>
                          <w:jc w:val="center"/>
                          <w:rPr>
                            <w:color w:val="000000"/>
                            <w:sz w:val="20"/>
                          </w:rPr>
                        </w:pPr>
                        <w:r w:rsidRPr="00344573">
                          <w:rPr>
                            <w:color w:val="000000"/>
                            <w:sz w:val="20"/>
                          </w:rPr>
                          <w:t> </w:t>
                        </w:r>
                      </w:p>
                    </w:tc>
                    <w:tc>
                      <w:tcPr>
                        <w:tcW w:w="1300" w:type="dxa"/>
                        <w:tcBorders>
                          <w:top w:val="nil"/>
                          <w:left w:val="nil"/>
                          <w:bottom w:val="single" w:sz="4" w:space="0" w:color="auto"/>
                          <w:right w:val="single" w:sz="4" w:space="0" w:color="auto"/>
                        </w:tcBorders>
                        <w:shd w:val="clear" w:color="auto" w:fill="auto"/>
                        <w:vAlign w:val="center"/>
                        <w:hideMark/>
                      </w:tcPr>
                      <w:p w:rsidR="00344573" w:rsidRPr="00344573" w:rsidP="00344573" w14:paraId="4E29CF60" w14:textId="77777777">
                        <w:pPr>
                          <w:jc w:val="center"/>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3505648D" w14:textId="77777777">
                        <w:pPr>
                          <w:jc w:val="center"/>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2AEF446C" w14:textId="77777777">
                        <w:pPr>
                          <w:jc w:val="center"/>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3820BCD9" w14:textId="77777777">
                        <w:pPr>
                          <w:jc w:val="center"/>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5AF9B3F6" w14:textId="77777777">
                        <w:pPr>
                          <w:jc w:val="right"/>
                          <w:rPr>
                            <w:color w:val="000000"/>
                            <w:sz w:val="20"/>
                          </w:rPr>
                        </w:pPr>
                        <w:r w:rsidRPr="00344573">
                          <w:rPr>
                            <w:color w:val="000000"/>
                            <w:sz w:val="20"/>
                          </w:rPr>
                          <w:t> </w:t>
                        </w:r>
                      </w:p>
                    </w:tc>
                  </w:tr>
                  <w:tr w14:paraId="3C8FA5B5" w14:textId="77777777" w:rsidTr="00344573">
                    <w:tblPrEx>
                      <w:tblW w:w="12640" w:type="dxa"/>
                      <w:tblLayout w:type="fixed"/>
                      <w:tblLook w:val="04A0"/>
                    </w:tblPrEx>
                    <w:trPr>
                      <w:trHeight w:val="11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334BD45D" w14:textId="77777777">
                        <w:pPr>
                          <w:rPr>
                            <w:color w:val="000000"/>
                            <w:sz w:val="20"/>
                          </w:rPr>
                        </w:pPr>
                        <w:r w:rsidRPr="00344573">
                          <w:rPr>
                            <w:color w:val="000000"/>
                            <w:sz w:val="20"/>
                          </w:rPr>
                          <w:t xml:space="preserve">REQUEST FOR CASE-BY-CASE EMISSION LIMITS - Per 52.40(e);  (based on BACT analysis of 2020 NSR ICR) </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7F1ECA19" w14:textId="77777777">
                        <w:pPr>
                          <w:jc w:val="center"/>
                          <w:rPr>
                            <w:color w:val="000000"/>
                            <w:sz w:val="20"/>
                          </w:rPr>
                        </w:pPr>
                        <w:r w:rsidRPr="00344573">
                          <w:rPr>
                            <w:color w:val="000000"/>
                            <w:sz w:val="20"/>
                          </w:rPr>
                          <w:t>156</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5B3C2AE0" w14:textId="77777777">
                        <w:pPr>
                          <w:jc w:val="center"/>
                          <w:rPr>
                            <w:sz w:val="20"/>
                          </w:rPr>
                        </w:pPr>
                        <w:r w:rsidRPr="00344573">
                          <w:rPr>
                            <w:sz w:val="20"/>
                          </w:rPr>
                          <w:t>1</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2E45AEB7" w14:textId="77777777">
                        <w:pPr>
                          <w:jc w:val="center"/>
                          <w:rPr>
                            <w:color w:val="000000"/>
                            <w:sz w:val="20"/>
                          </w:rPr>
                        </w:pPr>
                        <w:r w:rsidRPr="00344573">
                          <w:rPr>
                            <w:color w:val="000000"/>
                            <w:sz w:val="20"/>
                          </w:rPr>
                          <w:t>156</w:t>
                        </w:r>
                      </w:p>
                    </w:tc>
                    <w:tc>
                      <w:tcPr>
                        <w:tcW w:w="1300" w:type="dxa"/>
                        <w:tcBorders>
                          <w:top w:val="nil"/>
                          <w:left w:val="nil"/>
                          <w:bottom w:val="single" w:sz="4" w:space="0" w:color="auto"/>
                          <w:right w:val="single" w:sz="4" w:space="0" w:color="auto"/>
                        </w:tcBorders>
                        <w:shd w:val="clear" w:color="auto" w:fill="auto"/>
                        <w:vAlign w:val="center"/>
                        <w:hideMark/>
                      </w:tcPr>
                      <w:p w:rsidR="00344573" w:rsidRPr="00344573" w:rsidP="00344573" w14:paraId="424C6611" w14:textId="77777777">
                        <w:pPr>
                          <w:jc w:val="center"/>
                          <w:rPr>
                            <w:sz w:val="20"/>
                          </w:rPr>
                        </w:pPr>
                        <w:r w:rsidRPr="00344573">
                          <w:rPr>
                            <w:sz w:val="20"/>
                          </w:rPr>
                          <w:t>2.08</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07F46DE0" w14:textId="77777777">
                        <w:pPr>
                          <w:jc w:val="center"/>
                          <w:rPr>
                            <w:color w:val="000000"/>
                            <w:sz w:val="20"/>
                          </w:rPr>
                        </w:pPr>
                        <w:r w:rsidRPr="00344573">
                          <w:rPr>
                            <w:color w:val="000000"/>
                            <w:sz w:val="20"/>
                          </w:rPr>
                          <w:t>324.48</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4727D9BB" w14:textId="77777777">
                        <w:pPr>
                          <w:jc w:val="center"/>
                          <w:rPr>
                            <w:color w:val="000000"/>
                            <w:sz w:val="20"/>
                          </w:rPr>
                        </w:pPr>
                        <w:r w:rsidRPr="00344573">
                          <w:rPr>
                            <w:color w:val="000000"/>
                            <w:sz w:val="20"/>
                          </w:rPr>
                          <w:t>16.224</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5ED8ACFB" w14:textId="77777777">
                        <w:pPr>
                          <w:jc w:val="center"/>
                          <w:rPr>
                            <w:color w:val="000000"/>
                            <w:sz w:val="20"/>
                          </w:rPr>
                        </w:pPr>
                        <w:r w:rsidRPr="00344573">
                          <w:rPr>
                            <w:color w:val="000000"/>
                            <w:sz w:val="20"/>
                          </w:rPr>
                          <w:t>32.448</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3970EF0D" w14:textId="38415D82">
                        <w:pPr>
                          <w:jc w:val="right"/>
                          <w:rPr>
                            <w:color w:val="000000"/>
                            <w:sz w:val="20"/>
                          </w:rPr>
                        </w:pPr>
                        <w:r w:rsidRPr="00344573">
                          <w:rPr>
                            <w:color w:val="000000"/>
                            <w:sz w:val="20"/>
                          </w:rPr>
                          <w:t xml:space="preserve">$46,135 </w:t>
                        </w:r>
                      </w:p>
                    </w:tc>
                  </w:tr>
                  <w:tr w14:paraId="0F039C54" w14:textId="77777777" w:rsidTr="00344573">
                    <w:tblPrEx>
                      <w:tblW w:w="12640" w:type="dxa"/>
                      <w:tblLayout w:type="fixed"/>
                      <w:tblLook w:val="04A0"/>
                    </w:tblPrEx>
                    <w:trPr>
                      <w:trHeight w:val="5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6DD4DE61" w14:textId="77777777">
                        <w:pPr>
                          <w:rPr>
                            <w:color w:val="000000"/>
                            <w:sz w:val="20"/>
                          </w:rPr>
                        </w:pPr>
                        <w:r w:rsidRPr="00344573">
                          <w:rPr>
                            <w:color w:val="000000"/>
                            <w:sz w:val="20"/>
                          </w:rPr>
                          <w:t>A. Familiarize with regulatory requirement</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1A640FF9" w14:textId="77777777">
                        <w:pPr>
                          <w:jc w:val="center"/>
                          <w:rPr>
                            <w:color w:val="000000"/>
                            <w:sz w:val="20"/>
                          </w:rPr>
                        </w:pPr>
                        <w:r w:rsidRPr="00344573">
                          <w:rPr>
                            <w:color w:val="000000"/>
                            <w:sz w:val="20"/>
                          </w:rPr>
                          <w:t>10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0BC58A1E" w14:textId="77777777">
                        <w:pPr>
                          <w:jc w:val="center"/>
                          <w:rPr>
                            <w:sz w:val="20"/>
                          </w:rPr>
                        </w:pPr>
                        <w:r w:rsidRPr="00344573">
                          <w:rPr>
                            <w:sz w:val="20"/>
                          </w:rPr>
                          <w:t>1</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34505F64" w14:textId="77777777">
                        <w:pPr>
                          <w:jc w:val="center"/>
                          <w:rPr>
                            <w:color w:val="000000"/>
                            <w:sz w:val="20"/>
                          </w:rPr>
                        </w:pPr>
                        <w:r w:rsidRPr="00344573">
                          <w:rPr>
                            <w:color w:val="000000"/>
                            <w:sz w:val="20"/>
                          </w:rPr>
                          <w:t>10</w:t>
                        </w:r>
                      </w:p>
                    </w:tc>
                    <w:tc>
                      <w:tcPr>
                        <w:tcW w:w="1300" w:type="dxa"/>
                        <w:tcBorders>
                          <w:top w:val="nil"/>
                          <w:left w:val="nil"/>
                          <w:bottom w:val="single" w:sz="4" w:space="0" w:color="auto"/>
                          <w:right w:val="single" w:sz="4" w:space="0" w:color="auto"/>
                        </w:tcBorders>
                        <w:shd w:val="clear" w:color="auto" w:fill="auto"/>
                        <w:vAlign w:val="center"/>
                        <w:hideMark/>
                      </w:tcPr>
                      <w:p w:rsidR="00344573" w:rsidRPr="00344573" w:rsidP="00344573" w14:paraId="0A68458A" w14:textId="77777777">
                        <w:pPr>
                          <w:jc w:val="center"/>
                          <w:rPr>
                            <w:sz w:val="20"/>
                          </w:rPr>
                        </w:pPr>
                        <w:r w:rsidRPr="00344573">
                          <w:rPr>
                            <w:sz w:val="20"/>
                          </w:rPr>
                          <w:t>208</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5D407A2D" w14:textId="77777777">
                        <w:pPr>
                          <w:jc w:val="center"/>
                          <w:rPr>
                            <w:color w:val="000000"/>
                            <w:sz w:val="20"/>
                          </w:rPr>
                        </w:pPr>
                        <w:r w:rsidRPr="00344573">
                          <w:rPr>
                            <w:color w:val="000000"/>
                            <w:sz w:val="20"/>
                          </w:rPr>
                          <w:t>2080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0D9BEF49" w14:textId="77777777">
                        <w:pPr>
                          <w:jc w:val="center"/>
                          <w:rPr>
                            <w:color w:val="000000"/>
                            <w:sz w:val="20"/>
                          </w:rPr>
                        </w:pPr>
                        <w:r w:rsidRPr="00344573">
                          <w:rPr>
                            <w:color w:val="000000"/>
                            <w:sz w:val="20"/>
                          </w:rPr>
                          <w:t>104</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32377C51" w14:textId="77777777">
                        <w:pPr>
                          <w:jc w:val="center"/>
                          <w:rPr>
                            <w:color w:val="000000"/>
                            <w:sz w:val="20"/>
                          </w:rPr>
                        </w:pPr>
                        <w:r w:rsidRPr="00344573">
                          <w:rPr>
                            <w:color w:val="000000"/>
                            <w:sz w:val="20"/>
                          </w:rPr>
                          <w:t>208</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15A8FD21" w14:textId="46975878">
                        <w:pPr>
                          <w:jc w:val="right"/>
                          <w:rPr>
                            <w:color w:val="000000"/>
                            <w:sz w:val="20"/>
                          </w:rPr>
                        </w:pPr>
                        <w:r w:rsidRPr="00344573">
                          <w:rPr>
                            <w:color w:val="000000"/>
                            <w:sz w:val="20"/>
                          </w:rPr>
                          <w:t>$295,7</w:t>
                        </w:r>
                        <w:r w:rsidR="005617FD">
                          <w:rPr>
                            <w:color w:val="000000"/>
                            <w:sz w:val="20"/>
                          </w:rPr>
                          <w:t>40</w:t>
                        </w:r>
                        <w:r w:rsidRPr="00344573">
                          <w:rPr>
                            <w:color w:val="000000"/>
                            <w:sz w:val="20"/>
                          </w:rPr>
                          <w:t xml:space="preserve"> </w:t>
                        </w:r>
                      </w:p>
                    </w:tc>
                  </w:tr>
                  <w:tr w14:paraId="611700DB" w14:textId="77777777" w:rsidTr="00344573">
                    <w:tblPrEx>
                      <w:tblW w:w="12640" w:type="dxa"/>
                      <w:tblLayout w:type="fixed"/>
                      <w:tblLook w:val="04A0"/>
                    </w:tblPrEx>
                    <w:trPr>
                      <w:trHeight w:val="315"/>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189104FB" w14:textId="77777777">
                        <w:pPr>
                          <w:rPr>
                            <w:color w:val="000000"/>
                            <w:sz w:val="20"/>
                          </w:rPr>
                        </w:pPr>
                        <w:r w:rsidRPr="00344573">
                          <w:rPr>
                            <w:color w:val="000000"/>
                            <w:sz w:val="20"/>
                          </w:rPr>
                          <w:t>B. Required Activities</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0E78C915" w14:textId="77777777">
                        <w:pPr>
                          <w:jc w:val="center"/>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4AC6F170" w14:textId="77777777">
                        <w:pPr>
                          <w:jc w:val="center"/>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4D29221D" w14:textId="77777777">
                        <w:pPr>
                          <w:jc w:val="center"/>
                          <w:rPr>
                            <w:color w:val="000000"/>
                            <w:sz w:val="20"/>
                          </w:rPr>
                        </w:pPr>
                        <w:r w:rsidRPr="00344573">
                          <w:rPr>
                            <w:color w:val="000000"/>
                            <w:sz w:val="20"/>
                          </w:rPr>
                          <w:t> </w:t>
                        </w:r>
                      </w:p>
                    </w:tc>
                    <w:tc>
                      <w:tcPr>
                        <w:tcW w:w="1300" w:type="dxa"/>
                        <w:tcBorders>
                          <w:top w:val="nil"/>
                          <w:left w:val="nil"/>
                          <w:bottom w:val="single" w:sz="4" w:space="0" w:color="auto"/>
                          <w:right w:val="single" w:sz="4" w:space="0" w:color="auto"/>
                        </w:tcBorders>
                        <w:shd w:val="clear" w:color="auto" w:fill="auto"/>
                        <w:vAlign w:val="center"/>
                        <w:hideMark/>
                      </w:tcPr>
                      <w:p w:rsidR="00344573" w:rsidRPr="00344573" w:rsidP="00344573" w14:paraId="3E0E96DD" w14:textId="77777777">
                        <w:pPr>
                          <w:jc w:val="center"/>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50BE7E71" w14:textId="77777777">
                        <w:pPr>
                          <w:jc w:val="center"/>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37058CF1" w14:textId="77777777">
                        <w:pPr>
                          <w:jc w:val="center"/>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6AFCD5DC" w14:textId="77777777">
                        <w:pPr>
                          <w:jc w:val="center"/>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00A550BD" w14:textId="77777777">
                        <w:pPr>
                          <w:jc w:val="right"/>
                          <w:rPr>
                            <w:color w:val="000000"/>
                            <w:sz w:val="20"/>
                          </w:rPr>
                        </w:pPr>
                        <w:r w:rsidRPr="00344573">
                          <w:rPr>
                            <w:color w:val="000000"/>
                            <w:sz w:val="20"/>
                          </w:rPr>
                          <w:t> </w:t>
                        </w:r>
                      </w:p>
                    </w:tc>
                  </w:tr>
                  <w:tr w14:paraId="46AAA920" w14:textId="77777777" w:rsidTr="00344573">
                    <w:tblPrEx>
                      <w:tblW w:w="12640" w:type="dxa"/>
                      <w:tblLayout w:type="fixed"/>
                      <w:tblLook w:val="04A0"/>
                    </w:tblPrEx>
                    <w:trPr>
                      <w:trHeight w:val="31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4A88B31E" w14:textId="77777777">
                        <w:pPr>
                          <w:rPr>
                            <w:i/>
                            <w:iCs/>
                            <w:color w:val="000000"/>
                            <w:sz w:val="20"/>
                          </w:rPr>
                        </w:pPr>
                        <w:r w:rsidRPr="00344573">
                          <w:rPr>
                            <w:i/>
                            <w:iCs/>
                            <w:color w:val="000000"/>
                            <w:sz w:val="20"/>
                          </w:rPr>
                          <w:t xml:space="preserve">New Sources - Testing </w:t>
                        </w:r>
                        <w:r w:rsidRPr="00344573">
                          <w:rPr>
                            <w:color w:val="000000"/>
                            <w:sz w:val="20"/>
                            <w:vertAlign w:val="superscript"/>
                          </w:rPr>
                          <w:t>c</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794C57DE" w14:textId="77777777">
                        <w:pPr>
                          <w:jc w:val="center"/>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00D3D4EA" w14:textId="77777777">
                        <w:pPr>
                          <w:jc w:val="center"/>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599BD2D3" w14:textId="77777777">
                        <w:pPr>
                          <w:jc w:val="center"/>
                          <w:rPr>
                            <w:color w:val="000000"/>
                            <w:sz w:val="20"/>
                          </w:rPr>
                        </w:pPr>
                        <w:r w:rsidRPr="00344573">
                          <w:rPr>
                            <w:color w:val="000000"/>
                            <w:sz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49F3BCDF" w14:textId="77777777">
                        <w:pPr>
                          <w:jc w:val="center"/>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26A1A29C" w14:textId="77777777">
                        <w:pPr>
                          <w:jc w:val="center"/>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21E80E38" w14:textId="77777777">
                        <w:pPr>
                          <w:jc w:val="center"/>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5E764220" w14:textId="77777777">
                        <w:pPr>
                          <w:jc w:val="center"/>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79D39FE9" w14:textId="77777777">
                        <w:pPr>
                          <w:jc w:val="right"/>
                          <w:rPr>
                            <w:color w:val="000000"/>
                            <w:sz w:val="20"/>
                          </w:rPr>
                        </w:pPr>
                        <w:r w:rsidRPr="00344573">
                          <w:rPr>
                            <w:color w:val="000000"/>
                            <w:sz w:val="20"/>
                          </w:rPr>
                          <w:t> </w:t>
                        </w:r>
                      </w:p>
                    </w:tc>
                  </w:tr>
                  <w:tr w14:paraId="0DDEAC75" w14:textId="77777777" w:rsidTr="00344573">
                    <w:tblPrEx>
                      <w:tblW w:w="12640" w:type="dxa"/>
                      <w:tblLayout w:type="fixed"/>
                      <w:tblLook w:val="04A0"/>
                    </w:tblPrEx>
                    <w:trPr>
                      <w:trHeight w:val="48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1C2717A7" w14:textId="77777777">
                        <w:pPr>
                          <w:rPr>
                            <w:sz w:val="20"/>
                          </w:rPr>
                        </w:pPr>
                        <w:r w:rsidRPr="00344573">
                          <w:rPr>
                            <w:sz w:val="20"/>
                          </w:rPr>
                          <w:t>Initial NOx Performance Test (boiler)</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22C33225"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35676C11"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5BA98B9C" w14:textId="77777777">
                        <w:pPr>
                          <w:jc w:val="center"/>
                          <w:rPr>
                            <w:color w:val="000000"/>
                            <w:sz w:val="20"/>
                          </w:rPr>
                        </w:pPr>
                        <w:r w:rsidRPr="00344573">
                          <w:rPr>
                            <w:color w:val="000000"/>
                            <w:sz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125DCBCC"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336008B5"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063AD90E"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1AA5A4A3" w14:textId="77777777">
                        <w:pPr>
                          <w:jc w:val="center"/>
                          <w:rPr>
                            <w:color w:val="000000"/>
                            <w:sz w:val="20"/>
                          </w:rPr>
                        </w:pPr>
                        <w:r w:rsidRPr="00344573">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5FA9BDAE" w14:textId="77777777">
                        <w:pPr>
                          <w:jc w:val="right"/>
                          <w:rPr>
                            <w:color w:val="000000"/>
                            <w:sz w:val="20"/>
                          </w:rPr>
                        </w:pPr>
                        <w:r w:rsidRPr="00344573">
                          <w:rPr>
                            <w:color w:val="000000"/>
                            <w:sz w:val="20"/>
                          </w:rPr>
                          <w:t xml:space="preserve">$0.00 </w:t>
                        </w:r>
                      </w:p>
                    </w:tc>
                  </w:tr>
                  <w:tr w14:paraId="6F576BC4" w14:textId="77777777" w:rsidTr="00344573">
                    <w:tblPrEx>
                      <w:tblW w:w="12640" w:type="dxa"/>
                      <w:tblLayout w:type="fixed"/>
                      <w:tblLook w:val="04A0"/>
                    </w:tblPrEx>
                    <w:trPr>
                      <w:trHeight w:val="3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328ABBBA" w14:textId="77777777">
                        <w:pPr>
                          <w:rPr>
                            <w:sz w:val="20"/>
                          </w:rPr>
                        </w:pPr>
                        <w:r w:rsidRPr="00344573">
                          <w:rPr>
                            <w:sz w:val="20"/>
                          </w:rPr>
                          <w:t>Repeat NOx Performance Test</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0F50A364"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2398FE7C"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3F6795A4" w14:textId="77777777">
                        <w:pPr>
                          <w:jc w:val="center"/>
                          <w:rPr>
                            <w:color w:val="000000"/>
                            <w:sz w:val="20"/>
                          </w:rPr>
                        </w:pPr>
                        <w:r w:rsidRPr="00344573">
                          <w:rPr>
                            <w:color w:val="000000"/>
                            <w:sz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03E49012"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7277ADB2"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744F777A"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27A7803A" w14:textId="77777777">
                        <w:pPr>
                          <w:jc w:val="center"/>
                          <w:rPr>
                            <w:color w:val="000000"/>
                            <w:sz w:val="20"/>
                          </w:rPr>
                        </w:pPr>
                        <w:r w:rsidRPr="00344573">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5FEF031D" w14:textId="77777777">
                        <w:pPr>
                          <w:jc w:val="right"/>
                          <w:rPr>
                            <w:color w:val="000000"/>
                            <w:sz w:val="20"/>
                          </w:rPr>
                        </w:pPr>
                        <w:r w:rsidRPr="00344573">
                          <w:rPr>
                            <w:color w:val="000000"/>
                            <w:sz w:val="20"/>
                          </w:rPr>
                          <w:t xml:space="preserve">$0.00 </w:t>
                        </w:r>
                      </w:p>
                    </w:tc>
                  </w:tr>
                  <w:tr w14:paraId="7483FED3" w14:textId="77777777" w:rsidTr="00344573">
                    <w:tblPrEx>
                      <w:tblW w:w="12640" w:type="dxa"/>
                      <w:tblLayout w:type="fixed"/>
                      <w:tblLook w:val="04A0"/>
                    </w:tblPrEx>
                    <w:trPr>
                      <w:trHeight w:val="57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07CE1E31" w14:textId="77777777">
                        <w:pPr>
                          <w:rPr>
                            <w:i/>
                            <w:iCs/>
                            <w:color w:val="000000"/>
                            <w:sz w:val="20"/>
                          </w:rPr>
                        </w:pPr>
                        <w:r w:rsidRPr="00344573">
                          <w:rPr>
                            <w:i/>
                            <w:iCs/>
                            <w:color w:val="000000"/>
                            <w:sz w:val="20"/>
                          </w:rPr>
                          <w:t xml:space="preserve">Existing Sources - Initial Testing </w:t>
                        </w:r>
                        <w:r w:rsidRPr="00344573">
                          <w:rPr>
                            <w:color w:val="000000"/>
                            <w:sz w:val="20"/>
                            <w:vertAlign w:val="superscript"/>
                          </w:rPr>
                          <w:t>d</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0968E524" w14:textId="77777777">
                        <w:pPr>
                          <w:jc w:val="center"/>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182B576B" w14:textId="77777777">
                        <w:pPr>
                          <w:jc w:val="center"/>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51C56655" w14:textId="77777777">
                        <w:pPr>
                          <w:jc w:val="center"/>
                          <w:rPr>
                            <w:color w:val="000000"/>
                            <w:sz w:val="20"/>
                          </w:rPr>
                        </w:pPr>
                        <w:r w:rsidRPr="00344573">
                          <w:rPr>
                            <w:color w:val="000000"/>
                            <w:sz w:val="20"/>
                          </w:rPr>
                          <w:t> </w:t>
                        </w:r>
                      </w:p>
                    </w:tc>
                    <w:tc>
                      <w:tcPr>
                        <w:tcW w:w="1300" w:type="dxa"/>
                        <w:tcBorders>
                          <w:top w:val="nil"/>
                          <w:left w:val="nil"/>
                          <w:bottom w:val="single" w:sz="4" w:space="0" w:color="auto"/>
                          <w:right w:val="single" w:sz="4" w:space="0" w:color="auto"/>
                        </w:tcBorders>
                        <w:shd w:val="clear" w:color="auto" w:fill="auto"/>
                        <w:vAlign w:val="center"/>
                        <w:hideMark/>
                      </w:tcPr>
                      <w:p w:rsidR="00344573" w:rsidRPr="00344573" w:rsidP="00344573" w14:paraId="1CF3A924" w14:textId="77777777">
                        <w:pPr>
                          <w:jc w:val="center"/>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4AAC90E3" w14:textId="77777777">
                        <w:pPr>
                          <w:jc w:val="center"/>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593F20E4" w14:textId="77777777">
                        <w:pPr>
                          <w:jc w:val="center"/>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65DDAF28" w14:textId="77777777">
                        <w:pPr>
                          <w:jc w:val="center"/>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049573B1" w14:textId="77777777">
                        <w:pPr>
                          <w:jc w:val="right"/>
                          <w:rPr>
                            <w:color w:val="000000"/>
                            <w:sz w:val="20"/>
                          </w:rPr>
                        </w:pPr>
                        <w:r w:rsidRPr="00344573">
                          <w:rPr>
                            <w:color w:val="000000"/>
                            <w:sz w:val="20"/>
                          </w:rPr>
                          <w:t> </w:t>
                        </w:r>
                      </w:p>
                    </w:tc>
                  </w:tr>
                  <w:tr w14:paraId="2F75774D" w14:textId="77777777" w:rsidTr="00344573">
                    <w:tblPrEx>
                      <w:tblW w:w="12640" w:type="dxa"/>
                      <w:tblLayout w:type="fixed"/>
                      <w:tblLook w:val="04A0"/>
                    </w:tblPrEx>
                    <w:trPr>
                      <w:trHeight w:val="5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06D3E755" w14:textId="77777777">
                        <w:pPr>
                          <w:rPr>
                            <w:color w:val="000000"/>
                            <w:sz w:val="20"/>
                          </w:rPr>
                        </w:pPr>
                        <w:r w:rsidRPr="00344573">
                          <w:rPr>
                            <w:color w:val="000000"/>
                            <w:sz w:val="20"/>
                          </w:rPr>
                          <w:t>Initial NOx Performance Test (boiler)</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0A5E52F7"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5FA19237"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54732291" w14:textId="77777777">
                        <w:pPr>
                          <w:jc w:val="center"/>
                          <w:rPr>
                            <w:color w:val="000000"/>
                            <w:sz w:val="20"/>
                          </w:rPr>
                        </w:pPr>
                        <w:r w:rsidRPr="00344573">
                          <w:rPr>
                            <w:color w:val="000000"/>
                            <w:sz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600205AA"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48A047AA"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47EA16BB"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7A76D2D4" w14:textId="77777777">
                        <w:pPr>
                          <w:jc w:val="center"/>
                          <w:rPr>
                            <w:color w:val="000000"/>
                            <w:sz w:val="20"/>
                          </w:rPr>
                        </w:pPr>
                        <w:r w:rsidRPr="00344573">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3B83197C" w14:textId="77777777">
                        <w:pPr>
                          <w:jc w:val="right"/>
                          <w:rPr>
                            <w:color w:val="000000"/>
                            <w:sz w:val="20"/>
                          </w:rPr>
                        </w:pPr>
                        <w:r w:rsidRPr="00344573">
                          <w:rPr>
                            <w:color w:val="000000"/>
                            <w:sz w:val="20"/>
                          </w:rPr>
                          <w:t xml:space="preserve">$0.00 </w:t>
                        </w:r>
                      </w:p>
                    </w:tc>
                  </w:tr>
                  <w:tr w14:paraId="3A1C72E9" w14:textId="77777777" w:rsidTr="00344573">
                    <w:tblPrEx>
                      <w:tblW w:w="12640" w:type="dxa"/>
                      <w:tblLayout w:type="fixed"/>
                      <w:tblLook w:val="04A0"/>
                    </w:tblPrEx>
                    <w:trPr>
                      <w:trHeight w:val="8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486E82DD" w14:textId="77777777">
                        <w:pPr>
                          <w:rPr>
                            <w:color w:val="000000"/>
                            <w:sz w:val="20"/>
                          </w:rPr>
                        </w:pPr>
                        <w:r w:rsidRPr="00344573">
                          <w:rPr>
                            <w:color w:val="000000"/>
                            <w:sz w:val="20"/>
                          </w:rPr>
                          <w:t xml:space="preserve">Repeat NOx Performance Test </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529F3379"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408684F8"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03A7FA09" w14:textId="77777777">
                        <w:pPr>
                          <w:jc w:val="center"/>
                          <w:rPr>
                            <w:color w:val="000000"/>
                            <w:sz w:val="20"/>
                          </w:rPr>
                        </w:pPr>
                        <w:r w:rsidRPr="00344573">
                          <w:rPr>
                            <w:color w:val="000000"/>
                            <w:sz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5E2FD9E0"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6CC63F76"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0C7D90F3"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482E7027" w14:textId="77777777">
                        <w:pPr>
                          <w:jc w:val="center"/>
                          <w:rPr>
                            <w:color w:val="000000"/>
                            <w:sz w:val="20"/>
                          </w:rPr>
                        </w:pPr>
                        <w:r w:rsidRPr="00344573">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389152A6" w14:textId="77777777">
                        <w:pPr>
                          <w:jc w:val="right"/>
                          <w:rPr>
                            <w:color w:val="000000"/>
                            <w:sz w:val="20"/>
                          </w:rPr>
                        </w:pPr>
                        <w:r w:rsidRPr="00344573">
                          <w:rPr>
                            <w:color w:val="000000"/>
                            <w:sz w:val="20"/>
                          </w:rPr>
                          <w:t xml:space="preserve">$0.00 </w:t>
                        </w:r>
                      </w:p>
                    </w:tc>
                  </w:tr>
                  <w:tr w14:paraId="5076D856" w14:textId="77777777" w:rsidTr="00344573">
                    <w:tblPrEx>
                      <w:tblW w:w="12640" w:type="dxa"/>
                      <w:tblLayout w:type="fixed"/>
                      <w:tblLook w:val="04A0"/>
                    </w:tblPrEx>
                    <w:trPr>
                      <w:trHeight w:val="57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70712EDB" w14:textId="77777777">
                        <w:pPr>
                          <w:rPr>
                            <w:i/>
                            <w:iCs/>
                            <w:color w:val="000000"/>
                            <w:sz w:val="20"/>
                          </w:rPr>
                        </w:pPr>
                        <w:r w:rsidRPr="00344573">
                          <w:rPr>
                            <w:i/>
                            <w:iCs/>
                            <w:color w:val="000000"/>
                            <w:sz w:val="20"/>
                          </w:rPr>
                          <w:t xml:space="preserve">New and Existing Sources - Monitoring </w:t>
                        </w:r>
                        <w:r w:rsidRPr="00344573">
                          <w:rPr>
                            <w:color w:val="000000"/>
                            <w:sz w:val="20"/>
                            <w:vertAlign w:val="superscript"/>
                          </w:rPr>
                          <w:t>e</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411F7C13" w14:textId="77777777">
                        <w:pPr>
                          <w:jc w:val="center"/>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6FE7A9C2" w14:textId="77777777">
                        <w:pPr>
                          <w:jc w:val="center"/>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256874E9" w14:textId="77777777">
                        <w:pPr>
                          <w:jc w:val="center"/>
                          <w:rPr>
                            <w:color w:val="000000"/>
                            <w:sz w:val="20"/>
                          </w:rPr>
                        </w:pPr>
                        <w:r w:rsidRPr="00344573">
                          <w:rPr>
                            <w:color w:val="000000"/>
                            <w:sz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3359C4D2" w14:textId="77777777">
                        <w:pPr>
                          <w:jc w:val="center"/>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15E06C48" w14:textId="77777777">
                        <w:pPr>
                          <w:jc w:val="center"/>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5DA6BE47" w14:textId="77777777">
                        <w:pPr>
                          <w:jc w:val="center"/>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60DE8581" w14:textId="77777777">
                        <w:pPr>
                          <w:jc w:val="center"/>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53B48C4A" w14:textId="77777777">
                        <w:pPr>
                          <w:jc w:val="right"/>
                          <w:rPr>
                            <w:color w:val="000000"/>
                            <w:sz w:val="20"/>
                          </w:rPr>
                        </w:pPr>
                        <w:r w:rsidRPr="00344573">
                          <w:rPr>
                            <w:color w:val="000000"/>
                            <w:sz w:val="20"/>
                          </w:rPr>
                          <w:t> </w:t>
                        </w:r>
                      </w:p>
                    </w:tc>
                  </w:tr>
                  <w:tr w14:paraId="3140990A" w14:textId="77777777" w:rsidTr="00344573">
                    <w:tblPrEx>
                      <w:tblW w:w="12640" w:type="dxa"/>
                      <w:tblLayout w:type="fixed"/>
                      <w:tblLook w:val="04A0"/>
                    </w:tblPrEx>
                    <w:trPr>
                      <w:trHeight w:val="5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7A5632D5" w14:textId="77777777">
                        <w:pPr>
                          <w:rPr>
                            <w:color w:val="000000"/>
                            <w:sz w:val="20"/>
                          </w:rPr>
                        </w:pPr>
                        <w:r w:rsidRPr="00344573">
                          <w:rPr>
                            <w:color w:val="000000"/>
                            <w:sz w:val="20"/>
                          </w:rPr>
                          <w:t>Daily Calibration Drift Tests - NOx CEMS or CPMS</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57E8FC2E"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201F52A5"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6CB246ED" w14:textId="77777777">
                        <w:pPr>
                          <w:jc w:val="center"/>
                          <w:rPr>
                            <w:color w:val="000000"/>
                            <w:sz w:val="20"/>
                          </w:rPr>
                        </w:pPr>
                        <w:r w:rsidRPr="00344573">
                          <w:rPr>
                            <w:color w:val="000000"/>
                            <w:sz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0E57DAC7"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5B70AE54"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0CDCA289"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07542954" w14:textId="77777777">
                        <w:pPr>
                          <w:jc w:val="center"/>
                          <w:rPr>
                            <w:color w:val="000000"/>
                            <w:sz w:val="20"/>
                          </w:rPr>
                        </w:pPr>
                        <w:r w:rsidRPr="00344573">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42C240E6" w14:textId="77777777">
                        <w:pPr>
                          <w:jc w:val="right"/>
                          <w:rPr>
                            <w:color w:val="000000"/>
                            <w:sz w:val="20"/>
                          </w:rPr>
                        </w:pPr>
                        <w:r w:rsidRPr="00344573">
                          <w:rPr>
                            <w:color w:val="000000"/>
                            <w:sz w:val="20"/>
                          </w:rPr>
                          <w:t xml:space="preserve">$0.00 </w:t>
                        </w:r>
                      </w:p>
                    </w:tc>
                  </w:tr>
                  <w:tr w14:paraId="01487F01" w14:textId="77777777" w:rsidTr="00344573">
                    <w:tblPrEx>
                      <w:tblW w:w="12640" w:type="dxa"/>
                      <w:tblLayout w:type="fixed"/>
                      <w:tblLook w:val="04A0"/>
                    </w:tblPrEx>
                    <w:trPr>
                      <w:trHeight w:val="5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163BD42D" w14:textId="77777777">
                        <w:pPr>
                          <w:rPr>
                            <w:color w:val="000000"/>
                            <w:sz w:val="20"/>
                          </w:rPr>
                        </w:pPr>
                        <w:r w:rsidRPr="00344573">
                          <w:rPr>
                            <w:color w:val="000000"/>
                            <w:sz w:val="20"/>
                          </w:rPr>
                          <w:t>C. Create Information (Included in 4B)</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10477707" w14:textId="77777777">
                        <w:pPr>
                          <w:jc w:val="center"/>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20ADEF42"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4BC074CB" w14:textId="77777777">
                        <w:pPr>
                          <w:jc w:val="right"/>
                          <w:rPr>
                            <w:color w:val="000000"/>
                            <w:sz w:val="20"/>
                          </w:rPr>
                        </w:pPr>
                        <w:r w:rsidRPr="00344573">
                          <w:rPr>
                            <w:color w:val="000000"/>
                            <w:sz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314D63F7"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0100DADE"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18D92BDA"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5E73FC52" w14:textId="77777777">
                        <w:pPr>
                          <w:jc w:val="right"/>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22A3CEFD" w14:textId="77777777">
                        <w:pPr>
                          <w:jc w:val="right"/>
                          <w:rPr>
                            <w:color w:val="000000"/>
                            <w:sz w:val="20"/>
                          </w:rPr>
                        </w:pPr>
                        <w:r w:rsidRPr="00344573">
                          <w:rPr>
                            <w:color w:val="000000"/>
                            <w:sz w:val="20"/>
                          </w:rPr>
                          <w:t> </w:t>
                        </w:r>
                      </w:p>
                    </w:tc>
                  </w:tr>
                  <w:tr w14:paraId="091ED4C8" w14:textId="77777777" w:rsidTr="00344573">
                    <w:tblPrEx>
                      <w:tblW w:w="12640" w:type="dxa"/>
                      <w:tblLayout w:type="fixed"/>
                      <w:tblLook w:val="04A0"/>
                    </w:tblPrEx>
                    <w:trPr>
                      <w:trHeight w:val="5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553CFA97" w14:textId="77777777">
                        <w:pPr>
                          <w:rPr>
                            <w:color w:val="000000"/>
                            <w:sz w:val="20"/>
                          </w:rPr>
                        </w:pPr>
                        <w:r w:rsidRPr="00344573">
                          <w:rPr>
                            <w:color w:val="000000"/>
                            <w:sz w:val="20"/>
                          </w:rPr>
                          <w:t>D. Gather Existing Information (Included in 4E)</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1F6659A9" w14:textId="77777777">
                        <w:pPr>
                          <w:jc w:val="center"/>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348A6F6D"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3DE189EE" w14:textId="77777777">
                        <w:pPr>
                          <w:jc w:val="right"/>
                          <w:rPr>
                            <w:color w:val="000000"/>
                            <w:sz w:val="20"/>
                          </w:rPr>
                        </w:pPr>
                        <w:r w:rsidRPr="00344573">
                          <w:rPr>
                            <w:color w:val="000000"/>
                            <w:sz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1075476E"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7E4203E0"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459B9C10"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7DBEFD08" w14:textId="77777777">
                        <w:pPr>
                          <w:jc w:val="right"/>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22FE1957" w14:textId="77777777">
                        <w:pPr>
                          <w:jc w:val="right"/>
                          <w:rPr>
                            <w:color w:val="000000"/>
                            <w:sz w:val="20"/>
                          </w:rPr>
                        </w:pPr>
                        <w:r w:rsidRPr="00344573">
                          <w:rPr>
                            <w:color w:val="000000"/>
                            <w:sz w:val="20"/>
                          </w:rPr>
                          <w:t> </w:t>
                        </w:r>
                      </w:p>
                    </w:tc>
                  </w:tr>
                  <w:tr w14:paraId="697195AB" w14:textId="77777777" w:rsidTr="00344573">
                    <w:tblPrEx>
                      <w:tblW w:w="12640" w:type="dxa"/>
                      <w:tblLayout w:type="fixed"/>
                      <w:tblLook w:val="04A0"/>
                    </w:tblPrEx>
                    <w:trPr>
                      <w:trHeight w:val="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7ED5BCA4" w14:textId="77777777">
                        <w:pPr>
                          <w:rPr>
                            <w:color w:val="000000"/>
                            <w:sz w:val="20"/>
                          </w:rPr>
                        </w:pPr>
                        <w:r w:rsidRPr="00344573">
                          <w:rPr>
                            <w:color w:val="000000"/>
                            <w:sz w:val="20"/>
                          </w:rPr>
                          <w:t>E. Write Report</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68B2E46D" w14:textId="77777777">
                        <w:pPr>
                          <w:jc w:val="right"/>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31F20563"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2CC56E00" w14:textId="77777777">
                        <w:pPr>
                          <w:jc w:val="right"/>
                          <w:rPr>
                            <w:color w:val="000000"/>
                            <w:sz w:val="20"/>
                          </w:rPr>
                        </w:pPr>
                        <w:r w:rsidRPr="00344573">
                          <w:rPr>
                            <w:color w:val="000000"/>
                            <w:sz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2D19B0F8"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4DA6F20F"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18A10CBB"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75722F42" w14:textId="77777777">
                        <w:pPr>
                          <w:jc w:val="right"/>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388BE233" w14:textId="77777777">
                        <w:pPr>
                          <w:jc w:val="right"/>
                          <w:rPr>
                            <w:color w:val="000000"/>
                            <w:sz w:val="20"/>
                          </w:rPr>
                        </w:pPr>
                        <w:r w:rsidRPr="00344573">
                          <w:rPr>
                            <w:color w:val="000000"/>
                            <w:sz w:val="20"/>
                          </w:rPr>
                          <w:t> </w:t>
                        </w:r>
                      </w:p>
                    </w:tc>
                  </w:tr>
                  <w:tr w14:paraId="16737F2C" w14:textId="77777777" w:rsidTr="00344573">
                    <w:tblPrEx>
                      <w:tblW w:w="12640" w:type="dxa"/>
                      <w:tblLayout w:type="fixed"/>
                      <w:tblLook w:val="04A0"/>
                    </w:tblPrEx>
                    <w:trPr>
                      <w:trHeight w:val="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4587A47A" w14:textId="77777777">
                        <w:pPr>
                          <w:rPr>
                            <w:i/>
                            <w:iCs/>
                            <w:color w:val="000000"/>
                            <w:sz w:val="20"/>
                            <w:u w:val="single"/>
                          </w:rPr>
                        </w:pPr>
                        <w:r w:rsidRPr="00344573">
                          <w:rPr>
                            <w:i/>
                            <w:iCs/>
                            <w:color w:val="000000"/>
                            <w:sz w:val="20"/>
                            <w:u w:val="single"/>
                          </w:rPr>
                          <w:t>New Sources</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7FBDB09C" w14:textId="77777777">
                        <w:pPr>
                          <w:jc w:val="center"/>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2B2D5E23" w14:textId="77777777">
                        <w:pPr>
                          <w:jc w:val="center"/>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06813C29" w14:textId="77777777">
                        <w:pPr>
                          <w:jc w:val="center"/>
                          <w:rPr>
                            <w:color w:val="000000"/>
                            <w:sz w:val="20"/>
                          </w:rPr>
                        </w:pPr>
                        <w:r w:rsidRPr="00344573">
                          <w:rPr>
                            <w:color w:val="000000"/>
                            <w:sz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26EDA366" w14:textId="77777777">
                        <w:pPr>
                          <w:jc w:val="center"/>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05A243DE" w14:textId="77777777">
                        <w:pPr>
                          <w:jc w:val="center"/>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3D125DE3" w14:textId="77777777">
                        <w:pPr>
                          <w:jc w:val="center"/>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04A896D3" w14:textId="77777777">
                        <w:pPr>
                          <w:jc w:val="center"/>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52AEC975" w14:textId="77777777">
                        <w:pPr>
                          <w:jc w:val="right"/>
                          <w:rPr>
                            <w:color w:val="000000"/>
                            <w:sz w:val="20"/>
                          </w:rPr>
                        </w:pPr>
                        <w:r w:rsidRPr="00344573">
                          <w:rPr>
                            <w:color w:val="000000"/>
                            <w:sz w:val="20"/>
                          </w:rPr>
                          <w:t> </w:t>
                        </w:r>
                      </w:p>
                    </w:tc>
                  </w:tr>
                  <w:tr w14:paraId="19D14523" w14:textId="77777777" w:rsidTr="00344573">
                    <w:tblPrEx>
                      <w:tblW w:w="12640" w:type="dxa"/>
                      <w:tblLayout w:type="fixed"/>
                      <w:tblLook w:val="04A0"/>
                    </w:tblPrEx>
                    <w:trPr>
                      <w:trHeight w:val="5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67E28383" w14:textId="77777777">
                        <w:pPr>
                          <w:rPr>
                            <w:color w:val="000000"/>
                            <w:sz w:val="20"/>
                          </w:rPr>
                        </w:pPr>
                        <w:r w:rsidRPr="00344573">
                          <w:rPr>
                            <w:color w:val="000000"/>
                            <w:sz w:val="20"/>
                          </w:rPr>
                          <w:t>Notification of Demonstration of CEMS or CPMS</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77DC3232"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557EA0CC"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75EB9D07" w14:textId="77777777">
                        <w:pPr>
                          <w:jc w:val="center"/>
                          <w:rPr>
                            <w:color w:val="000000"/>
                            <w:sz w:val="20"/>
                          </w:rPr>
                        </w:pPr>
                        <w:r w:rsidRPr="00344573">
                          <w:rPr>
                            <w:color w:val="000000"/>
                            <w:sz w:val="20"/>
                          </w:rPr>
                          <w:t>2</w:t>
                        </w:r>
                      </w:p>
                    </w:tc>
                    <w:tc>
                      <w:tcPr>
                        <w:tcW w:w="130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6AF41D76"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321B24E4"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5662FD64"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2E9FD8DE" w14:textId="77777777">
                        <w:pPr>
                          <w:jc w:val="center"/>
                          <w:rPr>
                            <w:color w:val="000000"/>
                            <w:sz w:val="20"/>
                          </w:rPr>
                        </w:pPr>
                        <w:r w:rsidRPr="00344573">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454F99EF" w14:textId="77777777">
                        <w:pPr>
                          <w:jc w:val="right"/>
                          <w:rPr>
                            <w:color w:val="000000"/>
                            <w:sz w:val="20"/>
                          </w:rPr>
                        </w:pPr>
                        <w:r w:rsidRPr="00344573">
                          <w:rPr>
                            <w:color w:val="000000"/>
                            <w:sz w:val="20"/>
                          </w:rPr>
                          <w:t xml:space="preserve">$0.00 </w:t>
                        </w:r>
                      </w:p>
                    </w:tc>
                  </w:tr>
                  <w:tr w14:paraId="0E396EFE" w14:textId="77777777" w:rsidTr="00344573">
                    <w:tblPrEx>
                      <w:tblW w:w="12640" w:type="dxa"/>
                      <w:tblLayout w:type="fixed"/>
                      <w:tblLook w:val="04A0"/>
                    </w:tblPrEx>
                    <w:trPr>
                      <w:trHeight w:val="57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0C5604FE" w14:textId="77777777">
                        <w:pPr>
                          <w:rPr>
                            <w:color w:val="000000"/>
                            <w:sz w:val="20"/>
                          </w:rPr>
                        </w:pPr>
                        <w:r w:rsidRPr="00344573">
                          <w:rPr>
                            <w:color w:val="000000"/>
                            <w:sz w:val="20"/>
                          </w:rPr>
                          <w:t>Notification of Initial Performance Test</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5B0A3D5E"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32E128B9"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02E4186D" w14:textId="77777777">
                        <w:pPr>
                          <w:jc w:val="center"/>
                          <w:rPr>
                            <w:color w:val="000000"/>
                            <w:sz w:val="20"/>
                          </w:rPr>
                        </w:pPr>
                        <w:r w:rsidRPr="00344573">
                          <w:rPr>
                            <w:color w:val="000000"/>
                            <w:sz w:val="20"/>
                          </w:rPr>
                          <w:t>2</w:t>
                        </w:r>
                      </w:p>
                    </w:tc>
                    <w:tc>
                      <w:tcPr>
                        <w:tcW w:w="130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0389D190"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59392B20"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013842BC"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6664E1DD" w14:textId="77777777">
                        <w:pPr>
                          <w:jc w:val="center"/>
                          <w:rPr>
                            <w:color w:val="000000"/>
                            <w:sz w:val="20"/>
                          </w:rPr>
                        </w:pPr>
                        <w:r w:rsidRPr="00344573">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4739C4A3" w14:textId="77777777">
                        <w:pPr>
                          <w:jc w:val="right"/>
                          <w:rPr>
                            <w:color w:val="000000"/>
                            <w:sz w:val="20"/>
                          </w:rPr>
                        </w:pPr>
                        <w:r w:rsidRPr="00344573">
                          <w:rPr>
                            <w:color w:val="000000"/>
                            <w:sz w:val="20"/>
                          </w:rPr>
                          <w:t xml:space="preserve">$0.00 </w:t>
                        </w:r>
                      </w:p>
                    </w:tc>
                  </w:tr>
                  <w:tr w14:paraId="33AAEB1C" w14:textId="77777777" w:rsidTr="00344573">
                    <w:tblPrEx>
                      <w:tblW w:w="12640" w:type="dxa"/>
                      <w:tblLayout w:type="fixed"/>
                      <w:tblLook w:val="04A0"/>
                    </w:tblPrEx>
                    <w:trPr>
                      <w:trHeight w:val="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4C63CE94" w14:textId="77777777">
                        <w:pPr>
                          <w:rPr>
                            <w:color w:val="000000"/>
                            <w:sz w:val="20"/>
                          </w:rPr>
                        </w:pPr>
                        <w:r w:rsidRPr="00344573">
                          <w:rPr>
                            <w:color w:val="000000"/>
                            <w:sz w:val="20"/>
                          </w:rPr>
                          <w:t>Report of Performance Tests</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2BF8E879"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06FB223B"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6B5CF4B8" w14:textId="77777777">
                        <w:pPr>
                          <w:jc w:val="center"/>
                          <w:rPr>
                            <w:color w:val="000000"/>
                            <w:sz w:val="20"/>
                          </w:rPr>
                        </w:pPr>
                        <w:r w:rsidRPr="00344573">
                          <w:rPr>
                            <w:color w:val="000000"/>
                            <w:sz w:val="20"/>
                          </w:rPr>
                          <w:t>2</w:t>
                        </w:r>
                      </w:p>
                    </w:tc>
                    <w:tc>
                      <w:tcPr>
                        <w:tcW w:w="130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68251507"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71A493D1"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51C7B6CE"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75BCDCAB" w14:textId="77777777">
                        <w:pPr>
                          <w:jc w:val="center"/>
                          <w:rPr>
                            <w:color w:val="000000"/>
                            <w:sz w:val="20"/>
                          </w:rPr>
                        </w:pPr>
                        <w:r w:rsidRPr="00344573">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696A722C" w14:textId="77777777">
                        <w:pPr>
                          <w:jc w:val="right"/>
                          <w:rPr>
                            <w:color w:val="000000"/>
                            <w:sz w:val="20"/>
                          </w:rPr>
                        </w:pPr>
                        <w:r w:rsidRPr="00344573">
                          <w:rPr>
                            <w:color w:val="000000"/>
                            <w:sz w:val="20"/>
                          </w:rPr>
                          <w:t xml:space="preserve">$0.00 </w:t>
                        </w:r>
                      </w:p>
                    </w:tc>
                  </w:tr>
                  <w:tr w14:paraId="3A76038C" w14:textId="77777777" w:rsidTr="00344573">
                    <w:tblPrEx>
                      <w:tblW w:w="12640" w:type="dxa"/>
                      <w:tblLayout w:type="fixed"/>
                      <w:tblLook w:val="04A0"/>
                    </w:tblPrEx>
                    <w:trPr>
                      <w:trHeight w:val="15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3F0A64F1" w14:textId="77777777">
                        <w:pPr>
                          <w:rPr>
                            <w:color w:val="000000"/>
                            <w:sz w:val="20"/>
                          </w:rPr>
                        </w:pPr>
                        <w:r w:rsidRPr="00344573">
                          <w:rPr>
                            <w:color w:val="000000"/>
                            <w:sz w:val="20"/>
                          </w:rPr>
                          <w:t>Submit Quarterly Electronic Reports to Administrator of NOx Emission Rates data, Excess Emissions, Missing and Excluded Data, "F" factor, and other CEMS  or CPMS data.</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0CCF4E3E"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07F94817"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014F4A3D" w14:textId="77777777">
                        <w:pPr>
                          <w:jc w:val="center"/>
                          <w:rPr>
                            <w:color w:val="000000"/>
                            <w:sz w:val="20"/>
                          </w:rPr>
                        </w:pPr>
                        <w:r w:rsidRPr="00344573">
                          <w:rPr>
                            <w:color w:val="000000"/>
                            <w:sz w:val="20"/>
                          </w:rPr>
                          <w:t>48</w:t>
                        </w:r>
                      </w:p>
                    </w:tc>
                    <w:tc>
                      <w:tcPr>
                        <w:tcW w:w="130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59DFBC42"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77460F5C"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55C82A7E"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7B12F72A" w14:textId="77777777">
                        <w:pPr>
                          <w:jc w:val="center"/>
                          <w:rPr>
                            <w:color w:val="000000"/>
                            <w:sz w:val="20"/>
                          </w:rPr>
                        </w:pPr>
                        <w:r w:rsidRPr="00344573">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21A10CD5" w14:textId="77777777">
                        <w:pPr>
                          <w:jc w:val="right"/>
                          <w:rPr>
                            <w:color w:val="000000"/>
                            <w:sz w:val="20"/>
                          </w:rPr>
                        </w:pPr>
                        <w:r w:rsidRPr="00344573">
                          <w:rPr>
                            <w:color w:val="000000"/>
                            <w:sz w:val="20"/>
                          </w:rPr>
                          <w:t xml:space="preserve">$0 </w:t>
                        </w:r>
                      </w:p>
                    </w:tc>
                  </w:tr>
                  <w:tr w14:paraId="16716461" w14:textId="77777777" w:rsidTr="00344573">
                    <w:tblPrEx>
                      <w:tblW w:w="12640" w:type="dxa"/>
                      <w:tblLayout w:type="fixed"/>
                      <w:tblLook w:val="04A0"/>
                    </w:tblPrEx>
                    <w:trPr>
                      <w:trHeight w:val="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5C72E63A" w14:textId="77777777">
                        <w:pPr>
                          <w:rPr>
                            <w:i/>
                            <w:iCs/>
                            <w:color w:val="000000"/>
                            <w:sz w:val="20"/>
                            <w:u w:val="single"/>
                          </w:rPr>
                        </w:pPr>
                        <w:r w:rsidRPr="00344573">
                          <w:rPr>
                            <w:i/>
                            <w:iCs/>
                            <w:color w:val="000000"/>
                            <w:sz w:val="20"/>
                            <w:u w:val="single"/>
                          </w:rPr>
                          <w:t>Existing Sources</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3EF72D24" w14:textId="77777777">
                        <w:pPr>
                          <w:jc w:val="right"/>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2B8B9166"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2455CF4C" w14:textId="77777777">
                        <w:pPr>
                          <w:jc w:val="right"/>
                          <w:rPr>
                            <w:color w:val="000000"/>
                            <w:sz w:val="20"/>
                          </w:rPr>
                        </w:pPr>
                        <w:r w:rsidRPr="00344573">
                          <w:rPr>
                            <w:color w:val="000000"/>
                            <w:sz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0AFE56E7"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5A58898C"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11A1B174"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032170B5" w14:textId="77777777">
                        <w:pPr>
                          <w:jc w:val="right"/>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34ED80C2" w14:textId="77777777">
                        <w:pPr>
                          <w:jc w:val="right"/>
                          <w:rPr>
                            <w:color w:val="000000"/>
                            <w:sz w:val="20"/>
                          </w:rPr>
                        </w:pPr>
                        <w:r w:rsidRPr="00344573">
                          <w:rPr>
                            <w:color w:val="000000"/>
                            <w:sz w:val="20"/>
                          </w:rPr>
                          <w:t> </w:t>
                        </w:r>
                      </w:p>
                    </w:tc>
                  </w:tr>
                  <w:tr w14:paraId="3279B684" w14:textId="77777777" w:rsidTr="00344573">
                    <w:tblPrEx>
                      <w:tblW w:w="12640" w:type="dxa"/>
                      <w:tblLayout w:type="fixed"/>
                      <w:tblLook w:val="04A0"/>
                    </w:tblPrEx>
                    <w:trPr>
                      <w:trHeight w:val="5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172495D0" w14:textId="77777777">
                        <w:pPr>
                          <w:rPr>
                            <w:color w:val="000000"/>
                            <w:sz w:val="20"/>
                          </w:rPr>
                        </w:pPr>
                        <w:r w:rsidRPr="00344573">
                          <w:rPr>
                            <w:color w:val="000000"/>
                            <w:sz w:val="20"/>
                          </w:rPr>
                          <w:t>Notification of Demonstration of CEMS or CPMS</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7194055B"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569E681F"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160D550A" w14:textId="77777777">
                        <w:pPr>
                          <w:jc w:val="center"/>
                          <w:rPr>
                            <w:color w:val="000000"/>
                            <w:sz w:val="20"/>
                          </w:rPr>
                        </w:pPr>
                        <w:r w:rsidRPr="00344573">
                          <w:rPr>
                            <w:color w:val="000000"/>
                            <w:sz w:val="20"/>
                          </w:rPr>
                          <w:t>2</w:t>
                        </w:r>
                      </w:p>
                    </w:tc>
                    <w:tc>
                      <w:tcPr>
                        <w:tcW w:w="130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18842A11"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214E81F4"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5BDC34D2"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29E34B8F" w14:textId="77777777">
                        <w:pPr>
                          <w:jc w:val="center"/>
                          <w:rPr>
                            <w:color w:val="000000"/>
                            <w:sz w:val="20"/>
                          </w:rPr>
                        </w:pPr>
                        <w:r w:rsidRPr="00344573">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0FD67CAD" w14:textId="77777777">
                        <w:pPr>
                          <w:jc w:val="right"/>
                          <w:rPr>
                            <w:color w:val="000000"/>
                            <w:sz w:val="20"/>
                          </w:rPr>
                        </w:pPr>
                        <w:r w:rsidRPr="00344573">
                          <w:rPr>
                            <w:color w:val="000000"/>
                            <w:sz w:val="20"/>
                          </w:rPr>
                          <w:t xml:space="preserve">$0.00 </w:t>
                        </w:r>
                      </w:p>
                    </w:tc>
                  </w:tr>
                  <w:tr w14:paraId="228F7A23" w14:textId="77777777" w:rsidTr="00344573">
                    <w:tblPrEx>
                      <w:tblW w:w="12640" w:type="dxa"/>
                      <w:tblLayout w:type="fixed"/>
                      <w:tblLook w:val="04A0"/>
                    </w:tblPrEx>
                    <w:trPr>
                      <w:trHeight w:val="5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025BAC3D" w14:textId="77777777">
                        <w:pPr>
                          <w:rPr>
                            <w:color w:val="000000"/>
                            <w:sz w:val="20"/>
                          </w:rPr>
                        </w:pPr>
                        <w:r w:rsidRPr="00344573">
                          <w:rPr>
                            <w:color w:val="000000"/>
                            <w:sz w:val="20"/>
                          </w:rPr>
                          <w:t>Notification of Initial Performance Test</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11EB622D"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0E220CCE"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4B51E4A5" w14:textId="77777777">
                        <w:pPr>
                          <w:jc w:val="center"/>
                          <w:rPr>
                            <w:color w:val="000000"/>
                            <w:sz w:val="20"/>
                          </w:rPr>
                        </w:pPr>
                        <w:r w:rsidRPr="00344573">
                          <w:rPr>
                            <w:color w:val="000000"/>
                            <w:sz w:val="20"/>
                          </w:rPr>
                          <w:t>2</w:t>
                        </w:r>
                      </w:p>
                    </w:tc>
                    <w:tc>
                      <w:tcPr>
                        <w:tcW w:w="130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1FBD756B"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424E5DCA"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5370F901"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300D8769" w14:textId="77777777">
                        <w:pPr>
                          <w:jc w:val="center"/>
                          <w:rPr>
                            <w:color w:val="000000"/>
                            <w:sz w:val="20"/>
                          </w:rPr>
                        </w:pPr>
                        <w:r w:rsidRPr="00344573">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12109E24" w14:textId="77777777">
                        <w:pPr>
                          <w:jc w:val="right"/>
                          <w:rPr>
                            <w:color w:val="000000"/>
                            <w:sz w:val="20"/>
                          </w:rPr>
                        </w:pPr>
                        <w:r w:rsidRPr="00344573">
                          <w:rPr>
                            <w:color w:val="000000"/>
                            <w:sz w:val="20"/>
                          </w:rPr>
                          <w:t xml:space="preserve">$0.00 </w:t>
                        </w:r>
                      </w:p>
                    </w:tc>
                  </w:tr>
                  <w:tr w14:paraId="7C25FB22" w14:textId="77777777" w:rsidTr="00344573">
                    <w:tblPrEx>
                      <w:tblW w:w="12640" w:type="dxa"/>
                      <w:tblLayout w:type="fixed"/>
                      <w:tblLook w:val="04A0"/>
                    </w:tblPrEx>
                    <w:trPr>
                      <w:trHeight w:val="5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754D46E3" w14:textId="77777777">
                        <w:pPr>
                          <w:rPr>
                            <w:color w:val="000000"/>
                            <w:sz w:val="20"/>
                          </w:rPr>
                        </w:pPr>
                        <w:r w:rsidRPr="00344573">
                          <w:rPr>
                            <w:color w:val="000000"/>
                            <w:sz w:val="20"/>
                          </w:rPr>
                          <w:t>Report of Initial Performance Test Results</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30A558D1"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524D288F"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7519DF98" w14:textId="77777777">
                        <w:pPr>
                          <w:jc w:val="center"/>
                          <w:rPr>
                            <w:color w:val="000000"/>
                            <w:sz w:val="20"/>
                          </w:rPr>
                        </w:pPr>
                        <w:r w:rsidRPr="00344573">
                          <w:rPr>
                            <w:color w:val="000000"/>
                            <w:sz w:val="20"/>
                          </w:rPr>
                          <w:t>2</w:t>
                        </w:r>
                      </w:p>
                    </w:tc>
                    <w:tc>
                      <w:tcPr>
                        <w:tcW w:w="130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7CA3CEC3"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33401B7B"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3D6B1546"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501C053B" w14:textId="77777777">
                        <w:pPr>
                          <w:jc w:val="center"/>
                          <w:rPr>
                            <w:color w:val="000000"/>
                            <w:sz w:val="20"/>
                          </w:rPr>
                        </w:pPr>
                        <w:r w:rsidRPr="00344573">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5E018A5D" w14:textId="77777777">
                        <w:pPr>
                          <w:jc w:val="right"/>
                          <w:rPr>
                            <w:color w:val="000000"/>
                            <w:sz w:val="20"/>
                          </w:rPr>
                        </w:pPr>
                        <w:r w:rsidRPr="00344573">
                          <w:rPr>
                            <w:color w:val="000000"/>
                            <w:sz w:val="20"/>
                          </w:rPr>
                          <w:t xml:space="preserve">$0.00 </w:t>
                        </w:r>
                      </w:p>
                    </w:tc>
                  </w:tr>
                  <w:tr w14:paraId="5C07FDCF" w14:textId="77777777" w:rsidTr="00344573">
                    <w:tblPrEx>
                      <w:tblW w:w="12640" w:type="dxa"/>
                      <w:tblLayout w:type="fixed"/>
                      <w:tblLook w:val="04A0"/>
                    </w:tblPrEx>
                    <w:trPr>
                      <w:trHeight w:val="15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58203006" w14:textId="77777777">
                        <w:pPr>
                          <w:rPr>
                            <w:color w:val="000000"/>
                            <w:sz w:val="20"/>
                          </w:rPr>
                        </w:pPr>
                        <w:r w:rsidRPr="00344573">
                          <w:rPr>
                            <w:color w:val="000000"/>
                            <w:sz w:val="20"/>
                          </w:rPr>
                          <w:t>Submit Quarterly Electronic Reports to Administrator of NOx Emission Rates data, Excess Emissions, Missing and Excluded Data, "F" factor, and other CEMS or CPMS data.</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65DF4CF0"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42978F92"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4B6B9B98" w14:textId="77777777">
                        <w:pPr>
                          <w:jc w:val="center"/>
                          <w:rPr>
                            <w:color w:val="000000"/>
                            <w:sz w:val="20"/>
                          </w:rPr>
                        </w:pPr>
                        <w:r w:rsidRPr="00344573">
                          <w:rPr>
                            <w:color w:val="000000"/>
                            <w:sz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7A3D01F6"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11814237"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26D5F799"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79886439" w14:textId="77777777">
                        <w:pPr>
                          <w:jc w:val="center"/>
                          <w:rPr>
                            <w:color w:val="000000"/>
                            <w:sz w:val="20"/>
                          </w:rPr>
                        </w:pPr>
                        <w:r w:rsidRPr="00344573">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0079CF07" w14:textId="77777777">
                        <w:pPr>
                          <w:jc w:val="right"/>
                          <w:rPr>
                            <w:color w:val="000000"/>
                            <w:sz w:val="20"/>
                          </w:rPr>
                        </w:pPr>
                        <w:r w:rsidRPr="00344573">
                          <w:rPr>
                            <w:color w:val="000000"/>
                            <w:sz w:val="20"/>
                          </w:rPr>
                          <w:t xml:space="preserve">$0.00 </w:t>
                        </w:r>
                      </w:p>
                    </w:tc>
                  </w:tr>
                  <w:tr w14:paraId="2893F636" w14:textId="77777777" w:rsidTr="00344573">
                    <w:tblPrEx>
                      <w:tblW w:w="12640" w:type="dxa"/>
                      <w:tblLayout w:type="fixed"/>
                      <w:tblLook w:val="04A0"/>
                    </w:tblPrEx>
                    <w:trPr>
                      <w:trHeight w:val="5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39A0C5DE" w14:textId="77777777">
                        <w:pPr>
                          <w:rPr>
                            <w:b/>
                            <w:bCs/>
                            <w:i/>
                            <w:iCs/>
                            <w:color w:val="000000"/>
                            <w:sz w:val="20"/>
                          </w:rPr>
                        </w:pPr>
                        <w:r w:rsidRPr="00344573">
                          <w:rPr>
                            <w:b/>
                            <w:bCs/>
                            <w:i/>
                            <w:iCs/>
                            <w:color w:val="000000"/>
                            <w:sz w:val="20"/>
                          </w:rPr>
                          <w:t>Subtotal for Reporting Requirements</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67D3A884" w14:textId="77777777">
                        <w:pPr>
                          <w:jc w:val="right"/>
                          <w:rPr>
                            <w:b/>
                            <w:bCs/>
                            <w:i/>
                            <w:iCs/>
                            <w:color w:val="000000"/>
                            <w:sz w:val="20"/>
                          </w:rPr>
                        </w:pPr>
                        <w:r w:rsidRPr="00344573">
                          <w:rPr>
                            <w:b/>
                            <w:bCs/>
                            <w:i/>
                            <w:i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3DF4CC1C" w14:textId="77777777">
                        <w:pPr>
                          <w:jc w:val="right"/>
                          <w:rPr>
                            <w:b/>
                            <w:bCs/>
                            <w:i/>
                            <w:iCs/>
                            <w:sz w:val="20"/>
                          </w:rPr>
                        </w:pPr>
                        <w:r w:rsidRPr="00344573">
                          <w:rPr>
                            <w:b/>
                            <w:bCs/>
                            <w:i/>
                            <w:i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7347272F" w14:textId="77777777">
                        <w:pPr>
                          <w:jc w:val="right"/>
                          <w:rPr>
                            <w:b/>
                            <w:bCs/>
                            <w:i/>
                            <w:iCs/>
                            <w:color w:val="000000"/>
                            <w:sz w:val="20"/>
                          </w:rPr>
                        </w:pPr>
                        <w:r w:rsidRPr="00344573">
                          <w:rPr>
                            <w:b/>
                            <w:bCs/>
                            <w:i/>
                            <w:iCs/>
                            <w:color w:val="000000"/>
                            <w:sz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0BB72E30" w14:textId="77777777">
                        <w:pPr>
                          <w:jc w:val="right"/>
                          <w:rPr>
                            <w:b/>
                            <w:bCs/>
                            <w:i/>
                            <w:iCs/>
                            <w:sz w:val="20"/>
                          </w:rPr>
                        </w:pPr>
                        <w:r w:rsidRPr="00344573">
                          <w:rPr>
                            <w:b/>
                            <w:bCs/>
                            <w:i/>
                            <w:iCs/>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0D73A183" w14:textId="77777777">
                        <w:pPr>
                          <w:jc w:val="center"/>
                          <w:rPr>
                            <w:b/>
                            <w:bCs/>
                            <w:i/>
                            <w:iCs/>
                            <w:color w:val="000000"/>
                            <w:sz w:val="20"/>
                          </w:rPr>
                        </w:pPr>
                        <w:r w:rsidRPr="00344573">
                          <w:rPr>
                            <w:b/>
                            <w:bCs/>
                            <w:i/>
                            <w:iCs/>
                            <w:color w:val="000000"/>
                            <w:sz w:val="20"/>
                          </w:rPr>
                          <w:t>2,765</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2807C94D" w14:textId="77777777">
                        <w:pPr>
                          <w:jc w:val="center"/>
                          <w:rPr>
                            <w:b/>
                            <w:bCs/>
                            <w:i/>
                            <w:iCs/>
                            <w:color w:val="000000"/>
                            <w:sz w:val="20"/>
                          </w:rPr>
                        </w:pPr>
                        <w:r w:rsidRPr="00344573">
                          <w:rPr>
                            <w:b/>
                            <w:bCs/>
                            <w:i/>
                            <w:iCs/>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4DC256FA" w14:textId="77777777">
                        <w:pPr>
                          <w:jc w:val="center"/>
                          <w:rPr>
                            <w:b/>
                            <w:bCs/>
                            <w:i/>
                            <w:iCs/>
                            <w:color w:val="000000"/>
                            <w:sz w:val="20"/>
                          </w:rPr>
                        </w:pPr>
                        <w:r w:rsidRPr="00344573">
                          <w:rPr>
                            <w:b/>
                            <w:bCs/>
                            <w:i/>
                            <w:iCs/>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338FA404" w14:textId="77777777">
                        <w:pPr>
                          <w:jc w:val="right"/>
                          <w:rPr>
                            <w:b/>
                            <w:bCs/>
                            <w:i/>
                            <w:iCs/>
                            <w:color w:val="000000"/>
                            <w:sz w:val="20"/>
                          </w:rPr>
                        </w:pPr>
                        <w:r w:rsidRPr="00344573">
                          <w:rPr>
                            <w:b/>
                            <w:bCs/>
                            <w:i/>
                            <w:iCs/>
                            <w:color w:val="000000"/>
                            <w:sz w:val="20"/>
                          </w:rPr>
                          <w:t xml:space="preserve">$341,875 </w:t>
                        </w:r>
                      </w:p>
                    </w:tc>
                  </w:tr>
                  <w:tr w14:paraId="1954E2F0" w14:textId="77777777" w:rsidTr="00344573">
                    <w:tblPrEx>
                      <w:tblW w:w="12640" w:type="dxa"/>
                      <w:tblLayout w:type="fixed"/>
                      <w:tblLook w:val="04A0"/>
                    </w:tblPrEx>
                    <w:trPr>
                      <w:trHeight w:val="5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4F593767" w14:textId="77777777">
                        <w:pPr>
                          <w:rPr>
                            <w:color w:val="000000"/>
                            <w:sz w:val="20"/>
                          </w:rPr>
                        </w:pPr>
                        <w:r w:rsidRPr="00344573">
                          <w:rPr>
                            <w:color w:val="000000"/>
                            <w:sz w:val="20"/>
                          </w:rPr>
                          <w:t>5. RECORDKEEPING REQUIREMENTS</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2CAF56B1" w14:textId="77777777">
                        <w:pPr>
                          <w:jc w:val="right"/>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5D9D89D5"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7FBD9FCB" w14:textId="77777777">
                        <w:pPr>
                          <w:jc w:val="right"/>
                          <w:rPr>
                            <w:color w:val="000000"/>
                            <w:sz w:val="20"/>
                          </w:rPr>
                        </w:pPr>
                        <w:r w:rsidRPr="00344573">
                          <w:rPr>
                            <w:color w:val="000000"/>
                            <w:sz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28A832C6"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57B08B81"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2AE4A8D5"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212DCC79" w14:textId="77777777">
                        <w:pPr>
                          <w:jc w:val="right"/>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7509F04E" w14:textId="77777777">
                        <w:pPr>
                          <w:jc w:val="right"/>
                          <w:rPr>
                            <w:color w:val="000000"/>
                            <w:sz w:val="20"/>
                          </w:rPr>
                        </w:pPr>
                        <w:r w:rsidRPr="00344573">
                          <w:rPr>
                            <w:color w:val="000000"/>
                            <w:sz w:val="20"/>
                          </w:rPr>
                          <w:t> </w:t>
                        </w:r>
                      </w:p>
                    </w:tc>
                  </w:tr>
                  <w:tr w14:paraId="53CD4E1C" w14:textId="77777777" w:rsidTr="00344573">
                    <w:tblPrEx>
                      <w:tblW w:w="12640" w:type="dxa"/>
                      <w:tblLayout w:type="fixed"/>
                      <w:tblLook w:val="04A0"/>
                    </w:tblPrEx>
                    <w:trPr>
                      <w:trHeight w:val="5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6892DBBD" w14:textId="77777777">
                        <w:pPr>
                          <w:rPr>
                            <w:color w:val="000000"/>
                            <w:sz w:val="20"/>
                          </w:rPr>
                        </w:pPr>
                        <w:r w:rsidRPr="00344573">
                          <w:rPr>
                            <w:color w:val="000000"/>
                            <w:sz w:val="20"/>
                          </w:rPr>
                          <w:t>A. Familiarize with regulatory requirement</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6504D798" w14:textId="77777777">
                        <w:pPr>
                          <w:jc w:val="center"/>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05CFDEAE"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129E6160" w14:textId="77777777">
                        <w:pPr>
                          <w:jc w:val="right"/>
                          <w:rPr>
                            <w:color w:val="000000"/>
                            <w:sz w:val="20"/>
                          </w:rPr>
                        </w:pPr>
                        <w:r w:rsidRPr="00344573">
                          <w:rPr>
                            <w:color w:val="000000"/>
                            <w:sz w:val="20"/>
                          </w:rPr>
                          <w:t> </w:t>
                        </w:r>
                      </w:p>
                    </w:tc>
                    <w:tc>
                      <w:tcPr>
                        <w:tcW w:w="1300" w:type="dxa"/>
                        <w:tcBorders>
                          <w:top w:val="nil"/>
                          <w:left w:val="nil"/>
                          <w:bottom w:val="single" w:sz="4" w:space="0" w:color="auto"/>
                          <w:right w:val="single" w:sz="4" w:space="0" w:color="auto"/>
                        </w:tcBorders>
                        <w:shd w:val="clear" w:color="auto" w:fill="auto"/>
                        <w:vAlign w:val="center"/>
                        <w:hideMark/>
                      </w:tcPr>
                      <w:p w:rsidR="00344573" w:rsidRPr="00344573" w:rsidP="00344573" w14:paraId="610A6123"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663D5D92"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5B3B8C6B"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1686D1AB" w14:textId="77777777">
                        <w:pPr>
                          <w:jc w:val="right"/>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4D265D12" w14:textId="77777777">
                        <w:pPr>
                          <w:jc w:val="right"/>
                          <w:rPr>
                            <w:color w:val="000000"/>
                            <w:sz w:val="20"/>
                          </w:rPr>
                        </w:pPr>
                        <w:r w:rsidRPr="00344573">
                          <w:rPr>
                            <w:color w:val="000000"/>
                            <w:sz w:val="20"/>
                          </w:rPr>
                          <w:t> </w:t>
                        </w:r>
                      </w:p>
                    </w:tc>
                  </w:tr>
                  <w:tr w14:paraId="5209A906" w14:textId="77777777" w:rsidTr="00344573">
                    <w:tblPrEx>
                      <w:tblW w:w="12640" w:type="dxa"/>
                      <w:tblLayout w:type="fixed"/>
                      <w:tblLook w:val="04A0"/>
                    </w:tblPrEx>
                    <w:trPr>
                      <w:trHeight w:val="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063A6875" w14:textId="77777777">
                        <w:pPr>
                          <w:rPr>
                            <w:color w:val="000000"/>
                            <w:sz w:val="20"/>
                          </w:rPr>
                        </w:pPr>
                        <w:r w:rsidRPr="00344573">
                          <w:rPr>
                            <w:color w:val="000000"/>
                            <w:sz w:val="20"/>
                          </w:rPr>
                          <w:t xml:space="preserve">B. Plan Activities </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09C613A5" w14:textId="77777777">
                        <w:pPr>
                          <w:jc w:val="center"/>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0EEC4AD4"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19FF6F19" w14:textId="77777777">
                        <w:pPr>
                          <w:jc w:val="right"/>
                          <w:rPr>
                            <w:color w:val="000000"/>
                            <w:sz w:val="20"/>
                          </w:rPr>
                        </w:pPr>
                        <w:r w:rsidRPr="00344573">
                          <w:rPr>
                            <w:color w:val="000000"/>
                            <w:sz w:val="20"/>
                          </w:rPr>
                          <w:t> </w:t>
                        </w:r>
                      </w:p>
                    </w:tc>
                    <w:tc>
                      <w:tcPr>
                        <w:tcW w:w="1300" w:type="dxa"/>
                        <w:tcBorders>
                          <w:top w:val="nil"/>
                          <w:left w:val="nil"/>
                          <w:bottom w:val="single" w:sz="4" w:space="0" w:color="auto"/>
                          <w:right w:val="single" w:sz="4" w:space="0" w:color="auto"/>
                        </w:tcBorders>
                        <w:shd w:val="clear" w:color="auto" w:fill="auto"/>
                        <w:vAlign w:val="center"/>
                        <w:hideMark/>
                      </w:tcPr>
                      <w:p w:rsidR="00344573" w:rsidRPr="00344573" w:rsidP="00344573" w14:paraId="7755E1E1"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34C75FBD"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5FB097D2"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14BD3C0B" w14:textId="77777777">
                        <w:pPr>
                          <w:jc w:val="right"/>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3AB522ED" w14:textId="77777777">
                        <w:pPr>
                          <w:jc w:val="right"/>
                          <w:rPr>
                            <w:color w:val="000000"/>
                            <w:sz w:val="20"/>
                          </w:rPr>
                        </w:pPr>
                        <w:r w:rsidRPr="00344573">
                          <w:rPr>
                            <w:color w:val="000000"/>
                            <w:sz w:val="20"/>
                          </w:rPr>
                          <w:t> </w:t>
                        </w:r>
                      </w:p>
                    </w:tc>
                  </w:tr>
                  <w:tr w14:paraId="09CE5C0E" w14:textId="77777777" w:rsidTr="00344573">
                    <w:tblPrEx>
                      <w:tblW w:w="12640" w:type="dxa"/>
                      <w:tblLayout w:type="fixed"/>
                      <w:tblLook w:val="04A0"/>
                    </w:tblPrEx>
                    <w:trPr>
                      <w:trHeight w:val="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57A63D98" w14:textId="77777777">
                        <w:pPr>
                          <w:rPr>
                            <w:color w:val="000000"/>
                            <w:sz w:val="20"/>
                          </w:rPr>
                        </w:pPr>
                        <w:r w:rsidRPr="00344573">
                          <w:rPr>
                            <w:color w:val="000000"/>
                            <w:sz w:val="20"/>
                          </w:rPr>
                          <w:t xml:space="preserve">C. Implement Activities </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1F95D812" w14:textId="77777777">
                        <w:pPr>
                          <w:jc w:val="center"/>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528EFAF0"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523D9F34" w14:textId="77777777">
                        <w:pPr>
                          <w:jc w:val="right"/>
                          <w:rPr>
                            <w:color w:val="000000"/>
                            <w:sz w:val="20"/>
                          </w:rPr>
                        </w:pPr>
                        <w:r w:rsidRPr="00344573">
                          <w:rPr>
                            <w:color w:val="000000"/>
                            <w:sz w:val="20"/>
                          </w:rPr>
                          <w:t> </w:t>
                        </w:r>
                      </w:p>
                    </w:tc>
                    <w:tc>
                      <w:tcPr>
                        <w:tcW w:w="1300" w:type="dxa"/>
                        <w:tcBorders>
                          <w:top w:val="nil"/>
                          <w:left w:val="nil"/>
                          <w:bottom w:val="single" w:sz="4" w:space="0" w:color="auto"/>
                          <w:right w:val="single" w:sz="4" w:space="0" w:color="auto"/>
                        </w:tcBorders>
                        <w:shd w:val="clear" w:color="auto" w:fill="auto"/>
                        <w:vAlign w:val="center"/>
                        <w:hideMark/>
                      </w:tcPr>
                      <w:p w:rsidR="00344573" w:rsidRPr="00344573" w:rsidP="00344573" w14:paraId="21117BD0"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36C79FF2"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234FE866"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4B935098" w14:textId="77777777">
                        <w:pPr>
                          <w:jc w:val="right"/>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6D87B241" w14:textId="77777777">
                        <w:pPr>
                          <w:jc w:val="right"/>
                          <w:rPr>
                            <w:color w:val="000000"/>
                            <w:sz w:val="20"/>
                          </w:rPr>
                        </w:pPr>
                        <w:r w:rsidRPr="00344573">
                          <w:rPr>
                            <w:color w:val="000000"/>
                            <w:sz w:val="20"/>
                          </w:rPr>
                          <w:t> </w:t>
                        </w:r>
                      </w:p>
                    </w:tc>
                  </w:tr>
                  <w:tr w14:paraId="1729458C" w14:textId="77777777" w:rsidTr="00344573">
                    <w:tblPrEx>
                      <w:tblW w:w="12640" w:type="dxa"/>
                      <w:tblLayout w:type="fixed"/>
                      <w:tblLook w:val="04A0"/>
                    </w:tblPrEx>
                    <w:trPr>
                      <w:trHeight w:val="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4CAE430D" w14:textId="77777777">
                        <w:pPr>
                          <w:rPr>
                            <w:color w:val="000000"/>
                            <w:sz w:val="20"/>
                          </w:rPr>
                        </w:pPr>
                        <w:r w:rsidRPr="00344573">
                          <w:rPr>
                            <w:color w:val="000000"/>
                            <w:sz w:val="20"/>
                          </w:rPr>
                          <w:t xml:space="preserve">D. Record Data </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544F2BE1" w14:textId="77777777">
                        <w:pPr>
                          <w:jc w:val="center"/>
                          <w:rPr>
                            <w:color w:val="000000"/>
                            <w:sz w:val="20"/>
                          </w:rPr>
                        </w:pPr>
                        <w:r w:rsidRPr="00344573">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7C532EA0"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1E30B2CD" w14:textId="77777777">
                        <w:pPr>
                          <w:jc w:val="right"/>
                          <w:rPr>
                            <w:color w:val="000000"/>
                            <w:sz w:val="20"/>
                          </w:rPr>
                        </w:pPr>
                        <w:r w:rsidRPr="00344573">
                          <w:rPr>
                            <w:color w:val="000000"/>
                            <w:sz w:val="20"/>
                          </w:rPr>
                          <w:t> </w:t>
                        </w:r>
                      </w:p>
                    </w:tc>
                    <w:tc>
                      <w:tcPr>
                        <w:tcW w:w="1300" w:type="dxa"/>
                        <w:tcBorders>
                          <w:top w:val="nil"/>
                          <w:left w:val="nil"/>
                          <w:bottom w:val="single" w:sz="4" w:space="0" w:color="auto"/>
                          <w:right w:val="single" w:sz="4" w:space="0" w:color="auto"/>
                        </w:tcBorders>
                        <w:shd w:val="clear" w:color="auto" w:fill="auto"/>
                        <w:vAlign w:val="center"/>
                        <w:hideMark/>
                      </w:tcPr>
                      <w:p w:rsidR="00344573" w:rsidRPr="00344573" w:rsidP="00344573" w14:paraId="4D4833EB"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65FCA938"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28F4A3EF"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4C41D274" w14:textId="77777777">
                        <w:pPr>
                          <w:jc w:val="right"/>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143382B0" w14:textId="77777777">
                        <w:pPr>
                          <w:jc w:val="right"/>
                          <w:rPr>
                            <w:color w:val="000000"/>
                            <w:sz w:val="20"/>
                          </w:rPr>
                        </w:pPr>
                        <w:r w:rsidRPr="00344573">
                          <w:rPr>
                            <w:color w:val="000000"/>
                            <w:sz w:val="20"/>
                          </w:rPr>
                          <w:t> </w:t>
                        </w:r>
                      </w:p>
                    </w:tc>
                  </w:tr>
                  <w:tr w14:paraId="51554DE3" w14:textId="77777777" w:rsidTr="00344573">
                    <w:tblPrEx>
                      <w:tblW w:w="12640" w:type="dxa"/>
                      <w:tblLayout w:type="fixed"/>
                      <w:tblLook w:val="04A0"/>
                    </w:tblPrEx>
                    <w:trPr>
                      <w:trHeight w:val="5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255DDAC3" w14:textId="77777777">
                        <w:pPr>
                          <w:rPr>
                            <w:color w:val="000000"/>
                            <w:sz w:val="20"/>
                          </w:rPr>
                        </w:pPr>
                        <w:r w:rsidRPr="00344573">
                          <w:rPr>
                            <w:color w:val="000000"/>
                            <w:sz w:val="20"/>
                          </w:rPr>
                          <w:t>E. Time to Transmit or Disclose Information</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1C9E2895" w14:textId="77777777">
                        <w:pPr>
                          <w:jc w:val="right"/>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7A87A960"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4179D27E" w14:textId="77777777">
                        <w:pPr>
                          <w:jc w:val="right"/>
                          <w:rPr>
                            <w:color w:val="000000"/>
                            <w:sz w:val="20"/>
                          </w:rPr>
                        </w:pPr>
                        <w:r w:rsidRPr="00344573">
                          <w:rPr>
                            <w:color w:val="000000"/>
                            <w:sz w:val="20"/>
                          </w:rPr>
                          <w:t> </w:t>
                        </w:r>
                      </w:p>
                    </w:tc>
                    <w:tc>
                      <w:tcPr>
                        <w:tcW w:w="1300" w:type="dxa"/>
                        <w:tcBorders>
                          <w:top w:val="nil"/>
                          <w:left w:val="nil"/>
                          <w:bottom w:val="single" w:sz="4" w:space="0" w:color="auto"/>
                          <w:right w:val="single" w:sz="4" w:space="0" w:color="auto"/>
                        </w:tcBorders>
                        <w:shd w:val="clear" w:color="auto" w:fill="auto"/>
                        <w:vAlign w:val="center"/>
                        <w:hideMark/>
                      </w:tcPr>
                      <w:p w:rsidR="00344573" w:rsidRPr="00344573" w:rsidP="00344573" w14:paraId="798D071C"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3256A71F"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4156241B"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20B40377" w14:textId="77777777">
                        <w:pPr>
                          <w:jc w:val="right"/>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34F5B609" w14:textId="77777777">
                        <w:pPr>
                          <w:jc w:val="right"/>
                          <w:rPr>
                            <w:color w:val="000000"/>
                            <w:sz w:val="20"/>
                          </w:rPr>
                        </w:pPr>
                        <w:r w:rsidRPr="00344573">
                          <w:rPr>
                            <w:color w:val="000000"/>
                            <w:sz w:val="20"/>
                          </w:rPr>
                          <w:t> </w:t>
                        </w:r>
                      </w:p>
                    </w:tc>
                  </w:tr>
                  <w:tr w14:paraId="4B9F300E" w14:textId="77777777" w:rsidTr="00344573">
                    <w:tblPrEx>
                      <w:tblW w:w="12640" w:type="dxa"/>
                      <w:tblLayout w:type="fixed"/>
                      <w:tblLook w:val="04A0"/>
                    </w:tblPrEx>
                    <w:trPr>
                      <w:trHeight w:val="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5099D667" w14:textId="77777777">
                        <w:pPr>
                          <w:rPr>
                            <w:i/>
                            <w:iCs/>
                            <w:color w:val="000000"/>
                            <w:sz w:val="20"/>
                            <w:u w:val="single"/>
                          </w:rPr>
                        </w:pPr>
                        <w:r w:rsidRPr="00344573">
                          <w:rPr>
                            <w:i/>
                            <w:iCs/>
                            <w:color w:val="000000"/>
                            <w:sz w:val="20"/>
                            <w:u w:val="single"/>
                          </w:rPr>
                          <w:t>Existing Sources</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38C31E8F" w14:textId="77777777">
                        <w:pPr>
                          <w:jc w:val="right"/>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3078386E"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0F199DB2" w14:textId="77777777">
                        <w:pPr>
                          <w:jc w:val="right"/>
                          <w:rPr>
                            <w:color w:val="000000"/>
                            <w:sz w:val="20"/>
                          </w:rPr>
                        </w:pPr>
                        <w:r w:rsidRPr="00344573">
                          <w:rPr>
                            <w:color w:val="000000"/>
                            <w:sz w:val="20"/>
                          </w:rPr>
                          <w:t> </w:t>
                        </w:r>
                      </w:p>
                    </w:tc>
                    <w:tc>
                      <w:tcPr>
                        <w:tcW w:w="1300" w:type="dxa"/>
                        <w:tcBorders>
                          <w:top w:val="nil"/>
                          <w:left w:val="nil"/>
                          <w:bottom w:val="single" w:sz="4" w:space="0" w:color="auto"/>
                          <w:right w:val="single" w:sz="4" w:space="0" w:color="auto"/>
                        </w:tcBorders>
                        <w:shd w:val="clear" w:color="auto" w:fill="auto"/>
                        <w:vAlign w:val="center"/>
                        <w:hideMark/>
                      </w:tcPr>
                      <w:p w:rsidR="00344573" w:rsidRPr="00344573" w:rsidP="00344573" w14:paraId="64C35EF3"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361E6D57"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48556D02"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1043CDBB" w14:textId="77777777">
                        <w:pPr>
                          <w:jc w:val="right"/>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143836E8" w14:textId="77777777">
                        <w:pPr>
                          <w:jc w:val="right"/>
                          <w:rPr>
                            <w:color w:val="000000"/>
                            <w:sz w:val="20"/>
                          </w:rPr>
                        </w:pPr>
                        <w:r w:rsidRPr="00344573">
                          <w:rPr>
                            <w:color w:val="000000"/>
                            <w:sz w:val="20"/>
                          </w:rPr>
                          <w:t> </w:t>
                        </w:r>
                      </w:p>
                    </w:tc>
                  </w:tr>
                  <w:tr w14:paraId="2967E775" w14:textId="77777777" w:rsidTr="00344573">
                    <w:tblPrEx>
                      <w:tblW w:w="12640" w:type="dxa"/>
                      <w:tblLayout w:type="fixed"/>
                      <w:tblLook w:val="04A0"/>
                    </w:tblPrEx>
                    <w:trPr>
                      <w:trHeight w:val="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350377C2" w14:textId="77777777">
                        <w:pPr>
                          <w:rPr>
                            <w:color w:val="000000"/>
                            <w:sz w:val="20"/>
                          </w:rPr>
                        </w:pPr>
                        <w:r w:rsidRPr="00344573">
                          <w:rPr>
                            <w:color w:val="000000"/>
                            <w:sz w:val="20"/>
                          </w:rPr>
                          <w:t>Data Collection</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61160BD1" w14:textId="77777777">
                        <w:pPr>
                          <w:jc w:val="center"/>
                          <w:rPr>
                            <w:color w:val="000000"/>
                            <w:sz w:val="20"/>
                          </w:rPr>
                        </w:pPr>
                        <w:r w:rsidRPr="00344573">
                          <w:rPr>
                            <w:color w:val="000000"/>
                            <w:sz w:val="20"/>
                          </w:rPr>
                          <w:t>0.4</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25D02F90" w14:textId="77777777">
                        <w:pPr>
                          <w:jc w:val="center"/>
                          <w:rPr>
                            <w:sz w:val="20"/>
                          </w:rPr>
                        </w:pPr>
                        <w:r w:rsidRPr="00344573">
                          <w:rPr>
                            <w:sz w:val="20"/>
                          </w:rPr>
                          <w:t>1</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3EBD6A99" w14:textId="77777777">
                        <w:pPr>
                          <w:jc w:val="center"/>
                          <w:rPr>
                            <w:color w:val="000000"/>
                            <w:sz w:val="20"/>
                          </w:rPr>
                        </w:pPr>
                        <w:r w:rsidRPr="00344573">
                          <w:rPr>
                            <w:color w:val="000000"/>
                            <w:sz w:val="20"/>
                          </w:rPr>
                          <w:t>0.4</w:t>
                        </w:r>
                      </w:p>
                    </w:tc>
                    <w:tc>
                      <w:tcPr>
                        <w:tcW w:w="130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03AF4DC5" w14:textId="77777777">
                        <w:pPr>
                          <w:jc w:val="center"/>
                          <w:rPr>
                            <w:sz w:val="20"/>
                          </w:rPr>
                        </w:pPr>
                        <w:r w:rsidRPr="00344573">
                          <w:rPr>
                            <w:sz w:val="20"/>
                          </w:rPr>
                          <w:t>208</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77473E67" w14:textId="77777777">
                        <w:pPr>
                          <w:jc w:val="center"/>
                          <w:rPr>
                            <w:color w:val="000000"/>
                            <w:sz w:val="20"/>
                          </w:rPr>
                        </w:pPr>
                        <w:r w:rsidRPr="00344573">
                          <w:rPr>
                            <w:color w:val="000000"/>
                            <w:sz w:val="20"/>
                          </w:rPr>
                          <w:t>83</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0331EC55" w14:textId="77777777">
                        <w:pPr>
                          <w:jc w:val="center"/>
                          <w:rPr>
                            <w:color w:val="000000"/>
                            <w:sz w:val="20"/>
                          </w:rPr>
                        </w:pPr>
                        <w:r w:rsidRPr="00344573">
                          <w:rPr>
                            <w:color w:val="000000"/>
                            <w:sz w:val="20"/>
                          </w:rPr>
                          <w:t>4.16</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2D44368C" w14:textId="77777777">
                        <w:pPr>
                          <w:jc w:val="center"/>
                          <w:rPr>
                            <w:color w:val="000000"/>
                            <w:sz w:val="20"/>
                          </w:rPr>
                        </w:pPr>
                        <w:r w:rsidRPr="00344573">
                          <w:rPr>
                            <w:color w:val="000000"/>
                            <w:sz w:val="20"/>
                          </w:rPr>
                          <w:t>8.32</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2CED5F25" w14:textId="37B6C9DA">
                        <w:pPr>
                          <w:jc w:val="right"/>
                          <w:rPr>
                            <w:color w:val="000000"/>
                            <w:sz w:val="20"/>
                          </w:rPr>
                        </w:pPr>
                        <w:r w:rsidRPr="00344573">
                          <w:rPr>
                            <w:color w:val="000000"/>
                            <w:sz w:val="20"/>
                          </w:rPr>
                          <w:t>$11,8</w:t>
                        </w:r>
                        <w:r w:rsidR="005617FD">
                          <w:rPr>
                            <w:color w:val="000000"/>
                            <w:sz w:val="20"/>
                          </w:rPr>
                          <w:t>30</w:t>
                        </w:r>
                        <w:r w:rsidRPr="00344573">
                          <w:rPr>
                            <w:color w:val="000000"/>
                            <w:sz w:val="20"/>
                          </w:rPr>
                          <w:t xml:space="preserve"> </w:t>
                        </w:r>
                      </w:p>
                    </w:tc>
                  </w:tr>
                  <w:tr w14:paraId="202B5B96" w14:textId="77777777" w:rsidTr="00344573">
                    <w:tblPrEx>
                      <w:tblW w:w="12640" w:type="dxa"/>
                      <w:tblLayout w:type="fixed"/>
                      <w:tblLook w:val="04A0"/>
                    </w:tblPrEx>
                    <w:trPr>
                      <w:trHeight w:val="53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12274541" w14:textId="77777777">
                        <w:pPr>
                          <w:rPr>
                            <w:color w:val="000000"/>
                            <w:sz w:val="20"/>
                          </w:rPr>
                        </w:pPr>
                        <w:r w:rsidRPr="00344573">
                          <w:rPr>
                            <w:color w:val="000000"/>
                            <w:sz w:val="20"/>
                          </w:rPr>
                          <w:t>Records of Montly Fuel Use</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0798889D"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01BD92C8"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60B4A86B" w14:textId="77777777">
                        <w:pPr>
                          <w:jc w:val="center"/>
                          <w:rPr>
                            <w:color w:val="000000"/>
                            <w:sz w:val="20"/>
                          </w:rPr>
                        </w:pPr>
                        <w:r w:rsidRPr="00344573">
                          <w:rPr>
                            <w:color w:val="000000"/>
                            <w:sz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0DADFFB2"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67370C94"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45EA7D74"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4FDBB65D" w14:textId="77777777">
                        <w:pPr>
                          <w:jc w:val="center"/>
                          <w:rPr>
                            <w:color w:val="000000"/>
                            <w:sz w:val="20"/>
                          </w:rPr>
                        </w:pPr>
                        <w:r w:rsidRPr="00344573">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3AEFE4DA" w14:textId="77777777">
                        <w:pPr>
                          <w:jc w:val="right"/>
                          <w:rPr>
                            <w:color w:val="000000"/>
                            <w:sz w:val="20"/>
                          </w:rPr>
                        </w:pPr>
                        <w:r w:rsidRPr="00344573">
                          <w:rPr>
                            <w:color w:val="000000"/>
                            <w:sz w:val="20"/>
                          </w:rPr>
                          <w:t xml:space="preserve">$0.00 </w:t>
                        </w:r>
                      </w:p>
                    </w:tc>
                  </w:tr>
                  <w:tr w14:paraId="35182CBD" w14:textId="77777777" w:rsidTr="00344573">
                    <w:tblPrEx>
                      <w:tblW w:w="12640" w:type="dxa"/>
                      <w:tblLayout w:type="fixed"/>
                      <w:tblLook w:val="04A0"/>
                    </w:tblPrEx>
                    <w:trPr>
                      <w:trHeight w:val="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3A653B8C" w14:textId="77777777">
                        <w:pPr>
                          <w:rPr>
                            <w:i/>
                            <w:iCs/>
                            <w:color w:val="000000"/>
                            <w:sz w:val="20"/>
                            <w:u w:val="single"/>
                          </w:rPr>
                        </w:pPr>
                        <w:r w:rsidRPr="00344573">
                          <w:rPr>
                            <w:i/>
                            <w:iCs/>
                            <w:color w:val="000000"/>
                            <w:sz w:val="20"/>
                            <w:u w:val="single"/>
                          </w:rPr>
                          <w:t>New Sources</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58AA2A39" w14:textId="77777777">
                        <w:pPr>
                          <w:jc w:val="center"/>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1322A7AC" w14:textId="77777777">
                        <w:pPr>
                          <w:jc w:val="center"/>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33873898" w14:textId="77777777">
                        <w:pPr>
                          <w:jc w:val="center"/>
                          <w:rPr>
                            <w:color w:val="000000"/>
                            <w:sz w:val="20"/>
                          </w:rPr>
                        </w:pPr>
                        <w:r w:rsidRPr="00344573">
                          <w:rPr>
                            <w:color w:val="000000"/>
                            <w:sz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6592E127" w14:textId="77777777">
                        <w:pPr>
                          <w:jc w:val="center"/>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4ED48F60" w14:textId="77777777">
                        <w:pPr>
                          <w:jc w:val="center"/>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4B8D3987" w14:textId="77777777">
                        <w:pPr>
                          <w:jc w:val="center"/>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03E4E037" w14:textId="77777777">
                        <w:pPr>
                          <w:jc w:val="center"/>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7E7A4E3B" w14:textId="77777777">
                        <w:pPr>
                          <w:jc w:val="right"/>
                          <w:rPr>
                            <w:color w:val="000000"/>
                            <w:sz w:val="20"/>
                          </w:rPr>
                        </w:pPr>
                        <w:r w:rsidRPr="00344573">
                          <w:rPr>
                            <w:color w:val="000000"/>
                            <w:sz w:val="20"/>
                          </w:rPr>
                          <w:t> </w:t>
                        </w:r>
                      </w:p>
                    </w:tc>
                  </w:tr>
                  <w:tr w14:paraId="134F7619" w14:textId="77777777" w:rsidTr="00344573">
                    <w:tblPrEx>
                      <w:tblW w:w="12640" w:type="dxa"/>
                      <w:tblLayout w:type="fixed"/>
                      <w:tblLook w:val="04A0"/>
                    </w:tblPrEx>
                    <w:trPr>
                      <w:trHeight w:val="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7B791983" w14:textId="77777777">
                        <w:pPr>
                          <w:rPr>
                            <w:color w:val="000000"/>
                            <w:sz w:val="20"/>
                          </w:rPr>
                        </w:pPr>
                        <w:r w:rsidRPr="00344573">
                          <w:rPr>
                            <w:color w:val="000000"/>
                            <w:sz w:val="20"/>
                          </w:rPr>
                          <w:t>Data Collection</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6FD4A209"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4B591F64"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35161D5D" w14:textId="77777777">
                        <w:pPr>
                          <w:jc w:val="center"/>
                          <w:rPr>
                            <w:color w:val="000000"/>
                            <w:sz w:val="20"/>
                          </w:rPr>
                        </w:pPr>
                        <w:r w:rsidRPr="00344573">
                          <w:rPr>
                            <w:color w:val="000000"/>
                            <w:sz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2C71510D"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123F3884"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1E67DCCC"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118E4478" w14:textId="77777777">
                        <w:pPr>
                          <w:jc w:val="center"/>
                          <w:rPr>
                            <w:color w:val="000000"/>
                            <w:sz w:val="20"/>
                          </w:rPr>
                        </w:pPr>
                        <w:r w:rsidRPr="00344573">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19E57894" w14:textId="77777777">
                        <w:pPr>
                          <w:jc w:val="right"/>
                          <w:rPr>
                            <w:color w:val="000000"/>
                            <w:sz w:val="20"/>
                          </w:rPr>
                        </w:pPr>
                        <w:r w:rsidRPr="00344573">
                          <w:rPr>
                            <w:color w:val="000000"/>
                            <w:sz w:val="20"/>
                          </w:rPr>
                          <w:t xml:space="preserve">$0 </w:t>
                        </w:r>
                      </w:p>
                    </w:tc>
                  </w:tr>
                  <w:tr w14:paraId="18B54503" w14:textId="77777777" w:rsidTr="00344573">
                    <w:tblPrEx>
                      <w:tblW w:w="12640" w:type="dxa"/>
                      <w:tblLayout w:type="fixed"/>
                      <w:tblLook w:val="04A0"/>
                    </w:tblPrEx>
                    <w:trPr>
                      <w:trHeight w:val="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6A7256A0" w14:textId="77777777">
                        <w:pPr>
                          <w:rPr>
                            <w:color w:val="000000"/>
                            <w:sz w:val="20"/>
                          </w:rPr>
                        </w:pPr>
                        <w:r w:rsidRPr="00344573">
                          <w:rPr>
                            <w:color w:val="000000"/>
                            <w:sz w:val="20"/>
                          </w:rPr>
                          <w:t>Records of Monthly Fuel Use</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3F722525"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1907E14C"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5E5AE6D1" w14:textId="77777777">
                        <w:pPr>
                          <w:jc w:val="center"/>
                          <w:rPr>
                            <w:color w:val="000000"/>
                            <w:sz w:val="20"/>
                          </w:rPr>
                        </w:pPr>
                        <w:r w:rsidRPr="00344573">
                          <w:rPr>
                            <w:color w:val="000000"/>
                            <w:sz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6055C155"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54E6B8D0"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324CE2B9"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4AA2A0E8" w14:textId="77777777">
                        <w:pPr>
                          <w:jc w:val="center"/>
                          <w:rPr>
                            <w:color w:val="000000"/>
                            <w:sz w:val="20"/>
                          </w:rPr>
                        </w:pPr>
                        <w:r w:rsidRPr="00344573">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5C03CBFB" w14:textId="77777777">
                        <w:pPr>
                          <w:jc w:val="right"/>
                          <w:rPr>
                            <w:color w:val="000000"/>
                            <w:sz w:val="20"/>
                          </w:rPr>
                        </w:pPr>
                        <w:r w:rsidRPr="00344573">
                          <w:rPr>
                            <w:color w:val="000000"/>
                            <w:sz w:val="20"/>
                          </w:rPr>
                          <w:t xml:space="preserve">$0 </w:t>
                        </w:r>
                      </w:p>
                    </w:tc>
                  </w:tr>
                  <w:tr w14:paraId="49FB5B73" w14:textId="77777777" w:rsidTr="00344573">
                    <w:tblPrEx>
                      <w:tblW w:w="12640" w:type="dxa"/>
                      <w:tblLayout w:type="fixed"/>
                      <w:tblLook w:val="04A0"/>
                    </w:tblPrEx>
                    <w:trPr>
                      <w:trHeight w:val="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7D253BFC" w14:textId="77777777">
                        <w:pPr>
                          <w:rPr>
                            <w:color w:val="000000"/>
                            <w:sz w:val="20"/>
                          </w:rPr>
                        </w:pPr>
                        <w:r w:rsidRPr="00344573">
                          <w:rPr>
                            <w:color w:val="000000"/>
                            <w:sz w:val="20"/>
                          </w:rPr>
                          <w:t>F. Time to Train Personnel</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187B1FB8"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467CA258"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366CF544" w14:textId="77777777">
                        <w:pPr>
                          <w:jc w:val="center"/>
                          <w:rPr>
                            <w:color w:val="000000"/>
                            <w:sz w:val="20"/>
                          </w:rPr>
                        </w:pPr>
                        <w:r w:rsidRPr="00344573">
                          <w:rPr>
                            <w:color w:val="000000"/>
                            <w:sz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0D0A0FBE"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560A9DED"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705965E3"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30A698AC" w14:textId="77777777">
                        <w:pPr>
                          <w:jc w:val="center"/>
                          <w:rPr>
                            <w:color w:val="000000"/>
                            <w:sz w:val="20"/>
                          </w:rPr>
                        </w:pPr>
                        <w:r w:rsidRPr="00344573">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023BC4D9" w14:textId="77777777">
                        <w:pPr>
                          <w:jc w:val="right"/>
                          <w:rPr>
                            <w:color w:val="000000"/>
                            <w:sz w:val="20"/>
                          </w:rPr>
                        </w:pPr>
                        <w:r w:rsidRPr="00344573">
                          <w:rPr>
                            <w:color w:val="000000"/>
                            <w:sz w:val="20"/>
                          </w:rPr>
                          <w:t xml:space="preserve">$0 </w:t>
                        </w:r>
                      </w:p>
                    </w:tc>
                  </w:tr>
                  <w:tr w14:paraId="6135DE4D" w14:textId="77777777" w:rsidTr="00344573">
                    <w:tblPrEx>
                      <w:tblW w:w="12640" w:type="dxa"/>
                      <w:tblLayout w:type="fixed"/>
                      <w:tblLook w:val="04A0"/>
                    </w:tblPrEx>
                    <w:trPr>
                      <w:trHeight w:val="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4AF02179" w14:textId="77777777">
                        <w:pPr>
                          <w:rPr>
                            <w:color w:val="000000"/>
                            <w:sz w:val="20"/>
                          </w:rPr>
                        </w:pPr>
                        <w:r w:rsidRPr="00344573">
                          <w:rPr>
                            <w:color w:val="000000"/>
                            <w:sz w:val="20"/>
                          </w:rPr>
                          <w:t xml:space="preserve">G. Time for Audits </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7940EF80" w14:textId="77777777">
                        <w:pPr>
                          <w:jc w:val="center"/>
                          <w:rPr>
                            <w:color w:val="000000"/>
                            <w:sz w:val="20"/>
                          </w:rPr>
                        </w:pPr>
                        <w:r w:rsidRPr="00344573">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4B310BD1"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339F36C1" w14:textId="77777777">
                        <w:pPr>
                          <w:jc w:val="right"/>
                          <w:rPr>
                            <w:color w:val="000000"/>
                            <w:sz w:val="20"/>
                          </w:rPr>
                        </w:pPr>
                        <w:r w:rsidRPr="00344573">
                          <w:rPr>
                            <w:color w:val="000000"/>
                            <w:sz w:val="20"/>
                          </w:rPr>
                          <w:t> </w:t>
                        </w:r>
                      </w:p>
                    </w:tc>
                    <w:tc>
                      <w:tcPr>
                        <w:tcW w:w="1300" w:type="dxa"/>
                        <w:tcBorders>
                          <w:top w:val="nil"/>
                          <w:left w:val="nil"/>
                          <w:bottom w:val="single" w:sz="4" w:space="0" w:color="auto"/>
                          <w:right w:val="single" w:sz="4" w:space="0" w:color="auto"/>
                        </w:tcBorders>
                        <w:shd w:val="clear" w:color="auto" w:fill="auto"/>
                        <w:vAlign w:val="center"/>
                        <w:hideMark/>
                      </w:tcPr>
                      <w:p w:rsidR="00344573" w:rsidRPr="00344573" w:rsidP="00344573" w14:paraId="7E045E2E"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089E0346"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30F051F2"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0E848FA0" w14:textId="77777777">
                        <w:pPr>
                          <w:jc w:val="right"/>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0E86B762" w14:textId="77777777">
                        <w:pPr>
                          <w:jc w:val="right"/>
                          <w:rPr>
                            <w:color w:val="000000"/>
                            <w:sz w:val="20"/>
                          </w:rPr>
                        </w:pPr>
                        <w:r w:rsidRPr="00344573">
                          <w:rPr>
                            <w:color w:val="000000"/>
                            <w:sz w:val="20"/>
                          </w:rPr>
                          <w:t> </w:t>
                        </w:r>
                      </w:p>
                    </w:tc>
                  </w:tr>
                  <w:tr w14:paraId="7B026821" w14:textId="77777777" w:rsidTr="00344573">
                    <w:tblPrEx>
                      <w:tblW w:w="12640" w:type="dxa"/>
                      <w:tblLayout w:type="fixed"/>
                      <w:tblLook w:val="04A0"/>
                    </w:tblPrEx>
                    <w:trPr>
                      <w:trHeight w:val="6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6A9E168C" w14:textId="77777777">
                        <w:pPr>
                          <w:rPr>
                            <w:b/>
                            <w:bCs/>
                            <w:i/>
                            <w:iCs/>
                            <w:color w:val="000000"/>
                            <w:sz w:val="20"/>
                          </w:rPr>
                        </w:pPr>
                        <w:r w:rsidRPr="00344573">
                          <w:rPr>
                            <w:b/>
                            <w:bCs/>
                            <w:i/>
                            <w:iCs/>
                            <w:color w:val="000000"/>
                            <w:sz w:val="20"/>
                          </w:rPr>
                          <w:t>Subtotal for Recordkeeping Requirements</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4DD3EC40" w14:textId="77777777">
                        <w:pPr>
                          <w:jc w:val="right"/>
                          <w:rPr>
                            <w:b/>
                            <w:bCs/>
                            <w:i/>
                            <w:iCs/>
                            <w:color w:val="000000"/>
                            <w:sz w:val="20"/>
                          </w:rPr>
                        </w:pPr>
                        <w:r w:rsidRPr="00344573">
                          <w:rPr>
                            <w:b/>
                            <w:bCs/>
                            <w:i/>
                            <w:i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561B2299" w14:textId="77777777">
                        <w:pPr>
                          <w:jc w:val="right"/>
                          <w:rPr>
                            <w:b/>
                            <w:bCs/>
                            <w:i/>
                            <w:iCs/>
                            <w:sz w:val="20"/>
                          </w:rPr>
                        </w:pPr>
                        <w:r w:rsidRPr="00344573">
                          <w:rPr>
                            <w:b/>
                            <w:bCs/>
                            <w:i/>
                            <w:i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6A0B2F21" w14:textId="77777777">
                        <w:pPr>
                          <w:jc w:val="right"/>
                          <w:rPr>
                            <w:b/>
                            <w:bCs/>
                            <w:i/>
                            <w:iCs/>
                            <w:color w:val="000000"/>
                            <w:sz w:val="20"/>
                          </w:rPr>
                        </w:pPr>
                        <w:r w:rsidRPr="00344573">
                          <w:rPr>
                            <w:b/>
                            <w:bCs/>
                            <w:i/>
                            <w:iCs/>
                            <w:color w:val="000000"/>
                            <w:sz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4A1C063D" w14:textId="77777777">
                        <w:pPr>
                          <w:jc w:val="right"/>
                          <w:rPr>
                            <w:b/>
                            <w:bCs/>
                            <w:i/>
                            <w:iCs/>
                            <w:sz w:val="20"/>
                          </w:rPr>
                        </w:pPr>
                        <w:r w:rsidRPr="00344573">
                          <w:rPr>
                            <w:b/>
                            <w:bCs/>
                            <w:i/>
                            <w:iCs/>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302838AA" w14:textId="77777777">
                        <w:pPr>
                          <w:jc w:val="center"/>
                          <w:rPr>
                            <w:b/>
                            <w:bCs/>
                            <w:i/>
                            <w:iCs/>
                            <w:color w:val="000000"/>
                            <w:sz w:val="20"/>
                          </w:rPr>
                        </w:pPr>
                        <w:r w:rsidRPr="00344573">
                          <w:rPr>
                            <w:b/>
                            <w:bCs/>
                            <w:i/>
                            <w:iCs/>
                            <w:color w:val="000000"/>
                            <w:sz w:val="20"/>
                          </w:rPr>
                          <w:t>96</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121297D2" w14:textId="77777777">
                        <w:pPr>
                          <w:jc w:val="center"/>
                          <w:rPr>
                            <w:b/>
                            <w:bCs/>
                            <w:i/>
                            <w:iCs/>
                            <w:color w:val="000000"/>
                            <w:sz w:val="20"/>
                          </w:rPr>
                        </w:pPr>
                        <w:r w:rsidRPr="00344573">
                          <w:rPr>
                            <w:b/>
                            <w:bCs/>
                            <w:i/>
                            <w:iCs/>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6E570065" w14:textId="77777777">
                        <w:pPr>
                          <w:jc w:val="center"/>
                          <w:rPr>
                            <w:b/>
                            <w:bCs/>
                            <w:i/>
                            <w:iCs/>
                            <w:color w:val="000000"/>
                            <w:sz w:val="20"/>
                          </w:rPr>
                        </w:pPr>
                        <w:r w:rsidRPr="00344573">
                          <w:rPr>
                            <w:b/>
                            <w:bCs/>
                            <w:i/>
                            <w:iCs/>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1AB709DF" w14:textId="77777777">
                        <w:pPr>
                          <w:jc w:val="right"/>
                          <w:rPr>
                            <w:b/>
                            <w:bCs/>
                            <w:i/>
                            <w:iCs/>
                            <w:color w:val="000000"/>
                            <w:sz w:val="20"/>
                          </w:rPr>
                        </w:pPr>
                        <w:r w:rsidRPr="00344573">
                          <w:rPr>
                            <w:b/>
                            <w:bCs/>
                            <w:i/>
                            <w:iCs/>
                            <w:color w:val="000000"/>
                            <w:sz w:val="20"/>
                          </w:rPr>
                          <w:t xml:space="preserve">$11,830 </w:t>
                        </w:r>
                      </w:p>
                    </w:tc>
                  </w:tr>
                  <w:tr w14:paraId="6E717580" w14:textId="77777777" w:rsidTr="00344573">
                    <w:tblPrEx>
                      <w:tblW w:w="12640" w:type="dxa"/>
                      <w:tblLayout w:type="fixed"/>
                      <w:tblLook w:val="04A0"/>
                    </w:tblPrEx>
                    <w:trPr>
                      <w:trHeight w:val="5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2661BC11" w14:textId="77777777">
                        <w:pPr>
                          <w:rPr>
                            <w:b/>
                            <w:bCs/>
                            <w:color w:val="000000"/>
                            <w:sz w:val="20"/>
                          </w:rPr>
                        </w:pPr>
                        <w:r w:rsidRPr="00344573">
                          <w:rPr>
                            <w:b/>
                            <w:bCs/>
                            <w:color w:val="000000"/>
                            <w:sz w:val="20"/>
                          </w:rPr>
                          <w:t xml:space="preserve">Total Labor Burden and Cost (rounded) </w:t>
                        </w:r>
                        <w:r w:rsidRPr="00344573">
                          <w:rPr>
                            <w:b/>
                            <w:bCs/>
                            <w:color w:val="000000"/>
                            <w:sz w:val="20"/>
                            <w:vertAlign w:val="superscript"/>
                          </w:rPr>
                          <w:t>f</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0E78983E" w14:textId="77777777">
                        <w:pPr>
                          <w:jc w:val="right"/>
                          <w:rPr>
                            <w:b/>
                            <w:bCs/>
                            <w:color w:val="000000"/>
                            <w:sz w:val="20"/>
                          </w:rPr>
                        </w:pPr>
                        <w:r w:rsidRPr="00344573">
                          <w:rPr>
                            <w:b/>
                            <w:b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4375419D" w14:textId="77777777">
                        <w:pPr>
                          <w:jc w:val="center"/>
                          <w:rPr>
                            <w:b/>
                            <w:bCs/>
                            <w:sz w:val="20"/>
                          </w:rPr>
                        </w:pPr>
                        <w:r w:rsidRPr="00344573">
                          <w:rPr>
                            <w:b/>
                            <w:b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0462FBA1" w14:textId="77777777">
                        <w:pPr>
                          <w:jc w:val="right"/>
                          <w:rPr>
                            <w:b/>
                            <w:bCs/>
                            <w:color w:val="000000"/>
                            <w:sz w:val="20"/>
                          </w:rPr>
                        </w:pPr>
                        <w:r w:rsidRPr="00344573">
                          <w:rPr>
                            <w:b/>
                            <w:bCs/>
                            <w:color w:val="000000"/>
                            <w:sz w:val="20"/>
                          </w:rPr>
                          <w:t> </w:t>
                        </w:r>
                      </w:p>
                    </w:tc>
                    <w:tc>
                      <w:tcPr>
                        <w:tcW w:w="1300" w:type="dxa"/>
                        <w:tcBorders>
                          <w:top w:val="nil"/>
                          <w:left w:val="nil"/>
                          <w:bottom w:val="single" w:sz="4" w:space="0" w:color="auto"/>
                          <w:right w:val="single" w:sz="4" w:space="0" w:color="auto"/>
                        </w:tcBorders>
                        <w:shd w:val="clear" w:color="auto" w:fill="auto"/>
                        <w:vAlign w:val="center"/>
                        <w:hideMark/>
                      </w:tcPr>
                      <w:p w:rsidR="00344573" w:rsidRPr="00344573" w:rsidP="00344573" w14:paraId="645C0FED" w14:textId="77777777">
                        <w:pPr>
                          <w:jc w:val="right"/>
                          <w:rPr>
                            <w:b/>
                            <w:bCs/>
                            <w:sz w:val="20"/>
                          </w:rPr>
                        </w:pPr>
                        <w:r w:rsidRPr="00344573">
                          <w:rPr>
                            <w:b/>
                            <w:bCs/>
                            <w:sz w:val="20"/>
                          </w:rPr>
                          <w:t> </w:t>
                        </w:r>
                      </w:p>
                    </w:tc>
                    <w:tc>
                      <w:tcPr>
                        <w:tcW w:w="3700" w:type="dxa"/>
                        <w:gridSpan w:val="3"/>
                        <w:tcBorders>
                          <w:top w:val="single" w:sz="4" w:space="0" w:color="auto"/>
                          <w:left w:val="nil"/>
                          <w:bottom w:val="single" w:sz="4" w:space="0" w:color="auto"/>
                          <w:right w:val="single" w:sz="4" w:space="0" w:color="auto"/>
                        </w:tcBorders>
                        <w:shd w:val="clear" w:color="auto" w:fill="auto"/>
                        <w:vAlign w:val="center"/>
                        <w:hideMark/>
                      </w:tcPr>
                      <w:p w:rsidR="00344573" w:rsidRPr="00344573" w:rsidP="00344573" w14:paraId="3ADBD908" w14:textId="77777777">
                        <w:pPr>
                          <w:jc w:val="center"/>
                          <w:rPr>
                            <w:b/>
                            <w:bCs/>
                            <w:color w:val="000000"/>
                            <w:sz w:val="20"/>
                          </w:rPr>
                        </w:pPr>
                        <w:r w:rsidRPr="00344573">
                          <w:rPr>
                            <w:b/>
                            <w:bCs/>
                            <w:color w:val="000000"/>
                            <w:sz w:val="20"/>
                          </w:rPr>
                          <w:t>2,900</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1F21CAE5" w14:textId="77777777">
                        <w:pPr>
                          <w:jc w:val="right"/>
                          <w:rPr>
                            <w:b/>
                            <w:bCs/>
                            <w:color w:val="000000"/>
                            <w:sz w:val="20"/>
                          </w:rPr>
                        </w:pPr>
                        <w:r w:rsidRPr="00344573">
                          <w:rPr>
                            <w:b/>
                            <w:bCs/>
                            <w:color w:val="000000"/>
                            <w:sz w:val="20"/>
                          </w:rPr>
                          <w:t xml:space="preserve">$350,000 </w:t>
                        </w:r>
                      </w:p>
                    </w:tc>
                  </w:tr>
                  <w:tr w14:paraId="16F78BE1" w14:textId="77777777" w:rsidTr="00344573">
                    <w:tblPrEx>
                      <w:tblW w:w="12640" w:type="dxa"/>
                      <w:tblLayout w:type="fixed"/>
                      <w:tblLook w:val="04A0"/>
                    </w:tblPrEx>
                    <w:trPr>
                      <w:trHeight w:val="5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11B5A631" w14:textId="77777777">
                        <w:pPr>
                          <w:rPr>
                            <w:b/>
                            <w:bCs/>
                            <w:sz w:val="20"/>
                          </w:rPr>
                        </w:pPr>
                        <w:r w:rsidRPr="00344573">
                          <w:rPr>
                            <w:b/>
                            <w:bCs/>
                            <w:sz w:val="20"/>
                          </w:rPr>
                          <w:t xml:space="preserve">Total Capital and O&amp;M Cost (rounded) </w:t>
                        </w:r>
                        <w:r w:rsidRPr="00344573">
                          <w:rPr>
                            <w:b/>
                            <w:bCs/>
                            <w:sz w:val="20"/>
                            <w:vertAlign w:val="superscript"/>
                          </w:rPr>
                          <w:t>f</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00B54E7E" w14:textId="77777777">
                        <w:pPr>
                          <w:jc w:val="right"/>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4690DD16"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3E7E805E" w14:textId="77777777">
                        <w:pPr>
                          <w:jc w:val="right"/>
                          <w:rPr>
                            <w:color w:val="000000"/>
                            <w:sz w:val="20"/>
                          </w:rPr>
                        </w:pPr>
                        <w:r w:rsidRPr="00344573">
                          <w:rPr>
                            <w:color w:val="000000"/>
                            <w:sz w:val="20"/>
                          </w:rPr>
                          <w:t> </w:t>
                        </w:r>
                      </w:p>
                    </w:tc>
                    <w:tc>
                      <w:tcPr>
                        <w:tcW w:w="1300" w:type="dxa"/>
                        <w:tcBorders>
                          <w:top w:val="nil"/>
                          <w:left w:val="nil"/>
                          <w:bottom w:val="single" w:sz="4" w:space="0" w:color="auto"/>
                          <w:right w:val="single" w:sz="4" w:space="0" w:color="auto"/>
                        </w:tcBorders>
                        <w:shd w:val="clear" w:color="auto" w:fill="auto"/>
                        <w:vAlign w:val="center"/>
                        <w:hideMark/>
                      </w:tcPr>
                      <w:p w:rsidR="00344573" w:rsidRPr="00344573" w:rsidP="00344573" w14:paraId="160F6041"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66EC69BD"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16A1667B"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48E548F6" w14:textId="77777777">
                        <w:pPr>
                          <w:jc w:val="right"/>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1F2CDBC3" w14:textId="77777777">
                        <w:pPr>
                          <w:jc w:val="right"/>
                          <w:rPr>
                            <w:b/>
                            <w:bCs/>
                            <w:color w:val="000000"/>
                            <w:sz w:val="20"/>
                          </w:rPr>
                        </w:pPr>
                        <w:r w:rsidRPr="00344573">
                          <w:rPr>
                            <w:b/>
                            <w:bCs/>
                            <w:color w:val="000000"/>
                            <w:sz w:val="20"/>
                          </w:rPr>
                          <w:t xml:space="preserve">$0 </w:t>
                        </w:r>
                      </w:p>
                    </w:tc>
                  </w:tr>
                  <w:tr w14:paraId="289E986B" w14:textId="77777777" w:rsidTr="00344573">
                    <w:tblPrEx>
                      <w:tblW w:w="12640" w:type="dxa"/>
                      <w:tblLayout w:type="fixed"/>
                      <w:tblLook w:val="04A0"/>
                    </w:tblPrEx>
                    <w:trPr>
                      <w:trHeight w:val="30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31BDE785" w14:textId="77777777">
                        <w:pPr>
                          <w:rPr>
                            <w:b/>
                            <w:bCs/>
                            <w:sz w:val="20"/>
                          </w:rPr>
                        </w:pPr>
                        <w:r w:rsidRPr="00344573">
                          <w:rPr>
                            <w:b/>
                            <w:bCs/>
                            <w:sz w:val="20"/>
                          </w:rPr>
                          <w:t xml:space="preserve">Grand TOTAL (rounded) </w:t>
                        </w:r>
                        <w:r w:rsidRPr="00344573">
                          <w:rPr>
                            <w:b/>
                            <w:bCs/>
                            <w:sz w:val="20"/>
                            <w:vertAlign w:val="superscript"/>
                          </w:rPr>
                          <w:t>f</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5D67964E" w14:textId="77777777">
                        <w:pPr>
                          <w:jc w:val="right"/>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69FE28FE"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56777F60" w14:textId="77777777">
                        <w:pPr>
                          <w:jc w:val="right"/>
                          <w:rPr>
                            <w:color w:val="000000"/>
                            <w:sz w:val="20"/>
                          </w:rPr>
                        </w:pPr>
                        <w:r w:rsidRPr="00344573">
                          <w:rPr>
                            <w:color w:val="000000"/>
                            <w:sz w:val="20"/>
                          </w:rPr>
                          <w:t> </w:t>
                        </w:r>
                      </w:p>
                    </w:tc>
                    <w:tc>
                      <w:tcPr>
                        <w:tcW w:w="1300" w:type="dxa"/>
                        <w:tcBorders>
                          <w:top w:val="nil"/>
                          <w:left w:val="nil"/>
                          <w:bottom w:val="single" w:sz="4" w:space="0" w:color="auto"/>
                          <w:right w:val="single" w:sz="4" w:space="0" w:color="auto"/>
                        </w:tcBorders>
                        <w:shd w:val="clear" w:color="auto" w:fill="auto"/>
                        <w:vAlign w:val="center"/>
                        <w:hideMark/>
                      </w:tcPr>
                      <w:p w:rsidR="00344573" w:rsidRPr="00344573" w:rsidP="00344573" w14:paraId="415E5D51"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5C2EC54A"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0953920F"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66170BAF" w14:textId="77777777">
                        <w:pPr>
                          <w:jc w:val="right"/>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1D28284B" w14:textId="77777777">
                        <w:pPr>
                          <w:jc w:val="right"/>
                          <w:rPr>
                            <w:b/>
                            <w:bCs/>
                            <w:color w:val="000000"/>
                            <w:sz w:val="20"/>
                          </w:rPr>
                        </w:pPr>
                        <w:r w:rsidRPr="00344573">
                          <w:rPr>
                            <w:b/>
                            <w:bCs/>
                            <w:color w:val="000000"/>
                            <w:sz w:val="20"/>
                          </w:rPr>
                          <w:t xml:space="preserve">$400,000 </w:t>
                        </w:r>
                      </w:p>
                    </w:tc>
                  </w:tr>
                  <w:tr w14:paraId="0CFFC497" w14:textId="77777777" w:rsidTr="00344573">
                    <w:tblPrEx>
                      <w:tblW w:w="12640" w:type="dxa"/>
                      <w:tblLayout w:type="fixed"/>
                      <w:tblLook w:val="04A0"/>
                    </w:tblPrEx>
                    <w:trPr>
                      <w:trHeight w:val="150"/>
                    </w:trPr>
                    <w:tc>
                      <w:tcPr>
                        <w:tcW w:w="2620" w:type="dxa"/>
                        <w:tcBorders>
                          <w:top w:val="nil"/>
                          <w:left w:val="nil"/>
                          <w:bottom w:val="nil"/>
                          <w:right w:val="nil"/>
                        </w:tcBorders>
                        <w:shd w:val="clear" w:color="auto" w:fill="auto"/>
                        <w:noWrap/>
                        <w:vAlign w:val="bottom"/>
                        <w:hideMark/>
                      </w:tcPr>
                      <w:p w:rsidR="00344573" w:rsidRPr="00344573" w:rsidP="00344573" w14:paraId="674A0C2C" w14:textId="77777777">
                        <w:pPr>
                          <w:jc w:val="right"/>
                          <w:rPr>
                            <w:b/>
                            <w:bCs/>
                            <w:color w:val="000000"/>
                            <w:sz w:val="20"/>
                          </w:rPr>
                        </w:pPr>
                      </w:p>
                    </w:tc>
                    <w:tc>
                      <w:tcPr>
                        <w:tcW w:w="1120" w:type="dxa"/>
                        <w:tcBorders>
                          <w:top w:val="nil"/>
                          <w:left w:val="nil"/>
                          <w:bottom w:val="nil"/>
                          <w:right w:val="nil"/>
                        </w:tcBorders>
                        <w:shd w:val="clear" w:color="auto" w:fill="auto"/>
                        <w:noWrap/>
                        <w:vAlign w:val="bottom"/>
                        <w:hideMark/>
                      </w:tcPr>
                      <w:p w:rsidR="00344573" w:rsidRPr="00344573" w:rsidP="00344573" w14:paraId="1EC1E2E1" w14:textId="77777777">
                        <w:pPr>
                          <w:rPr>
                            <w:sz w:val="20"/>
                          </w:rPr>
                        </w:pPr>
                      </w:p>
                    </w:tc>
                    <w:tc>
                      <w:tcPr>
                        <w:tcW w:w="1320" w:type="dxa"/>
                        <w:tcBorders>
                          <w:top w:val="nil"/>
                          <w:left w:val="nil"/>
                          <w:bottom w:val="nil"/>
                          <w:right w:val="nil"/>
                        </w:tcBorders>
                        <w:shd w:val="clear" w:color="auto" w:fill="auto"/>
                        <w:noWrap/>
                        <w:vAlign w:val="bottom"/>
                        <w:hideMark/>
                      </w:tcPr>
                      <w:p w:rsidR="00344573" w:rsidRPr="00344573" w:rsidP="00344573" w14:paraId="0F29A4FD" w14:textId="77777777">
                        <w:pPr>
                          <w:rPr>
                            <w:sz w:val="20"/>
                          </w:rPr>
                        </w:pPr>
                      </w:p>
                    </w:tc>
                    <w:tc>
                      <w:tcPr>
                        <w:tcW w:w="1240" w:type="dxa"/>
                        <w:tcBorders>
                          <w:top w:val="nil"/>
                          <w:left w:val="nil"/>
                          <w:bottom w:val="nil"/>
                          <w:right w:val="nil"/>
                        </w:tcBorders>
                        <w:shd w:val="clear" w:color="auto" w:fill="auto"/>
                        <w:noWrap/>
                        <w:vAlign w:val="bottom"/>
                        <w:hideMark/>
                      </w:tcPr>
                      <w:p w:rsidR="00344573" w:rsidRPr="00344573" w:rsidP="00344573" w14:paraId="4BAB29D1" w14:textId="77777777">
                        <w:pPr>
                          <w:rPr>
                            <w:sz w:val="20"/>
                          </w:rPr>
                        </w:pPr>
                      </w:p>
                    </w:tc>
                    <w:tc>
                      <w:tcPr>
                        <w:tcW w:w="1300" w:type="dxa"/>
                        <w:tcBorders>
                          <w:top w:val="nil"/>
                          <w:left w:val="nil"/>
                          <w:bottom w:val="nil"/>
                          <w:right w:val="nil"/>
                        </w:tcBorders>
                        <w:shd w:val="clear" w:color="auto" w:fill="auto"/>
                        <w:noWrap/>
                        <w:vAlign w:val="bottom"/>
                        <w:hideMark/>
                      </w:tcPr>
                      <w:p w:rsidR="00344573" w:rsidRPr="00344573" w:rsidP="00344573" w14:paraId="007021B4" w14:textId="77777777">
                        <w:pPr>
                          <w:rPr>
                            <w:sz w:val="20"/>
                          </w:rPr>
                        </w:pPr>
                      </w:p>
                    </w:tc>
                    <w:tc>
                      <w:tcPr>
                        <w:tcW w:w="1160" w:type="dxa"/>
                        <w:tcBorders>
                          <w:top w:val="nil"/>
                          <w:left w:val="nil"/>
                          <w:bottom w:val="nil"/>
                          <w:right w:val="nil"/>
                        </w:tcBorders>
                        <w:shd w:val="clear" w:color="auto" w:fill="auto"/>
                        <w:noWrap/>
                        <w:vAlign w:val="bottom"/>
                        <w:hideMark/>
                      </w:tcPr>
                      <w:p w:rsidR="00344573" w:rsidRPr="00344573" w:rsidP="00344573" w14:paraId="68C9A3A5" w14:textId="77777777">
                        <w:pPr>
                          <w:rPr>
                            <w:sz w:val="20"/>
                          </w:rPr>
                        </w:pPr>
                      </w:p>
                    </w:tc>
                    <w:tc>
                      <w:tcPr>
                        <w:tcW w:w="1280" w:type="dxa"/>
                        <w:tcBorders>
                          <w:top w:val="nil"/>
                          <w:left w:val="nil"/>
                          <w:bottom w:val="nil"/>
                          <w:right w:val="nil"/>
                        </w:tcBorders>
                        <w:shd w:val="clear" w:color="auto" w:fill="auto"/>
                        <w:noWrap/>
                        <w:vAlign w:val="bottom"/>
                        <w:hideMark/>
                      </w:tcPr>
                      <w:p w:rsidR="00344573" w:rsidRPr="00344573" w:rsidP="00344573" w14:paraId="1A97E60F" w14:textId="77777777">
                        <w:pPr>
                          <w:rPr>
                            <w:sz w:val="20"/>
                          </w:rPr>
                        </w:pPr>
                      </w:p>
                    </w:tc>
                    <w:tc>
                      <w:tcPr>
                        <w:tcW w:w="1260" w:type="dxa"/>
                        <w:tcBorders>
                          <w:top w:val="nil"/>
                          <w:left w:val="nil"/>
                          <w:bottom w:val="nil"/>
                          <w:right w:val="nil"/>
                        </w:tcBorders>
                        <w:shd w:val="clear" w:color="auto" w:fill="auto"/>
                        <w:noWrap/>
                        <w:vAlign w:val="bottom"/>
                        <w:hideMark/>
                      </w:tcPr>
                      <w:p w:rsidR="00344573" w:rsidRPr="00344573" w:rsidP="00344573" w14:paraId="506188B8" w14:textId="77777777">
                        <w:pPr>
                          <w:rPr>
                            <w:sz w:val="20"/>
                          </w:rPr>
                        </w:pPr>
                      </w:p>
                    </w:tc>
                    <w:tc>
                      <w:tcPr>
                        <w:tcW w:w="1340" w:type="dxa"/>
                        <w:tcBorders>
                          <w:top w:val="nil"/>
                          <w:left w:val="nil"/>
                          <w:bottom w:val="nil"/>
                          <w:right w:val="nil"/>
                        </w:tcBorders>
                        <w:shd w:val="clear" w:color="auto" w:fill="auto"/>
                        <w:noWrap/>
                        <w:vAlign w:val="bottom"/>
                        <w:hideMark/>
                      </w:tcPr>
                      <w:p w:rsidR="00344573" w:rsidRPr="00344573" w:rsidP="00344573" w14:paraId="48C6C852" w14:textId="77777777">
                        <w:pPr>
                          <w:rPr>
                            <w:sz w:val="20"/>
                          </w:rPr>
                        </w:pPr>
                      </w:p>
                    </w:tc>
                  </w:tr>
                  <w:tr w14:paraId="7845698F" w14:textId="77777777" w:rsidTr="00344573">
                    <w:tblPrEx>
                      <w:tblW w:w="12640" w:type="dxa"/>
                      <w:tblLayout w:type="fixed"/>
                      <w:tblLook w:val="04A0"/>
                    </w:tblPrEx>
                    <w:trPr>
                      <w:trHeight w:val="493"/>
                    </w:trPr>
                    <w:tc>
                      <w:tcPr>
                        <w:tcW w:w="12640" w:type="dxa"/>
                        <w:gridSpan w:val="9"/>
                        <w:tcBorders>
                          <w:top w:val="nil"/>
                          <w:left w:val="nil"/>
                          <w:bottom w:val="nil"/>
                          <w:right w:val="nil"/>
                        </w:tcBorders>
                        <w:shd w:val="clear" w:color="auto" w:fill="auto"/>
                        <w:vAlign w:val="center"/>
                        <w:hideMark/>
                      </w:tcPr>
                      <w:p w:rsidR="00344573" w:rsidRPr="00344573" w:rsidP="00344573" w14:paraId="4B257D51" w14:textId="77777777">
                        <w:pPr>
                          <w:rPr>
                            <w:color w:val="000000"/>
                            <w:sz w:val="20"/>
                          </w:rPr>
                        </w:pPr>
                        <w:r w:rsidRPr="00344573">
                          <w:rPr>
                            <w:color w:val="000000"/>
                            <w:sz w:val="20"/>
                            <w:vertAlign w:val="superscript"/>
                          </w:rPr>
                          <w:t>a</w:t>
                        </w:r>
                        <w:r w:rsidRPr="00344573">
                          <w:rPr>
                            <w:color w:val="000000"/>
                            <w:sz w:val="20"/>
                          </w:rPr>
                          <w:t xml:space="preserve">  We have assumed that there are approximately 26 boilers are expected to install controls and that 10% of the existing units will have new construction/reconstruction.</w:t>
                        </w:r>
                      </w:p>
                    </w:tc>
                  </w:tr>
                  <w:tr w14:paraId="15A83F9B" w14:textId="77777777" w:rsidTr="00344573">
                    <w:tblPrEx>
                      <w:tblW w:w="12640" w:type="dxa"/>
                      <w:tblLayout w:type="fixed"/>
                      <w:tblLook w:val="04A0"/>
                    </w:tblPrEx>
                    <w:trPr>
                      <w:trHeight w:val="1610"/>
                    </w:trPr>
                    <w:tc>
                      <w:tcPr>
                        <w:tcW w:w="12640" w:type="dxa"/>
                        <w:gridSpan w:val="9"/>
                        <w:tcBorders>
                          <w:top w:val="nil"/>
                          <w:left w:val="nil"/>
                          <w:bottom w:val="nil"/>
                          <w:right w:val="nil"/>
                        </w:tcBorders>
                        <w:shd w:val="clear" w:color="auto" w:fill="auto"/>
                        <w:vAlign w:val="bottom"/>
                        <w:hideMark/>
                      </w:tcPr>
                      <w:p w:rsidR="00344573" w:rsidRPr="00344573" w:rsidP="00344573" w14:paraId="19EF8AB0" w14:textId="77777777">
                        <w:pPr>
                          <w:rPr>
                            <w:color w:val="000000"/>
                            <w:sz w:val="20"/>
                          </w:rPr>
                        </w:pPr>
                        <w:r w:rsidRPr="00344573">
                          <w:rPr>
                            <w:color w:val="000000"/>
                            <w:sz w:val="20"/>
                            <w:vertAlign w:val="superscript"/>
                          </w:rPr>
                          <w:t>b</w:t>
                        </w:r>
                        <w:r w:rsidRPr="00344573">
                          <w:rPr>
                            <w:color w:val="000000"/>
                            <w:sz w:val="20"/>
                          </w:rPr>
                          <w:t xml:space="preserve">  This ICR uses the following labor rates: $161.62 per hour for Executive, Administrative, and Managerial labor; $127.68 per hour for Technical labor, and $64.22 per hour for Clerical labor.  These rates are from the United States Department of Labor, Bureau of Labor Statistics, June 2022, “Table 2. Civilian Workers, by Occupational and Industry group.”  The rates are from column 1, “Total Compensation.”  The rates have been increased by 110 percent to account for the benefit packages available to those employed by private industry.  Archived report releases can be accessed from https://www.bls.gov/bls/news-release/ecec.htm#2021;  from homepage, select Economic Releases, Archived News Releases, Employer Costs for Employee Compensation, Select a past year, Select a published report.</w:t>
                        </w:r>
                      </w:p>
                    </w:tc>
                  </w:tr>
                  <w:tr w14:paraId="07D4003C" w14:textId="77777777" w:rsidTr="00344573">
                    <w:tblPrEx>
                      <w:tblW w:w="12640" w:type="dxa"/>
                      <w:tblLayout w:type="fixed"/>
                      <w:tblLook w:val="04A0"/>
                    </w:tblPrEx>
                    <w:trPr>
                      <w:trHeight w:val="343"/>
                    </w:trPr>
                    <w:tc>
                      <w:tcPr>
                        <w:tcW w:w="12640" w:type="dxa"/>
                        <w:gridSpan w:val="9"/>
                        <w:tcBorders>
                          <w:top w:val="nil"/>
                          <w:left w:val="nil"/>
                          <w:bottom w:val="nil"/>
                          <w:right w:val="nil"/>
                        </w:tcBorders>
                        <w:shd w:val="clear" w:color="auto" w:fill="auto"/>
                        <w:vAlign w:val="center"/>
                        <w:hideMark/>
                      </w:tcPr>
                      <w:p w:rsidR="00344573" w:rsidRPr="00344573" w:rsidP="00344573" w14:paraId="729CE397" w14:textId="77777777">
                        <w:pPr>
                          <w:rPr>
                            <w:color w:val="000000"/>
                            <w:sz w:val="20"/>
                          </w:rPr>
                        </w:pPr>
                        <w:r w:rsidRPr="00344573">
                          <w:rPr>
                            <w:color w:val="000000"/>
                            <w:sz w:val="20"/>
                            <w:vertAlign w:val="superscript"/>
                          </w:rPr>
                          <w:t>c</w:t>
                        </w:r>
                        <w:r w:rsidRPr="00344573">
                          <w:rPr>
                            <w:color w:val="000000"/>
                            <w:sz w:val="20"/>
                          </w:rPr>
                          <w:t xml:space="preserve">  New boilers test for NOx. We have assumed that 5 percent of respondents would repeat initial performance test due to failure.</w:t>
                        </w:r>
                      </w:p>
                    </w:tc>
                  </w:tr>
                  <w:tr w14:paraId="53DADA4A" w14:textId="77777777" w:rsidTr="00344573">
                    <w:tblPrEx>
                      <w:tblW w:w="12640" w:type="dxa"/>
                      <w:tblLayout w:type="fixed"/>
                      <w:tblLook w:val="04A0"/>
                    </w:tblPrEx>
                    <w:trPr>
                      <w:trHeight w:val="583"/>
                    </w:trPr>
                    <w:tc>
                      <w:tcPr>
                        <w:tcW w:w="12640" w:type="dxa"/>
                        <w:gridSpan w:val="9"/>
                        <w:tcBorders>
                          <w:top w:val="nil"/>
                          <w:left w:val="nil"/>
                          <w:bottom w:val="nil"/>
                          <w:right w:val="nil"/>
                        </w:tcBorders>
                        <w:shd w:val="clear" w:color="auto" w:fill="auto"/>
                        <w:vAlign w:val="center"/>
                        <w:hideMark/>
                      </w:tcPr>
                      <w:p w:rsidR="00344573" w:rsidRPr="00344573" w:rsidP="00344573" w14:paraId="6B19B252" w14:textId="77777777">
                        <w:pPr>
                          <w:rPr>
                            <w:sz w:val="20"/>
                          </w:rPr>
                        </w:pPr>
                        <w:r w:rsidRPr="00344573">
                          <w:rPr>
                            <w:sz w:val="20"/>
                            <w:vertAlign w:val="superscript"/>
                          </w:rPr>
                          <w:t>d</w:t>
                        </w:r>
                        <w:r w:rsidRPr="00344573">
                          <w:rPr>
                            <w:sz w:val="20"/>
                          </w:rPr>
                          <w:t xml:space="preserve">  The rule requires existing boilers to conduct an initial compliance test within 90 days from the installation of the pollution control equipment used to comply with the NOx emission limits. We have assumed that 5 percent of respondents would repeat annual performance test due to failure.</w:t>
                        </w:r>
                      </w:p>
                    </w:tc>
                  </w:tr>
                  <w:tr w14:paraId="130AC4CF" w14:textId="77777777" w:rsidTr="00344573">
                    <w:tblPrEx>
                      <w:tblW w:w="12640" w:type="dxa"/>
                      <w:tblLayout w:type="fixed"/>
                      <w:tblLook w:val="04A0"/>
                    </w:tblPrEx>
                    <w:trPr>
                      <w:trHeight w:val="310"/>
                    </w:trPr>
                    <w:tc>
                      <w:tcPr>
                        <w:tcW w:w="12640" w:type="dxa"/>
                        <w:gridSpan w:val="9"/>
                        <w:tcBorders>
                          <w:top w:val="nil"/>
                          <w:left w:val="nil"/>
                          <w:bottom w:val="nil"/>
                          <w:right w:val="nil"/>
                        </w:tcBorders>
                        <w:shd w:val="clear" w:color="auto" w:fill="auto"/>
                        <w:noWrap/>
                        <w:vAlign w:val="center"/>
                        <w:hideMark/>
                      </w:tcPr>
                      <w:p w:rsidR="00344573" w:rsidRPr="00344573" w:rsidP="00344573" w14:paraId="0DF5354F" w14:textId="77777777">
                        <w:pPr>
                          <w:rPr>
                            <w:color w:val="000000"/>
                            <w:sz w:val="20"/>
                          </w:rPr>
                        </w:pPr>
                        <w:r w:rsidRPr="00344573">
                          <w:rPr>
                            <w:color w:val="000000"/>
                            <w:sz w:val="20"/>
                            <w:vertAlign w:val="superscript"/>
                          </w:rPr>
                          <w:t>e</w:t>
                        </w:r>
                        <w:r w:rsidRPr="00344573">
                          <w:rPr>
                            <w:color w:val="000000"/>
                            <w:sz w:val="20"/>
                          </w:rPr>
                          <w:t xml:space="preserve">  Calibration drift checks on the air flow sensor on the NOx CEMS or CPMS are performed daily. </w:t>
                        </w:r>
                      </w:p>
                    </w:tc>
                  </w:tr>
                  <w:tr w14:paraId="1B802381" w14:textId="77777777" w:rsidTr="00344573">
                    <w:tblPrEx>
                      <w:tblW w:w="12640" w:type="dxa"/>
                      <w:tblLayout w:type="fixed"/>
                      <w:tblLook w:val="04A0"/>
                    </w:tblPrEx>
                    <w:trPr>
                      <w:trHeight w:val="375"/>
                    </w:trPr>
                    <w:tc>
                      <w:tcPr>
                        <w:tcW w:w="12640" w:type="dxa"/>
                        <w:gridSpan w:val="9"/>
                        <w:tcBorders>
                          <w:top w:val="nil"/>
                          <w:left w:val="nil"/>
                          <w:bottom w:val="nil"/>
                          <w:right w:val="nil"/>
                        </w:tcBorders>
                        <w:shd w:val="clear" w:color="auto" w:fill="auto"/>
                        <w:hideMark/>
                      </w:tcPr>
                      <w:p w:rsidR="00344573" w:rsidRPr="00344573" w:rsidP="00344573" w14:paraId="1F2CFA04" w14:textId="77777777">
                        <w:pPr>
                          <w:rPr>
                            <w:color w:val="000000"/>
                            <w:sz w:val="20"/>
                          </w:rPr>
                        </w:pPr>
                        <w:r w:rsidRPr="00344573">
                          <w:rPr>
                            <w:color w:val="000000"/>
                            <w:sz w:val="20"/>
                            <w:vertAlign w:val="superscript"/>
                          </w:rPr>
                          <w:t>f</w:t>
                        </w:r>
                        <w:r w:rsidRPr="00344573">
                          <w:rPr>
                            <w:color w:val="000000"/>
                            <w:sz w:val="20"/>
                          </w:rPr>
                          <w:t xml:space="preserve">  Totals have been rounded to 3 significant figures.  Figures may not add exactly due to rounding.</w:t>
                        </w:r>
                      </w:p>
                    </w:tc>
                  </w:tr>
                </w:tbl>
                <w:p w:rsidR="00CD3BBE" w:rsidP="00CD3BBE" w14:paraId="33412795" w14:textId="77777777">
                  <w:pPr>
                    <w:tabs>
                      <w:tab w:val="left" w:pos="8556"/>
                    </w:tabs>
                    <w:rPr>
                      <w:b/>
                      <w:bCs/>
                      <w:szCs w:val="24"/>
                    </w:rPr>
                  </w:pPr>
                </w:p>
                <w:p w:rsidR="00036248" w:rsidP="00036248" w14:paraId="6A4569D8" w14:textId="62016284">
                  <w:pPr>
                    <w:rPr>
                      <w:b/>
                      <w:bCs/>
                      <w:szCs w:val="24"/>
                    </w:rPr>
                  </w:pPr>
                  <w:r w:rsidRPr="00D17F6A">
                    <w:rPr>
                      <w:b/>
                      <w:bCs/>
                      <w:szCs w:val="24"/>
                    </w:rPr>
                    <w:t xml:space="preserve">Table </w:t>
                  </w:r>
                  <w:r>
                    <w:rPr>
                      <w:b/>
                      <w:bCs/>
                      <w:szCs w:val="24"/>
                    </w:rPr>
                    <w:t>1</w:t>
                  </w:r>
                  <w:r w:rsidR="00CD3BBE">
                    <w:rPr>
                      <w:b/>
                      <w:bCs/>
                      <w:szCs w:val="24"/>
                    </w:rPr>
                    <w:t>4</w:t>
                  </w:r>
                  <w:r w:rsidRPr="00D17F6A">
                    <w:rPr>
                      <w:b/>
                      <w:bCs/>
                      <w:szCs w:val="24"/>
                    </w:rPr>
                    <w:t xml:space="preserve">: </w:t>
                  </w:r>
                  <w:r>
                    <w:rPr>
                      <w:b/>
                      <w:bCs/>
                      <w:szCs w:val="24"/>
                    </w:rPr>
                    <w:t xml:space="preserve">Annual </w:t>
                  </w:r>
                  <w:r w:rsidRPr="00D17F6A">
                    <w:rPr>
                      <w:b/>
                      <w:bCs/>
                      <w:szCs w:val="24"/>
                    </w:rPr>
                    <w:t xml:space="preserve">Respondent Burden and Cost – </w:t>
                  </w:r>
                  <w:r w:rsidRPr="001E115D">
                    <w:rPr>
                      <w:b/>
                      <w:bCs/>
                      <w:szCs w:val="24"/>
                    </w:rPr>
                    <w:t>Basic Chemical Manufacturing</w:t>
                  </w:r>
                  <w:r>
                    <w:rPr>
                      <w:b/>
                      <w:bCs/>
                      <w:szCs w:val="24"/>
                    </w:rPr>
                    <w:t>,</w:t>
                  </w:r>
                  <w:r w:rsidRPr="001E115D">
                    <w:rPr>
                      <w:b/>
                      <w:bCs/>
                      <w:szCs w:val="24"/>
                    </w:rPr>
                    <w:t xml:space="preserve"> Petroleum and Coal Products Manufacturing</w:t>
                  </w:r>
                  <w:r>
                    <w:rPr>
                      <w:b/>
                      <w:bCs/>
                      <w:szCs w:val="24"/>
                    </w:rPr>
                    <w:t>,</w:t>
                  </w:r>
                  <w:r w:rsidRPr="001E115D">
                    <w:rPr>
                      <w:b/>
                      <w:bCs/>
                      <w:szCs w:val="24"/>
                    </w:rPr>
                    <w:t xml:space="preserve"> Pulp, Paper, </w:t>
                  </w:r>
                  <w:r w:rsidR="00CC39DA">
                    <w:rPr>
                      <w:b/>
                      <w:bCs/>
                      <w:szCs w:val="24"/>
                    </w:rPr>
                    <w:t>Metal</w:t>
                  </w:r>
                  <w:r w:rsidR="00A00AD8">
                    <w:rPr>
                      <w:b/>
                      <w:bCs/>
                      <w:szCs w:val="24"/>
                    </w:rPr>
                    <w:t xml:space="preserve"> Ore Mining, </w:t>
                  </w:r>
                  <w:r w:rsidRPr="001E115D">
                    <w:rPr>
                      <w:b/>
                      <w:bCs/>
                      <w:szCs w:val="24"/>
                    </w:rPr>
                    <w:t>and Paperboard Manufacturing</w:t>
                  </w:r>
                  <w:r w:rsidRPr="00D17F6A">
                    <w:rPr>
                      <w:b/>
                      <w:bCs/>
                      <w:szCs w:val="24"/>
                    </w:rPr>
                    <w:t xml:space="preserve">, </w:t>
                  </w:r>
                  <w:r>
                    <w:rPr>
                      <w:b/>
                      <w:bCs/>
                      <w:szCs w:val="24"/>
                    </w:rPr>
                    <w:t>Year 2</w:t>
                  </w:r>
                </w:p>
                <w:p w:rsidR="00CD3BBE" w:rsidP="005C2AC7" w14:paraId="21158E35" w14:textId="4EEFB739">
                  <w:pPr>
                    <w:rPr>
                      <w:color w:val="000000"/>
                      <w:sz w:val="20"/>
                    </w:rPr>
                  </w:pPr>
                </w:p>
                <w:tbl>
                  <w:tblPr>
                    <w:tblW w:w="12240" w:type="dxa"/>
                    <w:tblLayout w:type="fixed"/>
                    <w:tblLook w:val="04A0"/>
                  </w:tblPr>
                  <w:tblGrid>
                    <w:gridCol w:w="2380"/>
                    <w:gridCol w:w="1120"/>
                    <w:gridCol w:w="1320"/>
                    <w:gridCol w:w="1240"/>
                    <w:gridCol w:w="1340"/>
                    <w:gridCol w:w="1160"/>
                    <w:gridCol w:w="1280"/>
                    <w:gridCol w:w="1260"/>
                    <w:gridCol w:w="1140"/>
                  </w:tblGrid>
                  <w:tr w14:paraId="0AB02FAF" w14:textId="77777777" w:rsidTr="00344573">
                    <w:tblPrEx>
                      <w:tblW w:w="12240" w:type="dxa"/>
                      <w:tblLayout w:type="fixed"/>
                      <w:tblLook w:val="04A0"/>
                    </w:tblPrEx>
                    <w:trPr>
                      <w:trHeight w:val="1300"/>
                    </w:trPr>
                    <w:tc>
                      <w:tcPr>
                        <w:tcW w:w="2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573" w:rsidRPr="00344573" w:rsidP="00344573" w14:paraId="42911FE4" w14:textId="77777777">
                        <w:pPr>
                          <w:jc w:val="center"/>
                          <w:rPr>
                            <w:b/>
                            <w:bCs/>
                            <w:color w:val="000000"/>
                            <w:sz w:val="20"/>
                          </w:rPr>
                        </w:pPr>
                        <w:r w:rsidRPr="00344573">
                          <w:rPr>
                            <w:b/>
                            <w:bCs/>
                            <w:color w:val="000000"/>
                            <w:sz w:val="20"/>
                          </w:rPr>
                          <w:t>Burden Item</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344573" w:rsidRPr="00344573" w:rsidP="00344573" w14:paraId="54813FF3" w14:textId="77777777">
                        <w:pPr>
                          <w:jc w:val="center"/>
                          <w:rPr>
                            <w:color w:val="000000"/>
                            <w:sz w:val="20"/>
                          </w:rPr>
                        </w:pPr>
                        <w:r w:rsidRPr="00344573">
                          <w:rPr>
                            <w:color w:val="000000"/>
                            <w:sz w:val="20"/>
                          </w:rPr>
                          <w:t>(A)</w:t>
                        </w:r>
                        <w:r w:rsidRPr="00344573">
                          <w:rPr>
                            <w:color w:val="000000"/>
                            <w:sz w:val="20"/>
                          </w:rPr>
                          <w:br/>
                        </w:r>
                        <w:r w:rsidRPr="00344573">
                          <w:rPr>
                            <w:color w:val="000000"/>
                            <w:sz w:val="20"/>
                          </w:rPr>
                          <w:t>Hours per Occurrence</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344573" w:rsidRPr="00344573" w:rsidP="00344573" w14:paraId="7D7F2A1C" w14:textId="77777777">
                        <w:pPr>
                          <w:jc w:val="center"/>
                          <w:rPr>
                            <w:sz w:val="20"/>
                          </w:rPr>
                        </w:pPr>
                        <w:r w:rsidRPr="00344573">
                          <w:rPr>
                            <w:sz w:val="20"/>
                          </w:rPr>
                          <w:t>(B)</w:t>
                        </w:r>
                        <w:r w:rsidRPr="00344573">
                          <w:rPr>
                            <w:sz w:val="20"/>
                          </w:rPr>
                          <w:br/>
                        </w:r>
                        <w:r w:rsidRPr="00344573">
                          <w:rPr>
                            <w:sz w:val="20"/>
                          </w:rPr>
                          <w:t>Occurrences/ Respondent/ Year</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44573" w:rsidRPr="00344573" w:rsidP="00344573" w14:paraId="127F7666" w14:textId="77777777">
                        <w:pPr>
                          <w:jc w:val="center"/>
                          <w:rPr>
                            <w:color w:val="000000"/>
                            <w:sz w:val="20"/>
                          </w:rPr>
                        </w:pPr>
                        <w:r w:rsidRPr="00344573">
                          <w:rPr>
                            <w:color w:val="000000"/>
                            <w:sz w:val="20"/>
                          </w:rPr>
                          <w:t>(C)</w:t>
                        </w:r>
                        <w:r w:rsidRPr="00344573">
                          <w:rPr>
                            <w:color w:val="000000"/>
                            <w:sz w:val="20"/>
                          </w:rPr>
                          <w:br/>
                        </w:r>
                        <w:r w:rsidRPr="00344573">
                          <w:rPr>
                            <w:color w:val="000000"/>
                            <w:sz w:val="20"/>
                          </w:rPr>
                          <w:t xml:space="preserve">Hours/ Respondent/ Year </w:t>
                        </w:r>
                        <w:r w:rsidRPr="00344573">
                          <w:rPr>
                            <w:color w:val="000000"/>
                            <w:sz w:val="20"/>
                          </w:rPr>
                          <w:br/>
                        </w:r>
                        <w:r w:rsidRPr="00344573">
                          <w:rPr>
                            <w:color w:val="000000"/>
                            <w:sz w:val="20"/>
                          </w:rPr>
                          <w:t>(A x B)</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344573" w:rsidRPr="00344573" w:rsidP="00344573" w14:paraId="3EEDF535" w14:textId="77777777">
                        <w:pPr>
                          <w:jc w:val="center"/>
                          <w:rPr>
                            <w:sz w:val="20"/>
                          </w:rPr>
                        </w:pPr>
                        <w:r w:rsidRPr="00344573">
                          <w:rPr>
                            <w:sz w:val="20"/>
                          </w:rPr>
                          <w:t>(D)</w:t>
                        </w:r>
                        <w:r w:rsidRPr="00344573">
                          <w:rPr>
                            <w:sz w:val="20"/>
                          </w:rPr>
                          <w:br/>
                        </w:r>
                        <w:r w:rsidRPr="00344573">
                          <w:rPr>
                            <w:sz w:val="20"/>
                          </w:rPr>
                          <w:t>Respondents/</w:t>
                        </w:r>
                        <w:r w:rsidRPr="00344573">
                          <w:rPr>
                            <w:sz w:val="20"/>
                          </w:rPr>
                          <w:br/>
                        </w:r>
                        <w:r w:rsidRPr="00344573">
                          <w:rPr>
                            <w:sz w:val="20"/>
                          </w:rPr>
                          <w:t>Year</w:t>
                        </w:r>
                        <w:r w:rsidRPr="00344573">
                          <w:rPr>
                            <w:sz w:val="20"/>
                            <w:vertAlign w:val="superscript"/>
                          </w:rPr>
                          <w:t>a</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344573" w:rsidRPr="00344573" w:rsidP="00344573" w14:paraId="49E4B70A" w14:textId="77777777">
                        <w:pPr>
                          <w:jc w:val="center"/>
                          <w:rPr>
                            <w:color w:val="000000"/>
                            <w:sz w:val="20"/>
                          </w:rPr>
                        </w:pPr>
                        <w:r w:rsidRPr="00344573">
                          <w:rPr>
                            <w:color w:val="000000"/>
                            <w:sz w:val="20"/>
                          </w:rPr>
                          <w:t>(E)</w:t>
                        </w:r>
                        <w:r w:rsidRPr="00344573">
                          <w:rPr>
                            <w:color w:val="000000"/>
                            <w:sz w:val="20"/>
                          </w:rPr>
                          <w:br/>
                        </w:r>
                        <w:r w:rsidRPr="00344573">
                          <w:rPr>
                            <w:color w:val="000000"/>
                            <w:sz w:val="20"/>
                          </w:rPr>
                          <w:t xml:space="preserve">Technical Hours/Year </w:t>
                        </w:r>
                        <w:r w:rsidRPr="00344573">
                          <w:rPr>
                            <w:color w:val="000000"/>
                            <w:sz w:val="20"/>
                          </w:rPr>
                          <w:br/>
                        </w:r>
                        <w:r w:rsidRPr="00344573">
                          <w:rPr>
                            <w:color w:val="000000"/>
                            <w:sz w:val="20"/>
                          </w:rPr>
                          <w:t>(C x D)</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344573" w:rsidRPr="00344573" w:rsidP="00344573" w14:paraId="664ECABB" w14:textId="77777777">
                        <w:pPr>
                          <w:jc w:val="center"/>
                          <w:rPr>
                            <w:color w:val="000000"/>
                            <w:sz w:val="20"/>
                          </w:rPr>
                        </w:pPr>
                        <w:r w:rsidRPr="00344573">
                          <w:rPr>
                            <w:color w:val="000000"/>
                            <w:sz w:val="20"/>
                          </w:rPr>
                          <w:t xml:space="preserve">(F) Managerial Hours/Year </w:t>
                        </w:r>
                        <w:r w:rsidRPr="00344573">
                          <w:rPr>
                            <w:color w:val="000000"/>
                            <w:sz w:val="20"/>
                          </w:rPr>
                          <w:br/>
                        </w:r>
                        <w:r w:rsidRPr="00344573">
                          <w:rPr>
                            <w:color w:val="000000"/>
                            <w:sz w:val="20"/>
                          </w:rPr>
                          <w:t>(E x 0.05)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344573" w:rsidRPr="00344573" w:rsidP="00344573" w14:paraId="77C44870" w14:textId="77777777">
                        <w:pPr>
                          <w:jc w:val="center"/>
                          <w:rPr>
                            <w:color w:val="000000"/>
                            <w:sz w:val="20"/>
                          </w:rPr>
                        </w:pPr>
                        <w:r w:rsidRPr="00344573">
                          <w:rPr>
                            <w:color w:val="000000"/>
                            <w:sz w:val="20"/>
                          </w:rPr>
                          <w:t xml:space="preserve">(G) </w:t>
                        </w:r>
                        <w:r w:rsidRPr="00344573">
                          <w:rPr>
                            <w:color w:val="000000"/>
                            <w:sz w:val="20"/>
                          </w:rPr>
                          <w:br/>
                        </w:r>
                        <w:r w:rsidRPr="00344573">
                          <w:rPr>
                            <w:color w:val="000000"/>
                            <w:sz w:val="20"/>
                          </w:rPr>
                          <w:t xml:space="preserve">Clerical Hours/Year </w:t>
                        </w:r>
                        <w:r w:rsidRPr="00344573">
                          <w:rPr>
                            <w:color w:val="000000"/>
                            <w:sz w:val="20"/>
                          </w:rPr>
                          <w:br/>
                        </w:r>
                        <w:r w:rsidRPr="00344573">
                          <w:rPr>
                            <w:color w:val="000000"/>
                            <w:sz w:val="20"/>
                          </w:rPr>
                          <w:t>(E x 0.10)</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344573" w:rsidRPr="00344573" w:rsidP="00344573" w14:paraId="401BEF18" w14:textId="77777777">
                        <w:pPr>
                          <w:jc w:val="center"/>
                          <w:rPr>
                            <w:color w:val="000000"/>
                            <w:sz w:val="20"/>
                          </w:rPr>
                        </w:pPr>
                        <w:r w:rsidRPr="00344573">
                          <w:rPr>
                            <w:color w:val="000000"/>
                            <w:sz w:val="20"/>
                          </w:rPr>
                          <w:t>(H)</w:t>
                        </w:r>
                        <w:r w:rsidRPr="00344573">
                          <w:rPr>
                            <w:color w:val="000000"/>
                            <w:sz w:val="20"/>
                          </w:rPr>
                          <w:br/>
                        </w:r>
                        <w:r w:rsidRPr="00344573">
                          <w:rPr>
                            <w:color w:val="000000"/>
                            <w:sz w:val="20"/>
                          </w:rPr>
                          <w:t>Cost/ Year</w:t>
                        </w:r>
                        <w:r w:rsidRPr="00344573">
                          <w:rPr>
                            <w:color w:val="000000"/>
                            <w:sz w:val="20"/>
                            <w:vertAlign w:val="superscript"/>
                          </w:rPr>
                          <w:t>b</w:t>
                        </w:r>
                      </w:p>
                    </w:tc>
                  </w:tr>
                  <w:tr w14:paraId="604D09B2" w14:textId="77777777" w:rsidTr="00344573">
                    <w:tblPrEx>
                      <w:tblW w:w="12240" w:type="dxa"/>
                      <w:tblLayout w:type="fixed"/>
                      <w:tblLook w:val="04A0"/>
                    </w:tblPrEx>
                    <w:trPr>
                      <w:trHeight w:val="260"/>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2421F663" w14:textId="77777777">
                        <w:pPr>
                          <w:rPr>
                            <w:color w:val="000000"/>
                            <w:sz w:val="20"/>
                          </w:rPr>
                        </w:pPr>
                        <w:r w:rsidRPr="00344573">
                          <w:rPr>
                            <w:color w:val="000000"/>
                            <w:sz w:val="20"/>
                          </w:rPr>
                          <w:t xml:space="preserve">1. APPLICATIONS </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45F5F514" w14:textId="77777777">
                        <w:pPr>
                          <w:jc w:val="center"/>
                          <w:rPr>
                            <w:color w:val="000000"/>
                            <w:sz w:val="20"/>
                          </w:rPr>
                        </w:pPr>
                        <w:r w:rsidRPr="00344573">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07C7D430"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1823F9B3" w14:textId="77777777">
                        <w:pPr>
                          <w:jc w:val="right"/>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372F0DB6"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232DD61C"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307BC597"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17580E65" w14:textId="77777777">
                        <w:pPr>
                          <w:jc w:val="right"/>
                          <w:rPr>
                            <w:color w:val="000000"/>
                            <w:sz w:val="20"/>
                          </w:rPr>
                        </w:pPr>
                        <w:r w:rsidRPr="00344573">
                          <w:rPr>
                            <w:color w:val="000000"/>
                            <w:sz w:val="20"/>
                          </w:rPr>
                          <w:t> </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282CF8AF" w14:textId="77777777">
                        <w:pPr>
                          <w:jc w:val="right"/>
                          <w:rPr>
                            <w:color w:val="000000"/>
                            <w:sz w:val="20"/>
                          </w:rPr>
                        </w:pPr>
                        <w:r w:rsidRPr="00344573">
                          <w:rPr>
                            <w:color w:val="000000"/>
                            <w:sz w:val="20"/>
                          </w:rPr>
                          <w:t> </w:t>
                        </w:r>
                      </w:p>
                    </w:tc>
                  </w:tr>
                  <w:tr w14:paraId="77D9EF58" w14:textId="77777777" w:rsidTr="00344573">
                    <w:tblPrEx>
                      <w:tblW w:w="12240" w:type="dxa"/>
                      <w:tblLayout w:type="fixed"/>
                      <w:tblLook w:val="04A0"/>
                    </w:tblPrEx>
                    <w:trPr>
                      <w:trHeight w:val="643"/>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0679CD61" w14:textId="77777777">
                        <w:pPr>
                          <w:rPr>
                            <w:color w:val="000000"/>
                            <w:sz w:val="20"/>
                          </w:rPr>
                        </w:pPr>
                        <w:r w:rsidRPr="00344573">
                          <w:rPr>
                            <w:color w:val="000000"/>
                            <w:sz w:val="20"/>
                          </w:rPr>
                          <w:t xml:space="preserve">2. SURVEY AND STUDIES </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09C8C24E" w14:textId="77777777">
                        <w:pPr>
                          <w:jc w:val="center"/>
                          <w:rPr>
                            <w:color w:val="000000"/>
                            <w:sz w:val="20"/>
                          </w:rPr>
                        </w:pPr>
                        <w:r w:rsidRPr="00344573">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75D2E96C"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3751D231" w14:textId="77777777">
                        <w:pPr>
                          <w:jc w:val="right"/>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58F96250"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723D7FF6"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3C62E599"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390EE158" w14:textId="77777777">
                        <w:pPr>
                          <w:jc w:val="right"/>
                          <w:rPr>
                            <w:color w:val="000000"/>
                            <w:sz w:val="20"/>
                          </w:rPr>
                        </w:pPr>
                        <w:r w:rsidRPr="00344573">
                          <w:rPr>
                            <w:color w:val="000000"/>
                            <w:sz w:val="20"/>
                          </w:rPr>
                          <w:t> </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0AE7C0BE" w14:textId="77777777">
                        <w:pPr>
                          <w:jc w:val="right"/>
                          <w:rPr>
                            <w:color w:val="000000"/>
                            <w:sz w:val="20"/>
                          </w:rPr>
                        </w:pPr>
                        <w:r w:rsidRPr="00344573">
                          <w:rPr>
                            <w:color w:val="000000"/>
                            <w:sz w:val="20"/>
                          </w:rPr>
                          <w:t> </w:t>
                        </w:r>
                      </w:p>
                    </w:tc>
                  </w:tr>
                  <w:tr w14:paraId="6FD285DC" w14:textId="77777777" w:rsidTr="00344573">
                    <w:tblPrEx>
                      <w:tblW w:w="12240" w:type="dxa"/>
                      <w:tblLayout w:type="fixed"/>
                      <w:tblLook w:val="04A0"/>
                    </w:tblPrEx>
                    <w:trPr>
                      <w:trHeight w:val="1100"/>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7EBFF741" w14:textId="77777777">
                        <w:pPr>
                          <w:rPr>
                            <w:color w:val="000000"/>
                            <w:sz w:val="20"/>
                          </w:rPr>
                        </w:pPr>
                        <w:r w:rsidRPr="00344573">
                          <w:rPr>
                            <w:color w:val="000000"/>
                            <w:sz w:val="20"/>
                          </w:rPr>
                          <w:t>3.ACQUISITION, INSTALLATION, AND UTILIZATION OF TECHNOLOGY AND SYSTEMS</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257D7539"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5906C1E1"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7348BB16" w14:textId="77777777">
                        <w:pPr>
                          <w:jc w:val="center"/>
                          <w:rPr>
                            <w:color w:val="000000"/>
                            <w:sz w:val="20"/>
                          </w:rPr>
                        </w:pPr>
                        <w:r w:rsidRPr="00344573">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483E3FD7"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1723F6E5"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59C37639"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3A9B4A0A" w14:textId="77777777">
                        <w:pPr>
                          <w:jc w:val="center"/>
                          <w:rPr>
                            <w:color w:val="000000"/>
                            <w:sz w:val="20"/>
                          </w:rPr>
                        </w:pPr>
                        <w:r w:rsidRPr="00344573">
                          <w:rPr>
                            <w:color w:val="000000"/>
                            <w:sz w:val="20"/>
                          </w:rPr>
                          <w:t>0</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72743999" w14:textId="77777777">
                        <w:pPr>
                          <w:jc w:val="right"/>
                          <w:rPr>
                            <w:color w:val="000000"/>
                            <w:sz w:val="20"/>
                          </w:rPr>
                        </w:pPr>
                        <w:r w:rsidRPr="00344573">
                          <w:rPr>
                            <w:color w:val="000000"/>
                            <w:sz w:val="20"/>
                          </w:rPr>
                          <w:t xml:space="preserve">$0 </w:t>
                        </w:r>
                      </w:p>
                    </w:tc>
                  </w:tr>
                  <w:tr w14:paraId="6CC1051A" w14:textId="77777777" w:rsidTr="00344573">
                    <w:tblPrEx>
                      <w:tblW w:w="12240" w:type="dxa"/>
                      <w:tblLayout w:type="fixed"/>
                      <w:tblLook w:val="04A0"/>
                    </w:tblPrEx>
                    <w:trPr>
                      <w:trHeight w:val="520"/>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7A663CAF" w14:textId="77777777">
                        <w:pPr>
                          <w:rPr>
                            <w:color w:val="000000"/>
                            <w:sz w:val="20"/>
                          </w:rPr>
                        </w:pPr>
                        <w:r w:rsidRPr="00344573">
                          <w:rPr>
                            <w:color w:val="000000"/>
                            <w:sz w:val="20"/>
                          </w:rPr>
                          <w:t>4. REPORT REQUIREMENTS</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3F32F7D7" w14:textId="77777777">
                        <w:pPr>
                          <w:jc w:val="center"/>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215ACD19" w14:textId="77777777">
                        <w:pPr>
                          <w:jc w:val="center"/>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337AF154" w14:textId="77777777">
                        <w:pPr>
                          <w:jc w:val="center"/>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0E88F4AB" w14:textId="77777777">
                        <w:pPr>
                          <w:jc w:val="center"/>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371EECBC" w14:textId="77777777">
                        <w:pPr>
                          <w:jc w:val="center"/>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386CAD02" w14:textId="77777777">
                        <w:pPr>
                          <w:jc w:val="center"/>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3C35EEDB" w14:textId="77777777">
                        <w:pPr>
                          <w:jc w:val="center"/>
                          <w:rPr>
                            <w:color w:val="000000"/>
                            <w:sz w:val="20"/>
                          </w:rPr>
                        </w:pPr>
                        <w:r w:rsidRPr="00344573">
                          <w:rPr>
                            <w:color w:val="000000"/>
                            <w:sz w:val="20"/>
                          </w:rPr>
                          <w:t> </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7C192C2F" w14:textId="77777777">
                        <w:pPr>
                          <w:jc w:val="right"/>
                          <w:rPr>
                            <w:color w:val="000000"/>
                            <w:sz w:val="20"/>
                          </w:rPr>
                        </w:pPr>
                        <w:r w:rsidRPr="00344573">
                          <w:rPr>
                            <w:color w:val="000000"/>
                            <w:sz w:val="20"/>
                          </w:rPr>
                          <w:t> </w:t>
                        </w:r>
                      </w:p>
                    </w:tc>
                  </w:tr>
                  <w:tr w14:paraId="34231587" w14:textId="77777777" w:rsidTr="00344573">
                    <w:tblPrEx>
                      <w:tblW w:w="12240" w:type="dxa"/>
                      <w:tblLayout w:type="fixed"/>
                      <w:tblLook w:val="04A0"/>
                    </w:tblPrEx>
                    <w:trPr>
                      <w:trHeight w:val="520"/>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43EDA45D" w14:textId="77777777">
                        <w:pPr>
                          <w:rPr>
                            <w:color w:val="000000"/>
                            <w:sz w:val="20"/>
                          </w:rPr>
                        </w:pPr>
                        <w:r w:rsidRPr="00344573">
                          <w:rPr>
                            <w:color w:val="000000"/>
                            <w:sz w:val="20"/>
                          </w:rPr>
                          <w:t>A. Familiarize with regulatory requirement</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0EC76F9C"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141175C3"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7CDF7541" w14:textId="77777777">
                        <w:pPr>
                          <w:jc w:val="center"/>
                          <w:rPr>
                            <w:color w:val="000000"/>
                            <w:sz w:val="20"/>
                          </w:rPr>
                        </w:pPr>
                        <w:r w:rsidRPr="00344573">
                          <w:rPr>
                            <w:color w:val="000000"/>
                            <w:sz w:val="20"/>
                          </w:rPr>
                          <w:t>0</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23A24064"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228D06E2"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174DDBAE"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20F151F1" w14:textId="77777777">
                        <w:pPr>
                          <w:jc w:val="center"/>
                          <w:rPr>
                            <w:color w:val="000000"/>
                            <w:sz w:val="20"/>
                          </w:rPr>
                        </w:pPr>
                        <w:r w:rsidRPr="00344573">
                          <w:rPr>
                            <w:color w:val="000000"/>
                            <w:sz w:val="20"/>
                          </w:rPr>
                          <w:t>0</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64E15913" w14:textId="77777777">
                        <w:pPr>
                          <w:jc w:val="right"/>
                          <w:rPr>
                            <w:color w:val="000000"/>
                            <w:sz w:val="20"/>
                          </w:rPr>
                        </w:pPr>
                        <w:r w:rsidRPr="00344573">
                          <w:rPr>
                            <w:color w:val="000000"/>
                            <w:sz w:val="20"/>
                          </w:rPr>
                          <w:t xml:space="preserve">$0.00 </w:t>
                        </w:r>
                      </w:p>
                    </w:tc>
                  </w:tr>
                  <w:tr w14:paraId="1712CB0D" w14:textId="77777777" w:rsidTr="00344573">
                    <w:tblPrEx>
                      <w:tblW w:w="12240" w:type="dxa"/>
                      <w:tblLayout w:type="fixed"/>
                      <w:tblLook w:val="04A0"/>
                    </w:tblPrEx>
                    <w:trPr>
                      <w:trHeight w:val="315"/>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40FDBDE6" w14:textId="77777777">
                        <w:pPr>
                          <w:rPr>
                            <w:color w:val="000000"/>
                            <w:sz w:val="20"/>
                          </w:rPr>
                        </w:pPr>
                        <w:r w:rsidRPr="00344573">
                          <w:rPr>
                            <w:color w:val="000000"/>
                            <w:sz w:val="20"/>
                          </w:rPr>
                          <w:t>B. Required Activities</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616B02EF" w14:textId="77777777">
                        <w:pPr>
                          <w:jc w:val="center"/>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615C779E" w14:textId="77777777">
                        <w:pPr>
                          <w:jc w:val="center"/>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3365DEB6" w14:textId="77777777">
                        <w:pPr>
                          <w:jc w:val="center"/>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661DBEB0" w14:textId="77777777">
                        <w:pPr>
                          <w:jc w:val="center"/>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1E294639" w14:textId="77777777">
                        <w:pPr>
                          <w:jc w:val="center"/>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3077BBD8" w14:textId="77777777">
                        <w:pPr>
                          <w:jc w:val="center"/>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7C6E1DB7" w14:textId="77777777">
                        <w:pPr>
                          <w:jc w:val="center"/>
                          <w:rPr>
                            <w:color w:val="000000"/>
                            <w:sz w:val="20"/>
                          </w:rPr>
                        </w:pPr>
                        <w:r w:rsidRPr="00344573">
                          <w:rPr>
                            <w:color w:val="000000"/>
                            <w:sz w:val="20"/>
                          </w:rPr>
                          <w:t> </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2776E3ED" w14:textId="77777777">
                        <w:pPr>
                          <w:jc w:val="right"/>
                          <w:rPr>
                            <w:color w:val="000000"/>
                            <w:sz w:val="20"/>
                          </w:rPr>
                        </w:pPr>
                        <w:r w:rsidRPr="00344573">
                          <w:rPr>
                            <w:color w:val="000000"/>
                            <w:sz w:val="20"/>
                          </w:rPr>
                          <w:t> </w:t>
                        </w:r>
                      </w:p>
                    </w:tc>
                  </w:tr>
                  <w:tr w14:paraId="7B828C76" w14:textId="77777777" w:rsidTr="00344573">
                    <w:tblPrEx>
                      <w:tblW w:w="12240" w:type="dxa"/>
                      <w:tblLayout w:type="fixed"/>
                      <w:tblLook w:val="04A0"/>
                    </w:tblPrEx>
                    <w:trPr>
                      <w:trHeight w:val="310"/>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47045DEE" w14:textId="77777777">
                        <w:pPr>
                          <w:rPr>
                            <w:i/>
                            <w:iCs/>
                            <w:color w:val="000000"/>
                            <w:sz w:val="20"/>
                          </w:rPr>
                        </w:pPr>
                        <w:r w:rsidRPr="00344573">
                          <w:rPr>
                            <w:i/>
                            <w:iCs/>
                            <w:color w:val="000000"/>
                            <w:sz w:val="20"/>
                          </w:rPr>
                          <w:t xml:space="preserve">New Sources - Testing </w:t>
                        </w:r>
                        <w:r w:rsidRPr="00344573">
                          <w:rPr>
                            <w:color w:val="000000"/>
                            <w:sz w:val="20"/>
                            <w:vertAlign w:val="superscript"/>
                          </w:rPr>
                          <w:t>c</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0D9453BF" w14:textId="77777777">
                        <w:pPr>
                          <w:jc w:val="center"/>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0E5D8987" w14:textId="77777777">
                        <w:pPr>
                          <w:jc w:val="center"/>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3571A9EE" w14:textId="77777777">
                        <w:pPr>
                          <w:jc w:val="center"/>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6490D78A" w14:textId="77777777">
                        <w:pPr>
                          <w:jc w:val="center"/>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23A9BF4C" w14:textId="77777777">
                        <w:pPr>
                          <w:jc w:val="center"/>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421C8B3E" w14:textId="77777777">
                        <w:pPr>
                          <w:jc w:val="center"/>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5C16B20C" w14:textId="77777777">
                        <w:pPr>
                          <w:jc w:val="center"/>
                          <w:rPr>
                            <w:color w:val="000000"/>
                            <w:sz w:val="20"/>
                          </w:rPr>
                        </w:pPr>
                        <w:r w:rsidRPr="00344573">
                          <w:rPr>
                            <w:color w:val="000000"/>
                            <w:sz w:val="20"/>
                          </w:rPr>
                          <w:t> </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6DB95F1B" w14:textId="77777777">
                        <w:pPr>
                          <w:jc w:val="right"/>
                          <w:rPr>
                            <w:color w:val="000000"/>
                            <w:sz w:val="20"/>
                          </w:rPr>
                        </w:pPr>
                        <w:r w:rsidRPr="00344573">
                          <w:rPr>
                            <w:color w:val="000000"/>
                            <w:sz w:val="20"/>
                          </w:rPr>
                          <w:t> </w:t>
                        </w:r>
                      </w:p>
                    </w:tc>
                  </w:tr>
                  <w:tr w14:paraId="7AB16639" w14:textId="77777777" w:rsidTr="00344573">
                    <w:tblPrEx>
                      <w:tblW w:w="12240" w:type="dxa"/>
                      <w:tblLayout w:type="fixed"/>
                      <w:tblLook w:val="04A0"/>
                    </w:tblPrEx>
                    <w:trPr>
                      <w:trHeight w:val="530"/>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5A537C3B" w14:textId="77777777">
                        <w:pPr>
                          <w:rPr>
                            <w:sz w:val="20"/>
                          </w:rPr>
                        </w:pPr>
                        <w:r w:rsidRPr="00344573">
                          <w:rPr>
                            <w:sz w:val="20"/>
                          </w:rPr>
                          <w:t>Initial NOx Performance Test (boiler)</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4FD1DCE4"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41140187"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378B64B2" w14:textId="77777777">
                        <w:pPr>
                          <w:jc w:val="center"/>
                          <w:rPr>
                            <w:color w:val="000000"/>
                            <w:sz w:val="20"/>
                          </w:rPr>
                        </w:pPr>
                        <w:r w:rsidRPr="00344573">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79A2D388"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769A048F"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0DADE168"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62AD0535" w14:textId="77777777">
                        <w:pPr>
                          <w:jc w:val="center"/>
                          <w:rPr>
                            <w:color w:val="000000"/>
                            <w:sz w:val="20"/>
                          </w:rPr>
                        </w:pPr>
                        <w:r w:rsidRPr="00344573">
                          <w:rPr>
                            <w:color w:val="000000"/>
                            <w:sz w:val="20"/>
                          </w:rPr>
                          <w:t>0</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22ADA576" w14:textId="77777777">
                        <w:pPr>
                          <w:jc w:val="right"/>
                          <w:rPr>
                            <w:color w:val="000000"/>
                            <w:sz w:val="20"/>
                          </w:rPr>
                        </w:pPr>
                        <w:r w:rsidRPr="00344573">
                          <w:rPr>
                            <w:color w:val="000000"/>
                            <w:sz w:val="20"/>
                          </w:rPr>
                          <w:t xml:space="preserve">$0.00 </w:t>
                        </w:r>
                      </w:p>
                    </w:tc>
                  </w:tr>
                  <w:tr w14:paraId="02F289CB" w14:textId="77777777" w:rsidTr="00344573">
                    <w:tblPrEx>
                      <w:tblW w:w="12240" w:type="dxa"/>
                      <w:tblLayout w:type="fixed"/>
                      <w:tblLook w:val="04A0"/>
                    </w:tblPrEx>
                    <w:trPr>
                      <w:trHeight w:val="520"/>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02AB880E" w14:textId="77777777">
                        <w:pPr>
                          <w:rPr>
                            <w:sz w:val="20"/>
                          </w:rPr>
                        </w:pPr>
                        <w:r w:rsidRPr="00344573">
                          <w:rPr>
                            <w:sz w:val="20"/>
                          </w:rPr>
                          <w:t>Repeat NOx Performance Test</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098F3191"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556D4F29"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5D82AD4D" w14:textId="77777777">
                        <w:pPr>
                          <w:jc w:val="center"/>
                          <w:rPr>
                            <w:color w:val="000000"/>
                            <w:sz w:val="20"/>
                          </w:rPr>
                        </w:pPr>
                        <w:r w:rsidRPr="00344573">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793F5695"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0DE99CC0"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562F26B9"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69ED7127" w14:textId="77777777">
                        <w:pPr>
                          <w:jc w:val="center"/>
                          <w:rPr>
                            <w:color w:val="000000"/>
                            <w:sz w:val="20"/>
                          </w:rPr>
                        </w:pPr>
                        <w:r w:rsidRPr="00344573">
                          <w:rPr>
                            <w:color w:val="000000"/>
                            <w:sz w:val="20"/>
                          </w:rPr>
                          <w:t>0</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551ADF3A" w14:textId="77777777">
                        <w:pPr>
                          <w:jc w:val="right"/>
                          <w:rPr>
                            <w:color w:val="000000"/>
                            <w:sz w:val="20"/>
                          </w:rPr>
                        </w:pPr>
                        <w:r w:rsidRPr="00344573">
                          <w:rPr>
                            <w:color w:val="000000"/>
                            <w:sz w:val="20"/>
                          </w:rPr>
                          <w:t xml:space="preserve">$0.00 </w:t>
                        </w:r>
                      </w:p>
                    </w:tc>
                  </w:tr>
                  <w:tr w14:paraId="37EFEA75" w14:textId="77777777" w:rsidTr="00344573">
                    <w:tblPrEx>
                      <w:tblW w:w="12240" w:type="dxa"/>
                      <w:tblLayout w:type="fixed"/>
                      <w:tblLook w:val="04A0"/>
                    </w:tblPrEx>
                    <w:trPr>
                      <w:trHeight w:val="570"/>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2D9CDC6E" w14:textId="77777777">
                        <w:pPr>
                          <w:rPr>
                            <w:i/>
                            <w:iCs/>
                            <w:color w:val="000000"/>
                            <w:sz w:val="20"/>
                          </w:rPr>
                        </w:pPr>
                        <w:r w:rsidRPr="00344573">
                          <w:rPr>
                            <w:i/>
                            <w:iCs/>
                            <w:color w:val="000000"/>
                            <w:sz w:val="20"/>
                          </w:rPr>
                          <w:t xml:space="preserve">Existing Sources - Initial Testing </w:t>
                        </w:r>
                        <w:r w:rsidRPr="00344573">
                          <w:rPr>
                            <w:color w:val="000000"/>
                            <w:sz w:val="20"/>
                            <w:vertAlign w:val="superscript"/>
                          </w:rPr>
                          <w:t>d</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75C13DD4" w14:textId="77777777">
                        <w:pPr>
                          <w:jc w:val="center"/>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116DE501" w14:textId="77777777">
                        <w:pPr>
                          <w:jc w:val="center"/>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3FF71BEC" w14:textId="77777777">
                        <w:pPr>
                          <w:jc w:val="center"/>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05F70E4B" w14:textId="77777777">
                        <w:pPr>
                          <w:jc w:val="center"/>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71EC19C0" w14:textId="77777777">
                        <w:pPr>
                          <w:jc w:val="center"/>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09A4D809" w14:textId="77777777">
                        <w:pPr>
                          <w:jc w:val="center"/>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1400795C" w14:textId="77777777">
                        <w:pPr>
                          <w:jc w:val="center"/>
                          <w:rPr>
                            <w:color w:val="000000"/>
                            <w:sz w:val="20"/>
                          </w:rPr>
                        </w:pPr>
                        <w:r w:rsidRPr="00344573">
                          <w:rPr>
                            <w:color w:val="000000"/>
                            <w:sz w:val="20"/>
                          </w:rPr>
                          <w:t> </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713C78B7" w14:textId="77777777">
                        <w:pPr>
                          <w:jc w:val="right"/>
                          <w:rPr>
                            <w:color w:val="000000"/>
                            <w:sz w:val="20"/>
                          </w:rPr>
                        </w:pPr>
                        <w:r w:rsidRPr="00344573">
                          <w:rPr>
                            <w:color w:val="000000"/>
                            <w:sz w:val="20"/>
                          </w:rPr>
                          <w:t> </w:t>
                        </w:r>
                      </w:p>
                    </w:tc>
                  </w:tr>
                  <w:tr w14:paraId="1FE3F5D4" w14:textId="77777777" w:rsidTr="00344573">
                    <w:tblPrEx>
                      <w:tblW w:w="12240" w:type="dxa"/>
                      <w:tblLayout w:type="fixed"/>
                      <w:tblLook w:val="04A0"/>
                    </w:tblPrEx>
                    <w:trPr>
                      <w:trHeight w:val="520"/>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0A026C97" w14:textId="77777777">
                        <w:pPr>
                          <w:rPr>
                            <w:color w:val="000000"/>
                            <w:sz w:val="20"/>
                          </w:rPr>
                        </w:pPr>
                        <w:r w:rsidRPr="00344573">
                          <w:rPr>
                            <w:color w:val="000000"/>
                            <w:sz w:val="20"/>
                          </w:rPr>
                          <w:t>Initial NOx Performance Test (boiler)</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1A0C876B"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6DB3CDF0"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25F067A0" w14:textId="77777777">
                        <w:pPr>
                          <w:jc w:val="center"/>
                          <w:rPr>
                            <w:color w:val="000000"/>
                            <w:sz w:val="20"/>
                          </w:rPr>
                        </w:pPr>
                        <w:r w:rsidRPr="00344573">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12C42D49"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0B09F9ED"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18C5B99D"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746E7E92" w14:textId="77777777">
                        <w:pPr>
                          <w:jc w:val="center"/>
                          <w:rPr>
                            <w:color w:val="000000"/>
                            <w:sz w:val="20"/>
                          </w:rPr>
                        </w:pPr>
                        <w:r w:rsidRPr="00344573">
                          <w:rPr>
                            <w:color w:val="000000"/>
                            <w:sz w:val="20"/>
                          </w:rPr>
                          <w:t>0</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4DFA8C44" w14:textId="77777777">
                        <w:pPr>
                          <w:jc w:val="right"/>
                          <w:rPr>
                            <w:color w:val="000000"/>
                            <w:sz w:val="20"/>
                          </w:rPr>
                        </w:pPr>
                        <w:r w:rsidRPr="00344573">
                          <w:rPr>
                            <w:color w:val="000000"/>
                            <w:sz w:val="20"/>
                          </w:rPr>
                          <w:t xml:space="preserve">$0.00 </w:t>
                        </w:r>
                      </w:p>
                    </w:tc>
                  </w:tr>
                  <w:tr w14:paraId="44B2084E" w14:textId="77777777" w:rsidTr="00344573">
                    <w:tblPrEx>
                      <w:tblW w:w="12240" w:type="dxa"/>
                      <w:tblLayout w:type="fixed"/>
                      <w:tblLook w:val="04A0"/>
                    </w:tblPrEx>
                    <w:trPr>
                      <w:trHeight w:val="520"/>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075A99CA" w14:textId="77777777">
                        <w:pPr>
                          <w:rPr>
                            <w:color w:val="000000"/>
                            <w:sz w:val="20"/>
                          </w:rPr>
                        </w:pPr>
                        <w:r w:rsidRPr="00344573">
                          <w:rPr>
                            <w:color w:val="000000"/>
                            <w:sz w:val="20"/>
                          </w:rPr>
                          <w:t xml:space="preserve">Repeat NOx Performance Test </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39CA90B5"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2B1E3DAE"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42311274" w14:textId="77777777">
                        <w:pPr>
                          <w:jc w:val="center"/>
                          <w:rPr>
                            <w:color w:val="000000"/>
                            <w:sz w:val="20"/>
                          </w:rPr>
                        </w:pPr>
                        <w:r w:rsidRPr="00344573">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6F9DC899"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13259B55"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24C4C833"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2C410879" w14:textId="77777777">
                        <w:pPr>
                          <w:jc w:val="center"/>
                          <w:rPr>
                            <w:color w:val="000000"/>
                            <w:sz w:val="20"/>
                          </w:rPr>
                        </w:pPr>
                        <w:r w:rsidRPr="00344573">
                          <w:rPr>
                            <w:color w:val="000000"/>
                            <w:sz w:val="20"/>
                          </w:rPr>
                          <w:t>0</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55EEC96C" w14:textId="77777777">
                        <w:pPr>
                          <w:jc w:val="right"/>
                          <w:rPr>
                            <w:color w:val="000000"/>
                            <w:sz w:val="20"/>
                          </w:rPr>
                        </w:pPr>
                        <w:r w:rsidRPr="00344573">
                          <w:rPr>
                            <w:color w:val="000000"/>
                            <w:sz w:val="20"/>
                          </w:rPr>
                          <w:t xml:space="preserve">$0.00 </w:t>
                        </w:r>
                      </w:p>
                    </w:tc>
                  </w:tr>
                  <w:tr w14:paraId="3B36A2EC" w14:textId="77777777" w:rsidTr="00344573">
                    <w:tblPrEx>
                      <w:tblW w:w="12240" w:type="dxa"/>
                      <w:tblLayout w:type="fixed"/>
                      <w:tblLook w:val="04A0"/>
                    </w:tblPrEx>
                    <w:trPr>
                      <w:trHeight w:val="570"/>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7CF56A87" w14:textId="77777777">
                        <w:pPr>
                          <w:rPr>
                            <w:i/>
                            <w:iCs/>
                            <w:color w:val="000000"/>
                            <w:sz w:val="20"/>
                          </w:rPr>
                        </w:pPr>
                        <w:r w:rsidRPr="00344573">
                          <w:rPr>
                            <w:i/>
                            <w:iCs/>
                            <w:color w:val="000000"/>
                            <w:sz w:val="20"/>
                          </w:rPr>
                          <w:t xml:space="preserve">New and Existing Sources - Monitoring </w:t>
                        </w:r>
                        <w:r w:rsidRPr="00344573">
                          <w:rPr>
                            <w:color w:val="000000"/>
                            <w:sz w:val="20"/>
                            <w:vertAlign w:val="superscript"/>
                          </w:rPr>
                          <w:t>e</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6E04C735" w14:textId="77777777">
                        <w:pPr>
                          <w:jc w:val="center"/>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485B3A5C" w14:textId="77777777">
                        <w:pPr>
                          <w:jc w:val="center"/>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6EDAA9DF" w14:textId="77777777">
                        <w:pPr>
                          <w:jc w:val="center"/>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55B3B0AB" w14:textId="77777777">
                        <w:pPr>
                          <w:jc w:val="center"/>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698D763F" w14:textId="77777777">
                        <w:pPr>
                          <w:jc w:val="center"/>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72FE3ED4" w14:textId="77777777">
                        <w:pPr>
                          <w:jc w:val="center"/>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1EBD3318" w14:textId="77777777">
                        <w:pPr>
                          <w:jc w:val="center"/>
                          <w:rPr>
                            <w:color w:val="000000"/>
                            <w:sz w:val="20"/>
                          </w:rPr>
                        </w:pPr>
                        <w:r w:rsidRPr="00344573">
                          <w:rPr>
                            <w:color w:val="000000"/>
                            <w:sz w:val="20"/>
                          </w:rPr>
                          <w:t> </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5B5DDEBB" w14:textId="77777777">
                        <w:pPr>
                          <w:jc w:val="right"/>
                          <w:rPr>
                            <w:color w:val="000000"/>
                            <w:sz w:val="20"/>
                          </w:rPr>
                        </w:pPr>
                        <w:r w:rsidRPr="00344573">
                          <w:rPr>
                            <w:color w:val="000000"/>
                            <w:sz w:val="20"/>
                          </w:rPr>
                          <w:t> </w:t>
                        </w:r>
                      </w:p>
                    </w:tc>
                  </w:tr>
                  <w:tr w14:paraId="7629FAD7" w14:textId="77777777" w:rsidTr="00344573">
                    <w:tblPrEx>
                      <w:tblW w:w="12240" w:type="dxa"/>
                      <w:tblLayout w:type="fixed"/>
                      <w:tblLook w:val="04A0"/>
                    </w:tblPrEx>
                    <w:trPr>
                      <w:trHeight w:val="780"/>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3A14FC4B" w14:textId="77777777">
                        <w:pPr>
                          <w:rPr>
                            <w:color w:val="000000"/>
                            <w:sz w:val="20"/>
                          </w:rPr>
                        </w:pPr>
                        <w:r w:rsidRPr="00344573">
                          <w:rPr>
                            <w:color w:val="000000"/>
                            <w:sz w:val="20"/>
                          </w:rPr>
                          <w:t>Daily Calibration Drift Tests - NOx CEMS or CPMS</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521FAACD"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23E86758"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25D171E3" w14:textId="77777777">
                        <w:pPr>
                          <w:jc w:val="center"/>
                          <w:rPr>
                            <w:color w:val="000000"/>
                            <w:sz w:val="20"/>
                          </w:rPr>
                        </w:pPr>
                        <w:r w:rsidRPr="00344573">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6F0ADFEA"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0F3CF4AB"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308303E3"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2D38E50C" w14:textId="77777777">
                        <w:pPr>
                          <w:jc w:val="center"/>
                          <w:rPr>
                            <w:color w:val="000000"/>
                            <w:sz w:val="20"/>
                          </w:rPr>
                        </w:pPr>
                        <w:r w:rsidRPr="00344573">
                          <w:rPr>
                            <w:color w:val="000000"/>
                            <w:sz w:val="20"/>
                          </w:rPr>
                          <w:t>0</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7AB7BF11" w14:textId="77777777">
                        <w:pPr>
                          <w:jc w:val="right"/>
                          <w:rPr>
                            <w:color w:val="000000"/>
                            <w:sz w:val="20"/>
                          </w:rPr>
                        </w:pPr>
                        <w:r w:rsidRPr="00344573">
                          <w:rPr>
                            <w:color w:val="000000"/>
                            <w:sz w:val="20"/>
                          </w:rPr>
                          <w:t xml:space="preserve">$0.00 </w:t>
                        </w:r>
                      </w:p>
                    </w:tc>
                  </w:tr>
                  <w:tr w14:paraId="16DE24AC" w14:textId="77777777" w:rsidTr="00344573">
                    <w:tblPrEx>
                      <w:tblW w:w="12240" w:type="dxa"/>
                      <w:tblLayout w:type="fixed"/>
                      <w:tblLook w:val="04A0"/>
                    </w:tblPrEx>
                    <w:trPr>
                      <w:trHeight w:val="520"/>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4388FA20" w14:textId="77777777">
                        <w:pPr>
                          <w:rPr>
                            <w:color w:val="000000"/>
                            <w:sz w:val="20"/>
                          </w:rPr>
                        </w:pPr>
                        <w:r w:rsidRPr="00344573">
                          <w:rPr>
                            <w:color w:val="000000"/>
                            <w:sz w:val="20"/>
                          </w:rPr>
                          <w:t>C. Create Information (Included in 4B)</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78F06661" w14:textId="77777777">
                        <w:pPr>
                          <w:jc w:val="center"/>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39947F64"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10E7E564" w14:textId="77777777">
                        <w:pPr>
                          <w:jc w:val="right"/>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2B57DA70"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6463BB80"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611CFBE8"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2FF8EE64" w14:textId="77777777">
                        <w:pPr>
                          <w:jc w:val="right"/>
                          <w:rPr>
                            <w:color w:val="000000"/>
                            <w:sz w:val="20"/>
                          </w:rPr>
                        </w:pPr>
                        <w:r w:rsidRPr="00344573">
                          <w:rPr>
                            <w:color w:val="000000"/>
                            <w:sz w:val="20"/>
                          </w:rPr>
                          <w:t> </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7BDE3682" w14:textId="77777777">
                        <w:pPr>
                          <w:jc w:val="right"/>
                          <w:rPr>
                            <w:color w:val="000000"/>
                            <w:sz w:val="20"/>
                          </w:rPr>
                        </w:pPr>
                        <w:r w:rsidRPr="00344573">
                          <w:rPr>
                            <w:color w:val="000000"/>
                            <w:sz w:val="20"/>
                          </w:rPr>
                          <w:t> </w:t>
                        </w:r>
                      </w:p>
                    </w:tc>
                  </w:tr>
                  <w:tr w14:paraId="6235D6A7" w14:textId="77777777" w:rsidTr="00344573">
                    <w:tblPrEx>
                      <w:tblW w:w="12240" w:type="dxa"/>
                      <w:tblLayout w:type="fixed"/>
                      <w:tblLook w:val="04A0"/>
                    </w:tblPrEx>
                    <w:trPr>
                      <w:trHeight w:val="780"/>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63318F4F" w14:textId="77777777">
                        <w:pPr>
                          <w:rPr>
                            <w:color w:val="000000"/>
                            <w:sz w:val="20"/>
                          </w:rPr>
                        </w:pPr>
                        <w:r w:rsidRPr="00344573">
                          <w:rPr>
                            <w:color w:val="000000"/>
                            <w:sz w:val="20"/>
                          </w:rPr>
                          <w:t>D. Gather Existing Information (Included in 4E)</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7F53A5B5" w14:textId="77777777">
                        <w:pPr>
                          <w:jc w:val="center"/>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4709130E"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422CD521" w14:textId="77777777">
                        <w:pPr>
                          <w:jc w:val="right"/>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4CF9330C"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0F2827F5"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12919841"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768ABC91" w14:textId="77777777">
                        <w:pPr>
                          <w:jc w:val="right"/>
                          <w:rPr>
                            <w:color w:val="000000"/>
                            <w:sz w:val="20"/>
                          </w:rPr>
                        </w:pPr>
                        <w:r w:rsidRPr="00344573">
                          <w:rPr>
                            <w:color w:val="000000"/>
                            <w:sz w:val="20"/>
                          </w:rPr>
                          <w:t> </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43710767" w14:textId="77777777">
                        <w:pPr>
                          <w:jc w:val="right"/>
                          <w:rPr>
                            <w:color w:val="000000"/>
                            <w:sz w:val="20"/>
                          </w:rPr>
                        </w:pPr>
                        <w:r w:rsidRPr="00344573">
                          <w:rPr>
                            <w:color w:val="000000"/>
                            <w:sz w:val="20"/>
                          </w:rPr>
                          <w:t> </w:t>
                        </w:r>
                      </w:p>
                    </w:tc>
                  </w:tr>
                  <w:tr w14:paraId="58CD2041" w14:textId="77777777" w:rsidTr="00344573">
                    <w:tblPrEx>
                      <w:tblW w:w="12240" w:type="dxa"/>
                      <w:tblLayout w:type="fixed"/>
                      <w:tblLook w:val="04A0"/>
                    </w:tblPrEx>
                    <w:trPr>
                      <w:trHeight w:val="260"/>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4678B583" w14:textId="77777777">
                        <w:pPr>
                          <w:rPr>
                            <w:color w:val="000000"/>
                            <w:sz w:val="20"/>
                          </w:rPr>
                        </w:pPr>
                        <w:r w:rsidRPr="00344573">
                          <w:rPr>
                            <w:color w:val="000000"/>
                            <w:sz w:val="20"/>
                          </w:rPr>
                          <w:t>E. Write Report</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1FD82B33" w14:textId="77777777">
                        <w:pPr>
                          <w:jc w:val="right"/>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42FDF761"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24081264" w14:textId="77777777">
                        <w:pPr>
                          <w:jc w:val="right"/>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64B64B1C"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406C67A2"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19D0925D"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718BAB76" w14:textId="77777777">
                        <w:pPr>
                          <w:jc w:val="right"/>
                          <w:rPr>
                            <w:color w:val="000000"/>
                            <w:sz w:val="20"/>
                          </w:rPr>
                        </w:pPr>
                        <w:r w:rsidRPr="00344573">
                          <w:rPr>
                            <w:color w:val="000000"/>
                            <w:sz w:val="20"/>
                          </w:rPr>
                          <w:t> </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163DB81E" w14:textId="77777777">
                        <w:pPr>
                          <w:jc w:val="right"/>
                          <w:rPr>
                            <w:color w:val="000000"/>
                            <w:sz w:val="20"/>
                          </w:rPr>
                        </w:pPr>
                        <w:r w:rsidRPr="00344573">
                          <w:rPr>
                            <w:color w:val="000000"/>
                            <w:sz w:val="20"/>
                          </w:rPr>
                          <w:t> </w:t>
                        </w:r>
                      </w:p>
                    </w:tc>
                  </w:tr>
                  <w:tr w14:paraId="69273201" w14:textId="77777777" w:rsidTr="00344573">
                    <w:tblPrEx>
                      <w:tblW w:w="12240" w:type="dxa"/>
                      <w:tblLayout w:type="fixed"/>
                      <w:tblLook w:val="04A0"/>
                    </w:tblPrEx>
                    <w:trPr>
                      <w:trHeight w:val="260"/>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505B30C8" w14:textId="77777777">
                        <w:pPr>
                          <w:rPr>
                            <w:i/>
                            <w:iCs/>
                            <w:color w:val="000000"/>
                            <w:sz w:val="20"/>
                            <w:u w:val="single"/>
                          </w:rPr>
                        </w:pPr>
                        <w:r w:rsidRPr="00344573">
                          <w:rPr>
                            <w:i/>
                            <w:iCs/>
                            <w:color w:val="000000"/>
                            <w:sz w:val="20"/>
                            <w:u w:val="single"/>
                          </w:rPr>
                          <w:t>New Sources</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556B5A52" w14:textId="77777777">
                        <w:pPr>
                          <w:jc w:val="center"/>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1274EAB0" w14:textId="77777777">
                        <w:pPr>
                          <w:jc w:val="center"/>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2A5C0ED2" w14:textId="77777777">
                        <w:pPr>
                          <w:jc w:val="center"/>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28B16090" w14:textId="77777777">
                        <w:pPr>
                          <w:jc w:val="center"/>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37D238B9" w14:textId="77777777">
                        <w:pPr>
                          <w:jc w:val="center"/>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16D6E4D4" w14:textId="77777777">
                        <w:pPr>
                          <w:jc w:val="center"/>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4D1567C4" w14:textId="77777777">
                        <w:pPr>
                          <w:jc w:val="center"/>
                          <w:rPr>
                            <w:color w:val="000000"/>
                            <w:sz w:val="20"/>
                          </w:rPr>
                        </w:pPr>
                        <w:r w:rsidRPr="00344573">
                          <w:rPr>
                            <w:color w:val="000000"/>
                            <w:sz w:val="20"/>
                          </w:rPr>
                          <w:t> </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493AA05F" w14:textId="77777777">
                        <w:pPr>
                          <w:jc w:val="right"/>
                          <w:rPr>
                            <w:color w:val="000000"/>
                            <w:sz w:val="20"/>
                          </w:rPr>
                        </w:pPr>
                        <w:r w:rsidRPr="00344573">
                          <w:rPr>
                            <w:color w:val="000000"/>
                            <w:sz w:val="20"/>
                          </w:rPr>
                          <w:t> </w:t>
                        </w:r>
                      </w:p>
                    </w:tc>
                  </w:tr>
                  <w:tr w14:paraId="701DD964" w14:textId="77777777" w:rsidTr="00344573">
                    <w:tblPrEx>
                      <w:tblW w:w="12240" w:type="dxa"/>
                      <w:tblLayout w:type="fixed"/>
                      <w:tblLook w:val="04A0"/>
                    </w:tblPrEx>
                    <w:trPr>
                      <w:trHeight w:val="520"/>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1FB633DF" w14:textId="77777777">
                        <w:pPr>
                          <w:rPr>
                            <w:color w:val="000000"/>
                            <w:sz w:val="20"/>
                          </w:rPr>
                        </w:pPr>
                        <w:r w:rsidRPr="00344573">
                          <w:rPr>
                            <w:color w:val="000000"/>
                            <w:sz w:val="20"/>
                          </w:rPr>
                          <w:t>Notification of Demonstration of CEMS</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2BF0ADE2"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4B4B6F99"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280518C6" w14:textId="77777777">
                        <w:pPr>
                          <w:jc w:val="center"/>
                          <w:rPr>
                            <w:color w:val="000000"/>
                            <w:sz w:val="20"/>
                          </w:rPr>
                        </w:pPr>
                        <w:r w:rsidRPr="00344573">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669435C0"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5EDEEE13"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29603B40"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6BCDD2C0" w14:textId="77777777">
                        <w:pPr>
                          <w:jc w:val="center"/>
                          <w:rPr>
                            <w:color w:val="000000"/>
                            <w:sz w:val="20"/>
                          </w:rPr>
                        </w:pPr>
                        <w:r w:rsidRPr="00344573">
                          <w:rPr>
                            <w:color w:val="000000"/>
                            <w:sz w:val="20"/>
                          </w:rPr>
                          <w:t>0</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521AFB0C" w14:textId="77777777">
                        <w:pPr>
                          <w:jc w:val="right"/>
                          <w:rPr>
                            <w:color w:val="000000"/>
                            <w:sz w:val="20"/>
                          </w:rPr>
                        </w:pPr>
                        <w:r w:rsidRPr="00344573">
                          <w:rPr>
                            <w:color w:val="000000"/>
                            <w:sz w:val="20"/>
                          </w:rPr>
                          <w:t xml:space="preserve">$0.00 </w:t>
                        </w:r>
                      </w:p>
                    </w:tc>
                  </w:tr>
                  <w:tr w14:paraId="72186FB8" w14:textId="77777777" w:rsidTr="00344573">
                    <w:tblPrEx>
                      <w:tblW w:w="12240" w:type="dxa"/>
                      <w:tblLayout w:type="fixed"/>
                      <w:tblLook w:val="04A0"/>
                    </w:tblPrEx>
                    <w:trPr>
                      <w:trHeight w:val="553"/>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4429CFF5" w14:textId="77777777">
                        <w:pPr>
                          <w:rPr>
                            <w:color w:val="000000"/>
                            <w:sz w:val="20"/>
                          </w:rPr>
                        </w:pPr>
                        <w:r w:rsidRPr="00344573">
                          <w:rPr>
                            <w:color w:val="000000"/>
                            <w:sz w:val="20"/>
                          </w:rPr>
                          <w:t>Notification of Initial Performance Test</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131BC2F2"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2B1288B2"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0112D2C9" w14:textId="77777777">
                        <w:pPr>
                          <w:jc w:val="center"/>
                          <w:rPr>
                            <w:color w:val="000000"/>
                            <w:sz w:val="20"/>
                          </w:rPr>
                        </w:pPr>
                        <w:r w:rsidRPr="00344573">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4A2D0C63"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3D41019E"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01E7CC90"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349F72B3" w14:textId="77777777">
                        <w:pPr>
                          <w:jc w:val="center"/>
                          <w:rPr>
                            <w:color w:val="000000"/>
                            <w:sz w:val="20"/>
                          </w:rPr>
                        </w:pPr>
                        <w:r w:rsidRPr="00344573">
                          <w:rPr>
                            <w:color w:val="000000"/>
                            <w:sz w:val="20"/>
                          </w:rPr>
                          <w:t>0</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64001452" w14:textId="77777777">
                        <w:pPr>
                          <w:jc w:val="right"/>
                          <w:rPr>
                            <w:color w:val="000000"/>
                            <w:sz w:val="20"/>
                          </w:rPr>
                        </w:pPr>
                        <w:r w:rsidRPr="00344573">
                          <w:rPr>
                            <w:color w:val="000000"/>
                            <w:sz w:val="20"/>
                          </w:rPr>
                          <w:t xml:space="preserve">$0.00 </w:t>
                        </w:r>
                      </w:p>
                    </w:tc>
                  </w:tr>
                  <w:tr w14:paraId="6A8EBA58" w14:textId="77777777" w:rsidTr="00344573">
                    <w:tblPrEx>
                      <w:tblW w:w="12240" w:type="dxa"/>
                      <w:tblLayout w:type="fixed"/>
                      <w:tblLook w:val="04A0"/>
                    </w:tblPrEx>
                    <w:trPr>
                      <w:trHeight w:val="520"/>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2E82CF32" w14:textId="77777777">
                        <w:pPr>
                          <w:rPr>
                            <w:color w:val="000000"/>
                            <w:sz w:val="20"/>
                          </w:rPr>
                        </w:pPr>
                        <w:r w:rsidRPr="00344573">
                          <w:rPr>
                            <w:color w:val="000000"/>
                            <w:sz w:val="20"/>
                          </w:rPr>
                          <w:t>Report of Performance Tests</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6B5373A0"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7B879F62"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1CFA5FED" w14:textId="77777777">
                        <w:pPr>
                          <w:jc w:val="center"/>
                          <w:rPr>
                            <w:color w:val="000000"/>
                            <w:sz w:val="20"/>
                          </w:rPr>
                        </w:pPr>
                        <w:r w:rsidRPr="00344573">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4C3EBB2C"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1D9F6A0B"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07B3E06C"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1AB53A19" w14:textId="77777777">
                        <w:pPr>
                          <w:jc w:val="center"/>
                          <w:rPr>
                            <w:color w:val="000000"/>
                            <w:sz w:val="20"/>
                          </w:rPr>
                        </w:pPr>
                        <w:r w:rsidRPr="00344573">
                          <w:rPr>
                            <w:color w:val="000000"/>
                            <w:sz w:val="20"/>
                          </w:rPr>
                          <w:t>0</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358280AA" w14:textId="77777777">
                        <w:pPr>
                          <w:jc w:val="right"/>
                          <w:rPr>
                            <w:color w:val="000000"/>
                            <w:sz w:val="20"/>
                          </w:rPr>
                        </w:pPr>
                        <w:r w:rsidRPr="00344573">
                          <w:rPr>
                            <w:color w:val="000000"/>
                            <w:sz w:val="20"/>
                          </w:rPr>
                          <w:t xml:space="preserve">$0.00 </w:t>
                        </w:r>
                      </w:p>
                    </w:tc>
                  </w:tr>
                  <w:tr w14:paraId="34103AC7" w14:textId="77777777" w:rsidTr="00344573">
                    <w:tblPrEx>
                      <w:tblW w:w="12240" w:type="dxa"/>
                      <w:tblLayout w:type="fixed"/>
                      <w:tblLook w:val="04A0"/>
                    </w:tblPrEx>
                    <w:trPr>
                      <w:trHeight w:val="1820"/>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008FB1D7" w14:textId="77777777">
                        <w:pPr>
                          <w:rPr>
                            <w:color w:val="000000"/>
                            <w:sz w:val="20"/>
                          </w:rPr>
                        </w:pPr>
                        <w:r w:rsidRPr="00344573">
                          <w:rPr>
                            <w:color w:val="000000"/>
                            <w:sz w:val="20"/>
                          </w:rPr>
                          <w:t>Submit Quarterly Electronic Reports to Administrator of NOx Emission Rates data, Excess Emissions, Missing and Excluded Data, "F" factor, and other CEMS data.</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23A63FDA"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3BEC5142"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73F625C1" w14:textId="77777777">
                        <w:pPr>
                          <w:jc w:val="center"/>
                          <w:rPr>
                            <w:color w:val="000000"/>
                            <w:sz w:val="20"/>
                          </w:rPr>
                        </w:pPr>
                        <w:r w:rsidRPr="00344573">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45135E4A"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13151C6B"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2BEFFF0D"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311868D2" w14:textId="77777777">
                        <w:pPr>
                          <w:jc w:val="center"/>
                          <w:rPr>
                            <w:color w:val="000000"/>
                            <w:sz w:val="20"/>
                          </w:rPr>
                        </w:pPr>
                        <w:r w:rsidRPr="00344573">
                          <w:rPr>
                            <w:color w:val="000000"/>
                            <w:sz w:val="20"/>
                          </w:rPr>
                          <w:t>0</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107A04A0" w14:textId="77777777">
                        <w:pPr>
                          <w:jc w:val="right"/>
                          <w:rPr>
                            <w:color w:val="000000"/>
                            <w:sz w:val="20"/>
                          </w:rPr>
                        </w:pPr>
                        <w:r w:rsidRPr="00344573">
                          <w:rPr>
                            <w:color w:val="000000"/>
                            <w:sz w:val="20"/>
                          </w:rPr>
                          <w:t xml:space="preserve">$0 </w:t>
                        </w:r>
                      </w:p>
                    </w:tc>
                  </w:tr>
                  <w:tr w14:paraId="4A1F8024" w14:textId="77777777" w:rsidTr="00344573">
                    <w:tblPrEx>
                      <w:tblW w:w="12240" w:type="dxa"/>
                      <w:tblLayout w:type="fixed"/>
                      <w:tblLook w:val="04A0"/>
                    </w:tblPrEx>
                    <w:trPr>
                      <w:trHeight w:val="260"/>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6DABB729" w14:textId="77777777">
                        <w:pPr>
                          <w:rPr>
                            <w:i/>
                            <w:iCs/>
                            <w:color w:val="000000"/>
                            <w:sz w:val="20"/>
                            <w:u w:val="single"/>
                          </w:rPr>
                        </w:pPr>
                        <w:r w:rsidRPr="00344573">
                          <w:rPr>
                            <w:i/>
                            <w:iCs/>
                            <w:color w:val="000000"/>
                            <w:sz w:val="20"/>
                            <w:u w:val="single"/>
                          </w:rPr>
                          <w:t>Existing Sources</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6F9E9C0C" w14:textId="77777777">
                        <w:pPr>
                          <w:jc w:val="right"/>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32D577D0"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42623F5A" w14:textId="77777777">
                        <w:pPr>
                          <w:jc w:val="right"/>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4E2542E6"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06845E48"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1F2192C7"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66088C9F" w14:textId="77777777">
                        <w:pPr>
                          <w:jc w:val="right"/>
                          <w:rPr>
                            <w:color w:val="000000"/>
                            <w:sz w:val="20"/>
                          </w:rPr>
                        </w:pPr>
                        <w:r w:rsidRPr="00344573">
                          <w:rPr>
                            <w:color w:val="000000"/>
                            <w:sz w:val="20"/>
                          </w:rPr>
                          <w:t> </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71078FAB" w14:textId="77777777">
                        <w:pPr>
                          <w:jc w:val="right"/>
                          <w:rPr>
                            <w:color w:val="000000"/>
                            <w:sz w:val="20"/>
                          </w:rPr>
                        </w:pPr>
                        <w:r w:rsidRPr="00344573">
                          <w:rPr>
                            <w:color w:val="000000"/>
                            <w:sz w:val="20"/>
                          </w:rPr>
                          <w:t> </w:t>
                        </w:r>
                      </w:p>
                    </w:tc>
                  </w:tr>
                  <w:tr w14:paraId="39AA4838" w14:textId="77777777" w:rsidTr="00344573">
                    <w:tblPrEx>
                      <w:tblW w:w="12240" w:type="dxa"/>
                      <w:tblLayout w:type="fixed"/>
                      <w:tblLook w:val="04A0"/>
                    </w:tblPrEx>
                    <w:trPr>
                      <w:trHeight w:val="780"/>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3583CA02" w14:textId="77777777">
                        <w:pPr>
                          <w:rPr>
                            <w:color w:val="000000"/>
                            <w:sz w:val="20"/>
                          </w:rPr>
                        </w:pPr>
                        <w:r w:rsidRPr="00344573">
                          <w:rPr>
                            <w:color w:val="000000"/>
                            <w:sz w:val="20"/>
                          </w:rPr>
                          <w:t>Notification of Demonstration of CEMS or CPMS</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1BE97BE8"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67432A34"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16B6EC34" w14:textId="77777777">
                        <w:pPr>
                          <w:jc w:val="center"/>
                          <w:rPr>
                            <w:color w:val="000000"/>
                            <w:sz w:val="20"/>
                          </w:rPr>
                        </w:pPr>
                        <w:r w:rsidRPr="00344573">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02903C2B"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7260F6B7"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0CE5B40F"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63396B4E" w14:textId="77777777">
                        <w:pPr>
                          <w:jc w:val="center"/>
                          <w:rPr>
                            <w:color w:val="000000"/>
                            <w:sz w:val="20"/>
                          </w:rPr>
                        </w:pPr>
                        <w:r w:rsidRPr="00344573">
                          <w:rPr>
                            <w:color w:val="000000"/>
                            <w:sz w:val="20"/>
                          </w:rPr>
                          <w:t>0</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2CD67098" w14:textId="77777777">
                        <w:pPr>
                          <w:jc w:val="right"/>
                          <w:rPr>
                            <w:color w:val="000000"/>
                            <w:sz w:val="20"/>
                          </w:rPr>
                        </w:pPr>
                        <w:r w:rsidRPr="00344573">
                          <w:rPr>
                            <w:color w:val="000000"/>
                            <w:sz w:val="20"/>
                          </w:rPr>
                          <w:t xml:space="preserve">$0.00 </w:t>
                        </w:r>
                      </w:p>
                    </w:tc>
                  </w:tr>
                  <w:tr w14:paraId="76AFA022" w14:textId="77777777" w:rsidTr="00344573">
                    <w:tblPrEx>
                      <w:tblW w:w="12240" w:type="dxa"/>
                      <w:tblLayout w:type="fixed"/>
                      <w:tblLook w:val="04A0"/>
                    </w:tblPrEx>
                    <w:trPr>
                      <w:trHeight w:val="520"/>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54A14D61" w14:textId="77777777">
                        <w:pPr>
                          <w:rPr>
                            <w:color w:val="000000"/>
                            <w:sz w:val="20"/>
                          </w:rPr>
                        </w:pPr>
                        <w:r w:rsidRPr="00344573">
                          <w:rPr>
                            <w:color w:val="000000"/>
                            <w:sz w:val="20"/>
                          </w:rPr>
                          <w:t>Notification of Initial Performance Test</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4B22758D"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040490F8"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3E3A3F67" w14:textId="77777777">
                        <w:pPr>
                          <w:jc w:val="center"/>
                          <w:rPr>
                            <w:color w:val="000000"/>
                            <w:sz w:val="20"/>
                          </w:rPr>
                        </w:pPr>
                        <w:r w:rsidRPr="00344573">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5B9F2CEE"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048B907D"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7932BFB5"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2AF17AB7" w14:textId="77777777">
                        <w:pPr>
                          <w:jc w:val="center"/>
                          <w:rPr>
                            <w:color w:val="000000"/>
                            <w:sz w:val="20"/>
                          </w:rPr>
                        </w:pPr>
                        <w:r w:rsidRPr="00344573">
                          <w:rPr>
                            <w:color w:val="000000"/>
                            <w:sz w:val="20"/>
                          </w:rPr>
                          <w:t>0</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0CFD90FB" w14:textId="77777777">
                        <w:pPr>
                          <w:jc w:val="right"/>
                          <w:rPr>
                            <w:color w:val="000000"/>
                            <w:sz w:val="20"/>
                          </w:rPr>
                        </w:pPr>
                        <w:r w:rsidRPr="00344573">
                          <w:rPr>
                            <w:color w:val="000000"/>
                            <w:sz w:val="20"/>
                          </w:rPr>
                          <w:t xml:space="preserve">$0.00 </w:t>
                        </w:r>
                      </w:p>
                    </w:tc>
                  </w:tr>
                  <w:tr w14:paraId="797A11E8" w14:textId="77777777" w:rsidTr="00344573">
                    <w:tblPrEx>
                      <w:tblW w:w="12240" w:type="dxa"/>
                      <w:tblLayout w:type="fixed"/>
                      <w:tblLook w:val="04A0"/>
                    </w:tblPrEx>
                    <w:trPr>
                      <w:trHeight w:val="520"/>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4A9F25F9" w14:textId="77777777">
                        <w:pPr>
                          <w:rPr>
                            <w:color w:val="000000"/>
                            <w:sz w:val="20"/>
                          </w:rPr>
                        </w:pPr>
                        <w:r w:rsidRPr="00344573">
                          <w:rPr>
                            <w:color w:val="000000"/>
                            <w:sz w:val="20"/>
                          </w:rPr>
                          <w:t>Report of Initial Performance Test Results</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56809168"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1D57155B"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30DAFDFB" w14:textId="77777777">
                        <w:pPr>
                          <w:jc w:val="center"/>
                          <w:rPr>
                            <w:color w:val="000000"/>
                            <w:sz w:val="20"/>
                          </w:rPr>
                        </w:pPr>
                        <w:r w:rsidRPr="00344573">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5C4E4951"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425F9F0A"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69650AB6"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6458DE47" w14:textId="77777777">
                        <w:pPr>
                          <w:jc w:val="center"/>
                          <w:rPr>
                            <w:color w:val="000000"/>
                            <w:sz w:val="20"/>
                          </w:rPr>
                        </w:pPr>
                        <w:r w:rsidRPr="00344573">
                          <w:rPr>
                            <w:color w:val="000000"/>
                            <w:sz w:val="20"/>
                          </w:rPr>
                          <w:t>0</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405434CA" w14:textId="77777777">
                        <w:pPr>
                          <w:jc w:val="right"/>
                          <w:rPr>
                            <w:color w:val="000000"/>
                            <w:sz w:val="20"/>
                          </w:rPr>
                        </w:pPr>
                        <w:r w:rsidRPr="00344573">
                          <w:rPr>
                            <w:color w:val="000000"/>
                            <w:sz w:val="20"/>
                          </w:rPr>
                          <w:t xml:space="preserve">$0.00 </w:t>
                        </w:r>
                      </w:p>
                    </w:tc>
                  </w:tr>
                  <w:tr w14:paraId="5D9FA903" w14:textId="77777777" w:rsidTr="00344573">
                    <w:tblPrEx>
                      <w:tblW w:w="12240" w:type="dxa"/>
                      <w:tblLayout w:type="fixed"/>
                      <w:tblLook w:val="04A0"/>
                    </w:tblPrEx>
                    <w:trPr>
                      <w:trHeight w:val="1820"/>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5B0DDA08" w14:textId="77777777">
                        <w:pPr>
                          <w:rPr>
                            <w:color w:val="000000"/>
                            <w:sz w:val="20"/>
                          </w:rPr>
                        </w:pPr>
                        <w:r w:rsidRPr="00344573">
                          <w:rPr>
                            <w:color w:val="000000"/>
                            <w:sz w:val="20"/>
                          </w:rPr>
                          <w:t>Submit Quarterly Electronic Reports to Administrator of NOx Emission Rates data, Excess Emissions, Missing and Excluded Data, "F" factor, and other CEMS or CPMS data.</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3D723C59"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6281FB32"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2F8E9757" w14:textId="77777777">
                        <w:pPr>
                          <w:jc w:val="center"/>
                          <w:rPr>
                            <w:color w:val="000000"/>
                            <w:sz w:val="20"/>
                          </w:rPr>
                        </w:pPr>
                        <w:r w:rsidRPr="00344573">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0C50A6D8"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0D1D75D4"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3E3DF2D3"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699953F4" w14:textId="77777777">
                        <w:pPr>
                          <w:jc w:val="center"/>
                          <w:rPr>
                            <w:color w:val="000000"/>
                            <w:sz w:val="20"/>
                          </w:rPr>
                        </w:pPr>
                        <w:r w:rsidRPr="00344573">
                          <w:rPr>
                            <w:color w:val="000000"/>
                            <w:sz w:val="20"/>
                          </w:rPr>
                          <w:t>0</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3A36A689" w14:textId="77777777">
                        <w:pPr>
                          <w:jc w:val="right"/>
                          <w:rPr>
                            <w:color w:val="000000"/>
                            <w:sz w:val="20"/>
                          </w:rPr>
                        </w:pPr>
                        <w:r w:rsidRPr="00344573">
                          <w:rPr>
                            <w:color w:val="000000"/>
                            <w:sz w:val="20"/>
                          </w:rPr>
                          <w:t xml:space="preserve">$0.00 </w:t>
                        </w:r>
                      </w:p>
                    </w:tc>
                  </w:tr>
                  <w:tr w14:paraId="25CCCD48" w14:textId="77777777" w:rsidTr="00344573">
                    <w:tblPrEx>
                      <w:tblW w:w="12240" w:type="dxa"/>
                      <w:tblLayout w:type="fixed"/>
                      <w:tblLook w:val="04A0"/>
                    </w:tblPrEx>
                    <w:trPr>
                      <w:trHeight w:val="600"/>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5123D0B9" w14:textId="77777777">
                        <w:pPr>
                          <w:rPr>
                            <w:b/>
                            <w:bCs/>
                            <w:i/>
                            <w:iCs/>
                            <w:color w:val="000000"/>
                            <w:sz w:val="20"/>
                          </w:rPr>
                        </w:pPr>
                        <w:r w:rsidRPr="00344573">
                          <w:rPr>
                            <w:b/>
                            <w:bCs/>
                            <w:i/>
                            <w:iCs/>
                            <w:color w:val="000000"/>
                            <w:sz w:val="20"/>
                          </w:rPr>
                          <w:t>Subtotal for Reporting Requirements</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660B33FA" w14:textId="77777777">
                        <w:pPr>
                          <w:jc w:val="right"/>
                          <w:rPr>
                            <w:b/>
                            <w:bCs/>
                            <w:i/>
                            <w:iCs/>
                            <w:color w:val="000000"/>
                            <w:sz w:val="20"/>
                          </w:rPr>
                        </w:pPr>
                        <w:r w:rsidRPr="00344573">
                          <w:rPr>
                            <w:b/>
                            <w:bCs/>
                            <w:i/>
                            <w:i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56D5F7CD" w14:textId="77777777">
                        <w:pPr>
                          <w:jc w:val="right"/>
                          <w:rPr>
                            <w:b/>
                            <w:bCs/>
                            <w:i/>
                            <w:iCs/>
                            <w:sz w:val="20"/>
                          </w:rPr>
                        </w:pPr>
                        <w:r w:rsidRPr="00344573">
                          <w:rPr>
                            <w:b/>
                            <w:bCs/>
                            <w:i/>
                            <w:i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69906895" w14:textId="77777777">
                        <w:pPr>
                          <w:jc w:val="right"/>
                          <w:rPr>
                            <w:b/>
                            <w:bCs/>
                            <w:i/>
                            <w:iCs/>
                            <w:color w:val="000000"/>
                            <w:sz w:val="20"/>
                          </w:rPr>
                        </w:pPr>
                        <w:r w:rsidRPr="00344573">
                          <w:rPr>
                            <w:b/>
                            <w:bCs/>
                            <w:i/>
                            <w:iCs/>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640918A8" w14:textId="77777777">
                        <w:pPr>
                          <w:jc w:val="right"/>
                          <w:rPr>
                            <w:b/>
                            <w:bCs/>
                            <w:i/>
                            <w:iCs/>
                            <w:sz w:val="20"/>
                          </w:rPr>
                        </w:pPr>
                        <w:r w:rsidRPr="00344573">
                          <w:rPr>
                            <w:b/>
                            <w:bCs/>
                            <w:i/>
                            <w:iCs/>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4C03E0E3" w14:textId="77777777">
                        <w:pPr>
                          <w:jc w:val="center"/>
                          <w:rPr>
                            <w:b/>
                            <w:bCs/>
                            <w:i/>
                            <w:iCs/>
                            <w:color w:val="000000"/>
                            <w:sz w:val="20"/>
                          </w:rPr>
                        </w:pPr>
                        <w:r w:rsidRPr="00344573">
                          <w:rPr>
                            <w:b/>
                            <w:bCs/>
                            <w:i/>
                            <w:iCs/>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4BD747F8" w14:textId="77777777">
                        <w:pPr>
                          <w:jc w:val="center"/>
                          <w:rPr>
                            <w:b/>
                            <w:bCs/>
                            <w:i/>
                            <w:iCs/>
                            <w:color w:val="000000"/>
                            <w:sz w:val="20"/>
                          </w:rPr>
                        </w:pPr>
                        <w:r w:rsidRPr="00344573">
                          <w:rPr>
                            <w:b/>
                            <w:bCs/>
                            <w:i/>
                            <w:iCs/>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1CF0D754" w14:textId="77777777">
                        <w:pPr>
                          <w:jc w:val="center"/>
                          <w:rPr>
                            <w:b/>
                            <w:bCs/>
                            <w:i/>
                            <w:iCs/>
                            <w:color w:val="000000"/>
                            <w:sz w:val="20"/>
                          </w:rPr>
                        </w:pPr>
                        <w:r w:rsidRPr="00344573">
                          <w:rPr>
                            <w:b/>
                            <w:bCs/>
                            <w:i/>
                            <w:iCs/>
                            <w:color w:val="000000"/>
                            <w:sz w:val="20"/>
                          </w:rPr>
                          <w:t> </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5E816A03" w14:textId="77777777">
                        <w:pPr>
                          <w:jc w:val="right"/>
                          <w:rPr>
                            <w:b/>
                            <w:bCs/>
                            <w:i/>
                            <w:iCs/>
                            <w:color w:val="000000"/>
                            <w:sz w:val="20"/>
                          </w:rPr>
                        </w:pPr>
                        <w:r w:rsidRPr="00344573">
                          <w:rPr>
                            <w:b/>
                            <w:bCs/>
                            <w:i/>
                            <w:iCs/>
                            <w:color w:val="000000"/>
                            <w:sz w:val="20"/>
                          </w:rPr>
                          <w:t xml:space="preserve">$0 </w:t>
                        </w:r>
                      </w:p>
                    </w:tc>
                  </w:tr>
                  <w:tr w14:paraId="60798BF8" w14:textId="77777777" w:rsidTr="00344573">
                    <w:tblPrEx>
                      <w:tblW w:w="12240" w:type="dxa"/>
                      <w:tblLayout w:type="fixed"/>
                      <w:tblLook w:val="04A0"/>
                    </w:tblPrEx>
                    <w:trPr>
                      <w:trHeight w:val="520"/>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3CEC14FA" w14:textId="77777777">
                        <w:pPr>
                          <w:rPr>
                            <w:color w:val="000000"/>
                            <w:sz w:val="20"/>
                          </w:rPr>
                        </w:pPr>
                        <w:r w:rsidRPr="00344573">
                          <w:rPr>
                            <w:color w:val="000000"/>
                            <w:sz w:val="20"/>
                          </w:rPr>
                          <w:t>5. RECORDKEEPING REQUIREMENTS</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47EDA225" w14:textId="77777777">
                        <w:pPr>
                          <w:jc w:val="right"/>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027251CB"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76B87EE2" w14:textId="77777777">
                        <w:pPr>
                          <w:jc w:val="right"/>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1EE88F67"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5AD2312B"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4CB514CA"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59EB5EE0" w14:textId="77777777">
                        <w:pPr>
                          <w:jc w:val="right"/>
                          <w:rPr>
                            <w:color w:val="000000"/>
                            <w:sz w:val="20"/>
                          </w:rPr>
                        </w:pPr>
                        <w:r w:rsidRPr="00344573">
                          <w:rPr>
                            <w:color w:val="000000"/>
                            <w:sz w:val="20"/>
                          </w:rPr>
                          <w:t> </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35A39AE1" w14:textId="77777777">
                        <w:pPr>
                          <w:jc w:val="right"/>
                          <w:rPr>
                            <w:color w:val="000000"/>
                            <w:sz w:val="20"/>
                          </w:rPr>
                        </w:pPr>
                        <w:r w:rsidRPr="00344573">
                          <w:rPr>
                            <w:color w:val="000000"/>
                            <w:sz w:val="20"/>
                          </w:rPr>
                          <w:t> </w:t>
                        </w:r>
                      </w:p>
                    </w:tc>
                  </w:tr>
                  <w:tr w14:paraId="0F635C07" w14:textId="77777777" w:rsidTr="00344573">
                    <w:tblPrEx>
                      <w:tblW w:w="12240" w:type="dxa"/>
                      <w:tblLayout w:type="fixed"/>
                      <w:tblLook w:val="04A0"/>
                    </w:tblPrEx>
                    <w:trPr>
                      <w:trHeight w:val="520"/>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31FB87F4" w14:textId="77777777">
                        <w:pPr>
                          <w:rPr>
                            <w:color w:val="000000"/>
                            <w:sz w:val="20"/>
                          </w:rPr>
                        </w:pPr>
                        <w:r w:rsidRPr="00344573">
                          <w:rPr>
                            <w:color w:val="000000"/>
                            <w:sz w:val="20"/>
                          </w:rPr>
                          <w:t>A. Familiarize with regulatory requirement</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199B73D5" w14:textId="77777777">
                        <w:pPr>
                          <w:jc w:val="center"/>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7BB78433"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4A577FDA" w14:textId="77777777">
                        <w:pPr>
                          <w:jc w:val="right"/>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19D0BA9F"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779412DE"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06A4B5D4"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77E03E22" w14:textId="77777777">
                        <w:pPr>
                          <w:jc w:val="right"/>
                          <w:rPr>
                            <w:color w:val="000000"/>
                            <w:sz w:val="20"/>
                          </w:rPr>
                        </w:pPr>
                        <w:r w:rsidRPr="00344573">
                          <w:rPr>
                            <w:color w:val="000000"/>
                            <w:sz w:val="20"/>
                          </w:rPr>
                          <w:t> </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70BCA06D" w14:textId="77777777">
                        <w:pPr>
                          <w:jc w:val="right"/>
                          <w:rPr>
                            <w:color w:val="000000"/>
                            <w:sz w:val="20"/>
                          </w:rPr>
                        </w:pPr>
                        <w:r w:rsidRPr="00344573">
                          <w:rPr>
                            <w:color w:val="000000"/>
                            <w:sz w:val="20"/>
                          </w:rPr>
                          <w:t> </w:t>
                        </w:r>
                      </w:p>
                    </w:tc>
                  </w:tr>
                  <w:tr w14:paraId="0D3A292C" w14:textId="77777777" w:rsidTr="00344573">
                    <w:tblPrEx>
                      <w:tblW w:w="12240" w:type="dxa"/>
                      <w:tblLayout w:type="fixed"/>
                      <w:tblLook w:val="04A0"/>
                    </w:tblPrEx>
                    <w:trPr>
                      <w:trHeight w:val="260"/>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71CE37B4" w14:textId="77777777">
                        <w:pPr>
                          <w:rPr>
                            <w:color w:val="000000"/>
                            <w:sz w:val="20"/>
                          </w:rPr>
                        </w:pPr>
                        <w:r w:rsidRPr="00344573">
                          <w:rPr>
                            <w:color w:val="000000"/>
                            <w:sz w:val="20"/>
                          </w:rPr>
                          <w:t xml:space="preserve">B. Plan Activities </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0F3BF951" w14:textId="77777777">
                        <w:pPr>
                          <w:jc w:val="center"/>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0AD854E6"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283D9F13" w14:textId="77777777">
                        <w:pPr>
                          <w:jc w:val="right"/>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5F0C531F"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76DDC771"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35392B91"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6D493AB5" w14:textId="77777777">
                        <w:pPr>
                          <w:jc w:val="right"/>
                          <w:rPr>
                            <w:color w:val="000000"/>
                            <w:sz w:val="20"/>
                          </w:rPr>
                        </w:pPr>
                        <w:r w:rsidRPr="00344573">
                          <w:rPr>
                            <w:color w:val="000000"/>
                            <w:sz w:val="20"/>
                          </w:rPr>
                          <w:t> </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2D5E1436" w14:textId="77777777">
                        <w:pPr>
                          <w:jc w:val="right"/>
                          <w:rPr>
                            <w:color w:val="000000"/>
                            <w:sz w:val="20"/>
                          </w:rPr>
                        </w:pPr>
                        <w:r w:rsidRPr="00344573">
                          <w:rPr>
                            <w:color w:val="000000"/>
                            <w:sz w:val="20"/>
                          </w:rPr>
                          <w:t> </w:t>
                        </w:r>
                      </w:p>
                    </w:tc>
                  </w:tr>
                  <w:tr w14:paraId="4A95D0A5" w14:textId="77777777" w:rsidTr="00344573">
                    <w:tblPrEx>
                      <w:tblW w:w="12240" w:type="dxa"/>
                      <w:tblLayout w:type="fixed"/>
                      <w:tblLook w:val="04A0"/>
                    </w:tblPrEx>
                    <w:trPr>
                      <w:trHeight w:val="260"/>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0B4A3064" w14:textId="77777777">
                        <w:pPr>
                          <w:rPr>
                            <w:color w:val="000000"/>
                            <w:sz w:val="20"/>
                          </w:rPr>
                        </w:pPr>
                        <w:r w:rsidRPr="00344573">
                          <w:rPr>
                            <w:color w:val="000000"/>
                            <w:sz w:val="20"/>
                          </w:rPr>
                          <w:t xml:space="preserve">C. Implement Activities </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382F10AB" w14:textId="77777777">
                        <w:pPr>
                          <w:jc w:val="center"/>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009F4DA3"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7A720DB3" w14:textId="77777777">
                        <w:pPr>
                          <w:jc w:val="right"/>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048481AB"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6A6F42E1"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49658FB3"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58469753" w14:textId="77777777">
                        <w:pPr>
                          <w:jc w:val="right"/>
                          <w:rPr>
                            <w:color w:val="000000"/>
                            <w:sz w:val="20"/>
                          </w:rPr>
                        </w:pPr>
                        <w:r w:rsidRPr="00344573">
                          <w:rPr>
                            <w:color w:val="000000"/>
                            <w:sz w:val="20"/>
                          </w:rPr>
                          <w:t> </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27282811" w14:textId="77777777">
                        <w:pPr>
                          <w:jc w:val="right"/>
                          <w:rPr>
                            <w:color w:val="000000"/>
                            <w:sz w:val="20"/>
                          </w:rPr>
                        </w:pPr>
                        <w:r w:rsidRPr="00344573">
                          <w:rPr>
                            <w:color w:val="000000"/>
                            <w:sz w:val="20"/>
                          </w:rPr>
                          <w:t> </w:t>
                        </w:r>
                      </w:p>
                    </w:tc>
                  </w:tr>
                  <w:tr w14:paraId="37DF18FE" w14:textId="77777777" w:rsidTr="00344573">
                    <w:tblPrEx>
                      <w:tblW w:w="12240" w:type="dxa"/>
                      <w:tblLayout w:type="fixed"/>
                      <w:tblLook w:val="04A0"/>
                    </w:tblPrEx>
                    <w:trPr>
                      <w:trHeight w:val="260"/>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707213D1" w14:textId="77777777">
                        <w:pPr>
                          <w:rPr>
                            <w:color w:val="000000"/>
                            <w:sz w:val="20"/>
                          </w:rPr>
                        </w:pPr>
                        <w:r w:rsidRPr="00344573">
                          <w:rPr>
                            <w:color w:val="000000"/>
                            <w:sz w:val="20"/>
                          </w:rPr>
                          <w:t xml:space="preserve">D. Record Data </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636F3CDF" w14:textId="77777777">
                        <w:pPr>
                          <w:jc w:val="center"/>
                          <w:rPr>
                            <w:color w:val="000000"/>
                            <w:sz w:val="20"/>
                          </w:rPr>
                        </w:pPr>
                        <w:r w:rsidRPr="00344573">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3D7F3245"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53B85330" w14:textId="77777777">
                        <w:pPr>
                          <w:jc w:val="right"/>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615C3546"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29749A4B"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794FFD3E"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0CB3371A" w14:textId="77777777">
                        <w:pPr>
                          <w:jc w:val="right"/>
                          <w:rPr>
                            <w:color w:val="000000"/>
                            <w:sz w:val="20"/>
                          </w:rPr>
                        </w:pPr>
                        <w:r w:rsidRPr="00344573">
                          <w:rPr>
                            <w:color w:val="000000"/>
                            <w:sz w:val="20"/>
                          </w:rPr>
                          <w:t> </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5255926C" w14:textId="77777777">
                        <w:pPr>
                          <w:jc w:val="right"/>
                          <w:rPr>
                            <w:color w:val="000000"/>
                            <w:sz w:val="20"/>
                          </w:rPr>
                        </w:pPr>
                        <w:r w:rsidRPr="00344573">
                          <w:rPr>
                            <w:color w:val="000000"/>
                            <w:sz w:val="20"/>
                          </w:rPr>
                          <w:t> </w:t>
                        </w:r>
                      </w:p>
                    </w:tc>
                  </w:tr>
                  <w:tr w14:paraId="075D9E1E" w14:textId="77777777" w:rsidTr="00344573">
                    <w:tblPrEx>
                      <w:tblW w:w="12240" w:type="dxa"/>
                      <w:tblLayout w:type="fixed"/>
                      <w:tblLook w:val="04A0"/>
                    </w:tblPrEx>
                    <w:trPr>
                      <w:trHeight w:val="520"/>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04CEA75D" w14:textId="77777777">
                        <w:pPr>
                          <w:rPr>
                            <w:color w:val="000000"/>
                            <w:sz w:val="20"/>
                          </w:rPr>
                        </w:pPr>
                        <w:r w:rsidRPr="00344573">
                          <w:rPr>
                            <w:color w:val="000000"/>
                            <w:sz w:val="20"/>
                          </w:rPr>
                          <w:t>E. Time to Transmit or Disclose Information</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06F73B28" w14:textId="77777777">
                        <w:pPr>
                          <w:jc w:val="right"/>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55A532FD"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3DA1FC5C" w14:textId="77777777">
                        <w:pPr>
                          <w:jc w:val="right"/>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0A5B3735"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6861A14D"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0475F7E5"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3CB3B567" w14:textId="77777777">
                        <w:pPr>
                          <w:jc w:val="right"/>
                          <w:rPr>
                            <w:color w:val="000000"/>
                            <w:sz w:val="20"/>
                          </w:rPr>
                        </w:pPr>
                        <w:r w:rsidRPr="00344573">
                          <w:rPr>
                            <w:color w:val="000000"/>
                            <w:sz w:val="20"/>
                          </w:rPr>
                          <w:t> </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55430682" w14:textId="77777777">
                        <w:pPr>
                          <w:jc w:val="right"/>
                          <w:rPr>
                            <w:color w:val="000000"/>
                            <w:sz w:val="20"/>
                          </w:rPr>
                        </w:pPr>
                        <w:r w:rsidRPr="00344573">
                          <w:rPr>
                            <w:color w:val="000000"/>
                            <w:sz w:val="20"/>
                          </w:rPr>
                          <w:t> </w:t>
                        </w:r>
                      </w:p>
                    </w:tc>
                  </w:tr>
                  <w:tr w14:paraId="58CCD92D" w14:textId="77777777" w:rsidTr="00344573">
                    <w:tblPrEx>
                      <w:tblW w:w="12240" w:type="dxa"/>
                      <w:tblLayout w:type="fixed"/>
                      <w:tblLook w:val="04A0"/>
                    </w:tblPrEx>
                    <w:trPr>
                      <w:trHeight w:val="260"/>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2D87A62A" w14:textId="77777777">
                        <w:pPr>
                          <w:rPr>
                            <w:i/>
                            <w:iCs/>
                            <w:color w:val="000000"/>
                            <w:sz w:val="20"/>
                            <w:u w:val="single"/>
                          </w:rPr>
                        </w:pPr>
                        <w:r w:rsidRPr="00344573">
                          <w:rPr>
                            <w:i/>
                            <w:iCs/>
                            <w:color w:val="000000"/>
                            <w:sz w:val="20"/>
                            <w:u w:val="single"/>
                          </w:rPr>
                          <w:t>Existing Sources</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47FE54C0" w14:textId="77777777">
                        <w:pPr>
                          <w:jc w:val="right"/>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03062C23"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1ED7DAC9" w14:textId="77777777">
                        <w:pPr>
                          <w:jc w:val="right"/>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59F120F8"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128AB3AC"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6E1B7E56"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2FCA9391" w14:textId="77777777">
                        <w:pPr>
                          <w:jc w:val="right"/>
                          <w:rPr>
                            <w:color w:val="000000"/>
                            <w:sz w:val="20"/>
                          </w:rPr>
                        </w:pPr>
                        <w:r w:rsidRPr="00344573">
                          <w:rPr>
                            <w:color w:val="000000"/>
                            <w:sz w:val="20"/>
                          </w:rPr>
                          <w:t> </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098BF1ED" w14:textId="77777777">
                        <w:pPr>
                          <w:jc w:val="right"/>
                          <w:rPr>
                            <w:color w:val="000000"/>
                            <w:sz w:val="20"/>
                          </w:rPr>
                        </w:pPr>
                        <w:r w:rsidRPr="00344573">
                          <w:rPr>
                            <w:color w:val="000000"/>
                            <w:sz w:val="20"/>
                          </w:rPr>
                          <w:t> </w:t>
                        </w:r>
                      </w:p>
                    </w:tc>
                  </w:tr>
                  <w:tr w14:paraId="207496A2" w14:textId="77777777" w:rsidTr="00344573">
                    <w:tblPrEx>
                      <w:tblW w:w="12240" w:type="dxa"/>
                      <w:tblLayout w:type="fixed"/>
                      <w:tblLook w:val="04A0"/>
                    </w:tblPrEx>
                    <w:trPr>
                      <w:trHeight w:val="260"/>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45B48982" w14:textId="77777777">
                        <w:pPr>
                          <w:rPr>
                            <w:color w:val="000000"/>
                            <w:sz w:val="20"/>
                          </w:rPr>
                        </w:pPr>
                        <w:r w:rsidRPr="00344573">
                          <w:rPr>
                            <w:color w:val="000000"/>
                            <w:sz w:val="20"/>
                          </w:rPr>
                          <w:t>Data Collection</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3A0C2B3A"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7FE3123A"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453F4A2F" w14:textId="77777777">
                        <w:pPr>
                          <w:jc w:val="center"/>
                          <w:rPr>
                            <w:color w:val="000000"/>
                            <w:sz w:val="20"/>
                          </w:rPr>
                        </w:pPr>
                        <w:r w:rsidRPr="00344573">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280DC484"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3338D4D2"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2649401A"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632CE7AE" w14:textId="77777777">
                        <w:pPr>
                          <w:jc w:val="center"/>
                          <w:rPr>
                            <w:color w:val="000000"/>
                            <w:sz w:val="20"/>
                          </w:rPr>
                        </w:pPr>
                        <w:r w:rsidRPr="00344573">
                          <w:rPr>
                            <w:color w:val="000000"/>
                            <w:sz w:val="20"/>
                          </w:rPr>
                          <w:t>0</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4CC0EDEE" w14:textId="77777777">
                        <w:pPr>
                          <w:jc w:val="right"/>
                          <w:rPr>
                            <w:color w:val="000000"/>
                            <w:sz w:val="20"/>
                          </w:rPr>
                        </w:pPr>
                        <w:r w:rsidRPr="00344573">
                          <w:rPr>
                            <w:color w:val="000000"/>
                            <w:sz w:val="20"/>
                          </w:rPr>
                          <w:t xml:space="preserve">$0.00 </w:t>
                        </w:r>
                      </w:p>
                    </w:tc>
                  </w:tr>
                  <w:tr w14:paraId="28BAB507" w14:textId="77777777" w:rsidTr="00344573">
                    <w:tblPrEx>
                      <w:tblW w:w="12240" w:type="dxa"/>
                      <w:tblLayout w:type="fixed"/>
                      <w:tblLook w:val="04A0"/>
                    </w:tblPrEx>
                    <w:trPr>
                      <w:trHeight w:val="390"/>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33C39028" w14:textId="77777777">
                        <w:pPr>
                          <w:rPr>
                            <w:color w:val="000000"/>
                            <w:sz w:val="20"/>
                          </w:rPr>
                        </w:pPr>
                        <w:r w:rsidRPr="00344573">
                          <w:rPr>
                            <w:color w:val="000000"/>
                            <w:sz w:val="20"/>
                          </w:rPr>
                          <w:t>Records of Montly Fuel Use</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707E170F"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3047940F"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4507D5CC" w14:textId="77777777">
                        <w:pPr>
                          <w:jc w:val="center"/>
                          <w:rPr>
                            <w:color w:val="000000"/>
                            <w:sz w:val="20"/>
                          </w:rPr>
                        </w:pPr>
                        <w:r w:rsidRPr="00344573">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58A1BE7C"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501590E9"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666509C4"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4D349D36" w14:textId="77777777">
                        <w:pPr>
                          <w:jc w:val="center"/>
                          <w:rPr>
                            <w:color w:val="000000"/>
                            <w:sz w:val="20"/>
                          </w:rPr>
                        </w:pPr>
                        <w:r w:rsidRPr="00344573">
                          <w:rPr>
                            <w:color w:val="000000"/>
                            <w:sz w:val="20"/>
                          </w:rPr>
                          <w:t>0</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768007DE" w14:textId="77777777">
                        <w:pPr>
                          <w:jc w:val="right"/>
                          <w:rPr>
                            <w:color w:val="000000"/>
                            <w:sz w:val="20"/>
                          </w:rPr>
                        </w:pPr>
                        <w:r w:rsidRPr="00344573">
                          <w:rPr>
                            <w:color w:val="000000"/>
                            <w:sz w:val="20"/>
                          </w:rPr>
                          <w:t xml:space="preserve">$0.00 </w:t>
                        </w:r>
                      </w:p>
                    </w:tc>
                  </w:tr>
                  <w:tr w14:paraId="06D85358" w14:textId="77777777" w:rsidTr="00344573">
                    <w:tblPrEx>
                      <w:tblW w:w="12240" w:type="dxa"/>
                      <w:tblLayout w:type="fixed"/>
                      <w:tblLook w:val="04A0"/>
                    </w:tblPrEx>
                    <w:trPr>
                      <w:trHeight w:val="260"/>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1DBF9E3E" w14:textId="77777777">
                        <w:pPr>
                          <w:rPr>
                            <w:i/>
                            <w:iCs/>
                            <w:color w:val="000000"/>
                            <w:sz w:val="20"/>
                            <w:u w:val="single"/>
                          </w:rPr>
                        </w:pPr>
                        <w:r w:rsidRPr="00344573">
                          <w:rPr>
                            <w:i/>
                            <w:iCs/>
                            <w:color w:val="000000"/>
                            <w:sz w:val="20"/>
                            <w:u w:val="single"/>
                          </w:rPr>
                          <w:t>New Sources</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5B267C0D" w14:textId="77777777">
                        <w:pPr>
                          <w:jc w:val="center"/>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6E71DC28" w14:textId="77777777">
                        <w:pPr>
                          <w:jc w:val="center"/>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2117D7C7" w14:textId="77777777">
                        <w:pPr>
                          <w:jc w:val="center"/>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2ABDC0D7" w14:textId="77777777">
                        <w:pPr>
                          <w:jc w:val="center"/>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4C9BBFE3" w14:textId="77777777">
                        <w:pPr>
                          <w:jc w:val="center"/>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0E1D41C2" w14:textId="77777777">
                        <w:pPr>
                          <w:jc w:val="center"/>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13705E3C" w14:textId="77777777">
                        <w:pPr>
                          <w:jc w:val="center"/>
                          <w:rPr>
                            <w:color w:val="000000"/>
                            <w:sz w:val="20"/>
                          </w:rPr>
                        </w:pPr>
                        <w:r w:rsidRPr="00344573">
                          <w:rPr>
                            <w:color w:val="000000"/>
                            <w:sz w:val="20"/>
                          </w:rPr>
                          <w:t> </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58DBE475" w14:textId="77777777">
                        <w:pPr>
                          <w:jc w:val="right"/>
                          <w:rPr>
                            <w:color w:val="000000"/>
                            <w:sz w:val="20"/>
                          </w:rPr>
                        </w:pPr>
                        <w:r w:rsidRPr="00344573">
                          <w:rPr>
                            <w:color w:val="000000"/>
                            <w:sz w:val="20"/>
                          </w:rPr>
                          <w:t> </w:t>
                        </w:r>
                      </w:p>
                    </w:tc>
                  </w:tr>
                  <w:tr w14:paraId="5C6781D3" w14:textId="77777777" w:rsidTr="00344573">
                    <w:tblPrEx>
                      <w:tblW w:w="12240" w:type="dxa"/>
                      <w:tblLayout w:type="fixed"/>
                      <w:tblLook w:val="04A0"/>
                    </w:tblPrEx>
                    <w:trPr>
                      <w:trHeight w:val="260"/>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34020D98" w14:textId="77777777">
                        <w:pPr>
                          <w:rPr>
                            <w:color w:val="000000"/>
                            <w:sz w:val="20"/>
                          </w:rPr>
                        </w:pPr>
                        <w:r w:rsidRPr="00344573">
                          <w:rPr>
                            <w:color w:val="000000"/>
                            <w:sz w:val="20"/>
                          </w:rPr>
                          <w:t>Data Collection</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4DD043A7"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49C049CA"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70DBA857" w14:textId="77777777">
                        <w:pPr>
                          <w:jc w:val="center"/>
                          <w:rPr>
                            <w:color w:val="000000"/>
                            <w:sz w:val="20"/>
                          </w:rPr>
                        </w:pPr>
                        <w:r w:rsidRPr="00344573">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35D60944"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6F2E52B0"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5F2713BC"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792CFF6A" w14:textId="77777777">
                        <w:pPr>
                          <w:jc w:val="center"/>
                          <w:rPr>
                            <w:color w:val="000000"/>
                            <w:sz w:val="20"/>
                          </w:rPr>
                        </w:pPr>
                        <w:r w:rsidRPr="00344573">
                          <w:rPr>
                            <w:color w:val="000000"/>
                            <w:sz w:val="20"/>
                          </w:rPr>
                          <w:t>0</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4E4F89D5" w14:textId="77777777">
                        <w:pPr>
                          <w:jc w:val="right"/>
                          <w:rPr>
                            <w:color w:val="000000"/>
                            <w:sz w:val="20"/>
                          </w:rPr>
                        </w:pPr>
                        <w:r w:rsidRPr="00344573">
                          <w:rPr>
                            <w:color w:val="000000"/>
                            <w:sz w:val="20"/>
                          </w:rPr>
                          <w:t xml:space="preserve">$0 </w:t>
                        </w:r>
                      </w:p>
                    </w:tc>
                  </w:tr>
                  <w:tr w14:paraId="0EA53223" w14:textId="77777777" w:rsidTr="00344573">
                    <w:tblPrEx>
                      <w:tblW w:w="12240" w:type="dxa"/>
                      <w:tblLayout w:type="fixed"/>
                      <w:tblLook w:val="04A0"/>
                    </w:tblPrEx>
                    <w:trPr>
                      <w:trHeight w:val="520"/>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09EC6681" w14:textId="77777777">
                        <w:pPr>
                          <w:rPr>
                            <w:color w:val="000000"/>
                            <w:sz w:val="20"/>
                          </w:rPr>
                        </w:pPr>
                        <w:r w:rsidRPr="00344573">
                          <w:rPr>
                            <w:color w:val="000000"/>
                            <w:sz w:val="20"/>
                          </w:rPr>
                          <w:t>Records of Monthly Fuel Use</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4D251716"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22F397FC"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761A7516" w14:textId="77777777">
                        <w:pPr>
                          <w:jc w:val="center"/>
                          <w:rPr>
                            <w:color w:val="000000"/>
                            <w:sz w:val="20"/>
                          </w:rPr>
                        </w:pPr>
                        <w:r w:rsidRPr="00344573">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700AC553"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6840F690"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1F3FE46E"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712B1BF0" w14:textId="77777777">
                        <w:pPr>
                          <w:jc w:val="center"/>
                          <w:rPr>
                            <w:color w:val="000000"/>
                            <w:sz w:val="20"/>
                          </w:rPr>
                        </w:pPr>
                        <w:r w:rsidRPr="00344573">
                          <w:rPr>
                            <w:color w:val="000000"/>
                            <w:sz w:val="20"/>
                          </w:rPr>
                          <w:t>0</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1DDBA712" w14:textId="77777777">
                        <w:pPr>
                          <w:jc w:val="right"/>
                          <w:rPr>
                            <w:color w:val="000000"/>
                            <w:sz w:val="20"/>
                          </w:rPr>
                        </w:pPr>
                        <w:r w:rsidRPr="00344573">
                          <w:rPr>
                            <w:color w:val="000000"/>
                            <w:sz w:val="20"/>
                          </w:rPr>
                          <w:t xml:space="preserve">$0 </w:t>
                        </w:r>
                      </w:p>
                    </w:tc>
                  </w:tr>
                  <w:tr w14:paraId="1502C84D" w14:textId="77777777" w:rsidTr="00344573">
                    <w:tblPrEx>
                      <w:tblW w:w="12240" w:type="dxa"/>
                      <w:tblLayout w:type="fixed"/>
                      <w:tblLook w:val="04A0"/>
                    </w:tblPrEx>
                    <w:trPr>
                      <w:trHeight w:val="260"/>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72811EF6" w14:textId="77777777">
                        <w:pPr>
                          <w:rPr>
                            <w:color w:val="000000"/>
                            <w:sz w:val="20"/>
                          </w:rPr>
                        </w:pPr>
                        <w:r w:rsidRPr="00344573">
                          <w:rPr>
                            <w:color w:val="000000"/>
                            <w:sz w:val="20"/>
                          </w:rPr>
                          <w:t>F. Time to Train Personnel</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5E8DB0B0"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7CC02A5F"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732687ED" w14:textId="77777777">
                        <w:pPr>
                          <w:jc w:val="center"/>
                          <w:rPr>
                            <w:color w:val="000000"/>
                            <w:sz w:val="20"/>
                          </w:rPr>
                        </w:pPr>
                        <w:r w:rsidRPr="00344573">
                          <w:rPr>
                            <w:color w:val="000000"/>
                            <w:sz w:val="20"/>
                          </w:rPr>
                          <w:t>0</w:t>
                        </w:r>
                      </w:p>
                    </w:tc>
                    <w:tc>
                      <w:tcPr>
                        <w:tcW w:w="134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28399466"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43FEC5ED"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1FFBE9C5"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1E43E7C9" w14:textId="77777777">
                        <w:pPr>
                          <w:jc w:val="center"/>
                          <w:rPr>
                            <w:color w:val="000000"/>
                            <w:sz w:val="20"/>
                          </w:rPr>
                        </w:pPr>
                        <w:r w:rsidRPr="00344573">
                          <w:rPr>
                            <w:color w:val="000000"/>
                            <w:sz w:val="20"/>
                          </w:rPr>
                          <w:t>0</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2E1FCCDB" w14:textId="77777777">
                        <w:pPr>
                          <w:jc w:val="right"/>
                          <w:rPr>
                            <w:color w:val="000000"/>
                            <w:sz w:val="20"/>
                          </w:rPr>
                        </w:pPr>
                        <w:r w:rsidRPr="00344573">
                          <w:rPr>
                            <w:color w:val="000000"/>
                            <w:sz w:val="20"/>
                          </w:rPr>
                          <w:t xml:space="preserve">$0 </w:t>
                        </w:r>
                      </w:p>
                    </w:tc>
                  </w:tr>
                  <w:tr w14:paraId="4307F19E" w14:textId="77777777" w:rsidTr="00344573">
                    <w:tblPrEx>
                      <w:tblW w:w="12240" w:type="dxa"/>
                      <w:tblLayout w:type="fixed"/>
                      <w:tblLook w:val="04A0"/>
                    </w:tblPrEx>
                    <w:trPr>
                      <w:trHeight w:val="260"/>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26CAE42D" w14:textId="77777777">
                        <w:pPr>
                          <w:rPr>
                            <w:color w:val="000000"/>
                            <w:sz w:val="20"/>
                          </w:rPr>
                        </w:pPr>
                        <w:r w:rsidRPr="00344573">
                          <w:rPr>
                            <w:color w:val="000000"/>
                            <w:sz w:val="20"/>
                          </w:rPr>
                          <w:t xml:space="preserve">G. Time for Audits </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50A060A6" w14:textId="77777777">
                        <w:pPr>
                          <w:jc w:val="center"/>
                          <w:rPr>
                            <w:color w:val="000000"/>
                            <w:sz w:val="20"/>
                          </w:rPr>
                        </w:pPr>
                        <w:r w:rsidRPr="00344573">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33A89307"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651D3B66" w14:textId="77777777">
                        <w:pPr>
                          <w:jc w:val="right"/>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2D7C9950"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20126310"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7C6F1DD9"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4DD90125" w14:textId="77777777">
                        <w:pPr>
                          <w:jc w:val="right"/>
                          <w:rPr>
                            <w:color w:val="000000"/>
                            <w:sz w:val="20"/>
                          </w:rPr>
                        </w:pPr>
                        <w:r w:rsidRPr="00344573">
                          <w:rPr>
                            <w:color w:val="000000"/>
                            <w:sz w:val="20"/>
                          </w:rPr>
                          <w:t> </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190DD743" w14:textId="77777777">
                        <w:pPr>
                          <w:jc w:val="right"/>
                          <w:rPr>
                            <w:color w:val="000000"/>
                            <w:sz w:val="20"/>
                          </w:rPr>
                        </w:pPr>
                        <w:r w:rsidRPr="00344573">
                          <w:rPr>
                            <w:color w:val="000000"/>
                            <w:sz w:val="20"/>
                          </w:rPr>
                          <w:t> </w:t>
                        </w:r>
                      </w:p>
                    </w:tc>
                  </w:tr>
                  <w:tr w14:paraId="0E6C1A7C" w14:textId="77777777" w:rsidTr="00344573">
                    <w:tblPrEx>
                      <w:tblW w:w="12240" w:type="dxa"/>
                      <w:tblLayout w:type="fixed"/>
                      <w:tblLook w:val="04A0"/>
                    </w:tblPrEx>
                    <w:trPr>
                      <w:trHeight w:val="540"/>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22CD10CB" w14:textId="77777777">
                        <w:pPr>
                          <w:rPr>
                            <w:b/>
                            <w:bCs/>
                            <w:i/>
                            <w:iCs/>
                            <w:color w:val="000000"/>
                            <w:sz w:val="20"/>
                          </w:rPr>
                        </w:pPr>
                        <w:r w:rsidRPr="00344573">
                          <w:rPr>
                            <w:b/>
                            <w:bCs/>
                            <w:i/>
                            <w:iCs/>
                            <w:color w:val="000000"/>
                            <w:sz w:val="20"/>
                          </w:rPr>
                          <w:t>Subtotal for Recordkeeping Requirements</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3009FFC8" w14:textId="77777777">
                        <w:pPr>
                          <w:jc w:val="right"/>
                          <w:rPr>
                            <w:b/>
                            <w:bCs/>
                            <w:i/>
                            <w:iCs/>
                            <w:color w:val="000000"/>
                            <w:sz w:val="20"/>
                          </w:rPr>
                        </w:pPr>
                        <w:r w:rsidRPr="00344573">
                          <w:rPr>
                            <w:b/>
                            <w:bCs/>
                            <w:i/>
                            <w:i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0AA672CD" w14:textId="77777777">
                        <w:pPr>
                          <w:jc w:val="right"/>
                          <w:rPr>
                            <w:b/>
                            <w:bCs/>
                            <w:i/>
                            <w:iCs/>
                            <w:sz w:val="20"/>
                          </w:rPr>
                        </w:pPr>
                        <w:r w:rsidRPr="00344573">
                          <w:rPr>
                            <w:b/>
                            <w:bCs/>
                            <w:i/>
                            <w:i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2E8EDF77" w14:textId="77777777">
                        <w:pPr>
                          <w:jc w:val="right"/>
                          <w:rPr>
                            <w:b/>
                            <w:bCs/>
                            <w:i/>
                            <w:iCs/>
                            <w:color w:val="000000"/>
                            <w:sz w:val="20"/>
                          </w:rPr>
                        </w:pPr>
                        <w:r w:rsidRPr="00344573">
                          <w:rPr>
                            <w:b/>
                            <w:bCs/>
                            <w:i/>
                            <w:iCs/>
                            <w:color w:val="000000"/>
                            <w:sz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3A1FAC87" w14:textId="77777777">
                        <w:pPr>
                          <w:jc w:val="right"/>
                          <w:rPr>
                            <w:b/>
                            <w:bCs/>
                            <w:i/>
                            <w:iCs/>
                            <w:sz w:val="20"/>
                          </w:rPr>
                        </w:pPr>
                        <w:r w:rsidRPr="00344573">
                          <w:rPr>
                            <w:b/>
                            <w:bCs/>
                            <w:i/>
                            <w:iCs/>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6C2A77C7" w14:textId="77777777">
                        <w:pPr>
                          <w:jc w:val="center"/>
                          <w:rPr>
                            <w:b/>
                            <w:bCs/>
                            <w:i/>
                            <w:iCs/>
                            <w:color w:val="000000"/>
                            <w:sz w:val="20"/>
                          </w:rPr>
                        </w:pPr>
                        <w:r w:rsidRPr="00344573">
                          <w:rPr>
                            <w:b/>
                            <w:bCs/>
                            <w:i/>
                            <w:iCs/>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34420B19" w14:textId="77777777">
                        <w:pPr>
                          <w:jc w:val="center"/>
                          <w:rPr>
                            <w:b/>
                            <w:bCs/>
                            <w:i/>
                            <w:iCs/>
                            <w:color w:val="000000"/>
                            <w:sz w:val="20"/>
                          </w:rPr>
                        </w:pPr>
                        <w:r w:rsidRPr="00344573">
                          <w:rPr>
                            <w:b/>
                            <w:bCs/>
                            <w:i/>
                            <w:iCs/>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64B09705" w14:textId="77777777">
                        <w:pPr>
                          <w:jc w:val="center"/>
                          <w:rPr>
                            <w:b/>
                            <w:bCs/>
                            <w:i/>
                            <w:iCs/>
                            <w:color w:val="000000"/>
                            <w:sz w:val="20"/>
                          </w:rPr>
                        </w:pPr>
                        <w:r w:rsidRPr="00344573">
                          <w:rPr>
                            <w:b/>
                            <w:bCs/>
                            <w:i/>
                            <w:iCs/>
                            <w:color w:val="000000"/>
                            <w:sz w:val="20"/>
                          </w:rPr>
                          <w:t> </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659E8BF5" w14:textId="77777777">
                        <w:pPr>
                          <w:jc w:val="right"/>
                          <w:rPr>
                            <w:b/>
                            <w:bCs/>
                            <w:i/>
                            <w:iCs/>
                            <w:color w:val="000000"/>
                            <w:sz w:val="20"/>
                          </w:rPr>
                        </w:pPr>
                        <w:r w:rsidRPr="00344573">
                          <w:rPr>
                            <w:b/>
                            <w:bCs/>
                            <w:i/>
                            <w:iCs/>
                            <w:color w:val="000000"/>
                            <w:sz w:val="20"/>
                          </w:rPr>
                          <w:t xml:space="preserve">$0 </w:t>
                        </w:r>
                      </w:p>
                    </w:tc>
                  </w:tr>
                  <w:tr w14:paraId="5AFE7290" w14:textId="77777777" w:rsidTr="00344573">
                    <w:tblPrEx>
                      <w:tblW w:w="12240" w:type="dxa"/>
                      <w:tblLayout w:type="fixed"/>
                      <w:tblLook w:val="04A0"/>
                    </w:tblPrEx>
                    <w:trPr>
                      <w:trHeight w:val="560"/>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6440D0C6" w14:textId="77777777">
                        <w:pPr>
                          <w:rPr>
                            <w:b/>
                            <w:bCs/>
                            <w:color w:val="000000"/>
                            <w:sz w:val="20"/>
                          </w:rPr>
                        </w:pPr>
                        <w:r w:rsidRPr="00344573">
                          <w:rPr>
                            <w:b/>
                            <w:bCs/>
                            <w:color w:val="000000"/>
                            <w:sz w:val="20"/>
                          </w:rPr>
                          <w:t xml:space="preserve">Total Labor Burden and Cost (rounded) </w:t>
                        </w:r>
                        <w:r w:rsidRPr="00344573">
                          <w:rPr>
                            <w:b/>
                            <w:bCs/>
                            <w:color w:val="000000"/>
                            <w:sz w:val="20"/>
                            <w:vertAlign w:val="superscript"/>
                          </w:rPr>
                          <w:t>f</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259631F2" w14:textId="77777777">
                        <w:pPr>
                          <w:jc w:val="right"/>
                          <w:rPr>
                            <w:b/>
                            <w:bCs/>
                            <w:color w:val="000000"/>
                            <w:sz w:val="20"/>
                          </w:rPr>
                        </w:pPr>
                        <w:r w:rsidRPr="00344573">
                          <w:rPr>
                            <w:b/>
                            <w:b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0E06C79D" w14:textId="77777777">
                        <w:pPr>
                          <w:jc w:val="center"/>
                          <w:rPr>
                            <w:b/>
                            <w:bCs/>
                            <w:sz w:val="20"/>
                          </w:rPr>
                        </w:pPr>
                        <w:r w:rsidRPr="00344573">
                          <w:rPr>
                            <w:b/>
                            <w:b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35249C71" w14:textId="77777777">
                        <w:pPr>
                          <w:jc w:val="right"/>
                          <w:rPr>
                            <w:b/>
                            <w:bCs/>
                            <w:color w:val="000000"/>
                            <w:sz w:val="20"/>
                          </w:rPr>
                        </w:pPr>
                        <w:r w:rsidRPr="00344573">
                          <w:rPr>
                            <w:b/>
                            <w:bCs/>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58925CB0" w14:textId="77777777">
                        <w:pPr>
                          <w:jc w:val="right"/>
                          <w:rPr>
                            <w:b/>
                            <w:bCs/>
                            <w:sz w:val="20"/>
                          </w:rPr>
                        </w:pPr>
                        <w:r w:rsidRPr="00344573">
                          <w:rPr>
                            <w:b/>
                            <w:bCs/>
                            <w:sz w:val="20"/>
                          </w:rPr>
                          <w:t> </w:t>
                        </w:r>
                      </w:p>
                    </w:tc>
                    <w:tc>
                      <w:tcPr>
                        <w:tcW w:w="3700" w:type="dxa"/>
                        <w:gridSpan w:val="3"/>
                        <w:tcBorders>
                          <w:top w:val="single" w:sz="4" w:space="0" w:color="auto"/>
                          <w:left w:val="nil"/>
                          <w:bottom w:val="single" w:sz="4" w:space="0" w:color="auto"/>
                          <w:right w:val="single" w:sz="4" w:space="0" w:color="auto"/>
                        </w:tcBorders>
                        <w:shd w:val="clear" w:color="auto" w:fill="auto"/>
                        <w:vAlign w:val="center"/>
                        <w:hideMark/>
                      </w:tcPr>
                      <w:p w:rsidR="00344573" w:rsidRPr="00344573" w:rsidP="00344573" w14:paraId="01FAAA47" w14:textId="77777777">
                        <w:pPr>
                          <w:jc w:val="center"/>
                          <w:rPr>
                            <w:b/>
                            <w:bCs/>
                            <w:color w:val="000000"/>
                            <w:sz w:val="20"/>
                          </w:rPr>
                        </w:pPr>
                        <w:r w:rsidRPr="00344573">
                          <w:rPr>
                            <w:b/>
                            <w:bCs/>
                            <w:color w:val="000000"/>
                            <w:sz w:val="20"/>
                          </w:rPr>
                          <w:t>0</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08630D35" w14:textId="77777777">
                        <w:pPr>
                          <w:jc w:val="right"/>
                          <w:rPr>
                            <w:b/>
                            <w:bCs/>
                            <w:color w:val="000000"/>
                            <w:sz w:val="20"/>
                          </w:rPr>
                        </w:pPr>
                        <w:r w:rsidRPr="00344573">
                          <w:rPr>
                            <w:b/>
                            <w:bCs/>
                            <w:color w:val="000000"/>
                            <w:sz w:val="20"/>
                          </w:rPr>
                          <w:t xml:space="preserve">$0 </w:t>
                        </w:r>
                      </w:p>
                    </w:tc>
                  </w:tr>
                  <w:tr w14:paraId="3BE6FC77" w14:textId="77777777" w:rsidTr="00344573">
                    <w:tblPrEx>
                      <w:tblW w:w="12240" w:type="dxa"/>
                      <w:tblLayout w:type="fixed"/>
                      <w:tblLook w:val="04A0"/>
                    </w:tblPrEx>
                    <w:trPr>
                      <w:trHeight w:val="560"/>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6E7DD3A5" w14:textId="77777777">
                        <w:pPr>
                          <w:rPr>
                            <w:b/>
                            <w:bCs/>
                            <w:sz w:val="20"/>
                          </w:rPr>
                        </w:pPr>
                        <w:r w:rsidRPr="00344573">
                          <w:rPr>
                            <w:b/>
                            <w:bCs/>
                            <w:sz w:val="20"/>
                          </w:rPr>
                          <w:t xml:space="preserve">Total Capital and O&amp;M Cost (rounded) </w:t>
                        </w:r>
                        <w:r w:rsidRPr="00344573">
                          <w:rPr>
                            <w:b/>
                            <w:bCs/>
                            <w:sz w:val="20"/>
                            <w:vertAlign w:val="superscript"/>
                          </w:rPr>
                          <w:t>f</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6C2D4D96" w14:textId="77777777">
                        <w:pPr>
                          <w:jc w:val="right"/>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21065C05"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0C04EE48" w14:textId="77777777">
                        <w:pPr>
                          <w:jc w:val="right"/>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3435F80E"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1579F7E5"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0327D89F"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2AAE09BB" w14:textId="77777777">
                        <w:pPr>
                          <w:jc w:val="right"/>
                          <w:rPr>
                            <w:color w:val="000000"/>
                            <w:sz w:val="20"/>
                          </w:rPr>
                        </w:pPr>
                        <w:r w:rsidRPr="00344573">
                          <w:rPr>
                            <w:color w:val="000000"/>
                            <w:sz w:val="20"/>
                          </w:rPr>
                          <w:t> </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71B806BA" w14:textId="77777777">
                        <w:pPr>
                          <w:jc w:val="right"/>
                          <w:rPr>
                            <w:b/>
                            <w:bCs/>
                            <w:color w:val="000000"/>
                            <w:sz w:val="20"/>
                          </w:rPr>
                        </w:pPr>
                        <w:r w:rsidRPr="00344573">
                          <w:rPr>
                            <w:b/>
                            <w:bCs/>
                            <w:color w:val="000000"/>
                            <w:sz w:val="20"/>
                          </w:rPr>
                          <w:t xml:space="preserve">$0 </w:t>
                        </w:r>
                      </w:p>
                    </w:tc>
                  </w:tr>
                  <w:tr w14:paraId="18B592A2" w14:textId="77777777" w:rsidTr="00344573">
                    <w:tblPrEx>
                      <w:tblW w:w="12240" w:type="dxa"/>
                      <w:tblLayout w:type="fixed"/>
                      <w:tblLook w:val="04A0"/>
                    </w:tblPrEx>
                    <w:trPr>
                      <w:trHeight w:val="300"/>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2770347A" w14:textId="77777777">
                        <w:pPr>
                          <w:rPr>
                            <w:b/>
                            <w:bCs/>
                            <w:sz w:val="20"/>
                          </w:rPr>
                        </w:pPr>
                        <w:r w:rsidRPr="00344573">
                          <w:rPr>
                            <w:b/>
                            <w:bCs/>
                            <w:sz w:val="20"/>
                          </w:rPr>
                          <w:t xml:space="preserve">Grand TOTAL (rounded) </w:t>
                        </w:r>
                        <w:r w:rsidRPr="00344573">
                          <w:rPr>
                            <w:b/>
                            <w:bCs/>
                            <w:sz w:val="20"/>
                            <w:vertAlign w:val="superscript"/>
                          </w:rPr>
                          <w:t>f</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1699FE98" w14:textId="77777777">
                        <w:pPr>
                          <w:jc w:val="right"/>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2CC8D1A1"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2F1EE11C" w14:textId="77777777">
                        <w:pPr>
                          <w:jc w:val="right"/>
                          <w:rPr>
                            <w:color w:val="000000"/>
                            <w:sz w:val="20"/>
                          </w:rPr>
                        </w:pPr>
                        <w:r w:rsidRPr="00344573">
                          <w:rPr>
                            <w:color w:val="000000"/>
                            <w:sz w:val="20"/>
                          </w:rPr>
                          <w:t> </w:t>
                        </w:r>
                      </w:p>
                    </w:tc>
                    <w:tc>
                      <w:tcPr>
                        <w:tcW w:w="1340" w:type="dxa"/>
                        <w:tcBorders>
                          <w:top w:val="nil"/>
                          <w:left w:val="nil"/>
                          <w:bottom w:val="single" w:sz="4" w:space="0" w:color="auto"/>
                          <w:right w:val="single" w:sz="4" w:space="0" w:color="auto"/>
                        </w:tcBorders>
                        <w:shd w:val="clear" w:color="auto" w:fill="auto"/>
                        <w:vAlign w:val="center"/>
                        <w:hideMark/>
                      </w:tcPr>
                      <w:p w:rsidR="00344573" w:rsidRPr="00344573" w:rsidP="00344573" w14:paraId="4EAEBDEC"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20B8DCE7"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6EFF5F69"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55FC22A6" w14:textId="77777777">
                        <w:pPr>
                          <w:jc w:val="right"/>
                          <w:rPr>
                            <w:color w:val="000000"/>
                            <w:sz w:val="20"/>
                          </w:rPr>
                        </w:pPr>
                        <w:r w:rsidRPr="00344573">
                          <w:rPr>
                            <w:color w:val="000000"/>
                            <w:sz w:val="20"/>
                          </w:rPr>
                          <w:t> </w:t>
                        </w:r>
                      </w:p>
                    </w:tc>
                    <w:tc>
                      <w:tcPr>
                        <w:tcW w:w="1140" w:type="dxa"/>
                        <w:tcBorders>
                          <w:top w:val="nil"/>
                          <w:left w:val="nil"/>
                          <w:bottom w:val="single" w:sz="4" w:space="0" w:color="auto"/>
                          <w:right w:val="single" w:sz="4" w:space="0" w:color="auto"/>
                        </w:tcBorders>
                        <w:shd w:val="clear" w:color="auto" w:fill="auto"/>
                        <w:vAlign w:val="center"/>
                        <w:hideMark/>
                      </w:tcPr>
                      <w:p w:rsidR="00344573" w:rsidRPr="00344573" w:rsidP="00344573" w14:paraId="44CA1C89" w14:textId="77777777">
                        <w:pPr>
                          <w:jc w:val="right"/>
                          <w:rPr>
                            <w:b/>
                            <w:bCs/>
                            <w:color w:val="000000"/>
                            <w:sz w:val="20"/>
                          </w:rPr>
                        </w:pPr>
                        <w:r w:rsidRPr="00344573">
                          <w:rPr>
                            <w:b/>
                            <w:bCs/>
                            <w:color w:val="000000"/>
                            <w:sz w:val="20"/>
                          </w:rPr>
                          <w:t xml:space="preserve">$0 </w:t>
                        </w:r>
                      </w:p>
                    </w:tc>
                  </w:tr>
                  <w:tr w14:paraId="2F95BF3C" w14:textId="77777777" w:rsidTr="00344573">
                    <w:tblPrEx>
                      <w:tblW w:w="12240" w:type="dxa"/>
                      <w:tblLayout w:type="fixed"/>
                      <w:tblLook w:val="04A0"/>
                    </w:tblPrEx>
                    <w:trPr>
                      <w:trHeight w:val="150"/>
                    </w:trPr>
                    <w:tc>
                      <w:tcPr>
                        <w:tcW w:w="2380" w:type="dxa"/>
                        <w:tcBorders>
                          <w:top w:val="nil"/>
                          <w:left w:val="nil"/>
                          <w:bottom w:val="nil"/>
                          <w:right w:val="nil"/>
                        </w:tcBorders>
                        <w:shd w:val="clear" w:color="auto" w:fill="auto"/>
                        <w:noWrap/>
                        <w:vAlign w:val="bottom"/>
                        <w:hideMark/>
                      </w:tcPr>
                      <w:p w:rsidR="00344573" w:rsidRPr="00344573" w:rsidP="00344573" w14:paraId="08C702AF" w14:textId="77777777">
                        <w:pPr>
                          <w:jc w:val="right"/>
                          <w:rPr>
                            <w:b/>
                            <w:bCs/>
                            <w:color w:val="000000"/>
                            <w:sz w:val="20"/>
                          </w:rPr>
                        </w:pPr>
                      </w:p>
                    </w:tc>
                    <w:tc>
                      <w:tcPr>
                        <w:tcW w:w="1120" w:type="dxa"/>
                        <w:tcBorders>
                          <w:top w:val="nil"/>
                          <w:left w:val="nil"/>
                          <w:bottom w:val="nil"/>
                          <w:right w:val="nil"/>
                        </w:tcBorders>
                        <w:shd w:val="clear" w:color="auto" w:fill="auto"/>
                        <w:noWrap/>
                        <w:vAlign w:val="bottom"/>
                        <w:hideMark/>
                      </w:tcPr>
                      <w:p w:rsidR="00344573" w:rsidRPr="00344573" w:rsidP="00344573" w14:paraId="55BE9F08" w14:textId="77777777">
                        <w:pPr>
                          <w:rPr>
                            <w:sz w:val="20"/>
                          </w:rPr>
                        </w:pPr>
                      </w:p>
                    </w:tc>
                    <w:tc>
                      <w:tcPr>
                        <w:tcW w:w="1320" w:type="dxa"/>
                        <w:tcBorders>
                          <w:top w:val="nil"/>
                          <w:left w:val="nil"/>
                          <w:bottom w:val="nil"/>
                          <w:right w:val="nil"/>
                        </w:tcBorders>
                        <w:shd w:val="clear" w:color="auto" w:fill="auto"/>
                        <w:noWrap/>
                        <w:vAlign w:val="bottom"/>
                        <w:hideMark/>
                      </w:tcPr>
                      <w:p w:rsidR="00344573" w:rsidRPr="00344573" w:rsidP="00344573" w14:paraId="0CE7DD3C" w14:textId="77777777">
                        <w:pPr>
                          <w:rPr>
                            <w:sz w:val="20"/>
                          </w:rPr>
                        </w:pPr>
                      </w:p>
                    </w:tc>
                    <w:tc>
                      <w:tcPr>
                        <w:tcW w:w="1240" w:type="dxa"/>
                        <w:tcBorders>
                          <w:top w:val="nil"/>
                          <w:left w:val="nil"/>
                          <w:bottom w:val="nil"/>
                          <w:right w:val="nil"/>
                        </w:tcBorders>
                        <w:shd w:val="clear" w:color="auto" w:fill="auto"/>
                        <w:noWrap/>
                        <w:vAlign w:val="bottom"/>
                        <w:hideMark/>
                      </w:tcPr>
                      <w:p w:rsidR="00344573" w:rsidRPr="00344573" w:rsidP="00344573" w14:paraId="361F0CC8" w14:textId="77777777">
                        <w:pPr>
                          <w:rPr>
                            <w:sz w:val="20"/>
                          </w:rPr>
                        </w:pPr>
                      </w:p>
                    </w:tc>
                    <w:tc>
                      <w:tcPr>
                        <w:tcW w:w="1340" w:type="dxa"/>
                        <w:tcBorders>
                          <w:top w:val="nil"/>
                          <w:left w:val="nil"/>
                          <w:bottom w:val="nil"/>
                          <w:right w:val="nil"/>
                        </w:tcBorders>
                        <w:shd w:val="clear" w:color="auto" w:fill="auto"/>
                        <w:noWrap/>
                        <w:vAlign w:val="bottom"/>
                        <w:hideMark/>
                      </w:tcPr>
                      <w:p w:rsidR="00344573" w:rsidRPr="00344573" w:rsidP="00344573" w14:paraId="603A2128" w14:textId="77777777">
                        <w:pPr>
                          <w:rPr>
                            <w:sz w:val="20"/>
                          </w:rPr>
                        </w:pPr>
                      </w:p>
                    </w:tc>
                    <w:tc>
                      <w:tcPr>
                        <w:tcW w:w="1160" w:type="dxa"/>
                        <w:tcBorders>
                          <w:top w:val="nil"/>
                          <w:left w:val="nil"/>
                          <w:bottom w:val="nil"/>
                          <w:right w:val="nil"/>
                        </w:tcBorders>
                        <w:shd w:val="clear" w:color="auto" w:fill="auto"/>
                        <w:noWrap/>
                        <w:vAlign w:val="bottom"/>
                        <w:hideMark/>
                      </w:tcPr>
                      <w:p w:rsidR="00344573" w:rsidRPr="00344573" w:rsidP="00344573" w14:paraId="3116E6D4" w14:textId="77777777">
                        <w:pPr>
                          <w:rPr>
                            <w:sz w:val="20"/>
                          </w:rPr>
                        </w:pPr>
                      </w:p>
                    </w:tc>
                    <w:tc>
                      <w:tcPr>
                        <w:tcW w:w="1280" w:type="dxa"/>
                        <w:tcBorders>
                          <w:top w:val="nil"/>
                          <w:left w:val="nil"/>
                          <w:bottom w:val="nil"/>
                          <w:right w:val="nil"/>
                        </w:tcBorders>
                        <w:shd w:val="clear" w:color="auto" w:fill="auto"/>
                        <w:noWrap/>
                        <w:vAlign w:val="bottom"/>
                        <w:hideMark/>
                      </w:tcPr>
                      <w:p w:rsidR="00344573" w:rsidRPr="00344573" w:rsidP="00344573" w14:paraId="56A2310D" w14:textId="77777777">
                        <w:pPr>
                          <w:rPr>
                            <w:sz w:val="20"/>
                          </w:rPr>
                        </w:pPr>
                      </w:p>
                    </w:tc>
                    <w:tc>
                      <w:tcPr>
                        <w:tcW w:w="1260" w:type="dxa"/>
                        <w:tcBorders>
                          <w:top w:val="nil"/>
                          <w:left w:val="nil"/>
                          <w:bottom w:val="nil"/>
                          <w:right w:val="nil"/>
                        </w:tcBorders>
                        <w:shd w:val="clear" w:color="auto" w:fill="auto"/>
                        <w:noWrap/>
                        <w:vAlign w:val="bottom"/>
                        <w:hideMark/>
                      </w:tcPr>
                      <w:p w:rsidR="00344573" w:rsidRPr="00344573" w:rsidP="00344573" w14:paraId="274097FD" w14:textId="77777777">
                        <w:pPr>
                          <w:rPr>
                            <w:sz w:val="20"/>
                          </w:rPr>
                        </w:pPr>
                      </w:p>
                    </w:tc>
                    <w:tc>
                      <w:tcPr>
                        <w:tcW w:w="1140" w:type="dxa"/>
                        <w:tcBorders>
                          <w:top w:val="nil"/>
                          <w:left w:val="nil"/>
                          <w:bottom w:val="nil"/>
                          <w:right w:val="nil"/>
                        </w:tcBorders>
                        <w:shd w:val="clear" w:color="auto" w:fill="auto"/>
                        <w:noWrap/>
                        <w:vAlign w:val="bottom"/>
                        <w:hideMark/>
                      </w:tcPr>
                      <w:p w:rsidR="00344573" w:rsidRPr="00344573" w:rsidP="00344573" w14:paraId="74139DB3" w14:textId="77777777">
                        <w:pPr>
                          <w:rPr>
                            <w:sz w:val="20"/>
                          </w:rPr>
                        </w:pPr>
                      </w:p>
                    </w:tc>
                  </w:tr>
                  <w:tr w14:paraId="18A8F284" w14:textId="77777777" w:rsidTr="00344573">
                    <w:tblPrEx>
                      <w:tblW w:w="12240" w:type="dxa"/>
                      <w:tblLayout w:type="fixed"/>
                      <w:tblLook w:val="04A0"/>
                    </w:tblPrEx>
                    <w:trPr>
                      <w:trHeight w:val="613"/>
                    </w:trPr>
                    <w:tc>
                      <w:tcPr>
                        <w:tcW w:w="12240" w:type="dxa"/>
                        <w:gridSpan w:val="9"/>
                        <w:tcBorders>
                          <w:top w:val="nil"/>
                          <w:left w:val="nil"/>
                          <w:bottom w:val="nil"/>
                          <w:right w:val="nil"/>
                        </w:tcBorders>
                        <w:shd w:val="clear" w:color="auto" w:fill="auto"/>
                        <w:vAlign w:val="center"/>
                        <w:hideMark/>
                      </w:tcPr>
                      <w:p w:rsidR="00344573" w:rsidRPr="00344573" w:rsidP="00344573" w14:paraId="1ED62728" w14:textId="77777777">
                        <w:pPr>
                          <w:rPr>
                            <w:color w:val="000000"/>
                            <w:sz w:val="20"/>
                          </w:rPr>
                        </w:pPr>
                        <w:r w:rsidRPr="00344573">
                          <w:rPr>
                            <w:color w:val="000000"/>
                            <w:sz w:val="20"/>
                            <w:vertAlign w:val="superscript"/>
                          </w:rPr>
                          <w:t>a</w:t>
                        </w:r>
                        <w:r w:rsidRPr="00344573">
                          <w:rPr>
                            <w:color w:val="000000"/>
                            <w:sz w:val="20"/>
                          </w:rPr>
                          <w:t xml:space="preserve">  We have assumed that there are approximately 26 boilers are expected to install controls and that 10% of the existing units will have new construction/reconstruction.</w:t>
                        </w:r>
                      </w:p>
                    </w:tc>
                  </w:tr>
                  <w:tr w14:paraId="6D034410" w14:textId="77777777" w:rsidTr="00344573">
                    <w:tblPrEx>
                      <w:tblW w:w="12240" w:type="dxa"/>
                      <w:tblLayout w:type="fixed"/>
                      <w:tblLook w:val="04A0"/>
                    </w:tblPrEx>
                    <w:trPr>
                      <w:trHeight w:val="1410"/>
                    </w:trPr>
                    <w:tc>
                      <w:tcPr>
                        <w:tcW w:w="12240" w:type="dxa"/>
                        <w:gridSpan w:val="9"/>
                        <w:tcBorders>
                          <w:top w:val="nil"/>
                          <w:left w:val="nil"/>
                          <w:bottom w:val="nil"/>
                          <w:right w:val="nil"/>
                        </w:tcBorders>
                        <w:shd w:val="clear" w:color="auto" w:fill="auto"/>
                        <w:vAlign w:val="bottom"/>
                        <w:hideMark/>
                      </w:tcPr>
                      <w:p w:rsidR="00344573" w:rsidRPr="00344573" w:rsidP="00344573" w14:paraId="246C6249" w14:textId="77777777">
                        <w:pPr>
                          <w:rPr>
                            <w:color w:val="000000"/>
                            <w:sz w:val="20"/>
                          </w:rPr>
                        </w:pPr>
                        <w:r w:rsidRPr="00344573">
                          <w:rPr>
                            <w:color w:val="000000"/>
                            <w:sz w:val="20"/>
                            <w:vertAlign w:val="superscript"/>
                          </w:rPr>
                          <w:t>b</w:t>
                        </w:r>
                        <w:r w:rsidRPr="00344573">
                          <w:rPr>
                            <w:color w:val="000000"/>
                            <w:sz w:val="20"/>
                          </w:rPr>
                          <w:t xml:space="preserve">  This ICR uses the following labor rates: $161.62 per hour for Executive, Administrative, and Managerial labor; $127.68 per hour for Technical labor, and $64.22 per hour for Clerical labor.  These rates are from the United States Department of Labor, Bureau of Labor Statistics, June 2022, “Table 2. Civilian Workers, by Occupational and Industry group.”  The rates are from column 1, “Total Compensation.”  The rates have been increased by 110 percent to account for the benefit packages available to those employed by private industry.  Archived report releases can be accessed from https://www.bls.gov/bls/news-release/ecec.htm#2021;  from homepage, select Economic Releases, Archived News Releases, Employer Costs for Employee Compensation, Select a past year, Select a published report.</w:t>
                        </w:r>
                      </w:p>
                    </w:tc>
                  </w:tr>
                  <w:tr w14:paraId="72ADFE4E" w14:textId="77777777" w:rsidTr="00344573">
                    <w:tblPrEx>
                      <w:tblW w:w="12240" w:type="dxa"/>
                      <w:tblLayout w:type="fixed"/>
                      <w:tblLook w:val="04A0"/>
                    </w:tblPrEx>
                    <w:trPr>
                      <w:trHeight w:val="463"/>
                    </w:trPr>
                    <w:tc>
                      <w:tcPr>
                        <w:tcW w:w="12240" w:type="dxa"/>
                        <w:gridSpan w:val="9"/>
                        <w:tcBorders>
                          <w:top w:val="nil"/>
                          <w:left w:val="nil"/>
                          <w:bottom w:val="nil"/>
                          <w:right w:val="nil"/>
                        </w:tcBorders>
                        <w:shd w:val="clear" w:color="auto" w:fill="auto"/>
                        <w:vAlign w:val="center"/>
                        <w:hideMark/>
                      </w:tcPr>
                      <w:p w:rsidR="00344573" w:rsidRPr="00344573" w:rsidP="00344573" w14:paraId="315706D6" w14:textId="77777777">
                        <w:pPr>
                          <w:rPr>
                            <w:color w:val="000000"/>
                            <w:sz w:val="20"/>
                          </w:rPr>
                        </w:pPr>
                        <w:r w:rsidRPr="00344573">
                          <w:rPr>
                            <w:color w:val="000000"/>
                            <w:sz w:val="20"/>
                            <w:vertAlign w:val="superscript"/>
                          </w:rPr>
                          <w:t>c</w:t>
                        </w:r>
                        <w:r w:rsidRPr="00344573">
                          <w:rPr>
                            <w:color w:val="000000"/>
                            <w:sz w:val="20"/>
                          </w:rPr>
                          <w:t xml:space="preserve">  New boilers test for NOx. We have assumed that 5 percent of respondents would repeat initial performance test due to failure.</w:t>
                        </w:r>
                      </w:p>
                    </w:tc>
                  </w:tr>
                  <w:tr w14:paraId="1C7613D0" w14:textId="77777777" w:rsidTr="00344573">
                    <w:tblPrEx>
                      <w:tblW w:w="12240" w:type="dxa"/>
                      <w:tblLayout w:type="fixed"/>
                      <w:tblLook w:val="04A0"/>
                    </w:tblPrEx>
                    <w:trPr>
                      <w:trHeight w:val="493"/>
                    </w:trPr>
                    <w:tc>
                      <w:tcPr>
                        <w:tcW w:w="12240" w:type="dxa"/>
                        <w:gridSpan w:val="9"/>
                        <w:tcBorders>
                          <w:top w:val="nil"/>
                          <w:left w:val="nil"/>
                          <w:bottom w:val="nil"/>
                          <w:right w:val="nil"/>
                        </w:tcBorders>
                        <w:shd w:val="clear" w:color="auto" w:fill="auto"/>
                        <w:vAlign w:val="center"/>
                        <w:hideMark/>
                      </w:tcPr>
                      <w:p w:rsidR="00344573" w:rsidRPr="00344573" w:rsidP="00344573" w14:paraId="1801E9E1" w14:textId="77777777">
                        <w:pPr>
                          <w:rPr>
                            <w:sz w:val="20"/>
                          </w:rPr>
                        </w:pPr>
                        <w:r w:rsidRPr="00344573">
                          <w:rPr>
                            <w:sz w:val="20"/>
                            <w:vertAlign w:val="superscript"/>
                          </w:rPr>
                          <w:t>d</w:t>
                        </w:r>
                        <w:r w:rsidRPr="00344573">
                          <w:rPr>
                            <w:sz w:val="20"/>
                          </w:rPr>
                          <w:t xml:space="preserve">  The rule requires existing boilers to conduct an initial compliance test within 90 days from the installation of the pollution control equipment used to comply with the NOx emission limits. We have assumed that 5 percent of respondents would repeat annual performance test due to failure.</w:t>
                        </w:r>
                      </w:p>
                    </w:tc>
                  </w:tr>
                  <w:tr w14:paraId="31BCBDCF" w14:textId="77777777" w:rsidTr="00344573">
                    <w:tblPrEx>
                      <w:tblW w:w="12240" w:type="dxa"/>
                      <w:tblLayout w:type="fixed"/>
                      <w:tblLook w:val="04A0"/>
                    </w:tblPrEx>
                    <w:trPr>
                      <w:trHeight w:val="310"/>
                    </w:trPr>
                    <w:tc>
                      <w:tcPr>
                        <w:tcW w:w="12240" w:type="dxa"/>
                        <w:gridSpan w:val="9"/>
                        <w:tcBorders>
                          <w:top w:val="nil"/>
                          <w:left w:val="nil"/>
                          <w:bottom w:val="nil"/>
                          <w:right w:val="nil"/>
                        </w:tcBorders>
                        <w:shd w:val="clear" w:color="auto" w:fill="auto"/>
                        <w:noWrap/>
                        <w:vAlign w:val="center"/>
                        <w:hideMark/>
                      </w:tcPr>
                      <w:p w:rsidR="00344573" w:rsidRPr="00344573" w:rsidP="00344573" w14:paraId="78E2D971" w14:textId="77777777">
                        <w:pPr>
                          <w:rPr>
                            <w:color w:val="000000"/>
                            <w:sz w:val="20"/>
                          </w:rPr>
                        </w:pPr>
                        <w:r w:rsidRPr="00344573">
                          <w:rPr>
                            <w:color w:val="000000"/>
                            <w:sz w:val="20"/>
                            <w:vertAlign w:val="superscript"/>
                          </w:rPr>
                          <w:t>e</w:t>
                        </w:r>
                        <w:r w:rsidRPr="00344573">
                          <w:rPr>
                            <w:color w:val="000000"/>
                            <w:sz w:val="20"/>
                          </w:rPr>
                          <w:t xml:space="preserve">  Calibration drift checks on the air flow sensor on the NOx CEMS  or CPMS are performed daily. </w:t>
                        </w:r>
                      </w:p>
                    </w:tc>
                  </w:tr>
                  <w:tr w14:paraId="65C8EE2E" w14:textId="77777777" w:rsidTr="00344573">
                    <w:tblPrEx>
                      <w:tblW w:w="12240" w:type="dxa"/>
                      <w:tblLayout w:type="fixed"/>
                      <w:tblLook w:val="04A0"/>
                    </w:tblPrEx>
                    <w:trPr>
                      <w:trHeight w:val="375"/>
                    </w:trPr>
                    <w:tc>
                      <w:tcPr>
                        <w:tcW w:w="12240" w:type="dxa"/>
                        <w:gridSpan w:val="9"/>
                        <w:tcBorders>
                          <w:top w:val="nil"/>
                          <w:left w:val="nil"/>
                          <w:bottom w:val="nil"/>
                          <w:right w:val="nil"/>
                        </w:tcBorders>
                        <w:shd w:val="clear" w:color="auto" w:fill="auto"/>
                        <w:hideMark/>
                      </w:tcPr>
                      <w:p w:rsidR="00344573" w:rsidRPr="00344573" w:rsidP="00344573" w14:paraId="30CA8E7C" w14:textId="77777777">
                        <w:pPr>
                          <w:rPr>
                            <w:color w:val="000000"/>
                            <w:sz w:val="20"/>
                          </w:rPr>
                        </w:pPr>
                        <w:r w:rsidRPr="00344573">
                          <w:rPr>
                            <w:color w:val="000000"/>
                            <w:sz w:val="20"/>
                            <w:vertAlign w:val="superscript"/>
                          </w:rPr>
                          <w:t>f</w:t>
                        </w:r>
                        <w:r w:rsidRPr="00344573">
                          <w:rPr>
                            <w:color w:val="000000"/>
                            <w:sz w:val="20"/>
                          </w:rPr>
                          <w:t xml:space="preserve">  Totals have been rounded to 3 significant figures.  Figures may not add exactly due to rounding.</w:t>
                        </w:r>
                      </w:p>
                    </w:tc>
                  </w:tr>
                </w:tbl>
                <w:p w:rsidR="00401A59" w:rsidP="005C2AC7" w14:paraId="5D54D91A" w14:textId="77777777">
                  <w:pPr>
                    <w:rPr>
                      <w:color w:val="000000"/>
                      <w:sz w:val="20"/>
                    </w:rPr>
                  </w:pPr>
                </w:p>
                <w:p w:rsidR="004857BB" w:rsidP="005C2AC7" w14:paraId="00E87F1D" w14:textId="77777777">
                  <w:pPr>
                    <w:rPr>
                      <w:b/>
                      <w:bCs/>
                      <w:szCs w:val="24"/>
                    </w:rPr>
                  </w:pPr>
                </w:p>
                <w:p w:rsidR="005C2AC7" w:rsidP="00036248" w14:paraId="607E1743" w14:textId="6A2D5DCF">
                  <w:pPr>
                    <w:rPr>
                      <w:b/>
                      <w:bCs/>
                      <w:szCs w:val="24"/>
                    </w:rPr>
                  </w:pPr>
                  <w:r w:rsidRPr="00D17F6A">
                    <w:rPr>
                      <w:b/>
                      <w:bCs/>
                      <w:szCs w:val="24"/>
                    </w:rPr>
                    <w:t xml:space="preserve">Table </w:t>
                  </w:r>
                  <w:r>
                    <w:rPr>
                      <w:b/>
                      <w:bCs/>
                      <w:szCs w:val="24"/>
                    </w:rPr>
                    <w:t>1</w:t>
                  </w:r>
                  <w:r w:rsidR="00CD3BBE">
                    <w:rPr>
                      <w:b/>
                      <w:bCs/>
                      <w:szCs w:val="24"/>
                    </w:rPr>
                    <w:t>5</w:t>
                  </w:r>
                  <w:r w:rsidRPr="00D17F6A">
                    <w:rPr>
                      <w:b/>
                      <w:bCs/>
                      <w:szCs w:val="24"/>
                    </w:rPr>
                    <w:t xml:space="preserve">: </w:t>
                  </w:r>
                  <w:r>
                    <w:rPr>
                      <w:b/>
                      <w:bCs/>
                      <w:szCs w:val="24"/>
                    </w:rPr>
                    <w:t xml:space="preserve">Annual </w:t>
                  </w:r>
                  <w:r w:rsidRPr="00D17F6A">
                    <w:rPr>
                      <w:b/>
                      <w:bCs/>
                      <w:szCs w:val="24"/>
                    </w:rPr>
                    <w:t xml:space="preserve">Respondent Burden and Cost – </w:t>
                  </w:r>
                  <w:r w:rsidRPr="001E115D">
                    <w:rPr>
                      <w:b/>
                      <w:bCs/>
                      <w:szCs w:val="24"/>
                    </w:rPr>
                    <w:t>Basic Chemical Manufacturing</w:t>
                  </w:r>
                  <w:r>
                    <w:rPr>
                      <w:b/>
                      <w:bCs/>
                      <w:szCs w:val="24"/>
                    </w:rPr>
                    <w:t>,</w:t>
                  </w:r>
                  <w:r w:rsidRPr="001E115D">
                    <w:rPr>
                      <w:b/>
                      <w:bCs/>
                      <w:szCs w:val="24"/>
                    </w:rPr>
                    <w:t xml:space="preserve"> Petroleum and Coal Products Manufacturing</w:t>
                  </w:r>
                  <w:r>
                    <w:rPr>
                      <w:b/>
                      <w:bCs/>
                      <w:szCs w:val="24"/>
                    </w:rPr>
                    <w:t>,</w:t>
                  </w:r>
                  <w:r w:rsidRPr="001E115D">
                    <w:rPr>
                      <w:b/>
                      <w:bCs/>
                      <w:szCs w:val="24"/>
                    </w:rPr>
                    <w:t xml:space="preserve"> Pulp, Paper, </w:t>
                  </w:r>
                  <w:r w:rsidR="00CC39DA">
                    <w:rPr>
                      <w:b/>
                      <w:bCs/>
                      <w:szCs w:val="24"/>
                    </w:rPr>
                    <w:t>Metal</w:t>
                  </w:r>
                  <w:r w:rsidR="00A00AD8">
                    <w:rPr>
                      <w:b/>
                      <w:bCs/>
                      <w:szCs w:val="24"/>
                    </w:rPr>
                    <w:t xml:space="preserve"> Ore Mining, </w:t>
                  </w:r>
                  <w:r w:rsidRPr="001E115D">
                    <w:rPr>
                      <w:b/>
                      <w:bCs/>
                      <w:szCs w:val="24"/>
                    </w:rPr>
                    <w:t>and Paperboard Manufacturing</w:t>
                  </w:r>
                  <w:r w:rsidRPr="00D17F6A">
                    <w:rPr>
                      <w:b/>
                      <w:bCs/>
                      <w:szCs w:val="24"/>
                    </w:rPr>
                    <w:t xml:space="preserve">, </w:t>
                  </w:r>
                  <w:r>
                    <w:rPr>
                      <w:b/>
                      <w:bCs/>
                      <w:szCs w:val="24"/>
                    </w:rPr>
                    <w:t>Year 3</w:t>
                  </w:r>
                </w:p>
                <w:p w:rsidR="00CD3BBE" w:rsidP="00036248" w14:paraId="59E23129" w14:textId="440FD654">
                  <w:pPr>
                    <w:rPr>
                      <w:b/>
                      <w:bCs/>
                      <w:szCs w:val="24"/>
                    </w:rPr>
                  </w:pPr>
                </w:p>
                <w:tbl>
                  <w:tblPr>
                    <w:tblW w:w="12840" w:type="dxa"/>
                    <w:tblLayout w:type="fixed"/>
                    <w:tblLook w:val="04A0"/>
                  </w:tblPr>
                  <w:tblGrid>
                    <w:gridCol w:w="2800"/>
                    <w:gridCol w:w="1120"/>
                    <w:gridCol w:w="1320"/>
                    <w:gridCol w:w="1240"/>
                    <w:gridCol w:w="1280"/>
                    <w:gridCol w:w="1160"/>
                    <w:gridCol w:w="1280"/>
                    <w:gridCol w:w="1260"/>
                    <w:gridCol w:w="1380"/>
                  </w:tblGrid>
                  <w:tr w14:paraId="49D28B0E" w14:textId="77777777" w:rsidTr="00344573">
                    <w:tblPrEx>
                      <w:tblW w:w="12840" w:type="dxa"/>
                      <w:tblLayout w:type="fixed"/>
                      <w:tblLook w:val="04A0"/>
                    </w:tblPrEx>
                    <w:trPr>
                      <w:trHeight w:val="1300"/>
                    </w:trPr>
                    <w:tc>
                      <w:tcPr>
                        <w:tcW w:w="2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573" w:rsidRPr="00344573" w:rsidP="00344573" w14:paraId="15FEA90E" w14:textId="77777777">
                        <w:pPr>
                          <w:jc w:val="center"/>
                          <w:rPr>
                            <w:b/>
                            <w:bCs/>
                            <w:color w:val="000000"/>
                            <w:sz w:val="20"/>
                          </w:rPr>
                        </w:pPr>
                        <w:r w:rsidRPr="00344573">
                          <w:rPr>
                            <w:b/>
                            <w:bCs/>
                            <w:color w:val="000000"/>
                            <w:sz w:val="20"/>
                          </w:rPr>
                          <w:t>Burden Item</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344573" w:rsidRPr="00344573" w:rsidP="00344573" w14:paraId="65A8378E" w14:textId="77777777">
                        <w:pPr>
                          <w:jc w:val="center"/>
                          <w:rPr>
                            <w:color w:val="000000"/>
                            <w:sz w:val="20"/>
                          </w:rPr>
                        </w:pPr>
                        <w:r w:rsidRPr="00344573">
                          <w:rPr>
                            <w:color w:val="000000"/>
                            <w:sz w:val="20"/>
                          </w:rPr>
                          <w:t>(A)</w:t>
                        </w:r>
                        <w:r w:rsidRPr="00344573">
                          <w:rPr>
                            <w:color w:val="000000"/>
                            <w:sz w:val="20"/>
                          </w:rPr>
                          <w:br/>
                        </w:r>
                        <w:r w:rsidRPr="00344573">
                          <w:rPr>
                            <w:color w:val="000000"/>
                            <w:sz w:val="20"/>
                          </w:rPr>
                          <w:t>Hours per Occurrence</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344573" w:rsidRPr="00344573" w:rsidP="00344573" w14:paraId="016828A4" w14:textId="77777777">
                        <w:pPr>
                          <w:jc w:val="center"/>
                          <w:rPr>
                            <w:sz w:val="20"/>
                          </w:rPr>
                        </w:pPr>
                        <w:r w:rsidRPr="00344573">
                          <w:rPr>
                            <w:sz w:val="20"/>
                          </w:rPr>
                          <w:t>(B)</w:t>
                        </w:r>
                        <w:r w:rsidRPr="00344573">
                          <w:rPr>
                            <w:sz w:val="20"/>
                          </w:rPr>
                          <w:br/>
                        </w:r>
                        <w:r w:rsidRPr="00344573">
                          <w:rPr>
                            <w:sz w:val="20"/>
                          </w:rPr>
                          <w:t>Occurrences/ Respondent/ Year</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344573" w:rsidRPr="00344573" w:rsidP="00344573" w14:paraId="13EBDE31" w14:textId="77777777">
                        <w:pPr>
                          <w:jc w:val="center"/>
                          <w:rPr>
                            <w:color w:val="000000"/>
                            <w:sz w:val="20"/>
                          </w:rPr>
                        </w:pPr>
                        <w:r w:rsidRPr="00344573">
                          <w:rPr>
                            <w:color w:val="000000"/>
                            <w:sz w:val="20"/>
                          </w:rPr>
                          <w:t>(C)</w:t>
                        </w:r>
                        <w:r w:rsidRPr="00344573">
                          <w:rPr>
                            <w:color w:val="000000"/>
                            <w:sz w:val="20"/>
                          </w:rPr>
                          <w:br/>
                        </w:r>
                        <w:r w:rsidRPr="00344573">
                          <w:rPr>
                            <w:color w:val="000000"/>
                            <w:sz w:val="20"/>
                          </w:rPr>
                          <w:t xml:space="preserve">Hours/ Respondent/ Year </w:t>
                        </w:r>
                        <w:r w:rsidRPr="00344573">
                          <w:rPr>
                            <w:color w:val="000000"/>
                            <w:sz w:val="20"/>
                          </w:rPr>
                          <w:br/>
                        </w:r>
                        <w:r w:rsidRPr="00344573">
                          <w:rPr>
                            <w:color w:val="000000"/>
                            <w:sz w:val="20"/>
                          </w:rPr>
                          <w:t>(A x B)</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344573" w:rsidRPr="00344573" w:rsidP="00344573" w14:paraId="5AB7C3A2" w14:textId="77777777">
                        <w:pPr>
                          <w:jc w:val="center"/>
                          <w:rPr>
                            <w:sz w:val="20"/>
                          </w:rPr>
                        </w:pPr>
                        <w:r w:rsidRPr="00344573">
                          <w:rPr>
                            <w:sz w:val="20"/>
                          </w:rPr>
                          <w:t>(D)</w:t>
                        </w:r>
                        <w:r w:rsidRPr="00344573">
                          <w:rPr>
                            <w:sz w:val="20"/>
                          </w:rPr>
                          <w:br/>
                        </w:r>
                        <w:r w:rsidRPr="00344573">
                          <w:rPr>
                            <w:sz w:val="20"/>
                          </w:rPr>
                          <w:t>Respondents/</w:t>
                        </w:r>
                        <w:r w:rsidRPr="00344573">
                          <w:rPr>
                            <w:sz w:val="20"/>
                          </w:rPr>
                          <w:br/>
                        </w:r>
                        <w:r w:rsidRPr="00344573">
                          <w:rPr>
                            <w:sz w:val="20"/>
                          </w:rPr>
                          <w:t>Year</w:t>
                        </w:r>
                        <w:r w:rsidRPr="00344573">
                          <w:rPr>
                            <w:sz w:val="20"/>
                            <w:vertAlign w:val="superscript"/>
                          </w:rPr>
                          <w:t>a</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344573" w:rsidRPr="00344573" w:rsidP="00344573" w14:paraId="56D90E48" w14:textId="77777777">
                        <w:pPr>
                          <w:jc w:val="center"/>
                          <w:rPr>
                            <w:color w:val="000000"/>
                            <w:sz w:val="20"/>
                          </w:rPr>
                        </w:pPr>
                        <w:r w:rsidRPr="00344573">
                          <w:rPr>
                            <w:color w:val="000000"/>
                            <w:sz w:val="20"/>
                          </w:rPr>
                          <w:t>(E)</w:t>
                        </w:r>
                        <w:r w:rsidRPr="00344573">
                          <w:rPr>
                            <w:color w:val="000000"/>
                            <w:sz w:val="20"/>
                          </w:rPr>
                          <w:br/>
                        </w:r>
                        <w:r w:rsidRPr="00344573">
                          <w:rPr>
                            <w:color w:val="000000"/>
                            <w:sz w:val="20"/>
                          </w:rPr>
                          <w:t xml:space="preserve">Technical Hours/Year </w:t>
                        </w:r>
                        <w:r w:rsidRPr="00344573">
                          <w:rPr>
                            <w:color w:val="000000"/>
                            <w:sz w:val="20"/>
                          </w:rPr>
                          <w:br/>
                        </w:r>
                        <w:r w:rsidRPr="00344573">
                          <w:rPr>
                            <w:color w:val="000000"/>
                            <w:sz w:val="20"/>
                          </w:rPr>
                          <w:t>(C x D)</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344573" w:rsidRPr="00344573" w:rsidP="00344573" w14:paraId="6005BC04" w14:textId="77777777">
                        <w:pPr>
                          <w:jc w:val="center"/>
                          <w:rPr>
                            <w:color w:val="000000"/>
                            <w:sz w:val="20"/>
                          </w:rPr>
                        </w:pPr>
                        <w:r w:rsidRPr="00344573">
                          <w:rPr>
                            <w:color w:val="000000"/>
                            <w:sz w:val="20"/>
                          </w:rPr>
                          <w:t xml:space="preserve">(F) Managerial Hours/Year </w:t>
                        </w:r>
                        <w:r w:rsidRPr="00344573">
                          <w:rPr>
                            <w:color w:val="000000"/>
                            <w:sz w:val="20"/>
                          </w:rPr>
                          <w:br/>
                        </w:r>
                        <w:r w:rsidRPr="00344573">
                          <w:rPr>
                            <w:color w:val="000000"/>
                            <w:sz w:val="20"/>
                          </w:rPr>
                          <w:t>(E x 0.05)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344573" w:rsidRPr="00344573" w:rsidP="00344573" w14:paraId="570AD9D1" w14:textId="77777777">
                        <w:pPr>
                          <w:jc w:val="center"/>
                          <w:rPr>
                            <w:color w:val="000000"/>
                            <w:sz w:val="20"/>
                          </w:rPr>
                        </w:pPr>
                        <w:r w:rsidRPr="00344573">
                          <w:rPr>
                            <w:color w:val="000000"/>
                            <w:sz w:val="20"/>
                          </w:rPr>
                          <w:t xml:space="preserve">(G) </w:t>
                        </w:r>
                        <w:r w:rsidRPr="00344573">
                          <w:rPr>
                            <w:color w:val="000000"/>
                            <w:sz w:val="20"/>
                          </w:rPr>
                          <w:br/>
                        </w:r>
                        <w:r w:rsidRPr="00344573">
                          <w:rPr>
                            <w:color w:val="000000"/>
                            <w:sz w:val="20"/>
                          </w:rPr>
                          <w:t xml:space="preserve">Clerical Hours/Year </w:t>
                        </w:r>
                        <w:r w:rsidRPr="00344573">
                          <w:rPr>
                            <w:color w:val="000000"/>
                            <w:sz w:val="20"/>
                          </w:rPr>
                          <w:br/>
                        </w:r>
                        <w:r w:rsidRPr="00344573">
                          <w:rPr>
                            <w:color w:val="000000"/>
                            <w:sz w:val="20"/>
                          </w:rPr>
                          <w:t>(E x 0.10)</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344573" w:rsidRPr="00344573" w:rsidP="00344573" w14:paraId="56530423" w14:textId="77777777">
                        <w:pPr>
                          <w:jc w:val="center"/>
                          <w:rPr>
                            <w:color w:val="000000"/>
                            <w:sz w:val="20"/>
                          </w:rPr>
                        </w:pPr>
                        <w:r w:rsidRPr="00344573">
                          <w:rPr>
                            <w:color w:val="000000"/>
                            <w:sz w:val="20"/>
                          </w:rPr>
                          <w:t>(H)</w:t>
                        </w:r>
                        <w:r w:rsidRPr="00344573">
                          <w:rPr>
                            <w:color w:val="000000"/>
                            <w:sz w:val="20"/>
                          </w:rPr>
                          <w:br/>
                        </w:r>
                        <w:r w:rsidRPr="00344573">
                          <w:rPr>
                            <w:color w:val="000000"/>
                            <w:sz w:val="20"/>
                          </w:rPr>
                          <w:t>Cost/ Year</w:t>
                        </w:r>
                        <w:r w:rsidRPr="00344573">
                          <w:rPr>
                            <w:color w:val="000000"/>
                            <w:sz w:val="20"/>
                            <w:vertAlign w:val="superscript"/>
                          </w:rPr>
                          <w:t>b</w:t>
                        </w:r>
                      </w:p>
                    </w:tc>
                  </w:tr>
                  <w:tr w14:paraId="65B6C6F4" w14:textId="77777777" w:rsidTr="00344573">
                    <w:tblPrEx>
                      <w:tblW w:w="12840" w:type="dxa"/>
                      <w:tblLayout w:type="fixed"/>
                      <w:tblLook w:val="04A0"/>
                    </w:tblPrEx>
                    <w:trPr>
                      <w:trHeight w:val="26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2D2D77D9" w14:textId="77777777">
                        <w:pPr>
                          <w:rPr>
                            <w:color w:val="000000"/>
                            <w:sz w:val="20"/>
                          </w:rPr>
                        </w:pPr>
                        <w:r w:rsidRPr="00344573">
                          <w:rPr>
                            <w:color w:val="000000"/>
                            <w:sz w:val="20"/>
                          </w:rPr>
                          <w:t xml:space="preserve">1. APPLICATIONS </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445B788E" w14:textId="77777777">
                        <w:pPr>
                          <w:jc w:val="center"/>
                          <w:rPr>
                            <w:color w:val="000000"/>
                            <w:sz w:val="20"/>
                          </w:rPr>
                        </w:pPr>
                        <w:r w:rsidRPr="00344573">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042CA652"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3FF55D3F"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43072256"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03BD1F07"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095C0499"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2A2905C6" w14:textId="77777777">
                        <w:pPr>
                          <w:jc w:val="right"/>
                          <w:rPr>
                            <w:color w:val="000000"/>
                            <w:sz w:val="20"/>
                          </w:rPr>
                        </w:pPr>
                        <w:r w:rsidRPr="00344573">
                          <w:rPr>
                            <w:color w:val="000000"/>
                            <w:sz w:val="20"/>
                          </w:rPr>
                          <w:t> </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02CF4C82" w14:textId="77777777">
                        <w:pPr>
                          <w:jc w:val="right"/>
                          <w:rPr>
                            <w:color w:val="000000"/>
                            <w:sz w:val="20"/>
                          </w:rPr>
                        </w:pPr>
                        <w:r w:rsidRPr="00344573">
                          <w:rPr>
                            <w:color w:val="000000"/>
                            <w:sz w:val="20"/>
                          </w:rPr>
                          <w:t> </w:t>
                        </w:r>
                      </w:p>
                    </w:tc>
                  </w:tr>
                  <w:tr w14:paraId="202AA285" w14:textId="77777777" w:rsidTr="00344573">
                    <w:tblPrEx>
                      <w:tblW w:w="12840" w:type="dxa"/>
                      <w:tblLayout w:type="fixed"/>
                      <w:tblLook w:val="04A0"/>
                    </w:tblPrEx>
                    <w:trPr>
                      <w:trHeight w:val="1183"/>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2FFB7388" w14:textId="77777777">
                        <w:pPr>
                          <w:rPr>
                            <w:color w:val="000000"/>
                            <w:sz w:val="20"/>
                          </w:rPr>
                        </w:pPr>
                        <w:r w:rsidRPr="00344573">
                          <w:rPr>
                            <w:color w:val="000000"/>
                            <w:sz w:val="20"/>
                          </w:rPr>
                          <w:t xml:space="preserve">2. SURVEY AND STUDIES </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5C8C00AC" w14:textId="77777777">
                        <w:pPr>
                          <w:jc w:val="center"/>
                          <w:rPr>
                            <w:color w:val="000000"/>
                            <w:sz w:val="20"/>
                          </w:rPr>
                        </w:pPr>
                        <w:r w:rsidRPr="00344573">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02029F47"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39A523A3"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0F54EA94"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47B7E963"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75814896"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7BCAA996" w14:textId="77777777">
                        <w:pPr>
                          <w:jc w:val="right"/>
                          <w:rPr>
                            <w:color w:val="000000"/>
                            <w:sz w:val="20"/>
                          </w:rPr>
                        </w:pPr>
                        <w:r w:rsidRPr="00344573">
                          <w:rPr>
                            <w:color w:val="000000"/>
                            <w:sz w:val="20"/>
                          </w:rPr>
                          <w:t> </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28D8CC84" w14:textId="77777777">
                        <w:pPr>
                          <w:jc w:val="right"/>
                          <w:rPr>
                            <w:color w:val="000000"/>
                            <w:sz w:val="20"/>
                          </w:rPr>
                        </w:pPr>
                        <w:r w:rsidRPr="00344573">
                          <w:rPr>
                            <w:color w:val="000000"/>
                            <w:sz w:val="20"/>
                          </w:rPr>
                          <w:t> </w:t>
                        </w:r>
                      </w:p>
                    </w:tc>
                  </w:tr>
                  <w:tr w14:paraId="30D845DD" w14:textId="77777777" w:rsidTr="00344573">
                    <w:tblPrEx>
                      <w:tblW w:w="12840" w:type="dxa"/>
                      <w:tblLayout w:type="fixed"/>
                      <w:tblLook w:val="04A0"/>
                    </w:tblPrEx>
                    <w:trPr>
                      <w:trHeight w:val="137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1EA9957F" w14:textId="77777777">
                        <w:pPr>
                          <w:rPr>
                            <w:color w:val="000000"/>
                            <w:sz w:val="20"/>
                          </w:rPr>
                        </w:pPr>
                        <w:r w:rsidRPr="00344573">
                          <w:rPr>
                            <w:color w:val="000000"/>
                            <w:sz w:val="20"/>
                          </w:rPr>
                          <w:t>3.ACQUISITION, INSTALLATION, AND UTILIZATION OF TECHNOLOGY AND SYSTEMS</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6AD8E00F"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1D187EC3"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4FC3B41D"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21E19BFF"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672A48D8"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5C39840C"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258BAAAF" w14:textId="77777777">
                        <w:pPr>
                          <w:jc w:val="center"/>
                          <w:rPr>
                            <w:color w:val="000000"/>
                            <w:sz w:val="20"/>
                          </w:rPr>
                        </w:pPr>
                        <w:r w:rsidRPr="00344573">
                          <w:rPr>
                            <w:color w:val="000000"/>
                            <w:sz w:val="20"/>
                          </w:rPr>
                          <w:t>0</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7A1FCBBF" w14:textId="77777777">
                        <w:pPr>
                          <w:jc w:val="right"/>
                          <w:rPr>
                            <w:color w:val="000000"/>
                            <w:sz w:val="20"/>
                          </w:rPr>
                        </w:pPr>
                        <w:r w:rsidRPr="00344573">
                          <w:rPr>
                            <w:color w:val="000000"/>
                            <w:sz w:val="20"/>
                          </w:rPr>
                          <w:t xml:space="preserve">$0 </w:t>
                        </w:r>
                      </w:p>
                    </w:tc>
                  </w:tr>
                  <w:tr w14:paraId="7D7E7C37" w14:textId="77777777" w:rsidTr="00344573">
                    <w:tblPrEx>
                      <w:tblW w:w="12840" w:type="dxa"/>
                      <w:tblLayout w:type="fixed"/>
                      <w:tblLook w:val="04A0"/>
                    </w:tblPrEx>
                    <w:trPr>
                      <w:trHeight w:val="56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73FD0347" w14:textId="77777777">
                        <w:pPr>
                          <w:rPr>
                            <w:color w:val="000000"/>
                            <w:sz w:val="20"/>
                          </w:rPr>
                        </w:pPr>
                        <w:r w:rsidRPr="00344573">
                          <w:rPr>
                            <w:color w:val="000000"/>
                            <w:sz w:val="20"/>
                          </w:rPr>
                          <w:t>4. REPORT REQUIREMENTS</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4C73AC62" w14:textId="77777777">
                        <w:pPr>
                          <w:jc w:val="center"/>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0CA91388" w14:textId="77777777">
                        <w:pPr>
                          <w:jc w:val="center"/>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4D5EF969" w14:textId="77777777">
                        <w:pPr>
                          <w:jc w:val="center"/>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4F93030A" w14:textId="77777777">
                        <w:pPr>
                          <w:jc w:val="center"/>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55E884ED" w14:textId="77777777">
                        <w:pPr>
                          <w:jc w:val="center"/>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54406052" w14:textId="77777777">
                        <w:pPr>
                          <w:jc w:val="center"/>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44BC1D07" w14:textId="77777777">
                        <w:pPr>
                          <w:jc w:val="center"/>
                          <w:rPr>
                            <w:color w:val="000000"/>
                            <w:sz w:val="20"/>
                          </w:rPr>
                        </w:pPr>
                        <w:r w:rsidRPr="00344573">
                          <w:rPr>
                            <w:color w:val="000000"/>
                            <w:sz w:val="20"/>
                          </w:rPr>
                          <w:t> </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7FB27D51" w14:textId="77777777">
                        <w:pPr>
                          <w:jc w:val="right"/>
                          <w:rPr>
                            <w:color w:val="000000"/>
                            <w:sz w:val="20"/>
                          </w:rPr>
                        </w:pPr>
                        <w:r w:rsidRPr="00344573">
                          <w:rPr>
                            <w:color w:val="000000"/>
                            <w:sz w:val="20"/>
                          </w:rPr>
                          <w:t> </w:t>
                        </w:r>
                      </w:p>
                    </w:tc>
                  </w:tr>
                  <w:tr w14:paraId="661F3A52" w14:textId="77777777" w:rsidTr="00344573">
                    <w:tblPrEx>
                      <w:tblW w:w="12840" w:type="dxa"/>
                      <w:tblLayout w:type="fixed"/>
                      <w:tblLook w:val="04A0"/>
                    </w:tblPrEx>
                    <w:trPr>
                      <w:trHeight w:val="1153"/>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78704A7B" w14:textId="77777777">
                        <w:pPr>
                          <w:rPr>
                            <w:color w:val="000000"/>
                            <w:sz w:val="20"/>
                          </w:rPr>
                        </w:pPr>
                        <w:r w:rsidRPr="00344573">
                          <w:rPr>
                            <w:color w:val="000000"/>
                            <w:sz w:val="20"/>
                          </w:rPr>
                          <w:t xml:space="preserve">REQUEST FOR EXTENSION OF COMPLIANCE - Per 52.40(d);  (based on BACT analysis of 2020 NSR ICR) </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06E63E4F" w14:textId="77777777">
                        <w:pPr>
                          <w:jc w:val="center"/>
                          <w:rPr>
                            <w:color w:val="000000"/>
                            <w:sz w:val="20"/>
                          </w:rPr>
                        </w:pPr>
                        <w:r w:rsidRPr="00344573">
                          <w:rPr>
                            <w:color w:val="000000"/>
                            <w:sz w:val="20"/>
                          </w:rPr>
                          <w:t>156</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49F10649" w14:textId="77777777">
                        <w:pPr>
                          <w:jc w:val="center"/>
                          <w:rPr>
                            <w:sz w:val="20"/>
                          </w:rPr>
                        </w:pPr>
                        <w:r w:rsidRPr="00344573">
                          <w:rPr>
                            <w:sz w:val="20"/>
                          </w:rPr>
                          <w:t>1</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3E8AF117" w14:textId="77777777">
                        <w:pPr>
                          <w:jc w:val="center"/>
                          <w:rPr>
                            <w:color w:val="000000"/>
                            <w:sz w:val="20"/>
                          </w:rPr>
                        </w:pPr>
                        <w:r w:rsidRPr="00344573">
                          <w:rPr>
                            <w:color w:val="000000"/>
                            <w:sz w:val="20"/>
                          </w:rPr>
                          <w:t>156</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734FDFA3" w14:textId="77777777">
                        <w:pPr>
                          <w:jc w:val="center"/>
                          <w:rPr>
                            <w:sz w:val="20"/>
                          </w:rPr>
                        </w:pPr>
                        <w:r w:rsidRPr="00344573">
                          <w:rPr>
                            <w:sz w:val="20"/>
                          </w:rPr>
                          <w:t>2.08</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5A4359B6" w14:textId="77777777">
                        <w:pPr>
                          <w:jc w:val="center"/>
                          <w:rPr>
                            <w:color w:val="000000"/>
                            <w:sz w:val="20"/>
                          </w:rPr>
                        </w:pPr>
                        <w:r w:rsidRPr="00344573">
                          <w:rPr>
                            <w:color w:val="000000"/>
                            <w:sz w:val="20"/>
                          </w:rPr>
                          <w:t>324.48</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64D591BA" w14:textId="77777777">
                        <w:pPr>
                          <w:jc w:val="center"/>
                          <w:rPr>
                            <w:color w:val="000000"/>
                            <w:sz w:val="20"/>
                          </w:rPr>
                        </w:pPr>
                        <w:r w:rsidRPr="00344573">
                          <w:rPr>
                            <w:color w:val="000000"/>
                            <w:sz w:val="20"/>
                          </w:rPr>
                          <w:t>16.224</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70447B03" w14:textId="77777777">
                        <w:pPr>
                          <w:jc w:val="center"/>
                          <w:rPr>
                            <w:color w:val="000000"/>
                            <w:sz w:val="20"/>
                          </w:rPr>
                        </w:pPr>
                        <w:r w:rsidRPr="00344573">
                          <w:rPr>
                            <w:color w:val="000000"/>
                            <w:sz w:val="20"/>
                          </w:rPr>
                          <w:t>32.448</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0E301841" w14:textId="0EA0D80E">
                        <w:pPr>
                          <w:jc w:val="right"/>
                          <w:rPr>
                            <w:color w:val="000000"/>
                            <w:sz w:val="20"/>
                          </w:rPr>
                        </w:pPr>
                        <w:r w:rsidRPr="00344573">
                          <w:rPr>
                            <w:color w:val="000000"/>
                            <w:sz w:val="20"/>
                          </w:rPr>
                          <w:t xml:space="preserve">$46,135 </w:t>
                        </w:r>
                      </w:p>
                    </w:tc>
                  </w:tr>
                  <w:tr w14:paraId="623608AF" w14:textId="77777777" w:rsidTr="00344573">
                    <w:tblPrEx>
                      <w:tblW w:w="12840" w:type="dxa"/>
                      <w:tblLayout w:type="fixed"/>
                      <w:tblLook w:val="04A0"/>
                    </w:tblPrEx>
                    <w:trPr>
                      <w:trHeight w:val="52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570D4B48" w14:textId="77777777">
                        <w:pPr>
                          <w:rPr>
                            <w:color w:val="000000"/>
                            <w:sz w:val="20"/>
                          </w:rPr>
                        </w:pPr>
                        <w:r w:rsidRPr="00344573">
                          <w:rPr>
                            <w:color w:val="000000"/>
                            <w:sz w:val="20"/>
                          </w:rPr>
                          <w:t>A. Familiarize with regulatory requirement</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340DEDC9" w14:textId="77777777">
                        <w:pPr>
                          <w:jc w:val="center"/>
                          <w:rPr>
                            <w:color w:val="000000"/>
                            <w:sz w:val="20"/>
                          </w:rPr>
                        </w:pPr>
                        <w:r w:rsidRPr="00344573">
                          <w:rPr>
                            <w:color w:val="000000"/>
                            <w:sz w:val="20"/>
                          </w:rPr>
                          <w:t>10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15680FB0" w14:textId="77777777">
                        <w:pPr>
                          <w:jc w:val="center"/>
                          <w:rPr>
                            <w:sz w:val="20"/>
                          </w:rPr>
                        </w:pPr>
                        <w:r w:rsidRPr="00344573">
                          <w:rPr>
                            <w:sz w:val="20"/>
                          </w:rPr>
                          <w:t>1</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542E9A58" w14:textId="77777777">
                        <w:pPr>
                          <w:jc w:val="center"/>
                          <w:rPr>
                            <w:color w:val="000000"/>
                            <w:sz w:val="20"/>
                          </w:rPr>
                        </w:pPr>
                        <w:r w:rsidRPr="00344573">
                          <w:rPr>
                            <w:color w:val="000000"/>
                            <w:sz w:val="20"/>
                          </w:rPr>
                          <w:t>10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1AE3FFC8" w14:textId="77777777">
                        <w:pPr>
                          <w:jc w:val="center"/>
                          <w:rPr>
                            <w:sz w:val="20"/>
                          </w:rPr>
                        </w:pPr>
                        <w:r w:rsidRPr="00344573">
                          <w:rPr>
                            <w:sz w:val="20"/>
                          </w:rPr>
                          <w:t>208</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37D85F05" w14:textId="77777777">
                        <w:pPr>
                          <w:jc w:val="center"/>
                          <w:rPr>
                            <w:color w:val="000000"/>
                            <w:sz w:val="20"/>
                          </w:rPr>
                        </w:pPr>
                        <w:r w:rsidRPr="00344573">
                          <w:rPr>
                            <w:color w:val="000000"/>
                            <w:sz w:val="20"/>
                          </w:rPr>
                          <w:t>2080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02C2019C" w14:textId="77777777">
                        <w:pPr>
                          <w:jc w:val="center"/>
                          <w:rPr>
                            <w:color w:val="000000"/>
                            <w:sz w:val="20"/>
                          </w:rPr>
                        </w:pPr>
                        <w:r w:rsidRPr="00344573">
                          <w:rPr>
                            <w:color w:val="000000"/>
                            <w:sz w:val="20"/>
                          </w:rPr>
                          <w:t>104</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67C47963" w14:textId="77777777">
                        <w:pPr>
                          <w:jc w:val="center"/>
                          <w:rPr>
                            <w:color w:val="000000"/>
                            <w:sz w:val="20"/>
                          </w:rPr>
                        </w:pPr>
                        <w:r w:rsidRPr="00344573">
                          <w:rPr>
                            <w:color w:val="000000"/>
                            <w:sz w:val="20"/>
                          </w:rPr>
                          <w:t>208</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7771C240" w14:textId="5EC3E0D2">
                        <w:pPr>
                          <w:jc w:val="right"/>
                          <w:rPr>
                            <w:color w:val="000000"/>
                            <w:sz w:val="20"/>
                          </w:rPr>
                        </w:pPr>
                        <w:r w:rsidRPr="00344573">
                          <w:rPr>
                            <w:color w:val="000000"/>
                            <w:sz w:val="20"/>
                          </w:rPr>
                          <w:t>$295,7</w:t>
                        </w:r>
                        <w:r w:rsidR="00AF690E">
                          <w:rPr>
                            <w:color w:val="000000"/>
                            <w:sz w:val="20"/>
                          </w:rPr>
                          <w:t>40</w:t>
                        </w:r>
                        <w:r w:rsidRPr="00344573">
                          <w:rPr>
                            <w:color w:val="000000"/>
                            <w:sz w:val="20"/>
                          </w:rPr>
                          <w:t xml:space="preserve"> </w:t>
                        </w:r>
                      </w:p>
                    </w:tc>
                  </w:tr>
                  <w:tr w14:paraId="20F3F2F2" w14:textId="77777777" w:rsidTr="00344573">
                    <w:tblPrEx>
                      <w:tblW w:w="12840" w:type="dxa"/>
                      <w:tblLayout w:type="fixed"/>
                      <w:tblLook w:val="04A0"/>
                    </w:tblPrEx>
                    <w:trPr>
                      <w:trHeight w:val="315"/>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4DF81018" w14:textId="77777777">
                        <w:pPr>
                          <w:rPr>
                            <w:color w:val="000000"/>
                            <w:sz w:val="20"/>
                          </w:rPr>
                        </w:pPr>
                        <w:r w:rsidRPr="00344573">
                          <w:rPr>
                            <w:color w:val="000000"/>
                            <w:sz w:val="20"/>
                          </w:rPr>
                          <w:t>B. Required Activities</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408E3F7C" w14:textId="77777777">
                        <w:pPr>
                          <w:jc w:val="center"/>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2C265EED" w14:textId="77777777">
                        <w:pPr>
                          <w:jc w:val="center"/>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57146CA2" w14:textId="77777777">
                        <w:pPr>
                          <w:jc w:val="center"/>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45986814" w14:textId="77777777">
                        <w:pPr>
                          <w:jc w:val="center"/>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02DDB052" w14:textId="77777777">
                        <w:pPr>
                          <w:jc w:val="center"/>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0DC1E03B" w14:textId="77777777">
                        <w:pPr>
                          <w:jc w:val="center"/>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61C3F1E1" w14:textId="77777777">
                        <w:pPr>
                          <w:jc w:val="center"/>
                          <w:rPr>
                            <w:color w:val="000000"/>
                            <w:sz w:val="20"/>
                          </w:rPr>
                        </w:pPr>
                        <w:r w:rsidRPr="00344573">
                          <w:rPr>
                            <w:color w:val="000000"/>
                            <w:sz w:val="20"/>
                          </w:rPr>
                          <w:t> </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3523294B" w14:textId="77777777">
                        <w:pPr>
                          <w:jc w:val="right"/>
                          <w:rPr>
                            <w:color w:val="000000"/>
                            <w:sz w:val="20"/>
                          </w:rPr>
                        </w:pPr>
                        <w:r w:rsidRPr="00344573">
                          <w:rPr>
                            <w:color w:val="000000"/>
                            <w:sz w:val="20"/>
                          </w:rPr>
                          <w:t> </w:t>
                        </w:r>
                      </w:p>
                    </w:tc>
                  </w:tr>
                  <w:tr w14:paraId="2328E135" w14:textId="77777777" w:rsidTr="00344573">
                    <w:tblPrEx>
                      <w:tblW w:w="12840" w:type="dxa"/>
                      <w:tblLayout w:type="fixed"/>
                      <w:tblLook w:val="04A0"/>
                    </w:tblPrEx>
                    <w:trPr>
                      <w:trHeight w:val="31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49BBF971" w14:textId="77777777">
                        <w:pPr>
                          <w:rPr>
                            <w:i/>
                            <w:iCs/>
                            <w:color w:val="000000"/>
                            <w:sz w:val="20"/>
                          </w:rPr>
                        </w:pPr>
                        <w:r w:rsidRPr="00344573">
                          <w:rPr>
                            <w:i/>
                            <w:iCs/>
                            <w:color w:val="000000"/>
                            <w:sz w:val="20"/>
                          </w:rPr>
                          <w:t xml:space="preserve">New Sources - Testing </w:t>
                        </w:r>
                        <w:r w:rsidRPr="00344573">
                          <w:rPr>
                            <w:color w:val="000000"/>
                            <w:sz w:val="20"/>
                            <w:vertAlign w:val="superscript"/>
                          </w:rPr>
                          <w:t>c</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4B5D417C" w14:textId="77777777">
                        <w:pPr>
                          <w:jc w:val="center"/>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53A61F4B" w14:textId="77777777">
                        <w:pPr>
                          <w:jc w:val="center"/>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270B53A5" w14:textId="77777777">
                        <w:pPr>
                          <w:jc w:val="center"/>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78949AC8" w14:textId="77777777">
                        <w:pPr>
                          <w:jc w:val="center"/>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7802F38C" w14:textId="77777777">
                        <w:pPr>
                          <w:jc w:val="center"/>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24463CAB" w14:textId="77777777">
                        <w:pPr>
                          <w:jc w:val="center"/>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35923ADF" w14:textId="77777777">
                        <w:pPr>
                          <w:jc w:val="center"/>
                          <w:rPr>
                            <w:color w:val="000000"/>
                            <w:sz w:val="20"/>
                          </w:rPr>
                        </w:pPr>
                        <w:r w:rsidRPr="00344573">
                          <w:rPr>
                            <w:color w:val="000000"/>
                            <w:sz w:val="20"/>
                          </w:rPr>
                          <w:t> </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45E9532E" w14:textId="77777777">
                        <w:pPr>
                          <w:jc w:val="right"/>
                          <w:rPr>
                            <w:color w:val="000000"/>
                            <w:sz w:val="20"/>
                          </w:rPr>
                        </w:pPr>
                        <w:r w:rsidRPr="00344573">
                          <w:rPr>
                            <w:color w:val="000000"/>
                            <w:sz w:val="20"/>
                          </w:rPr>
                          <w:t> </w:t>
                        </w:r>
                      </w:p>
                    </w:tc>
                  </w:tr>
                  <w:tr w14:paraId="2114A29B" w14:textId="77777777" w:rsidTr="00344573">
                    <w:tblPrEx>
                      <w:tblW w:w="12840" w:type="dxa"/>
                      <w:tblLayout w:type="fixed"/>
                      <w:tblLook w:val="04A0"/>
                    </w:tblPrEx>
                    <w:trPr>
                      <w:trHeight w:val="48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72546B65" w14:textId="77777777">
                        <w:pPr>
                          <w:rPr>
                            <w:sz w:val="20"/>
                          </w:rPr>
                        </w:pPr>
                        <w:r w:rsidRPr="00344573">
                          <w:rPr>
                            <w:sz w:val="20"/>
                          </w:rPr>
                          <w:t>Initial NOx Performance Test (boiler)</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2BA8E3ED"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093CB3AC"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78C58647"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4CBD45DB"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142DCA56"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3BB80EAC"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1F17B6A0" w14:textId="77777777">
                        <w:pPr>
                          <w:jc w:val="center"/>
                          <w:rPr>
                            <w:color w:val="000000"/>
                            <w:sz w:val="20"/>
                          </w:rPr>
                        </w:pPr>
                        <w:r w:rsidRPr="00344573">
                          <w:rPr>
                            <w:color w:val="000000"/>
                            <w:sz w:val="20"/>
                          </w:rPr>
                          <w:t>0</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6BC5DF4E" w14:textId="77777777">
                        <w:pPr>
                          <w:jc w:val="right"/>
                          <w:rPr>
                            <w:color w:val="000000"/>
                            <w:sz w:val="20"/>
                          </w:rPr>
                        </w:pPr>
                        <w:r w:rsidRPr="00344573">
                          <w:rPr>
                            <w:color w:val="000000"/>
                            <w:sz w:val="20"/>
                          </w:rPr>
                          <w:t xml:space="preserve">$0.00 </w:t>
                        </w:r>
                      </w:p>
                    </w:tc>
                  </w:tr>
                  <w:tr w14:paraId="5D042586" w14:textId="77777777" w:rsidTr="00344573">
                    <w:tblPrEx>
                      <w:tblW w:w="12840" w:type="dxa"/>
                      <w:tblLayout w:type="fixed"/>
                      <w:tblLook w:val="04A0"/>
                    </w:tblPrEx>
                    <w:trPr>
                      <w:trHeight w:val="26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2FAEE41C" w14:textId="77777777">
                        <w:pPr>
                          <w:rPr>
                            <w:sz w:val="20"/>
                          </w:rPr>
                        </w:pPr>
                        <w:r w:rsidRPr="00344573">
                          <w:rPr>
                            <w:sz w:val="20"/>
                          </w:rPr>
                          <w:t>Repeat NOx Performance Test</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6371CACE"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1F7E295D"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4605972C"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5F854A46"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177F50B9"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0A489543"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1D92ECD4" w14:textId="77777777">
                        <w:pPr>
                          <w:jc w:val="center"/>
                          <w:rPr>
                            <w:color w:val="000000"/>
                            <w:sz w:val="20"/>
                          </w:rPr>
                        </w:pPr>
                        <w:r w:rsidRPr="00344573">
                          <w:rPr>
                            <w:color w:val="000000"/>
                            <w:sz w:val="20"/>
                          </w:rPr>
                          <w:t>0</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2894516A" w14:textId="77777777">
                        <w:pPr>
                          <w:jc w:val="right"/>
                          <w:rPr>
                            <w:color w:val="000000"/>
                            <w:sz w:val="20"/>
                          </w:rPr>
                        </w:pPr>
                        <w:r w:rsidRPr="00344573">
                          <w:rPr>
                            <w:color w:val="000000"/>
                            <w:sz w:val="20"/>
                          </w:rPr>
                          <w:t xml:space="preserve">$0.00 </w:t>
                        </w:r>
                      </w:p>
                    </w:tc>
                  </w:tr>
                  <w:tr w14:paraId="357DB25A" w14:textId="77777777" w:rsidTr="00344573">
                    <w:tblPrEx>
                      <w:tblW w:w="12840" w:type="dxa"/>
                      <w:tblLayout w:type="fixed"/>
                      <w:tblLook w:val="04A0"/>
                    </w:tblPrEx>
                    <w:trPr>
                      <w:trHeight w:val="69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0320739B" w14:textId="77777777">
                        <w:pPr>
                          <w:rPr>
                            <w:i/>
                            <w:iCs/>
                            <w:color w:val="000000"/>
                            <w:sz w:val="20"/>
                          </w:rPr>
                        </w:pPr>
                        <w:r w:rsidRPr="00344573">
                          <w:rPr>
                            <w:i/>
                            <w:iCs/>
                            <w:color w:val="000000"/>
                            <w:sz w:val="20"/>
                          </w:rPr>
                          <w:t xml:space="preserve">Existing Sources - Initial Testing </w:t>
                        </w:r>
                        <w:r w:rsidRPr="00344573">
                          <w:rPr>
                            <w:color w:val="000000"/>
                            <w:sz w:val="20"/>
                            <w:vertAlign w:val="superscript"/>
                          </w:rPr>
                          <w:t>d</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0EFFA055" w14:textId="77777777">
                        <w:pPr>
                          <w:jc w:val="center"/>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7FB697FF" w14:textId="77777777">
                        <w:pPr>
                          <w:jc w:val="center"/>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1AF20E8B" w14:textId="77777777">
                        <w:pPr>
                          <w:jc w:val="center"/>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5324BC8B" w14:textId="77777777">
                        <w:pPr>
                          <w:jc w:val="center"/>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4361F65D" w14:textId="77777777">
                        <w:pPr>
                          <w:jc w:val="center"/>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20352DC5" w14:textId="77777777">
                        <w:pPr>
                          <w:jc w:val="center"/>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3329AC31" w14:textId="77777777">
                        <w:pPr>
                          <w:jc w:val="center"/>
                          <w:rPr>
                            <w:color w:val="000000"/>
                            <w:sz w:val="20"/>
                          </w:rPr>
                        </w:pPr>
                        <w:r w:rsidRPr="00344573">
                          <w:rPr>
                            <w:color w:val="000000"/>
                            <w:sz w:val="20"/>
                          </w:rPr>
                          <w:t> </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60BFB488" w14:textId="77777777">
                        <w:pPr>
                          <w:jc w:val="right"/>
                          <w:rPr>
                            <w:color w:val="000000"/>
                            <w:sz w:val="20"/>
                          </w:rPr>
                        </w:pPr>
                        <w:r w:rsidRPr="00344573">
                          <w:rPr>
                            <w:color w:val="000000"/>
                            <w:sz w:val="20"/>
                          </w:rPr>
                          <w:t> </w:t>
                        </w:r>
                      </w:p>
                    </w:tc>
                  </w:tr>
                  <w:tr w14:paraId="1A8A6B5D" w14:textId="77777777" w:rsidTr="00344573">
                    <w:tblPrEx>
                      <w:tblW w:w="12840" w:type="dxa"/>
                      <w:tblLayout w:type="fixed"/>
                      <w:tblLook w:val="04A0"/>
                    </w:tblPrEx>
                    <w:trPr>
                      <w:trHeight w:val="81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32300495" w14:textId="77777777">
                        <w:pPr>
                          <w:rPr>
                            <w:color w:val="000000"/>
                            <w:sz w:val="20"/>
                          </w:rPr>
                        </w:pPr>
                        <w:r w:rsidRPr="00344573">
                          <w:rPr>
                            <w:color w:val="000000"/>
                            <w:sz w:val="20"/>
                          </w:rPr>
                          <w:t>Initial NOx Performance Test (boiler)</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772C9274"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03FB738A"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608C314C"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7D4C2B57"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6E2796AC"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7FCC3E3D"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597CB0CE" w14:textId="77777777">
                        <w:pPr>
                          <w:jc w:val="center"/>
                          <w:rPr>
                            <w:color w:val="000000"/>
                            <w:sz w:val="20"/>
                          </w:rPr>
                        </w:pPr>
                        <w:r w:rsidRPr="00344573">
                          <w:rPr>
                            <w:color w:val="000000"/>
                            <w:sz w:val="20"/>
                          </w:rPr>
                          <w:t>0</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1F97B86A" w14:textId="77777777">
                        <w:pPr>
                          <w:jc w:val="right"/>
                          <w:rPr>
                            <w:color w:val="000000"/>
                            <w:sz w:val="20"/>
                          </w:rPr>
                        </w:pPr>
                        <w:r w:rsidRPr="00344573">
                          <w:rPr>
                            <w:color w:val="000000"/>
                            <w:sz w:val="20"/>
                          </w:rPr>
                          <w:t xml:space="preserve">$0.00 </w:t>
                        </w:r>
                      </w:p>
                    </w:tc>
                  </w:tr>
                  <w:tr w14:paraId="4558978D" w14:textId="77777777" w:rsidTr="00344573">
                    <w:tblPrEx>
                      <w:tblW w:w="12840" w:type="dxa"/>
                      <w:tblLayout w:type="fixed"/>
                      <w:tblLook w:val="04A0"/>
                    </w:tblPrEx>
                    <w:trPr>
                      <w:trHeight w:val="26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4B4592BF" w14:textId="77777777">
                        <w:pPr>
                          <w:rPr>
                            <w:color w:val="000000"/>
                            <w:sz w:val="20"/>
                          </w:rPr>
                        </w:pPr>
                        <w:r w:rsidRPr="00344573">
                          <w:rPr>
                            <w:color w:val="000000"/>
                            <w:sz w:val="20"/>
                          </w:rPr>
                          <w:t xml:space="preserve">Repeat NOx Performance Test </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471B798F"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04134A6E"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731B0B84"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6F95B193"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5CCA4086"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561A32B7"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46186EBF" w14:textId="77777777">
                        <w:pPr>
                          <w:jc w:val="center"/>
                          <w:rPr>
                            <w:color w:val="000000"/>
                            <w:sz w:val="20"/>
                          </w:rPr>
                        </w:pPr>
                        <w:r w:rsidRPr="00344573">
                          <w:rPr>
                            <w:color w:val="000000"/>
                            <w:sz w:val="20"/>
                          </w:rPr>
                          <w:t>0</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325D6E2E" w14:textId="77777777">
                        <w:pPr>
                          <w:jc w:val="right"/>
                          <w:rPr>
                            <w:color w:val="000000"/>
                            <w:sz w:val="20"/>
                          </w:rPr>
                        </w:pPr>
                        <w:r w:rsidRPr="00344573">
                          <w:rPr>
                            <w:color w:val="000000"/>
                            <w:sz w:val="20"/>
                          </w:rPr>
                          <w:t xml:space="preserve">$0.00 </w:t>
                        </w:r>
                      </w:p>
                    </w:tc>
                  </w:tr>
                  <w:tr w14:paraId="6B0C5951" w14:textId="77777777" w:rsidTr="00344573">
                    <w:tblPrEx>
                      <w:tblW w:w="12840" w:type="dxa"/>
                      <w:tblLayout w:type="fixed"/>
                      <w:tblLook w:val="04A0"/>
                    </w:tblPrEx>
                    <w:trPr>
                      <w:trHeight w:val="51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72BAE8F1" w14:textId="77777777">
                        <w:pPr>
                          <w:rPr>
                            <w:i/>
                            <w:iCs/>
                            <w:color w:val="000000"/>
                            <w:sz w:val="20"/>
                          </w:rPr>
                        </w:pPr>
                        <w:r w:rsidRPr="00344573">
                          <w:rPr>
                            <w:i/>
                            <w:iCs/>
                            <w:color w:val="000000"/>
                            <w:sz w:val="20"/>
                          </w:rPr>
                          <w:t xml:space="preserve">New and Existing Sources - Monitoring </w:t>
                        </w:r>
                        <w:r w:rsidRPr="00344573">
                          <w:rPr>
                            <w:color w:val="000000"/>
                            <w:sz w:val="20"/>
                            <w:vertAlign w:val="superscript"/>
                          </w:rPr>
                          <w:t>e</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078754E6" w14:textId="77777777">
                        <w:pPr>
                          <w:jc w:val="center"/>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6DD0AC08" w14:textId="77777777">
                        <w:pPr>
                          <w:jc w:val="center"/>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79649CBF" w14:textId="77777777">
                        <w:pPr>
                          <w:jc w:val="center"/>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23DE56AE" w14:textId="77777777">
                        <w:pPr>
                          <w:jc w:val="center"/>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23B01E77" w14:textId="77777777">
                        <w:pPr>
                          <w:jc w:val="center"/>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368D791F" w14:textId="77777777">
                        <w:pPr>
                          <w:jc w:val="center"/>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6C6C7572" w14:textId="77777777">
                        <w:pPr>
                          <w:jc w:val="center"/>
                          <w:rPr>
                            <w:color w:val="000000"/>
                            <w:sz w:val="20"/>
                          </w:rPr>
                        </w:pPr>
                        <w:r w:rsidRPr="00344573">
                          <w:rPr>
                            <w:color w:val="000000"/>
                            <w:sz w:val="20"/>
                          </w:rPr>
                          <w:t> </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17E298CB" w14:textId="77777777">
                        <w:pPr>
                          <w:jc w:val="right"/>
                          <w:rPr>
                            <w:color w:val="000000"/>
                            <w:sz w:val="20"/>
                          </w:rPr>
                        </w:pPr>
                        <w:r w:rsidRPr="00344573">
                          <w:rPr>
                            <w:color w:val="000000"/>
                            <w:sz w:val="20"/>
                          </w:rPr>
                          <w:t> </w:t>
                        </w:r>
                      </w:p>
                    </w:tc>
                  </w:tr>
                  <w:tr w14:paraId="4DB4CE68" w14:textId="77777777" w:rsidTr="00344573">
                    <w:tblPrEx>
                      <w:tblW w:w="12840" w:type="dxa"/>
                      <w:tblLayout w:type="fixed"/>
                      <w:tblLook w:val="04A0"/>
                    </w:tblPrEx>
                    <w:trPr>
                      <w:trHeight w:val="52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53CB73C2" w14:textId="77777777">
                        <w:pPr>
                          <w:rPr>
                            <w:color w:val="000000"/>
                            <w:sz w:val="20"/>
                          </w:rPr>
                        </w:pPr>
                        <w:r w:rsidRPr="00344573">
                          <w:rPr>
                            <w:color w:val="000000"/>
                            <w:sz w:val="20"/>
                          </w:rPr>
                          <w:t>Daily Calibration Drift Tests - NOx CEMS</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3F24B2B7"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7DE8FD21"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6E43D558"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3B5C82A3"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670C6FD1"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632AA580"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761C1403" w14:textId="77777777">
                        <w:pPr>
                          <w:jc w:val="center"/>
                          <w:rPr>
                            <w:color w:val="000000"/>
                            <w:sz w:val="20"/>
                          </w:rPr>
                        </w:pPr>
                        <w:r w:rsidRPr="00344573">
                          <w:rPr>
                            <w:color w:val="000000"/>
                            <w:sz w:val="20"/>
                          </w:rPr>
                          <w:t>0</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2E38A23D" w14:textId="77777777">
                        <w:pPr>
                          <w:jc w:val="right"/>
                          <w:rPr>
                            <w:color w:val="000000"/>
                            <w:sz w:val="20"/>
                          </w:rPr>
                        </w:pPr>
                        <w:r w:rsidRPr="00344573">
                          <w:rPr>
                            <w:color w:val="000000"/>
                            <w:sz w:val="20"/>
                          </w:rPr>
                          <w:t xml:space="preserve">$0.00 </w:t>
                        </w:r>
                      </w:p>
                    </w:tc>
                  </w:tr>
                  <w:tr w14:paraId="0B2B6D85" w14:textId="77777777" w:rsidTr="00344573">
                    <w:tblPrEx>
                      <w:tblW w:w="12840" w:type="dxa"/>
                      <w:tblLayout w:type="fixed"/>
                      <w:tblLook w:val="04A0"/>
                    </w:tblPrEx>
                    <w:trPr>
                      <w:trHeight w:val="52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2C5F5A3A" w14:textId="77777777">
                        <w:pPr>
                          <w:rPr>
                            <w:color w:val="000000"/>
                            <w:sz w:val="20"/>
                          </w:rPr>
                        </w:pPr>
                        <w:r w:rsidRPr="00344573">
                          <w:rPr>
                            <w:color w:val="000000"/>
                            <w:sz w:val="20"/>
                          </w:rPr>
                          <w:t>C. Create Information (Included in 4B)</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611532DE" w14:textId="77777777">
                        <w:pPr>
                          <w:jc w:val="center"/>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054D59A6"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0374F778"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394678FB"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5F9C0C79"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00976F41"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4C93B64D" w14:textId="77777777">
                        <w:pPr>
                          <w:jc w:val="right"/>
                          <w:rPr>
                            <w:color w:val="000000"/>
                            <w:sz w:val="20"/>
                          </w:rPr>
                        </w:pPr>
                        <w:r w:rsidRPr="00344573">
                          <w:rPr>
                            <w:color w:val="000000"/>
                            <w:sz w:val="20"/>
                          </w:rPr>
                          <w:t> </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59C58FD3" w14:textId="77777777">
                        <w:pPr>
                          <w:jc w:val="right"/>
                          <w:rPr>
                            <w:color w:val="000000"/>
                            <w:sz w:val="20"/>
                          </w:rPr>
                        </w:pPr>
                        <w:r w:rsidRPr="00344573">
                          <w:rPr>
                            <w:color w:val="000000"/>
                            <w:sz w:val="20"/>
                          </w:rPr>
                          <w:t> </w:t>
                        </w:r>
                      </w:p>
                    </w:tc>
                  </w:tr>
                  <w:tr w14:paraId="2ACA1ED7" w14:textId="77777777" w:rsidTr="00344573">
                    <w:tblPrEx>
                      <w:tblW w:w="12840" w:type="dxa"/>
                      <w:tblLayout w:type="fixed"/>
                      <w:tblLook w:val="04A0"/>
                    </w:tblPrEx>
                    <w:trPr>
                      <w:trHeight w:val="52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1C152EF5" w14:textId="77777777">
                        <w:pPr>
                          <w:rPr>
                            <w:color w:val="000000"/>
                            <w:sz w:val="20"/>
                          </w:rPr>
                        </w:pPr>
                        <w:r w:rsidRPr="00344573">
                          <w:rPr>
                            <w:color w:val="000000"/>
                            <w:sz w:val="20"/>
                          </w:rPr>
                          <w:t>D. Gather Existing Information (Included in 4E)</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73B723D9" w14:textId="77777777">
                        <w:pPr>
                          <w:jc w:val="center"/>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53E73A89"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68BD799A"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47EEEEFF"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3453959D"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059F6DDF"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5046C294" w14:textId="77777777">
                        <w:pPr>
                          <w:jc w:val="right"/>
                          <w:rPr>
                            <w:color w:val="000000"/>
                            <w:sz w:val="20"/>
                          </w:rPr>
                        </w:pPr>
                        <w:r w:rsidRPr="00344573">
                          <w:rPr>
                            <w:color w:val="000000"/>
                            <w:sz w:val="20"/>
                          </w:rPr>
                          <w:t> </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45A374F1" w14:textId="77777777">
                        <w:pPr>
                          <w:jc w:val="right"/>
                          <w:rPr>
                            <w:color w:val="000000"/>
                            <w:sz w:val="20"/>
                          </w:rPr>
                        </w:pPr>
                        <w:r w:rsidRPr="00344573">
                          <w:rPr>
                            <w:color w:val="000000"/>
                            <w:sz w:val="20"/>
                          </w:rPr>
                          <w:t> </w:t>
                        </w:r>
                      </w:p>
                    </w:tc>
                  </w:tr>
                  <w:tr w14:paraId="5488B40A" w14:textId="77777777" w:rsidTr="00344573">
                    <w:tblPrEx>
                      <w:tblW w:w="12840" w:type="dxa"/>
                      <w:tblLayout w:type="fixed"/>
                      <w:tblLook w:val="04A0"/>
                    </w:tblPrEx>
                    <w:trPr>
                      <w:trHeight w:val="26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270DD70E" w14:textId="77777777">
                        <w:pPr>
                          <w:rPr>
                            <w:color w:val="000000"/>
                            <w:sz w:val="20"/>
                          </w:rPr>
                        </w:pPr>
                        <w:r w:rsidRPr="00344573">
                          <w:rPr>
                            <w:color w:val="000000"/>
                            <w:sz w:val="20"/>
                          </w:rPr>
                          <w:t>E. Write Report</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58FFE95C" w14:textId="77777777">
                        <w:pPr>
                          <w:jc w:val="right"/>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6CA84DE1"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0FC09A51"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6AECC65A"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18825BFD"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5C0FC4F6"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6403F937" w14:textId="77777777">
                        <w:pPr>
                          <w:jc w:val="right"/>
                          <w:rPr>
                            <w:color w:val="000000"/>
                            <w:sz w:val="20"/>
                          </w:rPr>
                        </w:pPr>
                        <w:r w:rsidRPr="00344573">
                          <w:rPr>
                            <w:color w:val="000000"/>
                            <w:sz w:val="20"/>
                          </w:rPr>
                          <w:t> </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077CA9BF" w14:textId="77777777">
                        <w:pPr>
                          <w:jc w:val="right"/>
                          <w:rPr>
                            <w:color w:val="000000"/>
                            <w:sz w:val="20"/>
                          </w:rPr>
                        </w:pPr>
                        <w:r w:rsidRPr="00344573">
                          <w:rPr>
                            <w:color w:val="000000"/>
                            <w:sz w:val="20"/>
                          </w:rPr>
                          <w:t> </w:t>
                        </w:r>
                      </w:p>
                    </w:tc>
                  </w:tr>
                  <w:tr w14:paraId="2CDB978A" w14:textId="77777777" w:rsidTr="00344573">
                    <w:tblPrEx>
                      <w:tblW w:w="12840" w:type="dxa"/>
                      <w:tblLayout w:type="fixed"/>
                      <w:tblLook w:val="04A0"/>
                    </w:tblPrEx>
                    <w:trPr>
                      <w:trHeight w:val="26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1B6FD18E" w14:textId="77777777">
                        <w:pPr>
                          <w:rPr>
                            <w:i/>
                            <w:iCs/>
                            <w:color w:val="000000"/>
                            <w:sz w:val="20"/>
                            <w:u w:val="single"/>
                          </w:rPr>
                        </w:pPr>
                        <w:r w:rsidRPr="00344573">
                          <w:rPr>
                            <w:i/>
                            <w:iCs/>
                            <w:color w:val="000000"/>
                            <w:sz w:val="20"/>
                            <w:u w:val="single"/>
                          </w:rPr>
                          <w:t>New Sources</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2BC6F9F9" w14:textId="77777777">
                        <w:pPr>
                          <w:jc w:val="center"/>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0B708094" w14:textId="77777777">
                        <w:pPr>
                          <w:jc w:val="center"/>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76016D4D" w14:textId="77777777">
                        <w:pPr>
                          <w:jc w:val="center"/>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2FCB2460" w14:textId="77777777">
                        <w:pPr>
                          <w:jc w:val="center"/>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1F3F4507" w14:textId="77777777">
                        <w:pPr>
                          <w:jc w:val="center"/>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5947E253" w14:textId="77777777">
                        <w:pPr>
                          <w:jc w:val="center"/>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35C2809D" w14:textId="77777777">
                        <w:pPr>
                          <w:jc w:val="center"/>
                          <w:rPr>
                            <w:color w:val="000000"/>
                            <w:sz w:val="20"/>
                          </w:rPr>
                        </w:pPr>
                        <w:r w:rsidRPr="00344573">
                          <w:rPr>
                            <w:color w:val="000000"/>
                            <w:sz w:val="20"/>
                          </w:rPr>
                          <w:t> </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01CCE78C" w14:textId="77777777">
                        <w:pPr>
                          <w:jc w:val="right"/>
                          <w:rPr>
                            <w:color w:val="000000"/>
                            <w:sz w:val="20"/>
                          </w:rPr>
                        </w:pPr>
                        <w:r w:rsidRPr="00344573">
                          <w:rPr>
                            <w:color w:val="000000"/>
                            <w:sz w:val="20"/>
                          </w:rPr>
                          <w:t> </w:t>
                        </w:r>
                      </w:p>
                    </w:tc>
                  </w:tr>
                  <w:tr w14:paraId="436FE969" w14:textId="77777777" w:rsidTr="00344573">
                    <w:tblPrEx>
                      <w:tblW w:w="12840" w:type="dxa"/>
                      <w:tblLayout w:type="fixed"/>
                      <w:tblLook w:val="04A0"/>
                    </w:tblPrEx>
                    <w:trPr>
                      <w:trHeight w:val="52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7F514D04" w14:textId="77777777">
                        <w:pPr>
                          <w:rPr>
                            <w:color w:val="000000"/>
                            <w:sz w:val="20"/>
                          </w:rPr>
                        </w:pPr>
                        <w:r w:rsidRPr="00344573">
                          <w:rPr>
                            <w:color w:val="000000"/>
                            <w:sz w:val="20"/>
                          </w:rPr>
                          <w:t>Notification of Demonstration of CEMS</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6D049906"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646F5DB5"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1F6AE390"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62A8D9FC"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02BF8E1D"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09BBA1CA"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7E3A7F26" w14:textId="77777777">
                        <w:pPr>
                          <w:jc w:val="center"/>
                          <w:rPr>
                            <w:color w:val="000000"/>
                            <w:sz w:val="20"/>
                          </w:rPr>
                        </w:pPr>
                        <w:r w:rsidRPr="00344573">
                          <w:rPr>
                            <w:color w:val="000000"/>
                            <w:sz w:val="20"/>
                          </w:rPr>
                          <w:t>0</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252CD18E" w14:textId="77777777">
                        <w:pPr>
                          <w:jc w:val="right"/>
                          <w:rPr>
                            <w:color w:val="000000"/>
                            <w:sz w:val="20"/>
                          </w:rPr>
                        </w:pPr>
                        <w:r w:rsidRPr="00344573">
                          <w:rPr>
                            <w:color w:val="000000"/>
                            <w:sz w:val="20"/>
                          </w:rPr>
                          <w:t xml:space="preserve">$0.00 </w:t>
                        </w:r>
                      </w:p>
                    </w:tc>
                  </w:tr>
                  <w:tr w14:paraId="39ECEB83" w14:textId="77777777" w:rsidTr="00344573">
                    <w:tblPrEx>
                      <w:tblW w:w="12840" w:type="dxa"/>
                      <w:tblLayout w:type="fixed"/>
                      <w:tblLook w:val="04A0"/>
                    </w:tblPrEx>
                    <w:trPr>
                      <w:trHeight w:val="51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375A3D28" w14:textId="77777777">
                        <w:pPr>
                          <w:rPr>
                            <w:color w:val="000000"/>
                            <w:sz w:val="20"/>
                          </w:rPr>
                        </w:pPr>
                        <w:r w:rsidRPr="00344573">
                          <w:rPr>
                            <w:color w:val="000000"/>
                            <w:sz w:val="20"/>
                          </w:rPr>
                          <w:t>Notification of Initial Performance Test</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1BE90379"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5536E790"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365E5867"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5C724022"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26133497"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49D54F55"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17515EDA" w14:textId="77777777">
                        <w:pPr>
                          <w:jc w:val="center"/>
                          <w:rPr>
                            <w:color w:val="000000"/>
                            <w:sz w:val="20"/>
                          </w:rPr>
                        </w:pPr>
                        <w:r w:rsidRPr="00344573">
                          <w:rPr>
                            <w:color w:val="000000"/>
                            <w:sz w:val="20"/>
                          </w:rPr>
                          <w:t>0</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27B0850C" w14:textId="77777777">
                        <w:pPr>
                          <w:jc w:val="right"/>
                          <w:rPr>
                            <w:color w:val="000000"/>
                            <w:sz w:val="20"/>
                          </w:rPr>
                        </w:pPr>
                        <w:r w:rsidRPr="00344573">
                          <w:rPr>
                            <w:color w:val="000000"/>
                            <w:sz w:val="20"/>
                          </w:rPr>
                          <w:t xml:space="preserve">$0.00 </w:t>
                        </w:r>
                      </w:p>
                    </w:tc>
                  </w:tr>
                  <w:tr w14:paraId="5EB401BA" w14:textId="77777777" w:rsidTr="00344573">
                    <w:tblPrEx>
                      <w:tblW w:w="12840" w:type="dxa"/>
                      <w:tblLayout w:type="fixed"/>
                      <w:tblLook w:val="04A0"/>
                    </w:tblPrEx>
                    <w:trPr>
                      <w:trHeight w:val="78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5113C560" w14:textId="77777777">
                        <w:pPr>
                          <w:rPr>
                            <w:color w:val="000000"/>
                            <w:sz w:val="20"/>
                          </w:rPr>
                        </w:pPr>
                        <w:r w:rsidRPr="00344573">
                          <w:rPr>
                            <w:color w:val="000000"/>
                            <w:sz w:val="20"/>
                          </w:rPr>
                          <w:t>Report of Performance Tests submitted via CEDRI or analogous electronic reporting</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7E87C3F8"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397607F7"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001C66C7"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5C9F7DD0"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6DAA8421"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419BDFF9"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13EC2236" w14:textId="77777777">
                        <w:pPr>
                          <w:jc w:val="center"/>
                          <w:rPr>
                            <w:color w:val="000000"/>
                            <w:sz w:val="20"/>
                          </w:rPr>
                        </w:pPr>
                        <w:r w:rsidRPr="00344573">
                          <w:rPr>
                            <w:color w:val="000000"/>
                            <w:sz w:val="20"/>
                          </w:rPr>
                          <w:t>0</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64E9216B" w14:textId="77777777">
                        <w:pPr>
                          <w:jc w:val="right"/>
                          <w:rPr>
                            <w:color w:val="000000"/>
                            <w:sz w:val="20"/>
                          </w:rPr>
                        </w:pPr>
                        <w:r w:rsidRPr="00344573">
                          <w:rPr>
                            <w:color w:val="000000"/>
                            <w:sz w:val="20"/>
                          </w:rPr>
                          <w:t xml:space="preserve">$0.00 </w:t>
                        </w:r>
                      </w:p>
                    </w:tc>
                  </w:tr>
                  <w:tr w14:paraId="33EAC18D" w14:textId="77777777" w:rsidTr="00344573">
                    <w:tblPrEx>
                      <w:tblW w:w="12840" w:type="dxa"/>
                      <w:tblLayout w:type="fixed"/>
                      <w:tblLook w:val="04A0"/>
                    </w:tblPrEx>
                    <w:trPr>
                      <w:trHeight w:val="135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3AB32013" w14:textId="77777777">
                        <w:pPr>
                          <w:rPr>
                            <w:color w:val="000000"/>
                            <w:sz w:val="20"/>
                          </w:rPr>
                        </w:pPr>
                        <w:r w:rsidRPr="00344573">
                          <w:rPr>
                            <w:color w:val="000000"/>
                            <w:sz w:val="20"/>
                          </w:rPr>
                          <w:t>Submit Written Request to Administrator documenting Initial Performance Test and an Alternative Monitoring Plan (Alternative to CEMS).</w:t>
                        </w:r>
                        <w:r w:rsidRPr="00344573">
                          <w:rPr>
                            <w:color w:val="000000"/>
                            <w:sz w:val="20"/>
                            <w:vertAlign w:val="superscript"/>
                          </w:rPr>
                          <w:t>f</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04E25B23"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7ACF0635"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732E1DCE"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4B3A6018"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19856717"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2DD0A630"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38844832" w14:textId="77777777">
                        <w:pPr>
                          <w:jc w:val="center"/>
                          <w:rPr>
                            <w:color w:val="000000"/>
                            <w:sz w:val="20"/>
                          </w:rPr>
                        </w:pPr>
                        <w:r w:rsidRPr="00344573">
                          <w:rPr>
                            <w:color w:val="000000"/>
                            <w:sz w:val="20"/>
                          </w:rPr>
                          <w:t>0</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45D267F3" w14:textId="77777777">
                        <w:pPr>
                          <w:jc w:val="right"/>
                          <w:rPr>
                            <w:color w:val="000000"/>
                            <w:sz w:val="20"/>
                          </w:rPr>
                        </w:pPr>
                        <w:r w:rsidRPr="00344573">
                          <w:rPr>
                            <w:color w:val="000000"/>
                            <w:sz w:val="20"/>
                          </w:rPr>
                          <w:t xml:space="preserve">$0.00 </w:t>
                        </w:r>
                      </w:p>
                    </w:tc>
                  </w:tr>
                  <w:tr w14:paraId="06926FDC" w14:textId="77777777" w:rsidTr="00344573">
                    <w:tblPrEx>
                      <w:tblW w:w="12840" w:type="dxa"/>
                      <w:tblLayout w:type="fixed"/>
                      <w:tblLook w:val="04A0"/>
                    </w:tblPrEx>
                    <w:trPr>
                      <w:trHeight w:val="1483"/>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501003C1" w14:textId="77777777">
                        <w:pPr>
                          <w:rPr>
                            <w:color w:val="000000"/>
                            <w:sz w:val="20"/>
                          </w:rPr>
                        </w:pPr>
                        <w:r w:rsidRPr="00344573">
                          <w:rPr>
                            <w:color w:val="000000"/>
                            <w:sz w:val="20"/>
                          </w:rPr>
                          <w:t>Submit Quarterly Electronic Reports to of NOx Emission Rates data, Excess Emissions, Missing and Excluded Data, "F" factor, and other CEMS data.</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116CF289"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1BA12912"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10B14CF7"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7CE266C2"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148D282D"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064AF807"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0519E86F" w14:textId="77777777">
                        <w:pPr>
                          <w:jc w:val="center"/>
                          <w:rPr>
                            <w:color w:val="000000"/>
                            <w:sz w:val="20"/>
                          </w:rPr>
                        </w:pPr>
                        <w:r w:rsidRPr="00344573">
                          <w:rPr>
                            <w:color w:val="000000"/>
                            <w:sz w:val="20"/>
                          </w:rPr>
                          <w:t>0</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4DF68D2A" w14:textId="77777777">
                        <w:pPr>
                          <w:jc w:val="right"/>
                          <w:rPr>
                            <w:color w:val="000000"/>
                            <w:sz w:val="20"/>
                          </w:rPr>
                        </w:pPr>
                        <w:r w:rsidRPr="00344573">
                          <w:rPr>
                            <w:color w:val="000000"/>
                            <w:sz w:val="20"/>
                          </w:rPr>
                          <w:t xml:space="preserve">$0 </w:t>
                        </w:r>
                      </w:p>
                    </w:tc>
                  </w:tr>
                  <w:tr w14:paraId="74A56E6F" w14:textId="77777777" w:rsidTr="00344573">
                    <w:tblPrEx>
                      <w:tblW w:w="12840" w:type="dxa"/>
                      <w:tblLayout w:type="fixed"/>
                      <w:tblLook w:val="04A0"/>
                    </w:tblPrEx>
                    <w:trPr>
                      <w:trHeight w:val="26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3AD9F81B" w14:textId="77777777">
                        <w:pPr>
                          <w:rPr>
                            <w:i/>
                            <w:iCs/>
                            <w:color w:val="000000"/>
                            <w:sz w:val="20"/>
                            <w:u w:val="single"/>
                          </w:rPr>
                        </w:pPr>
                        <w:r w:rsidRPr="00344573">
                          <w:rPr>
                            <w:i/>
                            <w:iCs/>
                            <w:color w:val="000000"/>
                            <w:sz w:val="20"/>
                            <w:u w:val="single"/>
                          </w:rPr>
                          <w:t>Existing Sources</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570FEB97" w14:textId="77777777">
                        <w:pPr>
                          <w:jc w:val="right"/>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18CDDA26"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2C369290"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44A15EFA"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7DC56D4A"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19FEB33C"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5B2EC84E" w14:textId="77777777">
                        <w:pPr>
                          <w:jc w:val="right"/>
                          <w:rPr>
                            <w:color w:val="000000"/>
                            <w:sz w:val="20"/>
                          </w:rPr>
                        </w:pPr>
                        <w:r w:rsidRPr="00344573">
                          <w:rPr>
                            <w:color w:val="000000"/>
                            <w:sz w:val="20"/>
                          </w:rPr>
                          <w:t> </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2CC74B6D" w14:textId="77777777">
                        <w:pPr>
                          <w:jc w:val="right"/>
                          <w:rPr>
                            <w:color w:val="000000"/>
                            <w:sz w:val="20"/>
                          </w:rPr>
                        </w:pPr>
                        <w:r w:rsidRPr="00344573">
                          <w:rPr>
                            <w:color w:val="000000"/>
                            <w:sz w:val="20"/>
                          </w:rPr>
                          <w:t> </w:t>
                        </w:r>
                      </w:p>
                    </w:tc>
                  </w:tr>
                  <w:tr w14:paraId="0F8BB25F" w14:textId="77777777" w:rsidTr="00344573">
                    <w:tblPrEx>
                      <w:tblW w:w="12840" w:type="dxa"/>
                      <w:tblLayout w:type="fixed"/>
                      <w:tblLook w:val="04A0"/>
                    </w:tblPrEx>
                    <w:trPr>
                      <w:trHeight w:val="52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098A905D" w14:textId="77777777">
                        <w:pPr>
                          <w:rPr>
                            <w:color w:val="000000"/>
                            <w:sz w:val="20"/>
                          </w:rPr>
                        </w:pPr>
                        <w:r w:rsidRPr="00344573">
                          <w:rPr>
                            <w:color w:val="000000"/>
                            <w:sz w:val="20"/>
                          </w:rPr>
                          <w:t>Notification of Demonstration of CEMS</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23D0F2F7"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2205A388"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4D5F5BEB"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5E561319"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27277FEC"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31635268"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4A5D392C" w14:textId="77777777">
                        <w:pPr>
                          <w:jc w:val="center"/>
                          <w:rPr>
                            <w:color w:val="000000"/>
                            <w:sz w:val="20"/>
                          </w:rPr>
                        </w:pPr>
                        <w:r w:rsidRPr="00344573">
                          <w:rPr>
                            <w:color w:val="000000"/>
                            <w:sz w:val="20"/>
                          </w:rPr>
                          <w:t>0</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75671B35" w14:textId="77777777">
                        <w:pPr>
                          <w:jc w:val="right"/>
                          <w:rPr>
                            <w:color w:val="000000"/>
                            <w:sz w:val="20"/>
                          </w:rPr>
                        </w:pPr>
                        <w:r w:rsidRPr="00344573">
                          <w:rPr>
                            <w:color w:val="000000"/>
                            <w:sz w:val="20"/>
                          </w:rPr>
                          <w:t xml:space="preserve">$0.00 </w:t>
                        </w:r>
                      </w:p>
                    </w:tc>
                  </w:tr>
                  <w:tr w14:paraId="54D2500B" w14:textId="77777777" w:rsidTr="00344573">
                    <w:tblPrEx>
                      <w:tblW w:w="12840" w:type="dxa"/>
                      <w:tblLayout w:type="fixed"/>
                      <w:tblLook w:val="04A0"/>
                    </w:tblPrEx>
                    <w:trPr>
                      <w:trHeight w:val="52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7D46B28F" w14:textId="77777777">
                        <w:pPr>
                          <w:rPr>
                            <w:color w:val="000000"/>
                            <w:sz w:val="20"/>
                          </w:rPr>
                        </w:pPr>
                        <w:r w:rsidRPr="00344573">
                          <w:rPr>
                            <w:color w:val="000000"/>
                            <w:sz w:val="20"/>
                          </w:rPr>
                          <w:t>Notification of Initial Performance Test</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1C3D262A"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70EDE9CE"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722F67CA"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1FAD9636"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616869C3"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7DAE3700"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1F81010D" w14:textId="77777777">
                        <w:pPr>
                          <w:jc w:val="center"/>
                          <w:rPr>
                            <w:color w:val="000000"/>
                            <w:sz w:val="20"/>
                          </w:rPr>
                        </w:pPr>
                        <w:r w:rsidRPr="00344573">
                          <w:rPr>
                            <w:color w:val="000000"/>
                            <w:sz w:val="20"/>
                          </w:rPr>
                          <w:t>0</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3312018D" w14:textId="77777777">
                        <w:pPr>
                          <w:jc w:val="right"/>
                          <w:rPr>
                            <w:color w:val="000000"/>
                            <w:sz w:val="20"/>
                          </w:rPr>
                        </w:pPr>
                        <w:r w:rsidRPr="00344573">
                          <w:rPr>
                            <w:color w:val="000000"/>
                            <w:sz w:val="20"/>
                          </w:rPr>
                          <w:t xml:space="preserve">$0.00 </w:t>
                        </w:r>
                      </w:p>
                    </w:tc>
                  </w:tr>
                  <w:tr w14:paraId="278A65BE" w14:textId="77777777" w:rsidTr="00344573">
                    <w:tblPrEx>
                      <w:tblW w:w="12840" w:type="dxa"/>
                      <w:tblLayout w:type="fixed"/>
                      <w:tblLook w:val="04A0"/>
                    </w:tblPrEx>
                    <w:trPr>
                      <w:trHeight w:val="104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23559D53" w14:textId="77777777">
                        <w:pPr>
                          <w:rPr>
                            <w:color w:val="000000"/>
                            <w:sz w:val="20"/>
                          </w:rPr>
                        </w:pPr>
                        <w:r w:rsidRPr="00344573">
                          <w:rPr>
                            <w:color w:val="000000"/>
                            <w:sz w:val="20"/>
                          </w:rPr>
                          <w:t>Report of Initial Performance Test Results submitted via CEDRI or analogous electronic reporting</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26813F23"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475FEE37"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46429F47"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04E544D5"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6A8E5147"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70D10FF2"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1F5D9A1F" w14:textId="77777777">
                        <w:pPr>
                          <w:jc w:val="center"/>
                          <w:rPr>
                            <w:color w:val="000000"/>
                            <w:sz w:val="20"/>
                          </w:rPr>
                        </w:pPr>
                        <w:r w:rsidRPr="00344573">
                          <w:rPr>
                            <w:color w:val="000000"/>
                            <w:sz w:val="20"/>
                          </w:rPr>
                          <w:t>0</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64EE5D9E" w14:textId="77777777">
                        <w:pPr>
                          <w:jc w:val="right"/>
                          <w:rPr>
                            <w:color w:val="000000"/>
                            <w:sz w:val="20"/>
                          </w:rPr>
                        </w:pPr>
                        <w:r w:rsidRPr="00344573">
                          <w:rPr>
                            <w:color w:val="000000"/>
                            <w:sz w:val="20"/>
                          </w:rPr>
                          <w:t xml:space="preserve">$0.00 </w:t>
                        </w:r>
                      </w:p>
                    </w:tc>
                  </w:tr>
                  <w:tr w14:paraId="1050E39F" w14:textId="77777777" w:rsidTr="00344573">
                    <w:tblPrEx>
                      <w:tblW w:w="12840" w:type="dxa"/>
                      <w:tblLayout w:type="fixed"/>
                      <w:tblLook w:val="04A0"/>
                    </w:tblPrEx>
                    <w:trPr>
                      <w:trHeight w:val="135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036E00B8" w14:textId="77777777">
                        <w:pPr>
                          <w:rPr>
                            <w:color w:val="000000"/>
                            <w:sz w:val="20"/>
                          </w:rPr>
                        </w:pPr>
                        <w:r w:rsidRPr="00344573">
                          <w:rPr>
                            <w:color w:val="000000"/>
                            <w:sz w:val="20"/>
                          </w:rPr>
                          <w:t>Submit Written Request to Administrator documenting Initial Performance Test and an Alternative Monitoring Plan (Alternative to CEMS).</w:t>
                        </w:r>
                        <w:r w:rsidRPr="00344573">
                          <w:rPr>
                            <w:color w:val="000000"/>
                            <w:sz w:val="20"/>
                            <w:vertAlign w:val="superscript"/>
                          </w:rPr>
                          <w:t>f</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2E1E4C64"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5B655EFC"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5AF9CE66"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3C700BA0"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317ADA88"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511E7257"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181552C4" w14:textId="77777777">
                        <w:pPr>
                          <w:jc w:val="center"/>
                          <w:rPr>
                            <w:color w:val="000000"/>
                            <w:sz w:val="20"/>
                          </w:rPr>
                        </w:pPr>
                        <w:r w:rsidRPr="00344573">
                          <w:rPr>
                            <w:color w:val="000000"/>
                            <w:sz w:val="20"/>
                          </w:rPr>
                          <w:t>0</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0514F6E8" w14:textId="77777777">
                        <w:pPr>
                          <w:jc w:val="right"/>
                          <w:rPr>
                            <w:color w:val="000000"/>
                            <w:sz w:val="20"/>
                          </w:rPr>
                        </w:pPr>
                        <w:r w:rsidRPr="00344573">
                          <w:rPr>
                            <w:color w:val="000000"/>
                            <w:sz w:val="20"/>
                          </w:rPr>
                          <w:t xml:space="preserve">$0.00 </w:t>
                        </w:r>
                      </w:p>
                    </w:tc>
                  </w:tr>
                  <w:tr w14:paraId="35FD6F8B" w14:textId="77777777" w:rsidTr="00344573">
                    <w:tblPrEx>
                      <w:tblW w:w="12840" w:type="dxa"/>
                      <w:tblLayout w:type="fixed"/>
                      <w:tblLook w:val="04A0"/>
                    </w:tblPrEx>
                    <w:trPr>
                      <w:trHeight w:val="182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0A390D3A" w14:textId="77777777">
                        <w:pPr>
                          <w:rPr>
                            <w:color w:val="000000"/>
                            <w:sz w:val="20"/>
                          </w:rPr>
                        </w:pPr>
                        <w:r w:rsidRPr="00344573">
                          <w:rPr>
                            <w:color w:val="000000"/>
                            <w:sz w:val="20"/>
                          </w:rPr>
                          <w:t>Submit Quarterly Electronic Reports via CEDRI or analogous electronic reporting to EPA of NOx Emission Rates data, Excess Emissions, Missing and Excluded Data, "F" factor, and other CEMS data.</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49BD21F7"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77CCEDE6"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0BCF8359"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32EEAB4D" w14:textId="77777777">
                        <w:pPr>
                          <w:jc w:val="center"/>
                          <w:rPr>
                            <w:color w:val="000000"/>
                            <w:sz w:val="20"/>
                          </w:rPr>
                        </w:pPr>
                        <w:r w:rsidRPr="00344573">
                          <w:rPr>
                            <w:color w:val="000000"/>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092E64C5"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53DC8B18"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4ED0F408" w14:textId="77777777">
                        <w:pPr>
                          <w:jc w:val="center"/>
                          <w:rPr>
                            <w:color w:val="000000"/>
                            <w:sz w:val="20"/>
                          </w:rPr>
                        </w:pPr>
                        <w:r w:rsidRPr="00344573">
                          <w:rPr>
                            <w:color w:val="000000"/>
                            <w:sz w:val="20"/>
                          </w:rPr>
                          <w:t>0</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412EA85B" w14:textId="77777777">
                        <w:pPr>
                          <w:jc w:val="right"/>
                          <w:rPr>
                            <w:color w:val="000000"/>
                            <w:sz w:val="20"/>
                          </w:rPr>
                        </w:pPr>
                        <w:r w:rsidRPr="00344573">
                          <w:rPr>
                            <w:color w:val="000000"/>
                            <w:sz w:val="20"/>
                          </w:rPr>
                          <w:t xml:space="preserve">$0.00 </w:t>
                        </w:r>
                      </w:p>
                    </w:tc>
                  </w:tr>
                  <w:tr w14:paraId="5BCBDFCA" w14:textId="77777777" w:rsidTr="00344573">
                    <w:tblPrEx>
                      <w:tblW w:w="12840" w:type="dxa"/>
                      <w:tblLayout w:type="fixed"/>
                      <w:tblLook w:val="04A0"/>
                    </w:tblPrEx>
                    <w:trPr>
                      <w:trHeight w:val="47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56AD0215" w14:textId="77777777">
                        <w:pPr>
                          <w:rPr>
                            <w:b/>
                            <w:bCs/>
                            <w:i/>
                            <w:iCs/>
                            <w:color w:val="000000"/>
                            <w:sz w:val="20"/>
                          </w:rPr>
                        </w:pPr>
                        <w:r w:rsidRPr="00344573">
                          <w:rPr>
                            <w:b/>
                            <w:bCs/>
                            <w:i/>
                            <w:iCs/>
                            <w:color w:val="000000"/>
                            <w:sz w:val="20"/>
                          </w:rPr>
                          <w:t>Subtotal for Reporting Requirements</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4635D09F" w14:textId="77777777">
                        <w:pPr>
                          <w:jc w:val="right"/>
                          <w:rPr>
                            <w:b/>
                            <w:bCs/>
                            <w:i/>
                            <w:iCs/>
                            <w:color w:val="000000"/>
                            <w:sz w:val="20"/>
                          </w:rPr>
                        </w:pPr>
                        <w:r w:rsidRPr="00344573">
                          <w:rPr>
                            <w:b/>
                            <w:bCs/>
                            <w:i/>
                            <w:i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19913A4E" w14:textId="77777777">
                        <w:pPr>
                          <w:jc w:val="right"/>
                          <w:rPr>
                            <w:b/>
                            <w:bCs/>
                            <w:i/>
                            <w:iCs/>
                            <w:sz w:val="20"/>
                          </w:rPr>
                        </w:pPr>
                        <w:r w:rsidRPr="00344573">
                          <w:rPr>
                            <w:b/>
                            <w:bCs/>
                            <w:i/>
                            <w:i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7376944E" w14:textId="77777777">
                        <w:pPr>
                          <w:jc w:val="right"/>
                          <w:rPr>
                            <w:b/>
                            <w:bCs/>
                            <w:i/>
                            <w:iCs/>
                            <w:color w:val="000000"/>
                            <w:sz w:val="20"/>
                          </w:rPr>
                        </w:pPr>
                        <w:r w:rsidRPr="00344573">
                          <w:rPr>
                            <w:b/>
                            <w:bCs/>
                            <w:i/>
                            <w:iCs/>
                            <w:color w:val="000000"/>
                            <w:sz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2724699A" w14:textId="77777777">
                        <w:pPr>
                          <w:jc w:val="right"/>
                          <w:rPr>
                            <w:b/>
                            <w:bCs/>
                            <w:i/>
                            <w:iCs/>
                            <w:sz w:val="20"/>
                          </w:rPr>
                        </w:pPr>
                        <w:r w:rsidRPr="00344573">
                          <w:rPr>
                            <w:b/>
                            <w:bCs/>
                            <w:i/>
                            <w:iCs/>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3AF3F6C3" w14:textId="77777777">
                        <w:pPr>
                          <w:jc w:val="center"/>
                          <w:rPr>
                            <w:b/>
                            <w:bCs/>
                            <w:i/>
                            <w:iCs/>
                            <w:color w:val="000000"/>
                            <w:sz w:val="20"/>
                          </w:rPr>
                        </w:pPr>
                        <w:r w:rsidRPr="00344573">
                          <w:rPr>
                            <w:b/>
                            <w:bCs/>
                            <w:i/>
                            <w:iCs/>
                            <w:color w:val="000000"/>
                            <w:sz w:val="20"/>
                          </w:rPr>
                          <w:t>2,765</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3C4E6B0F" w14:textId="77777777">
                        <w:pPr>
                          <w:jc w:val="center"/>
                          <w:rPr>
                            <w:b/>
                            <w:bCs/>
                            <w:i/>
                            <w:iCs/>
                            <w:color w:val="000000"/>
                            <w:sz w:val="20"/>
                          </w:rPr>
                        </w:pPr>
                        <w:r w:rsidRPr="00344573">
                          <w:rPr>
                            <w:b/>
                            <w:bCs/>
                            <w:i/>
                            <w:iCs/>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276DFE96" w14:textId="77777777">
                        <w:pPr>
                          <w:jc w:val="center"/>
                          <w:rPr>
                            <w:b/>
                            <w:bCs/>
                            <w:i/>
                            <w:iCs/>
                            <w:color w:val="000000"/>
                            <w:sz w:val="20"/>
                          </w:rPr>
                        </w:pPr>
                        <w:r w:rsidRPr="00344573">
                          <w:rPr>
                            <w:b/>
                            <w:bCs/>
                            <w:i/>
                            <w:iCs/>
                            <w:color w:val="000000"/>
                            <w:sz w:val="20"/>
                          </w:rPr>
                          <w:t> </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41CC75B1" w14:textId="77777777">
                        <w:pPr>
                          <w:jc w:val="right"/>
                          <w:rPr>
                            <w:b/>
                            <w:bCs/>
                            <w:i/>
                            <w:iCs/>
                            <w:color w:val="000000"/>
                            <w:sz w:val="20"/>
                          </w:rPr>
                        </w:pPr>
                        <w:r w:rsidRPr="00344573">
                          <w:rPr>
                            <w:b/>
                            <w:bCs/>
                            <w:i/>
                            <w:iCs/>
                            <w:color w:val="000000"/>
                            <w:sz w:val="20"/>
                          </w:rPr>
                          <w:t xml:space="preserve">$341,875 </w:t>
                        </w:r>
                      </w:p>
                    </w:tc>
                  </w:tr>
                  <w:tr w14:paraId="7A21CF65" w14:textId="77777777" w:rsidTr="00344573">
                    <w:tblPrEx>
                      <w:tblW w:w="12840" w:type="dxa"/>
                      <w:tblLayout w:type="fixed"/>
                      <w:tblLook w:val="04A0"/>
                    </w:tblPrEx>
                    <w:trPr>
                      <w:trHeight w:val="52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37553614" w14:textId="77777777">
                        <w:pPr>
                          <w:rPr>
                            <w:color w:val="000000"/>
                            <w:sz w:val="20"/>
                          </w:rPr>
                        </w:pPr>
                        <w:r w:rsidRPr="00344573">
                          <w:rPr>
                            <w:color w:val="000000"/>
                            <w:sz w:val="20"/>
                          </w:rPr>
                          <w:t>5. RECORDKEEPING REQUIREMENTS</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5B08741B" w14:textId="77777777">
                        <w:pPr>
                          <w:jc w:val="right"/>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6E5B1DA7"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388D7473"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25B91F18"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49EAA1DA"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495002A2"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1D81E3E9" w14:textId="77777777">
                        <w:pPr>
                          <w:jc w:val="right"/>
                          <w:rPr>
                            <w:color w:val="000000"/>
                            <w:sz w:val="20"/>
                          </w:rPr>
                        </w:pPr>
                        <w:r w:rsidRPr="00344573">
                          <w:rPr>
                            <w:color w:val="000000"/>
                            <w:sz w:val="20"/>
                          </w:rPr>
                          <w:t> </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1B111A11" w14:textId="77777777">
                        <w:pPr>
                          <w:jc w:val="right"/>
                          <w:rPr>
                            <w:color w:val="000000"/>
                            <w:sz w:val="20"/>
                          </w:rPr>
                        </w:pPr>
                        <w:r w:rsidRPr="00344573">
                          <w:rPr>
                            <w:color w:val="000000"/>
                            <w:sz w:val="20"/>
                          </w:rPr>
                          <w:t> </w:t>
                        </w:r>
                      </w:p>
                    </w:tc>
                  </w:tr>
                  <w:tr w14:paraId="756107A5" w14:textId="77777777" w:rsidTr="00344573">
                    <w:tblPrEx>
                      <w:tblW w:w="12840" w:type="dxa"/>
                      <w:tblLayout w:type="fixed"/>
                      <w:tblLook w:val="04A0"/>
                    </w:tblPrEx>
                    <w:trPr>
                      <w:trHeight w:val="52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7E1E51FE" w14:textId="77777777">
                        <w:pPr>
                          <w:rPr>
                            <w:color w:val="000000"/>
                            <w:sz w:val="20"/>
                          </w:rPr>
                        </w:pPr>
                        <w:r w:rsidRPr="00344573">
                          <w:rPr>
                            <w:color w:val="000000"/>
                            <w:sz w:val="20"/>
                          </w:rPr>
                          <w:t>A. Familiarize with regulatory requirement</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6C3C8AA9" w14:textId="77777777">
                        <w:pPr>
                          <w:jc w:val="center"/>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69A06C4E"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4A67D05D"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0BB16C6F"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3099A056"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10A8DE0F"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395B9E9F" w14:textId="77777777">
                        <w:pPr>
                          <w:jc w:val="right"/>
                          <w:rPr>
                            <w:color w:val="000000"/>
                            <w:sz w:val="20"/>
                          </w:rPr>
                        </w:pPr>
                        <w:r w:rsidRPr="00344573">
                          <w:rPr>
                            <w:color w:val="000000"/>
                            <w:sz w:val="20"/>
                          </w:rPr>
                          <w:t> </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0AE103F2" w14:textId="77777777">
                        <w:pPr>
                          <w:jc w:val="right"/>
                          <w:rPr>
                            <w:color w:val="000000"/>
                            <w:sz w:val="20"/>
                          </w:rPr>
                        </w:pPr>
                        <w:r w:rsidRPr="00344573">
                          <w:rPr>
                            <w:color w:val="000000"/>
                            <w:sz w:val="20"/>
                          </w:rPr>
                          <w:t> </w:t>
                        </w:r>
                      </w:p>
                    </w:tc>
                  </w:tr>
                  <w:tr w14:paraId="616DD34C" w14:textId="77777777" w:rsidTr="00344573">
                    <w:tblPrEx>
                      <w:tblW w:w="12840" w:type="dxa"/>
                      <w:tblLayout w:type="fixed"/>
                      <w:tblLook w:val="04A0"/>
                    </w:tblPrEx>
                    <w:trPr>
                      <w:trHeight w:val="26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266F2FA4" w14:textId="77777777">
                        <w:pPr>
                          <w:rPr>
                            <w:color w:val="000000"/>
                            <w:sz w:val="20"/>
                          </w:rPr>
                        </w:pPr>
                        <w:r w:rsidRPr="00344573">
                          <w:rPr>
                            <w:color w:val="000000"/>
                            <w:sz w:val="20"/>
                          </w:rPr>
                          <w:t xml:space="preserve">B. Plan Activities </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1283733C" w14:textId="77777777">
                        <w:pPr>
                          <w:jc w:val="center"/>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57E8714E"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0B4F9322"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06CC3202"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62A7221C"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40D46C88"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30546783" w14:textId="77777777">
                        <w:pPr>
                          <w:jc w:val="right"/>
                          <w:rPr>
                            <w:color w:val="000000"/>
                            <w:sz w:val="20"/>
                          </w:rPr>
                        </w:pPr>
                        <w:r w:rsidRPr="00344573">
                          <w:rPr>
                            <w:color w:val="000000"/>
                            <w:sz w:val="20"/>
                          </w:rPr>
                          <w:t> </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3113D8B8" w14:textId="77777777">
                        <w:pPr>
                          <w:jc w:val="right"/>
                          <w:rPr>
                            <w:color w:val="000000"/>
                            <w:sz w:val="20"/>
                          </w:rPr>
                        </w:pPr>
                        <w:r w:rsidRPr="00344573">
                          <w:rPr>
                            <w:color w:val="000000"/>
                            <w:sz w:val="20"/>
                          </w:rPr>
                          <w:t> </w:t>
                        </w:r>
                      </w:p>
                    </w:tc>
                  </w:tr>
                  <w:tr w14:paraId="7D278A30" w14:textId="77777777" w:rsidTr="00344573">
                    <w:tblPrEx>
                      <w:tblW w:w="12840" w:type="dxa"/>
                      <w:tblLayout w:type="fixed"/>
                      <w:tblLook w:val="04A0"/>
                    </w:tblPrEx>
                    <w:trPr>
                      <w:trHeight w:val="26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4D4FFD40" w14:textId="77777777">
                        <w:pPr>
                          <w:rPr>
                            <w:color w:val="000000"/>
                            <w:sz w:val="20"/>
                          </w:rPr>
                        </w:pPr>
                        <w:r w:rsidRPr="00344573">
                          <w:rPr>
                            <w:color w:val="000000"/>
                            <w:sz w:val="20"/>
                          </w:rPr>
                          <w:t xml:space="preserve">C. Implement Activities </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10B356A5" w14:textId="77777777">
                        <w:pPr>
                          <w:jc w:val="center"/>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4B0FBBFA"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35AB3CF6"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054E8CBA"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31796981"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19D13A9B"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0AC1FD64" w14:textId="77777777">
                        <w:pPr>
                          <w:jc w:val="right"/>
                          <w:rPr>
                            <w:color w:val="000000"/>
                            <w:sz w:val="20"/>
                          </w:rPr>
                        </w:pPr>
                        <w:r w:rsidRPr="00344573">
                          <w:rPr>
                            <w:color w:val="000000"/>
                            <w:sz w:val="20"/>
                          </w:rPr>
                          <w:t> </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4F2297D4" w14:textId="77777777">
                        <w:pPr>
                          <w:jc w:val="right"/>
                          <w:rPr>
                            <w:color w:val="000000"/>
                            <w:sz w:val="20"/>
                          </w:rPr>
                        </w:pPr>
                        <w:r w:rsidRPr="00344573">
                          <w:rPr>
                            <w:color w:val="000000"/>
                            <w:sz w:val="20"/>
                          </w:rPr>
                          <w:t> </w:t>
                        </w:r>
                      </w:p>
                    </w:tc>
                  </w:tr>
                  <w:tr w14:paraId="3E509EEC" w14:textId="77777777" w:rsidTr="00344573">
                    <w:tblPrEx>
                      <w:tblW w:w="12840" w:type="dxa"/>
                      <w:tblLayout w:type="fixed"/>
                      <w:tblLook w:val="04A0"/>
                    </w:tblPrEx>
                    <w:trPr>
                      <w:trHeight w:val="26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70ED3C09" w14:textId="77777777">
                        <w:pPr>
                          <w:rPr>
                            <w:color w:val="000000"/>
                            <w:sz w:val="20"/>
                          </w:rPr>
                        </w:pPr>
                        <w:r w:rsidRPr="00344573">
                          <w:rPr>
                            <w:color w:val="000000"/>
                            <w:sz w:val="20"/>
                          </w:rPr>
                          <w:t xml:space="preserve">D. Record Data </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582514FD" w14:textId="77777777">
                        <w:pPr>
                          <w:jc w:val="center"/>
                          <w:rPr>
                            <w:color w:val="000000"/>
                            <w:sz w:val="20"/>
                          </w:rPr>
                        </w:pPr>
                        <w:r w:rsidRPr="00344573">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21A30128"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05702DCE"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3B99FC3F"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1D6ED082"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3F41D9FA"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5C5421FD" w14:textId="77777777">
                        <w:pPr>
                          <w:jc w:val="right"/>
                          <w:rPr>
                            <w:color w:val="000000"/>
                            <w:sz w:val="20"/>
                          </w:rPr>
                        </w:pPr>
                        <w:r w:rsidRPr="00344573">
                          <w:rPr>
                            <w:color w:val="000000"/>
                            <w:sz w:val="20"/>
                          </w:rPr>
                          <w:t> </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22A8BC68" w14:textId="77777777">
                        <w:pPr>
                          <w:jc w:val="right"/>
                          <w:rPr>
                            <w:color w:val="000000"/>
                            <w:sz w:val="20"/>
                          </w:rPr>
                        </w:pPr>
                        <w:r w:rsidRPr="00344573">
                          <w:rPr>
                            <w:color w:val="000000"/>
                            <w:sz w:val="20"/>
                          </w:rPr>
                          <w:t> </w:t>
                        </w:r>
                      </w:p>
                    </w:tc>
                  </w:tr>
                  <w:tr w14:paraId="75CF130E" w14:textId="77777777" w:rsidTr="00344573">
                    <w:tblPrEx>
                      <w:tblW w:w="12840" w:type="dxa"/>
                      <w:tblLayout w:type="fixed"/>
                      <w:tblLook w:val="04A0"/>
                    </w:tblPrEx>
                    <w:trPr>
                      <w:trHeight w:val="52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35EDA5F7" w14:textId="77777777">
                        <w:pPr>
                          <w:rPr>
                            <w:color w:val="000000"/>
                            <w:sz w:val="20"/>
                          </w:rPr>
                        </w:pPr>
                        <w:r w:rsidRPr="00344573">
                          <w:rPr>
                            <w:color w:val="000000"/>
                            <w:sz w:val="20"/>
                          </w:rPr>
                          <w:t>E. Time to Transmit or Disclose Information</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7904D396" w14:textId="77777777">
                        <w:pPr>
                          <w:jc w:val="right"/>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4936200C"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3C783E42"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6BF931E8"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51FC7981"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5DCE3D2D"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4C0DD617" w14:textId="77777777">
                        <w:pPr>
                          <w:jc w:val="right"/>
                          <w:rPr>
                            <w:color w:val="000000"/>
                            <w:sz w:val="20"/>
                          </w:rPr>
                        </w:pPr>
                        <w:r w:rsidRPr="00344573">
                          <w:rPr>
                            <w:color w:val="000000"/>
                            <w:sz w:val="20"/>
                          </w:rPr>
                          <w:t> </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49DB1C07" w14:textId="77777777">
                        <w:pPr>
                          <w:jc w:val="right"/>
                          <w:rPr>
                            <w:color w:val="000000"/>
                            <w:sz w:val="20"/>
                          </w:rPr>
                        </w:pPr>
                        <w:r w:rsidRPr="00344573">
                          <w:rPr>
                            <w:color w:val="000000"/>
                            <w:sz w:val="20"/>
                          </w:rPr>
                          <w:t> </w:t>
                        </w:r>
                      </w:p>
                    </w:tc>
                  </w:tr>
                  <w:tr w14:paraId="1FF29BFB" w14:textId="77777777" w:rsidTr="00344573">
                    <w:tblPrEx>
                      <w:tblW w:w="12840" w:type="dxa"/>
                      <w:tblLayout w:type="fixed"/>
                      <w:tblLook w:val="04A0"/>
                    </w:tblPrEx>
                    <w:trPr>
                      <w:trHeight w:val="26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241AEA1D" w14:textId="77777777">
                        <w:pPr>
                          <w:rPr>
                            <w:i/>
                            <w:iCs/>
                            <w:color w:val="000000"/>
                            <w:sz w:val="20"/>
                            <w:u w:val="single"/>
                          </w:rPr>
                        </w:pPr>
                        <w:r w:rsidRPr="00344573">
                          <w:rPr>
                            <w:i/>
                            <w:iCs/>
                            <w:color w:val="000000"/>
                            <w:sz w:val="20"/>
                            <w:u w:val="single"/>
                          </w:rPr>
                          <w:t>Existing Sources</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37940EE9" w14:textId="77777777">
                        <w:pPr>
                          <w:jc w:val="right"/>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460CD936"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75F5BAEA"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6F109C17"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6B410C93"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398C44BC"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5535B856" w14:textId="77777777">
                        <w:pPr>
                          <w:jc w:val="right"/>
                          <w:rPr>
                            <w:color w:val="000000"/>
                            <w:sz w:val="20"/>
                          </w:rPr>
                        </w:pPr>
                        <w:r w:rsidRPr="00344573">
                          <w:rPr>
                            <w:color w:val="000000"/>
                            <w:sz w:val="20"/>
                          </w:rPr>
                          <w:t> </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08EDA57F" w14:textId="77777777">
                        <w:pPr>
                          <w:jc w:val="right"/>
                          <w:rPr>
                            <w:color w:val="000000"/>
                            <w:sz w:val="20"/>
                          </w:rPr>
                        </w:pPr>
                        <w:r w:rsidRPr="00344573">
                          <w:rPr>
                            <w:color w:val="000000"/>
                            <w:sz w:val="20"/>
                          </w:rPr>
                          <w:t> </w:t>
                        </w:r>
                      </w:p>
                    </w:tc>
                  </w:tr>
                  <w:tr w14:paraId="0AB5EEDF" w14:textId="77777777" w:rsidTr="00344573">
                    <w:tblPrEx>
                      <w:tblW w:w="12840" w:type="dxa"/>
                      <w:tblLayout w:type="fixed"/>
                      <w:tblLook w:val="04A0"/>
                    </w:tblPrEx>
                    <w:trPr>
                      <w:trHeight w:val="313"/>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3956B16B" w14:textId="77777777">
                        <w:pPr>
                          <w:rPr>
                            <w:color w:val="000000"/>
                            <w:sz w:val="20"/>
                          </w:rPr>
                        </w:pPr>
                        <w:r w:rsidRPr="00344573">
                          <w:rPr>
                            <w:color w:val="000000"/>
                            <w:sz w:val="20"/>
                          </w:rPr>
                          <w:t>Data Collection</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4DE1296A" w14:textId="77777777">
                        <w:pPr>
                          <w:jc w:val="center"/>
                          <w:rPr>
                            <w:color w:val="000000"/>
                            <w:sz w:val="20"/>
                          </w:rPr>
                        </w:pPr>
                        <w:r w:rsidRPr="00344573">
                          <w:rPr>
                            <w:color w:val="000000"/>
                            <w:sz w:val="20"/>
                          </w:rPr>
                          <w:t>0.1</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51FEB5A7" w14:textId="77777777">
                        <w:pPr>
                          <w:jc w:val="center"/>
                          <w:rPr>
                            <w:sz w:val="20"/>
                          </w:rPr>
                        </w:pPr>
                        <w:r w:rsidRPr="00344573">
                          <w:rPr>
                            <w:sz w:val="20"/>
                          </w:rPr>
                          <w:t>1</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338BA1F5" w14:textId="77777777">
                        <w:pPr>
                          <w:jc w:val="center"/>
                          <w:rPr>
                            <w:color w:val="000000"/>
                            <w:sz w:val="20"/>
                          </w:rPr>
                        </w:pPr>
                        <w:r w:rsidRPr="00344573">
                          <w:rPr>
                            <w:color w:val="000000"/>
                            <w:sz w:val="20"/>
                          </w:rPr>
                          <w:t>0.1</w:t>
                        </w:r>
                      </w:p>
                    </w:tc>
                    <w:tc>
                      <w:tcPr>
                        <w:tcW w:w="128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0ED10920" w14:textId="77777777">
                        <w:pPr>
                          <w:jc w:val="center"/>
                          <w:rPr>
                            <w:sz w:val="20"/>
                          </w:rPr>
                        </w:pPr>
                        <w:r w:rsidRPr="00344573">
                          <w:rPr>
                            <w:sz w:val="20"/>
                          </w:rPr>
                          <w:t>208</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0457D14B" w14:textId="77777777">
                        <w:pPr>
                          <w:jc w:val="center"/>
                          <w:rPr>
                            <w:color w:val="000000"/>
                            <w:sz w:val="20"/>
                          </w:rPr>
                        </w:pPr>
                        <w:r w:rsidRPr="00344573">
                          <w:rPr>
                            <w:color w:val="000000"/>
                            <w:sz w:val="20"/>
                          </w:rPr>
                          <w:t>21</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3804D45B" w14:textId="77777777">
                        <w:pPr>
                          <w:jc w:val="center"/>
                          <w:rPr>
                            <w:color w:val="000000"/>
                            <w:sz w:val="20"/>
                          </w:rPr>
                        </w:pPr>
                        <w:r w:rsidRPr="00344573">
                          <w:rPr>
                            <w:color w:val="000000"/>
                            <w:sz w:val="20"/>
                          </w:rPr>
                          <w:t>1.04</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2C53840C" w14:textId="77777777">
                        <w:pPr>
                          <w:jc w:val="center"/>
                          <w:rPr>
                            <w:color w:val="000000"/>
                            <w:sz w:val="20"/>
                          </w:rPr>
                        </w:pPr>
                        <w:r w:rsidRPr="00344573">
                          <w:rPr>
                            <w:color w:val="000000"/>
                            <w:sz w:val="20"/>
                          </w:rPr>
                          <w:t>2.08</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1AFD83CC" w14:textId="15F4486F">
                        <w:pPr>
                          <w:jc w:val="right"/>
                          <w:rPr>
                            <w:color w:val="000000"/>
                            <w:sz w:val="20"/>
                          </w:rPr>
                        </w:pPr>
                        <w:r w:rsidRPr="00344573">
                          <w:rPr>
                            <w:color w:val="000000"/>
                            <w:sz w:val="20"/>
                          </w:rPr>
                          <w:t xml:space="preserve">$2,957 </w:t>
                        </w:r>
                      </w:p>
                    </w:tc>
                  </w:tr>
                  <w:tr w14:paraId="3B3EC7F5" w14:textId="77777777" w:rsidTr="00344573">
                    <w:tblPrEx>
                      <w:tblW w:w="12840" w:type="dxa"/>
                      <w:tblLayout w:type="fixed"/>
                      <w:tblLook w:val="04A0"/>
                    </w:tblPrEx>
                    <w:trPr>
                      <w:trHeight w:val="183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0099989D" w14:textId="77777777">
                        <w:pPr>
                          <w:rPr>
                            <w:color w:val="000000"/>
                            <w:sz w:val="20"/>
                          </w:rPr>
                        </w:pPr>
                        <w:r w:rsidRPr="00344573">
                          <w:rPr>
                            <w:color w:val="000000"/>
                            <w:sz w:val="20"/>
                          </w:rPr>
                          <w:t>Records of Monthly Fuel Use, Average Hourly NOx emission rates, 30-day average NOx emission rates, Excess Emissions data,  Missed monitoring day data, "F" factor, and CEMS monitoring data.</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1F8069F9"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1C6E2C02"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499B10B2"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5CDC5531"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0BBD16C4"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701F0822"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718803A0" w14:textId="77777777">
                        <w:pPr>
                          <w:jc w:val="center"/>
                          <w:rPr>
                            <w:color w:val="000000"/>
                            <w:sz w:val="20"/>
                          </w:rPr>
                        </w:pPr>
                        <w:r w:rsidRPr="00344573">
                          <w:rPr>
                            <w:color w:val="000000"/>
                            <w:sz w:val="20"/>
                          </w:rPr>
                          <w:t>0</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09FFF3F6" w14:textId="77777777">
                        <w:pPr>
                          <w:jc w:val="right"/>
                          <w:rPr>
                            <w:color w:val="000000"/>
                            <w:sz w:val="20"/>
                          </w:rPr>
                        </w:pPr>
                        <w:r w:rsidRPr="00344573">
                          <w:rPr>
                            <w:color w:val="000000"/>
                            <w:sz w:val="20"/>
                          </w:rPr>
                          <w:t xml:space="preserve">$0.00 </w:t>
                        </w:r>
                      </w:p>
                    </w:tc>
                  </w:tr>
                  <w:tr w14:paraId="3BB9895E" w14:textId="77777777" w:rsidTr="00344573">
                    <w:tblPrEx>
                      <w:tblW w:w="12840" w:type="dxa"/>
                      <w:tblLayout w:type="fixed"/>
                      <w:tblLook w:val="04A0"/>
                    </w:tblPrEx>
                    <w:trPr>
                      <w:trHeight w:val="26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7289E68E" w14:textId="77777777">
                        <w:pPr>
                          <w:rPr>
                            <w:i/>
                            <w:iCs/>
                            <w:color w:val="000000"/>
                            <w:sz w:val="20"/>
                            <w:u w:val="single"/>
                          </w:rPr>
                        </w:pPr>
                        <w:r w:rsidRPr="00344573">
                          <w:rPr>
                            <w:i/>
                            <w:iCs/>
                            <w:color w:val="000000"/>
                            <w:sz w:val="20"/>
                            <w:u w:val="single"/>
                          </w:rPr>
                          <w:t>New Sources</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2F5ECCA6" w14:textId="77777777">
                        <w:pPr>
                          <w:jc w:val="center"/>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62DDC7E8" w14:textId="77777777">
                        <w:pPr>
                          <w:jc w:val="center"/>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714AF3AF" w14:textId="77777777">
                        <w:pPr>
                          <w:jc w:val="center"/>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637369B2" w14:textId="77777777">
                        <w:pPr>
                          <w:jc w:val="center"/>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5DAACBDF" w14:textId="77777777">
                        <w:pPr>
                          <w:jc w:val="center"/>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7C5C0DAA" w14:textId="77777777">
                        <w:pPr>
                          <w:jc w:val="center"/>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728522EC" w14:textId="77777777">
                        <w:pPr>
                          <w:jc w:val="center"/>
                          <w:rPr>
                            <w:color w:val="000000"/>
                            <w:sz w:val="20"/>
                          </w:rPr>
                        </w:pPr>
                        <w:r w:rsidRPr="00344573">
                          <w:rPr>
                            <w:color w:val="000000"/>
                            <w:sz w:val="20"/>
                          </w:rPr>
                          <w:t> </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7899B4C9" w14:textId="77777777">
                        <w:pPr>
                          <w:jc w:val="right"/>
                          <w:rPr>
                            <w:color w:val="000000"/>
                            <w:sz w:val="20"/>
                          </w:rPr>
                        </w:pPr>
                        <w:r w:rsidRPr="00344573">
                          <w:rPr>
                            <w:color w:val="000000"/>
                            <w:sz w:val="20"/>
                          </w:rPr>
                          <w:t> </w:t>
                        </w:r>
                      </w:p>
                    </w:tc>
                  </w:tr>
                  <w:tr w14:paraId="4E6F8732" w14:textId="77777777" w:rsidTr="00344573">
                    <w:tblPrEx>
                      <w:tblW w:w="12840" w:type="dxa"/>
                      <w:tblLayout w:type="fixed"/>
                      <w:tblLook w:val="04A0"/>
                    </w:tblPrEx>
                    <w:trPr>
                      <w:trHeight w:val="26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57D7A8D9" w14:textId="77777777">
                        <w:pPr>
                          <w:rPr>
                            <w:color w:val="000000"/>
                            <w:sz w:val="20"/>
                          </w:rPr>
                        </w:pPr>
                        <w:r w:rsidRPr="00344573">
                          <w:rPr>
                            <w:color w:val="000000"/>
                            <w:sz w:val="20"/>
                          </w:rPr>
                          <w:t>Data Collection</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07757489"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40046E3B"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0505ABB3"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45989279"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0937F863"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4340ABEE"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2310AB9E" w14:textId="77777777">
                        <w:pPr>
                          <w:jc w:val="center"/>
                          <w:rPr>
                            <w:color w:val="000000"/>
                            <w:sz w:val="20"/>
                          </w:rPr>
                        </w:pPr>
                        <w:r w:rsidRPr="00344573">
                          <w:rPr>
                            <w:color w:val="000000"/>
                            <w:sz w:val="20"/>
                          </w:rPr>
                          <w:t>0</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5194A44A" w14:textId="77777777">
                        <w:pPr>
                          <w:jc w:val="right"/>
                          <w:rPr>
                            <w:color w:val="000000"/>
                            <w:sz w:val="20"/>
                          </w:rPr>
                        </w:pPr>
                        <w:r w:rsidRPr="00344573">
                          <w:rPr>
                            <w:color w:val="000000"/>
                            <w:sz w:val="20"/>
                          </w:rPr>
                          <w:t xml:space="preserve">$0 </w:t>
                        </w:r>
                      </w:p>
                    </w:tc>
                  </w:tr>
                  <w:tr w14:paraId="7DD2CEEA" w14:textId="77777777" w:rsidTr="00344573">
                    <w:tblPrEx>
                      <w:tblW w:w="12840" w:type="dxa"/>
                      <w:tblLayout w:type="fixed"/>
                      <w:tblLook w:val="04A0"/>
                    </w:tblPrEx>
                    <w:trPr>
                      <w:trHeight w:val="194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27A25A9D" w14:textId="77777777">
                        <w:pPr>
                          <w:rPr>
                            <w:color w:val="000000"/>
                            <w:sz w:val="20"/>
                          </w:rPr>
                        </w:pPr>
                        <w:r w:rsidRPr="00344573">
                          <w:rPr>
                            <w:color w:val="000000"/>
                            <w:sz w:val="20"/>
                          </w:rPr>
                          <w:t>Records of Monthly Fuel Use, Average Hourly NOx emission rates, 30-day average NOx emission rates, Excess Emissions data,  Missed monitoring day data, "F" factor, and CEMS monitoring data.</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1A7AFD86"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7B5CB1E7"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2E21DBE9"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63FE502F"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2E571369"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5D90720B"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0973F41B" w14:textId="77777777">
                        <w:pPr>
                          <w:jc w:val="center"/>
                          <w:rPr>
                            <w:color w:val="000000"/>
                            <w:sz w:val="20"/>
                          </w:rPr>
                        </w:pPr>
                        <w:r w:rsidRPr="00344573">
                          <w:rPr>
                            <w:color w:val="000000"/>
                            <w:sz w:val="20"/>
                          </w:rPr>
                          <w:t>0</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406856B2" w14:textId="77777777">
                        <w:pPr>
                          <w:jc w:val="right"/>
                          <w:rPr>
                            <w:color w:val="000000"/>
                            <w:sz w:val="20"/>
                          </w:rPr>
                        </w:pPr>
                        <w:r w:rsidRPr="00344573">
                          <w:rPr>
                            <w:color w:val="000000"/>
                            <w:sz w:val="20"/>
                          </w:rPr>
                          <w:t xml:space="preserve">$0 </w:t>
                        </w:r>
                      </w:p>
                    </w:tc>
                  </w:tr>
                  <w:tr w14:paraId="4D729066" w14:textId="77777777" w:rsidTr="00344573">
                    <w:tblPrEx>
                      <w:tblW w:w="12840" w:type="dxa"/>
                      <w:tblLayout w:type="fixed"/>
                      <w:tblLook w:val="04A0"/>
                    </w:tblPrEx>
                    <w:trPr>
                      <w:trHeight w:val="41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1B58E890" w14:textId="77777777">
                        <w:pPr>
                          <w:rPr>
                            <w:color w:val="000000"/>
                            <w:sz w:val="20"/>
                          </w:rPr>
                        </w:pPr>
                        <w:r w:rsidRPr="00344573">
                          <w:rPr>
                            <w:color w:val="000000"/>
                            <w:sz w:val="20"/>
                          </w:rPr>
                          <w:t>F. Time to Train Personnel</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3CDE9209" w14:textId="77777777">
                        <w:pPr>
                          <w:jc w:val="center"/>
                          <w:rPr>
                            <w:color w:val="000000"/>
                            <w:sz w:val="20"/>
                          </w:rPr>
                        </w:pPr>
                        <w:r w:rsidRPr="00344573">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4195462D" w14:textId="77777777">
                        <w:pPr>
                          <w:jc w:val="center"/>
                          <w:rPr>
                            <w:sz w:val="20"/>
                          </w:rPr>
                        </w:pPr>
                        <w:r w:rsidRPr="00344573">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16B1FD33"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454B40A1" w14:textId="77777777">
                        <w:pPr>
                          <w:jc w:val="center"/>
                          <w:rPr>
                            <w:sz w:val="20"/>
                          </w:rPr>
                        </w:pPr>
                        <w:r w:rsidRPr="00344573">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72FB35AE" w14:textId="77777777">
                        <w:pPr>
                          <w:jc w:val="center"/>
                          <w:rPr>
                            <w:color w:val="000000"/>
                            <w:sz w:val="20"/>
                          </w:rPr>
                        </w:pPr>
                        <w:r w:rsidRPr="00344573">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2A474235" w14:textId="77777777">
                        <w:pPr>
                          <w:jc w:val="center"/>
                          <w:rPr>
                            <w:color w:val="000000"/>
                            <w:sz w:val="20"/>
                          </w:rPr>
                        </w:pPr>
                        <w:r w:rsidRPr="00344573">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0AC3B79C" w14:textId="77777777">
                        <w:pPr>
                          <w:jc w:val="center"/>
                          <w:rPr>
                            <w:color w:val="000000"/>
                            <w:sz w:val="20"/>
                          </w:rPr>
                        </w:pPr>
                        <w:r w:rsidRPr="00344573">
                          <w:rPr>
                            <w:color w:val="000000"/>
                            <w:sz w:val="20"/>
                          </w:rPr>
                          <w:t>0</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116792AC" w14:textId="77777777">
                        <w:pPr>
                          <w:jc w:val="right"/>
                          <w:rPr>
                            <w:color w:val="000000"/>
                            <w:sz w:val="20"/>
                          </w:rPr>
                        </w:pPr>
                        <w:r w:rsidRPr="00344573">
                          <w:rPr>
                            <w:color w:val="000000"/>
                            <w:sz w:val="20"/>
                          </w:rPr>
                          <w:t xml:space="preserve">$0 </w:t>
                        </w:r>
                      </w:p>
                    </w:tc>
                  </w:tr>
                  <w:tr w14:paraId="69632410" w14:textId="77777777" w:rsidTr="00344573">
                    <w:tblPrEx>
                      <w:tblW w:w="12840" w:type="dxa"/>
                      <w:tblLayout w:type="fixed"/>
                      <w:tblLook w:val="04A0"/>
                    </w:tblPrEx>
                    <w:trPr>
                      <w:trHeight w:val="26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3F1A7092" w14:textId="77777777">
                        <w:pPr>
                          <w:rPr>
                            <w:color w:val="000000"/>
                            <w:sz w:val="20"/>
                          </w:rPr>
                        </w:pPr>
                        <w:r w:rsidRPr="00344573">
                          <w:rPr>
                            <w:color w:val="000000"/>
                            <w:sz w:val="20"/>
                          </w:rPr>
                          <w:t xml:space="preserve">G. Time for Audits </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745D70DF" w14:textId="77777777">
                        <w:pPr>
                          <w:jc w:val="center"/>
                          <w:rPr>
                            <w:color w:val="000000"/>
                            <w:sz w:val="20"/>
                          </w:rPr>
                        </w:pPr>
                        <w:r w:rsidRPr="00344573">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3FC00110"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43F5ABF0"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42D1E9F5"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0A0938B2"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1ED0AC3B"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466C0350" w14:textId="77777777">
                        <w:pPr>
                          <w:jc w:val="right"/>
                          <w:rPr>
                            <w:color w:val="000000"/>
                            <w:sz w:val="20"/>
                          </w:rPr>
                        </w:pPr>
                        <w:r w:rsidRPr="00344573">
                          <w:rPr>
                            <w:color w:val="000000"/>
                            <w:sz w:val="20"/>
                          </w:rPr>
                          <w:t> </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38C7F086" w14:textId="77777777">
                        <w:pPr>
                          <w:jc w:val="right"/>
                          <w:rPr>
                            <w:color w:val="000000"/>
                            <w:sz w:val="20"/>
                          </w:rPr>
                        </w:pPr>
                        <w:r w:rsidRPr="00344573">
                          <w:rPr>
                            <w:color w:val="000000"/>
                            <w:sz w:val="20"/>
                          </w:rPr>
                          <w:t> </w:t>
                        </w:r>
                      </w:p>
                    </w:tc>
                  </w:tr>
                  <w:tr w14:paraId="44EF47DE" w14:textId="77777777" w:rsidTr="00344573">
                    <w:tblPrEx>
                      <w:tblW w:w="12840" w:type="dxa"/>
                      <w:tblLayout w:type="fixed"/>
                      <w:tblLook w:val="04A0"/>
                    </w:tblPrEx>
                    <w:trPr>
                      <w:trHeight w:val="54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1B6B5C6C" w14:textId="77777777">
                        <w:pPr>
                          <w:rPr>
                            <w:b/>
                            <w:bCs/>
                            <w:i/>
                            <w:iCs/>
                            <w:color w:val="000000"/>
                            <w:sz w:val="20"/>
                          </w:rPr>
                        </w:pPr>
                        <w:r w:rsidRPr="00344573">
                          <w:rPr>
                            <w:b/>
                            <w:bCs/>
                            <w:i/>
                            <w:iCs/>
                            <w:color w:val="000000"/>
                            <w:sz w:val="20"/>
                          </w:rPr>
                          <w:t>Subtotal for Recordkeeping Requirements</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00C55036" w14:textId="77777777">
                        <w:pPr>
                          <w:jc w:val="right"/>
                          <w:rPr>
                            <w:b/>
                            <w:bCs/>
                            <w:i/>
                            <w:iCs/>
                            <w:color w:val="000000"/>
                            <w:sz w:val="20"/>
                          </w:rPr>
                        </w:pPr>
                        <w:r w:rsidRPr="00344573">
                          <w:rPr>
                            <w:b/>
                            <w:bCs/>
                            <w:i/>
                            <w:i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2CA2EB34" w14:textId="77777777">
                        <w:pPr>
                          <w:jc w:val="right"/>
                          <w:rPr>
                            <w:b/>
                            <w:bCs/>
                            <w:i/>
                            <w:iCs/>
                            <w:sz w:val="20"/>
                          </w:rPr>
                        </w:pPr>
                        <w:r w:rsidRPr="00344573">
                          <w:rPr>
                            <w:b/>
                            <w:bCs/>
                            <w:i/>
                            <w:i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0125FD97" w14:textId="77777777">
                        <w:pPr>
                          <w:jc w:val="right"/>
                          <w:rPr>
                            <w:b/>
                            <w:bCs/>
                            <w:i/>
                            <w:iCs/>
                            <w:color w:val="000000"/>
                            <w:sz w:val="20"/>
                          </w:rPr>
                        </w:pPr>
                        <w:r w:rsidRPr="00344573">
                          <w:rPr>
                            <w:b/>
                            <w:bCs/>
                            <w:i/>
                            <w:iCs/>
                            <w:color w:val="000000"/>
                            <w:sz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344573" w:rsidRPr="00344573" w:rsidP="00344573" w14:paraId="297E44B7" w14:textId="77777777">
                        <w:pPr>
                          <w:jc w:val="right"/>
                          <w:rPr>
                            <w:b/>
                            <w:bCs/>
                            <w:i/>
                            <w:iCs/>
                            <w:sz w:val="20"/>
                          </w:rPr>
                        </w:pPr>
                        <w:r w:rsidRPr="00344573">
                          <w:rPr>
                            <w:b/>
                            <w:bCs/>
                            <w:i/>
                            <w:iCs/>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6C1EDAD0" w14:textId="77777777">
                        <w:pPr>
                          <w:jc w:val="center"/>
                          <w:rPr>
                            <w:b/>
                            <w:bCs/>
                            <w:i/>
                            <w:iCs/>
                            <w:color w:val="000000"/>
                            <w:sz w:val="20"/>
                          </w:rPr>
                        </w:pPr>
                        <w:r w:rsidRPr="00344573">
                          <w:rPr>
                            <w:b/>
                            <w:bCs/>
                            <w:i/>
                            <w:iCs/>
                            <w:color w:val="000000"/>
                            <w:sz w:val="20"/>
                          </w:rPr>
                          <w:t>24</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76BD3F57" w14:textId="77777777">
                        <w:pPr>
                          <w:jc w:val="center"/>
                          <w:rPr>
                            <w:b/>
                            <w:bCs/>
                            <w:i/>
                            <w:iCs/>
                            <w:color w:val="000000"/>
                            <w:sz w:val="20"/>
                          </w:rPr>
                        </w:pPr>
                        <w:r w:rsidRPr="00344573">
                          <w:rPr>
                            <w:b/>
                            <w:bCs/>
                            <w:i/>
                            <w:iCs/>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5533EE75" w14:textId="77777777">
                        <w:pPr>
                          <w:jc w:val="center"/>
                          <w:rPr>
                            <w:b/>
                            <w:bCs/>
                            <w:i/>
                            <w:iCs/>
                            <w:color w:val="000000"/>
                            <w:sz w:val="20"/>
                          </w:rPr>
                        </w:pPr>
                        <w:r w:rsidRPr="00344573">
                          <w:rPr>
                            <w:b/>
                            <w:bCs/>
                            <w:i/>
                            <w:iCs/>
                            <w:color w:val="000000"/>
                            <w:sz w:val="20"/>
                          </w:rPr>
                          <w:t> </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444FD01A" w14:textId="77777777">
                        <w:pPr>
                          <w:jc w:val="right"/>
                          <w:rPr>
                            <w:b/>
                            <w:bCs/>
                            <w:i/>
                            <w:iCs/>
                            <w:color w:val="000000"/>
                            <w:sz w:val="20"/>
                          </w:rPr>
                        </w:pPr>
                        <w:r w:rsidRPr="00344573">
                          <w:rPr>
                            <w:b/>
                            <w:bCs/>
                            <w:i/>
                            <w:iCs/>
                            <w:color w:val="000000"/>
                            <w:sz w:val="20"/>
                          </w:rPr>
                          <w:t xml:space="preserve">$2,957 </w:t>
                        </w:r>
                      </w:p>
                    </w:tc>
                  </w:tr>
                  <w:tr w14:paraId="2EE55B5A" w14:textId="77777777" w:rsidTr="00344573">
                    <w:tblPrEx>
                      <w:tblW w:w="12840" w:type="dxa"/>
                      <w:tblLayout w:type="fixed"/>
                      <w:tblLook w:val="04A0"/>
                    </w:tblPrEx>
                    <w:trPr>
                      <w:trHeight w:val="57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2AA4E1FF" w14:textId="77777777">
                        <w:pPr>
                          <w:rPr>
                            <w:b/>
                            <w:bCs/>
                            <w:color w:val="000000"/>
                            <w:sz w:val="20"/>
                          </w:rPr>
                        </w:pPr>
                        <w:r w:rsidRPr="00344573">
                          <w:rPr>
                            <w:b/>
                            <w:bCs/>
                            <w:color w:val="000000"/>
                            <w:sz w:val="20"/>
                          </w:rPr>
                          <w:t xml:space="preserve">Total Labor Burden and Cost (rounded) </w:t>
                        </w:r>
                        <w:r w:rsidRPr="00344573">
                          <w:rPr>
                            <w:b/>
                            <w:bCs/>
                            <w:color w:val="000000"/>
                            <w:sz w:val="20"/>
                            <w:vertAlign w:val="superscript"/>
                          </w:rPr>
                          <w:t>f</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127EBF05" w14:textId="77777777">
                        <w:pPr>
                          <w:jc w:val="right"/>
                          <w:rPr>
                            <w:b/>
                            <w:bCs/>
                            <w:color w:val="000000"/>
                            <w:sz w:val="20"/>
                          </w:rPr>
                        </w:pPr>
                        <w:r w:rsidRPr="00344573">
                          <w:rPr>
                            <w:b/>
                            <w:b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2372CBF4" w14:textId="77777777">
                        <w:pPr>
                          <w:jc w:val="center"/>
                          <w:rPr>
                            <w:b/>
                            <w:bCs/>
                            <w:sz w:val="20"/>
                          </w:rPr>
                        </w:pPr>
                        <w:r w:rsidRPr="00344573">
                          <w:rPr>
                            <w:b/>
                            <w:b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06071EC5" w14:textId="77777777">
                        <w:pPr>
                          <w:jc w:val="right"/>
                          <w:rPr>
                            <w:b/>
                            <w:bCs/>
                            <w:color w:val="000000"/>
                            <w:sz w:val="20"/>
                          </w:rPr>
                        </w:pPr>
                        <w:r w:rsidRPr="00344573">
                          <w:rPr>
                            <w:b/>
                            <w:bCs/>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5A3417D9" w14:textId="77777777">
                        <w:pPr>
                          <w:jc w:val="right"/>
                          <w:rPr>
                            <w:b/>
                            <w:bCs/>
                            <w:sz w:val="20"/>
                          </w:rPr>
                        </w:pPr>
                        <w:r w:rsidRPr="00344573">
                          <w:rPr>
                            <w:b/>
                            <w:bCs/>
                            <w:sz w:val="20"/>
                          </w:rPr>
                          <w:t> </w:t>
                        </w:r>
                      </w:p>
                    </w:tc>
                    <w:tc>
                      <w:tcPr>
                        <w:tcW w:w="3700" w:type="dxa"/>
                        <w:gridSpan w:val="3"/>
                        <w:tcBorders>
                          <w:top w:val="single" w:sz="4" w:space="0" w:color="auto"/>
                          <w:left w:val="nil"/>
                          <w:bottom w:val="single" w:sz="4" w:space="0" w:color="auto"/>
                          <w:right w:val="single" w:sz="4" w:space="0" w:color="auto"/>
                        </w:tcBorders>
                        <w:shd w:val="clear" w:color="auto" w:fill="auto"/>
                        <w:vAlign w:val="center"/>
                        <w:hideMark/>
                      </w:tcPr>
                      <w:p w:rsidR="00344573" w:rsidRPr="00344573" w:rsidP="00344573" w14:paraId="1B83C716" w14:textId="77777777">
                        <w:pPr>
                          <w:jc w:val="center"/>
                          <w:rPr>
                            <w:b/>
                            <w:bCs/>
                            <w:color w:val="000000"/>
                            <w:sz w:val="20"/>
                          </w:rPr>
                        </w:pPr>
                        <w:r w:rsidRPr="00344573">
                          <w:rPr>
                            <w:b/>
                            <w:bCs/>
                            <w:color w:val="000000"/>
                            <w:sz w:val="20"/>
                          </w:rPr>
                          <w:t>2,800</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29795602" w14:textId="77777777">
                        <w:pPr>
                          <w:jc w:val="right"/>
                          <w:rPr>
                            <w:b/>
                            <w:bCs/>
                            <w:color w:val="000000"/>
                            <w:sz w:val="20"/>
                          </w:rPr>
                        </w:pPr>
                        <w:r w:rsidRPr="00344573">
                          <w:rPr>
                            <w:b/>
                            <w:bCs/>
                            <w:color w:val="000000"/>
                            <w:sz w:val="20"/>
                          </w:rPr>
                          <w:t xml:space="preserve">$340,000 </w:t>
                        </w:r>
                      </w:p>
                    </w:tc>
                  </w:tr>
                  <w:tr w14:paraId="653F20CB" w14:textId="77777777" w:rsidTr="00344573">
                    <w:tblPrEx>
                      <w:tblW w:w="12840" w:type="dxa"/>
                      <w:tblLayout w:type="fixed"/>
                      <w:tblLook w:val="04A0"/>
                    </w:tblPrEx>
                    <w:trPr>
                      <w:trHeight w:val="56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2FEE5042" w14:textId="77777777">
                        <w:pPr>
                          <w:rPr>
                            <w:b/>
                            <w:bCs/>
                            <w:sz w:val="20"/>
                          </w:rPr>
                        </w:pPr>
                        <w:r w:rsidRPr="00344573">
                          <w:rPr>
                            <w:b/>
                            <w:bCs/>
                            <w:sz w:val="20"/>
                          </w:rPr>
                          <w:t xml:space="preserve">Total Capital and O&amp;M Cost (rounded) </w:t>
                        </w:r>
                        <w:r w:rsidRPr="00344573">
                          <w:rPr>
                            <w:b/>
                            <w:bCs/>
                            <w:sz w:val="20"/>
                            <w:vertAlign w:val="superscript"/>
                          </w:rPr>
                          <w:t>f</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6489AF2B" w14:textId="77777777">
                        <w:pPr>
                          <w:jc w:val="right"/>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1111F17F"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786A45B0"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200065C1"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4A4C577B"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6DC4F6A0"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38365C60" w14:textId="77777777">
                        <w:pPr>
                          <w:jc w:val="right"/>
                          <w:rPr>
                            <w:color w:val="000000"/>
                            <w:sz w:val="20"/>
                          </w:rPr>
                        </w:pPr>
                        <w:r w:rsidRPr="00344573">
                          <w:rPr>
                            <w:color w:val="000000"/>
                            <w:sz w:val="20"/>
                          </w:rPr>
                          <w:t> </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18829948" w14:textId="77777777">
                        <w:pPr>
                          <w:jc w:val="right"/>
                          <w:rPr>
                            <w:b/>
                            <w:bCs/>
                            <w:color w:val="000000"/>
                            <w:sz w:val="20"/>
                          </w:rPr>
                        </w:pPr>
                        <w:r w:rsidRPr="00344573">
                          <w:rPr>
                            <w:b/>
                            <w:bCs/>
                            <w:color w:val="000000"/>
                            <w:sz w:val="20"/>
                          </w:rPr>
                          <w:t> </w:t>
                        </w:r>
                      </w:p>
                    </w:tc>
                  </w:tr>
                  <w:tr w14:paraId="7F90D554" w14:textId="77777777" w:rsidTr="00344573">
                    <w:tblPrEx>
                      <w:tblW w:w="12840" w:type="dxa"/>
                      <w:tblLayout w:type="fixed"/>
                      <w:tblLook w:val="04A0"/>
                    </w:tblPrEx>
                    <w:trPr>
                      <w:trHeight w:val="840"/>
                    </w:trPr>
                    <w:tc>
                      <w:tcPr>
                        <w:tcW w:w="2800" w:type="dxa"/>
                        <w:tcBorders>
                          <w:top w:val="nil"/>
                          <w:left w:val="single" w:sz="4" w:space="0" w:color="auto"/>
                          <w:bottom w:val="single" w:sz="4" w:space="0" w:color="auto"/>
                          <w:right w:val="single" w:sz="4" w:space="0" w:color="auto"/>
                        </w:tcBorders>
                        <w:shd w:val="clear" w:color="auto" w:fill="auto"/>
                        <w:vAlign w:val="center"/>
                        <w:hideMark/>
                      </w:tcPr>
                      <w:p w:rsidR="00344573" w:rsidRPr="00344573" w:rsidP="00344573" w14:paraId="41D9EA15" w14:textId="77777777">
                        <w:pPr>
                          <w:rPr>
                            <w:b/>
                            <w:bCs/>
                            <w:sz w:val="20"/>
                          </w:rPr>
                        </w:pPr>
                        <w:r w:rsidRPr="00344573">
                          <w:rPr>
                            <w:b/>
                            <w:bCs/>
                            <w:sz w:val="20"/>
                          </w:rPr>
                          <w:t xml:space="preserve">Grand TOTAL (rounded) </w:t>
                        </w:r>
                        <w:r w:rsidRPr="00344573">
                          <w:rPr>
                            <w:b/>
                            <w:bCs/>
                            <w:sz w:val="20"/>
                            <w:vertAlign w:val="superscript"/>
                          </w:rPr>
                          <w:t>f</w:t>
                        </w:r>
                      </w:p>
                    </w:tc>
                    <w:tc>
                      <w:tcPr>
                        <w:tcW w:w="1120" w:type="dxa"/>
                        <w:tcBorders>
                          <w:top w:val="nil"/>
                          <w:left w:val="nil"/>
                          <w:bottom w:val="single" w:sz="4" w:space="0" w:color="auto"/>
                          <w:right w:val="single" w:sz="4" w:space="0" w:color="auto"/>
                        </w:tcBorders>
                        <w:shd w:val="clear" w:color="auto" w:fill="auto"/>
                        <w:vAlign w:val="center"/>
                        <w:hideMark/>
                      </w:tcPr>
                      <w:p w:rsidR="00344573" w:rsidRPr="00344573" w:rsidP="00344573" w14:paraId="5FF5F567" w14:textId="77777777">
                        <w:pPr>
                          <w:jc w:val="right"/>
                          <w:rPr>
                            <w:color w:val="000000"/>
                            <w:sz w:val="20"/>
                          </w:rPr>
                        </w:pPr>
                        <w:r w:rsidRPr="00344573">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344573" w:rsidRPr="00344573" w:rsidP="00344573" w14:paraId="79D45F15" w14:textId="77777777">
                        <w:pPr>
                          <w:jc w:val="right"/>
                          <w:rPr>
                            <w:sz w:val="20"/>
                          </w:rPr>
                        </w:pPr>
                        <w:r w:rsidRPr="00344573">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344573" w:rsidRPr="00344573" w:rsidP="00344573" w14:paraId="6350B3B2"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2A0A924D" w14:textId="77777777">
                        <w:pPr>
                          <w:jc w:val="right"/>
                          <w:rPr>
                            <w:sz w:val="20"/>
                          </w:rPr>
                        </w:pPr>
                        <w:r w:rsidRPr="00344573">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344573" w:rsidRPr="00344573" w:rsidP="00344573" w14:paraId="729B5741" w14:textId="77777777">
                        <w:pPr>
                          <w:jc w:val="right"/>
                          <w:rPr>
                            <w:color w:val="000000"/>
                            <w:sz w:val="20"/>
                          </w:rPr>
                        </w:pPr>
                        <w:r w:rsidRPr="00344573">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344573" w:rsidRPr="00344573" w:rsidP="00344573" w14:paraId="4C6F5D29" w14:textId="77777777">
                        <w:pPr>
                          <w:jc w:val="right"/>
                          <w:rPr>
                            <w:color w:val="000000"/>
                            <w:sz w:val="20"/>
                          </w:rPr>
                        </w:pPr>
                        <w:r w:rsidRPr="00344573">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344573" w:rsidRPr="00344573" w:rsidP="00344573" w14:paraId="6755D42B" w14:textId="77777777">
                        <w:pPr>
                          <w:jc w:val="right"/>
                          <w:rPr>
                            <w:color w:val="000000"/>
                            <w:sz w:val="20"/>
                          </w:rPr>
                        </w:pPr>
                        <w:r w:rsidRPr="00344573">
                          <w:rPr>
                            <w:color w:val="000000"/>
                            <w:sz w:val="20"/>
                          </w:rPr>
                          <w:t> </w:t>
                        </w:r>
                      </w:p>
                    </w:tc>
                    <w:tc>
                      <w:tcPr>
                        <w:tcW w:w="1380" w:type="dxa"/>
                        <w:tcBorders>
                          <w:top w:val="nil"/>
                          <w:left w:val="nil"/>
                          <w:bottom w:val="single" w:sz="4" w:space="0" w:color="auto"/>
                          <w:right w:val="single" w:sz="4" w:space="0" w:color="auto"/>
                        </w:tcBorders>
                        <w:shd w:val="clear" w:color="auto" w:fill="auto"/>
                        <w:vAlign w:val="center"/>
                        <w:hideMark/>
                      </w:tcPr>
                      <w:p w:rsidR="00344573" w:rsidRPr="00344573" w:rsidP="00344573" w14:paraId="62B97380" w14:textId="77777777">
                        <w:pPr>
                          <w:jc w:val="right"/>
                          <w:rPr>
                            <w:b/>
                            <w:bCs/>
                            <w:color w:val="000000"/>
                            <w:sz w:val="20"/>
                          </w:rPr>
                        </w:pPr>
                        <w:r w:rsidRPr="00344573">
                          <w:rPr>
                            <w:b/>
                            <w:bCs/>
                            <w:color w:val="000000"/>
                            <w:sz w:val="20"/>
                          </w:rPr>
                          <w:t xml:space="preserve">$300,000 </w:t>
                        </w:r>
                      </w:p>
                    </w:tc>
                  </w:tr>
                  <w:tr w14:paraId="3D21B958" w14:textId="77777777" w:rsidTr="00344573">
                    <w:tblPrEx>
                      <w:tblW w:w="12840" w:type="dxa"/>
                      <w:tblLayout w:type="fixed"/>
                      <w:tblLook w:val="04A0"/>
                    </w:tblPrEx>
                    <w:trPr>
                      <w:trHeight w:val="90"/>
                    </w:trPr>
                    <w:tc>
                      <w:tcPr>
                        <w:tcW w:w="2800" w:type="dxa"/>
                        <w:tcBorders>
                          <w:top w:val="nil"/>
                          <w:left w:val="nil"/>
                          <w:bottom w:val="nil"/>
                          <w:right w:val="nil"/>
                        </w:tcBorders>
                        <w:shd w:val="clear" w:color="auto" w:fill="auto"/>
                        <w:noWrap/>
                        <w:vAlign w:val="bottom"/>
                        <w:hideMark/>
                      </w:tcPr>
                      <w:p w:rsidR="00344573" w:rsidRPr="00344573" w:rsidP="00344573" w14:paraId="725503EE" w14:textId="77777777">
                        <w:pPr>
                          <w:jc w:val="right"/>
                          <w:rPr>
                            <w:b/>
                            <w:bCs/>
                            <w:color w:val="000000"/>
                            <w:sz w:val="20"/>
                          </w:rPr>
                        </w:pPr>
                      </w:p>
                    </w:tc>
                    <w:tc>
                      <w:tcPr>
                        <w:tcW w:w="1120" w:type="dxa"/>
                        <w:tcBorders>
                          <w:top w:val="nil"/>
                          <w:left w:val="nil"/>
                          <w:bottom w:val="nil"/>
                          <w:right w:val="nil"/>
                        </w:tcBorders>
                        <w:shd w:val="clear" w:color="auto" w:fill="auto"/>
                        <w:noWrap/>
                        <w:vAlign w:val="bottom"/>
                        <w:hideMark/>
                      </w:tcPr>
                      <w:p w:rsidR="00344573" w:rsidRPr="00344573" w:rsidP="00344573" w14:paraId="4284AA96" w14:textId="77777777">
                        <w:pPr>
                          <w:rPr>
                            <w:sz w:val="20"/>
                          </w:rPr>
                        </w:pPr>
                      </w:p>
                    </w:tc>
                    <w:tc>
                      <w:tcPr>
                        <w:tcW w:w="1320" w:type="dxa"/>
                        <w:tcBorders>
                          <w:top w:val="nil"/>
                          <w:left w:val="nil"/>
                          <w:bottom w:val="nil"/>
                          <w:right w:val="nil"/>
                        </w:tcBorders>
                        <w:shd w:val="clear" w:color="auto" w:fill="auto"/>
                        <w:noWrap/>
                        <w:vAlign w:val="bottom"/>
                        <w:hideMark/>
                      </w:tcPr>
                      <w:p w:rsidR="00344573" w:rsidRPr="00344573" w:rsidP="00344573" w14:paraId="76911055" w14:textId="77777777">
                        <w:pPr>
                          <w:rPr>
                            <w:sz w:val="20"/>
                          </w:rPr>
                        </w:pPr>
                      </w:p>
                    </w:tc>
                    <w:tc>
                      <w:tcPr>
                        <w:tcW w:w="1240" w:type="dxa"/>
                        <w:tcBorders>
                          <w:top w:val="nil"/>
                          <w:left w:val="nil"/>
                          <w:bottom w:val="nil"/>
                          <w:right w:val="nil"/>
                        </w:tcBorders>
                        <w:shd w:val="clear" w:color="auto" w:fill="auto"/>
                        <w:noWrap/>
                        <w:vAlign w:val="bottom"/>
                        <w:hideMark/>
                      </w:tcPr>
                      <w:p w:rsidR="00344573" w:rsidRPr="00344573" w:rsidP="00344573" w14:paraId="362C96E6" w14:textId="77777777">
                        <w:pPr>
                          <w:rPr>
                            <w:sz w:val="20"/>
                          </w:rPr>
                        </w:pPr>
                      </w:p>
                    </w:tc>
                    <w:tc>
                      <w:tcPr>
                        <w:tcW w:w="1280" w:type="dxa"/>
                        <w:tcBorders>
                          <w:top w:val="nil"/>
                          <w:left w:val="nil"/>
                          <w:bottom w:val="nil"/>
                          <w:right w:val="nil"/>
                        </w:tcBorders>
                        <w:shd w:val="clear" w:color="auto" w:fill="auto"/>
                        <w:noWrap/>
                        <w:vAlign w:val="bottom"/>
                        <w:hideMark/>
                      </w:tcPr>
                      <w:p w:rsidR="00344573" w:rsidRPr="00344573" w:rsidP="00344573" w14:paraId="67A5BF82" w14:textId="77777777">
                        <w:pPr>
                          <w:rPr>
                            <w:sz w:val="20"/>
                          </w:rPr>
                        </w:pPr>
                      </w:p>
                    </w:tc>
                    <w:tc>
                      <w:tcPr>
                        <w:tcW w:w="1160" w:type="dxa"/>
                        <w:tcBorders>
                          <w:top w:val="nil"/>
                          <w:left w:val="nil"/>
                          <w:bottom w:val="nil"/>
                          <w:right w:val="nil"/>
                        </w:tcBorders>
                        <w:shd w:val="clear" w:color="auto" w:fill="auto"/>
                        <w:noWrap/>
                        <w:vAlign w:val="bottom"/>
                        <w:hideMark/>
                      </w:tcPr>
                      <w:p w:rsidR="00344573" w:rsidRPr="00344573" w:rsidP="00344573" w14:paraId="5CB0C2C7" w14:textId="77777777">
                        <w:pPr>
                          <w:rPr>
                            <w:sz w:val="20"/>
                          </w:rPr>
                        </w:pPr>
                      </w:p>
                    </w:tc>
                    <w:tc>
                      <w:tcPr>
                        <w:tcW w:w="1280" w:type="dxa"/>
                        <w:tcBorders>
                          <w:top w:val="nil"/>
                          <w:left w:val="nil"/>
                          <w:bottom w:val="nil"/>
                          <w:right w:val="nil"/>
                        </w:tcBorders>
                        <w:shd w:val="clear" w:color="auto" w:fill="auto"/>
                        <w:noWrap/>
                        <w:vAlign w:val="bottom"/>
                        <w:hideMark/>
                      </w:tcPr>
                      <w:p w:rsidR="00344573" w:rsidRPr="00344573" w:rsidP="00344573" w14:paraId="042D435C" w14:textId="77777777">
                        <w:pPr>
                          <w:rPr>
                            <w:sz w:val="20"/>
                          </w:rPr>
                        </w:pPr>
                      </w:p>
                    </w:tc>
                    <w:tc>
                      <w:tcPr>
                        <w:tcW w:w="1260" w:type="dxa"/>
                        <w:tcBorders>
                          <w:top w:val="nil"/>
                          <w:left w:val="nil"/>
                          <w:bottom w:val="nil"/>
                          <w:right w:val="nil"/>
                        </w:tcBorders>
                        <w:shd w:val="clear" w:color="auto" w:fill="auto"/>
                        <w:noWrap/>
                        <w:vAlign w:val="bottom"/>
                        <w:hideMark/>
                      </w:tcPr>
                      <w:p w:rsidR="00344573" w:rsidRPr="00344573" w:rsidP="00344573" w14:paraId="577DC596" w14:textId="77777777">
                        <w:pPr>
                          <w:rPr>
                            <w:sz w:val="20"/>
                          </w:rPr>
                        </w:pPr>
                      </w:p>
                    </w:tc>
                    <w:tc>
                      <w:tcPr>
                        <w:tcW w:w="1380" w:type="dxa"/>
                        <w:tcBorders>
                          <w:top w:val="nil"/>
                          <w:left w:val="nil"/>
                          <w:bottom w:val="nil"/>
                          <w:right w:val="nil"/>
                        </w:tcBorders>
                        <w:shd w:val="clear" w:color="auto" w:fill="auto"/>
                        <w:noWrap/>
                        <w:vAlign w:val="bottom"/>
                        <w:hideMark/>
                      </w:tcPr>
                      <w:p w:rsidR="00344573" w:rsidRPr="00344573" w:rsidP="00344573" w14:paraId="0F11E8EE" w14:textId="77777777">
                        <w:pPr>
                          <w:rPr>
                            <w:sz w:val="20"/>
                          </w:rPr>
                        </w:pPr>
                      </w:p>
                    </w:tc>
                  </w:tr>
                  <w:tr w14:paraId="3C0F27FE" w14:textId="77777777" w:rsidTr="00344573">
                    <w:tblPrEx>
                      <w:tblW w:w="12840" w:type="dxa"/>
                      <w:tblLayout w:type="fixed"/>
                      <w:tblLook w:val="04A0"/>
                    </w:tblPrEx>
                    <w:trPr>
                      <w:trHeight w:val="523"/>
                    </w:trPr>
                    <w:tc>
                      <w:tcPr>
                        <w:tcW w:w="12840" w:type="dxa"/>
                        <w:gridSpan w:val="9"/>
                        <w:tcBorders>
                          <w:top w:val="nil"/>
                          <w:left w:val="nil"/>
                          <w:bottom w:val="nil"/>
                          <w:right w:val="nil"/>
                        </w:tcBorders>
                        <w:shd w:val="clear" w:color="auto" w:fill="auto"/>
                        <w:vAlign w:val="center"/>
                        <w:hideMark/>
                      </w:tcPr>
                      <w:p w:rsidR="00344573" w:rsidRPr="00344573" w:rsidP="00344573" w14:paraId="51D0385D" w14:textId="77777777">
                        <w:pPr>
                          <w:rPr>
                            <w:color w:val="000000"/>
                            <w:sz w:val="20"/>
                          </w:rPr>
                        </w:pPr>
                        <w:r w:rsidRPr="00344573">
                          <w:rPr>
                            <w:color w:val="000000"/>
                            <w:sz w:val="20"/>
                            <w:vertAlign w:val="superscript"/>
                          </w:rPr>
                          <w:t>a</w:t>
                        </w:r>
                        <w:r w:rsidRPr="00344573">
                          <w:rPr>
                            <w:color w:val="000000"/>
                            <w:sz w:val="20"/>
                          </w:rPr>
                          <w:t xml:space="preserve">  We have assumed that there are approximately 26 boilers are expected to install controls and that 10% of the existing units will have new construction/reconstruction.</w:t>
                        </w:r>
                      </w:p>
                    </w:tc>
                  </w:tr>
                  <w:tr w14:paraId="7D4A3C34" w14:textId="77777777" w:rsidTr="00344573">
                    <w:tblPrEx>
                      <w:tblW w:w="12840" w:type="dxa"/>
                      <w:tblLayout w:type="fixed"/>
                      <w:tblLook w:val="04A0"/>
                    </w:tblPrEx>
                    <w:trPr>
                      <w:trHeight w:val="1213"/>
                    </w:trPr>
                    <w:tc>
                      <w:tcPr>
                        <w:tcW w:w="12840" w:type="dxa"/>
                        <w:gridSpan w:val="9"/>
                        <w:tcBorders>
                          <w:top w:val="nil"/>
                          <w:left w:val="nil"/>
                          <w:bottom w:val="nil"/>
                          <w:right w:val="nil"/>
                        </w:tcBorders>
                        <w:shd w:val="clear" w:color="auto" w:fill="auto"/>
                        <w:vAlign w:val="bottom"/>
                        <w:hideMark/>
                      </w:tcPr>
                      <w:p w:rsidR="00344573" w:rsidRPr="00344573" w:rsidP="00344573" w14:paraId="2C7E1DCE" w14:textId="77777777">
                        <w:pPr>
                          <w:rPr>
                            <w:color w:val="000000"/>
                            <w:sz w:val="20"/>
                          </w:rPr>
                        </w:pPr>
                        <w:r w:rsidRPr="00344573">
                          <w:rPr>
                            <w:color w:val="000000"/>
                            <w:sz w:val="20"/>
                            <w:vertAlign w:val="superscript"/>
                          </w:rPr>
                          <w:t>b</w:t>
                        </w:r>
                        <w:r w:rsidRPr="00344573">
                          <w:rPr>
                            <w:color w:val="000000"/>
                            <w:sz w:val="20"/>
                          </w:rPr>
                          <w:t xml:space="preserve">  This ICR uses the following labor rates: $161.62 per hour for Executive, Administrative, and Managerial labor; $127.68 per hour for Technical labor, and $64.22 per hour for Clerical labor.  These rates are from the United States Department of Labor, Bureau of Labor Statistics, June 2022, “Table 2. Civilian Workers, by Occupational and Industry group.”  The rates are from column 1, “Total Compensation.”  The rates have been increased by 110 percent to account for the benefit packages available to those employed by private industry.  Archived report releases can be accessed from https://www.bls.gov/bls/news-release/ecec.htm#2021;  from homepage, select Economic Releases, Archived News Releases, Employer Costs for Employee Compensation, Select a past year, Select a published report.</w:t>
                        </w:r>
                      </w:p>
                    </w:tc>
                  </w:tr>
                  <w:tr w14:paraId="769DA4C2" w14:textId="77777777" w:rsidTr="00344573">
                    <w:tblPrEx>
                      <w:tblW w:w="12840" w:type="dxa"/>
                      <w:tblLayout w:type="fixed"/>
                      <w:tblLook w:val="04A0"/>
                    </w:tblPrEx>
                    <w:trPr>
                      <w:trHeight w:val="480"/>
                    </w:trPr>
                    <w:tc>
                      <w:tcPr>
                        <w:tcW w:w="12840" w:type="dxa"/>
                        <w:gridSpan w:val="9"/>
                        <w:tcBorders>
                          <w:top w:val="nil"/>
                          <w:left w:val="nil"/>
                          <w:bottom w:val="nil"/>
                          <w:right w:val="nil"/>
                        </w:tcBorders>
                        <w:shd w:val="clear" w:color="auto" w:fill="auto"/>
                        <w:vAlign w:val="center"/>
                        <w:hideMark/>
                      </w:tcPr>
                      <w:p w:rsidR="00344573" w:rsidRPr="00344573" w:rsidP="00344573" w14:paraId="23F484F6" w14:textId="77777777">
                        <w:pPr>
                          <w:rPr>
                            <w:color w:val="000000"/>
                            <w:sz w:val="20"/>
                          </w:rPr>
                        </w:pPr>
                        <w:r w:rsidRPr="00344573">
                          <w:rPr>
                            <w:color w:val="000000"/>
                            <w:sz w:val="20"/>
                            <w:vertAlign w:val="superscript"/>
                          </w:rPr>
                          <w:t>c</w:t>
                        </w:r>
                        <w:r w:rsidRPr="00344573">
                          <w:rPr>
                            <w:color w:val="000000"/>
                            <w:sz w:val="20"/>
                          </w:rPr>
                          <w:t xml:space="preserve">  New boilers test for NOx. We have assumed that 5 percent of respondents would repeat initial performance test due to failure.</w:t>
                        </w:r>
                      </w:p>
                    </w:tc>
                  </w:tr>
                  <w:tr w14:paraId="18E987E5" w14:textId="77777777" w:rsidTr="00344573">
                    <w:tblPrEx>
                      <w:tblW w:w="12840" w:type="dxa"/>
                      <w:tblLayout w:type="fixed"/>
                      <w:tblLook w:val="04A0"/>
                    </w:tblPrEx>
                    <w:trPr>
                      <w:trHeight w:val="600"/>
                    </w:trPr>
                    <w:tc>
                      <w:tcPr>
                        <w:tcW w:w="12840" w:type="dxa"/>
                        <w:gridSpan w:val="9"/>
                        <w:tcBorders>
                          <w:top w:val="nil"/>
                          <w:left w:val="nil"/>
                          <w:bottom w:val="nil"/>
                          <w:right w:val="nil"/>
                        </w:tcBorders>
                        <w:shd w:val="clear" w:color="auto" w:fill="auto"/>
                        <w:vAlign w:val="center"/>
                        <w:hideMark/>
                      </w:tcPr>
                      <w:p w:rsidR="00344573" w:rsidRPr="00344573" w:rsidP="00344573" w14:paraId="18C6AD0D" w14:textId="77777777">
                        <w:pPr>
                          <w:rPr>
                            <w:sz w:val="20"/>
                          </w:rPr>
                        </w:pPr>
                        <w:r w:rsidRPr="00344573">
                          <w:rPr>
                            <w:sz w:val="20"/>
                            <w:vertAlign w:val="superscript"/>
                          </w:rPr>
                          <w:t>d</w:t>
                        </w:r>
                        <w:r w:rsidRPr="00344573">
                          <w:rPr>
                            <w:sz w:val="20"/>
                          </w:rPr>
                          <w:t xml:space="preserve">  The rule requires existing boilers to conduct an initial compliance test within 90 days from the installation of the pollution control equipment used to comply with the NOx emission limits. We have assumed that 5 percent of respondents would repeat annual performance test due to failure.</w:t>
                        </w:r>
                      </w:p>
                    </w:tc>
                  </w:tr>
                  <w:tr w14:paraId="26070E3C" w14:textId="77777777" w:rsidTr="00344573">
                    <w:tblPrEx>
                      <w:tblW w:w="12840" w:type="dxa"/>
                      <w:tblLayout w:type="fixed"/>
                      <w:tblLook w:val="04A0"/>
                    </w:tblPrEx>
                    <w:trPr>
                      <w:trHeight w:val="343"/>
                    </w:trPr>
                    <w:tc>
                      <w:tcPr>
                        <w:tcW w:w="12840" w:type="dxa"/>
                        <w:gridSpan w:val="9"/>
                        <w:tcBorders>
                          <w:top w:val="nil"/>
                          <w:left w:val="nil"/>
                          <w:bottom w:val="nil"/>
                          <w:right w:val="nil"/>
                        </w:tcBorders>
                        <w:shd w:val="clear" w:color="auto" w:fill="auto"/>
                        <w:noWrap/>
                        <w:vAlign w:val="center"/>
                        <w:hideMark/>
                      </w:tcPr>
                      <w:p w:rsidR="00344573" w:rsidRPr="00344573" w:rsidP="00344573" w14:paraId="520F0A32" w14:textId="77777777">
                        <w:pPr>
                          <w:rPr>
                            <w:color w:val="000000"/>
                            <w:sz w:val="20"/>
                          </w:rPr>
                        </w:pPr>
                        <w:r w:rsidRPr="00344573">
                          <w:rPr>
                            <w:color w:val="000000"/>
                            <w:sz w:val="20"/>
                            <w:vertAlign w:val="superscript"/>
                          </w:rPr>
                          <w:t>e</w:t>
                        </w:r>
                        <w:r w:rsidRPr="00344573">
                          <w:rPr>
                            <w:color w:val="000000"/>
                            <w:sz w:val="20"/>
                          </w:rPr>
                          <w:t xml:space="preserve">  Calibration drift checks on the air flow sensor on the NOx CEMS are performed daily. </w:t>
                        </w:r>
                      </w:p>
                    </w:tc>
                  </w:tr>
                  <w:tr w14:paraId="31E44324" w14:textId="77777777" w:rsidTr="00344573">
                    <w:tblPrEx>
                      <w:tblW w:w="12840" w:type="dxa"/>
                      <w:tblLayout w:type="fixed"/>
                      <w:tblLook w:val="04A0"/>
                    </w:tblPrEx>
                    <w:trPr>
                      <w:trHeight w:val="493"/>
                    </w:trPr>
                    <w:tc>
                      <w:tcPr>
                        <w:tcW w:w="12840" w:type="dxa"/>
                        <w:gridSpan w:val="9"/>
                        <w:tcBorders>
                          <w:top w:val="nil"/>
                          <w:left w:val="nil"/>
                          <w:bottom w:val="nil"/>
                          <w:right w:val="nil"/>
                        </w:tcBorders>
                        <w:shd w:val="clear" w:color="auto" w:fill="auto"/>
                        <w:hideMark/>
                      </w:tcPr>
                      <w:p w:rsidR="00344573" w:rsidRPr="00344573" w:rsidP="00344573" w14:paraId="77B9E71D" w14:textId="77777777">
                        <w:pPr>
                          <w:rPr>
                            <w:color w:val="000000"/>
                            <w:sz w:val="20"/>
                          </w:rPr>
                        </w:pPr>
                        <w:r w:rsidRPr="00344573">
                          <w:rPr>
                            <w:color w:val="000000"/>
                            <w:sz w:val="20"/>
                            <w:vertAlign w:val="superscript"/>
                          </w:rPr>
                          <w:t>f</w:t>
                        </w:r>
                        <w:r w:rsidRPr="00344573">
                          <w:rPr>
                            <w:color w:val="000000"/>
                            <w:sz w:val="20"/>
                          </w:rPr>
                          <w:t xml:space="preserve">  10 percent of respondents are assumed to submit a written request to Administrator for an alternative monitoring procedure (instead of use of CEMS).</w:t>
                        </w:r>
                      </w:p>
                    </w:tc>
                  </w:tr>
                  <w:tr w14:paraId="50E2D603" w14:textId="77777777" w:rsidTr="00344573">
                    <w:tblPrEx>
                      <w:tblW w:w="12840" w:type="dxa"/>
                      <w:tblLayout w:type="fixed"/>
                      <w:tblLook w:val="04A0"/>
                    </w:tblPrEx>
                    <w:trPr>
                      <w:trHeight w:val="290"/>
                    </w:trPr>
                    <w:tc>
                      <w:tcPr>
                        <w:tcW w:w="12840" w:type="dxa"/>
                        <w:gridSpan w:val="9"/>
                        <w:tcBorders>
                          <w:top w:val="nil"/>
                          <w:left w:val="nil"/>
                          <w:bottom w:val="nil"/>
                          <w:right w:val="nil"/>
                        </w:tcBorders>
                        <w:shd w:val="clear" w:color="auto" w:fill="auto"/>
                        <w:hideMark/>
                      </w:tcPr>
                      <w:p w:rsidR="00344573" w:rsidRPr="00344573" w:rsidP="00344573" w14:paraId="1CF07C72" w14:textId="77777777">
                        <w:pPr>
                          <w:rPr>
                            <w:color w:val="000000"/>
                            <w:sz w:val="20"/>
                          </w:rPr>
                        </w:pPr>
                        <w:r w:rsidRPr="00344573">
                          <w:rPr>
                            <w:color w:val="000000"/>
                            <w:sz w:val="20"/>
                            <w:vertAlign w:val="superscript"/>
                          </w:rPr>
                          <w:t>g</w:t>
                        </w:r>
                        <w:r w:rsidRPr="00344573">
                          <w:rPr>
                            <w:color w:val="000000"/>
                            <w:sz w:val="20"/>
                          </w:rPr>
                          <w:t xml:space="preserve">  Totals have been rounded to 3 significant figures.  Figures may not add exactly due to rounding.</w:t>
                        </w:r>
                      </w:p>
                    </w:tc>
                  </w:tr>
                </w:tbl>
                <w:p w:rsidR="00401A59" w:rsidP="00036248" w14:paraId="7CCCD2DA" w14:textId="77777777">
                  <w:pPr>
                    <w:rPr>
                      <w:b/>
                      <w:bCs/>
                      <w:szCs w:val="24"/>
                    </w:rPr>
                  </w:pPr>
                </w:p>
                <w:p w:rsidR="00CD3BBE" w:rsidP="00CD3BBE" w14:paraId="7A0270B1" w14:textId="23712835">
                  <w:pPr>
                    <w:rPr>
                      <w:b/>
                      <w:bCs/>
                      <w:szCs w:val="24"/>
                    </w:rPr>
                  </w:pPr>
                  <w:r w:rsidRPr="00D17F6A">
                    <w:rPr>
                      <w:b/>
                      <w:bCs/>
                      <w:szCs w:val="24"/>
                    </w:rPr>
                    <w:t xml:space="preserve">Table </w:t>
                  </w:r>
                  <w:r>
                    <w:rPr>
                      <w:b/>
                      <w:bCs/>
                      <w:szCs w:val="24"/>
                    </w:rPr>
                    <w:t>16</w:t>
                  </w:r>
                  <w:r w:rsidRPr="00D17F6A">
                    <w:rPr>
                      <w:b/>
                      <w:bCs/>
                      <w:szCs w:val="24"/>
                    </w:rPr>
                    <w:t xml:space="preserve">: </w:t>
                  </w:r>
                  <w:r>
                    <w:rPr>
                      <w:b/>
                      <w:bCs/>
                      <w:szCs w:val="24"/>
                    </w:rPr>
                    <w:t xml:space="preserve">Annual </w:t>
                  </w:r>
                  <w:r w:rsidRPr="00D17F6A">
                    <w:rPr>
                      <w:b/>
                      <w:bCs/>
                      <w:szCs w:val="24"/>
                    </w:rPr>
                    <w:t xml:space="preserve">Respondent Burden and Cost – </w:t>
                  </w:r>
                  <w:r>
                    <w:rPr>
                      <w:b/>
                      <w:bCs/>
                      <w:szCs w:val="24"/>
                    </w:rPr>
                    <w:t>Solid Waste Combustors and Incinerators, Year 1</w:t>
                  </w:r>
                </w:p>
                <w:p w:rsidR="00CD3BBE" w:rsidP="00CD3BBE" w14:paraId="0A3AD04A" w14:textId="389BE4FF">
                  <w:pPr>
                    <w:rPr>
                      <w:b/>
                      <w:bCs/>
                      <w:szCs w:val="24"/>
                    </w:rPr>
                  </w:pPr>
                </w:p>
                <w:tbl>
                  <w:tblPr>
                    <w:tblW w:w="12820" w:type="dxa"/>
                    <w:tblLayout w:type="fixed"/>
                    <w:tblLook w:val="04A0"/>
                  </w:tblPr>
                  <w:tblGrid>
                    <w:gridCol w:w="2960"/>
                    <w:gridCol w:w="1120"/>
                    <w:gridCol w:w="1320"/>
                    <w:gridCol w:w="1240"/>
                    <w:gridCol w:w="1280"/>
                    <w:gridCol w:w="1160"/>
                    <w:gridCol w:w="1280"/>
                    <w:gridCol w:w="1260"/>
                    <w:gridCol w:w="1200"/>
                  </w:tblGrid>
                  <w:tr w14:paraId="0BB533EE" w14:textId="77777777" w:rsidTr="00ED2F52">
                    <w:tblPrEx>
                      <w:tblW w:w="12820" w:type="dxa"/>
                      <w:tblLayout w:type="fixed"/>
                      <w:tblLook w:val="04A0"/>
                    </w:tblPrEx>
                    <w:trPr>
                      <w:trHeight w:val="1300"/>
                    </w:trPr>
                    <w:tc>
                      <w:tcPr>
                        <w:tcW w:w="2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2F52" w:rsidRPr="00ED2F52" w:rsidP="00ED2F52" w14:paraId="5D2BEC33" w14:textId="77777777">
                        <w:pPr>
                          <w:jc w:val="center"/>
                          <w:rPr>
                            <w:b/>
                            <w:bCs/>
                            <w:color w:val="000000"/>
                            <w:sz w:val="20"/>
                          </w:rPr>
                        </w:pPr>
                        <w:r w:rsidRPr="00ED2F52">
                          <w:rPr>
                            <w:b/>
                            <w:bCs/>
                            <w:color w:val="000000"/>
                            <w:sz w:val="20"/>
                          </w:rPr>
                          <w:t>Burden Item</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791154F6" w14:textId="77777777">
                        <w:pPr>
                          <w:jc w:val="center"/>
                          <w:rPr>
                            <w:color w:val="000000"/>
                            <w:sz w:val="20"/>
                          </w:rPr>
                        </w:pPr>
                        <w:r w:rsidRPr="00ED2F52">
                          <w:rPr>
                            <w:color w:val="000000"/>
                            <w:sz w:val="20"/>
                          </w:rPr>
                          <w:t>(A)</w:t>
                        </w:r>
                        <w:r w:rsidRPr="00ED2F52">
                          <w:rPr>
                            <w:color w:val="000000"/>
                            <w:sz w:val="20"/>
                          </w:rPr>
                          <w:br/>
                        </w:r>
                        <w:r w:rsidRPr="00ED2F52">
                          <w:rPr>
                            <w:color w:val="000000"/>
                            <w:sz w:val="20"/>
                          </w:rPr>
                          <w:t>Hours per Occurrence</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28F56BE9" w14:textId="77777777">
                        <w:pPr>
                          <w:jc w:val="center"/>
                          <w:rPr>
                            <w:sz w:val="20"/>
                          </w:rPr>
                        </w:pPr>
                        <w:r w:rsidRPr="00ED2F52">
                          <w:rPr>
                            <w:sz w:val="20"/>
                          </w:rPr>
                          <w:t>(B)</w:t>
                        </w:r>
                        <w:r w:rsidRPr="00ED2F52">
                          <w:rPr>
                            <w:sz w:val="20"/>
                          </w:rPr>
                          <w:br/>
                        </w:r>
                        <w:r w:rsidRPr="00ED2F52">
                          <w:rPr>
                            <w:sz w:val="20"/>
                          </w:rPr>
                          <w:t>Occurrences/ Respondent/ Year</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6A399DF0" w14:textId="77777777">
                        <w:pPr>
                          <w:jc w:val="center"/>
                          <w:rPr>
                            <w:color w:val="000000"/>
                            <w:sz w:val="20"/>
                          </w:rPr>
                        </w:pPr>
                        <w:r w:rsidRPr="00ED2F52">
                          <w:rPr>
                            <w:color w:val="000000"/>
                            <w:sz w:val="20"/>
                          </w:rPr>
                          <w:t>(C)</w:t>
                        </w:r>
                        <w:r w:rsidRPr="00ED2F52">
                          <w:rPr>
                            <w:color w:val="000000"/>
                            <w:sz w:val="20"/>
                          </w:rPr>
                          <w:br/>
                        </w:r>
                        <w:r w:rsidRPr="00ED2F52">
                          <w:rPr>
                            <w:color w:val="000000"/>
                            <w:sz w:val="20"/>
                          </w:rPr>
                          <w:t xml:space="preserve">Hours/ Respondent/ Year </w:t>
                        </w:r>
                        <w:r w:rsidRPr="00ED2F52">
                          <w:rPr>
                            <w:color w:val="000000"/>
                            <w:sz w:val="20"/>
                          </w:rPr>
                          <w:br/>
                        </w:r>
                        <w:r w:rsidRPr="00ED2F52">
                          <w:rPr>
                            <w:color w:val="000000"/>
                            <w:sz w:val="20"/>
                          </w:rPr>
                          <w:t>(A x B)</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3F6CE74A" w14:textId="77777777">
                        <w:pPr>
                          <w:jc w:val="center"/>
                          <w:rPr>
                            <w:sz w:val="20"/>
                          </w:rPr>
                        </w:pPr>
                        <w:r w:rsidRPr="00ED2F52">
                          <w:rPr>
                            <w:sz w:val="20"/>
                          </w:rPr>
                          <w:t>(D)</w:t>
                        </w:r>
                        <w:r w:rsidRPr="00ED2F52">
                          <w:rPr>
                            <w:sz w:val="20"/>
                          </w:rPr>
                          <w:br/>
                        </w:r>
                        <w:r w:rsidRPr="00ED2F52">
                          <w:rPr>
                            <w:sz w:val="20"/>
                          </w:rPr>
                          <w:t>Respondents/</w:t>
                        </w:r>
                        <w:r w:rsidRPr="00ED2F52">
                          <w:rPr>
                            <w:sz w:val="20"/>
                          </w:rPr>
                          <w:br/>
                        </w:r>
                        <w:r w:rsidRPr="00ED2F52">
                          <w:rPr>
                            <w:sz w:val="20"/>
                          </w:rPr>
                          <w:t>Year</w:t>
                        </w:r>
                        <w:r w:rsidRPr="00ED2F52">
                          <w:rPr>
                            <w:sz w:val="20"/>
                            <w:vertAlign w:val="superscript"/>
                          </w:rPr>
                          <w:t>a</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4FF1D953" w14:textId="77777777">
                        <w:pPr>
                          <w:jc w:val="center"/>
                          <w:rPr>
                            <w:color w:val="000000"/>
                            <w:sz w:val="20"/>
                          </w:rPr>
                        </w:pPr>
                        <w:r w:rsidRPr="00ED2F52">
                          <w:rPr>
                            <w:color w:val="000000"/>
                            <w:sz w:val="20"/>
                          </w:rPr>
                          <w:t>(E)</w:t>
                        </w:r>
                        <w:r w:rsidRPr="00ED2F52">
                          <w:rPr>
                            <w:color w:val="000000"/>
                            <w:sz w:val="20"/>
                          </w:rPr>
                          <w:br/>
                        </w:r>
                        <w:r w:rsidRPr="00ED2F52">
                          <w:rPr>
                            <w:color w:val="000000"/>
                            <w:sz w:val="20"/>
                          </w:rPr>
                          <w:t xml:space="preserve">Technical Hours/Year </w:t>
                        </w:r>
                        <w:r w:rsidRPr="00ED2F52">
                          <w:rPr>
                            <w:color w:val="000000"/>
                            <w:sz w:val="20"/>
                          </w:rPr>
                          <w:br/>
                        </w:r>
                        <w:r w:rsidRPr="00ED2F52">
                          <w:rPr>
                            <w:color w:val="000000"/>
                            <w:sz w:val="20"/>
                          </w:rPr>
                          <w:t>(C x D)</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0C2B1E05" w14:textId="77777777">
                        <w:pPr>
                          <w:jc w:val="center"/>
                          <w:rPr>
                            <w:color w:val="000000"/>
                            <w:sz w:val="20"/>
                          </w:rPr>
                        </w:pPr>
                        <w:r w:rsidRPr="00ED2F52">
                          <w:rPr>
                            <w:color w:val="000000"/>
                            <w:sz w:val="20"/>
                          </w:rPr>
                          <w:t xml:space="preserve">(F) Managerial Hours/Year </w:t>
                        </w:r>
                        <w:r w:rsidRPr="00ED2F52">
                          <w:rPr>
                            <w:color w:val="000000"/>
                            <w:sz w:val="20"/>
                          </w:rPr>
                          <w:br/>
                        </w:r>
                        <w:r w:rsidRPr="00ED2F52">
                          <w:rPr>
                            <w:color w:val="000000"/>
                            <w:sz w:val="20"/>
                          </w:rPr>
                          <w:t>(E x 0.05)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6D2B69A0" w14:textId="77777777">
                        <w:pPr>
                          <w:jc w:val="center"/>
                          <w:rPr>
                            <w:color w:val="000000"/>
                            <w:sz w:val="20"/>
                          </w:rPr>
                        </w:pPr>
                        <w:r w:rsidRPr="00ED2F52">
                          <w:rPr>
                            <w:color w:val="000000"/>
                            <w:sz w:val="20"/>
                          </w:rPr>
                          <w:t xml:space="preserve">(G) </w:t>
                        </w:r>
                        <w:r w:rsidRPr="00ED2F52">
                          <w:rPr>
                            <w:color w:val="000000"/>
                            <w:sz w:val="20"/>
                          </w:rPr>
                          <w:br/>
                        </w:r>
                        <w:r w:rsidRPr="00ED2F52">
                          <w:rPr>
                            <w:color w:val="000000"/>
                            <w:sz w:val="20"/>
                          </w:rPr>
                          <w:t xml:space="preserve">Clerical Hours/Year </w:t>
                        </w:r>
                        <w:r w:rsidRPr="00ED2F52">
                          <w:rPr>
                            <w:color w:val="000000"/>
                            <w:sz w:val="20"/>
                          </w:rPr>
                          <w:br/>
                        </w:r>
                        <w:r w:rsidRPr="00ED2F52">
                          <w:rPr>
                            <w:color w:val="000000"/>
                            <w:sz w:val="20"/>
                          </w:rPr>
                          <w:t>(E x 0.10)</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358007BA" w14:textId="77777777">
                        <w:pPr>
                          <w:jc w:val="center"/>
                          <w:rPr>
                            <w:color w:val="000000"/>
                            <w:sz w:val="20"/>
                          </w:rPr>
                        </w:pPr>
                        <w:r w:rsidRPr="00ED2F52">
                          <w:rPr>
                            <w:color w:val="000000"/>
                            <w:sz w:val="20"/>
                          </w:rPr>
                          <w:t>(H)</w:t>
                        </w:r>
                        <w:r w:rsidRPr="00ED2F52">
                          <w:rPr>
                            <w:color w:val="000000"/>
                            <w:sz w:val="20"/>
                          </w:rPr>
                          <w:br/>
                        </w:r>
                        <w:r w:rsidRPr="00ED2F52">
                          <w:rPr>
                            <w:color w:val="000000"/>
                            <w:sz w:val="20"/>
                          </w:rPr>
                          <w:t>Cost/ Year</w:t>
                        </w:r>
                        <w:r w:rsidRPr="00ED2F52">
                          <w:rPr>
                            <w:color w:val="000000"/>
                            <w:sz w:val="20"/>
                            <w:vertAlign w:val="superscript"/>
                          </w:rPr>
                          <w:t>b</w:t>
                        </w:r>
                      </w:p>
                    </w:tc>
                  </w:tr>
                  <w:tr w14:paraId="3723878D" w14:textId="77777777" w:rsidTr="00ED2F52">
                    <w:tblPrEx>
                      <w:tblW w:w="12820" w:type="dxa"/>
                      <w:tblLayout w:type="fixed"/>
                      <w:tblLook w:val="04A0"/>
                    </w:tblPrEx>
                    <w:trPr>
                      <w:trHeight w:val="26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4195DE45" w14:textId="77777777">
                        <w:pPr>
                          <w:rPr>
                            <w:color w:val="000000"/>
                            <w:sz w:val="20"/>
                          </w:rPr>
                        </w:pPr>
                        <w:r w:rsidRPr="00ED2F52">
                          <w:rPr>
                            <w:color w:val="000000"/>
                            <w:sz w:val="20"/>
                          </w:rPr>
                          <w:t xml:space="preserve">1. APPLICATIONS </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2D7CC85F" w14:textId="77777777">
                        <w:pPr>
                          <w:jc w:val="center"/>
                          <w:rPr>
                            <w:color w:val="000000"/>
                            <w:sz w:val="20"/>
                          </w:rPr>
                        </w:pPr>
                        <w:r w:rsidRPr="00ED2F52">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271FAD0B"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053E523F"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42E5E6CB"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8D3E486"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43F295F0"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4C6EE6F0"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559E5B5B" w14:textId="77777777">
                        <w:pPr>
                          <w:jc w:val="right"/>
                          <w:rPr>
                            <w:color w:val="000000"/>
                            <w:sz w:val="20"/>
                          </w:rPr>
                        </w:pPr>
                        <w:r w:rsidRPr="00ED2F52">
                          <w:rPr>
                            <w:color w:val="000000"/>
                            <w:sz w:val="20"/>
                          </w:rPr>
                          <w:t> </w:t>
                        </w:r>
                      </w:p>
                    </w:tc>
                  </w:tr>
                  <w:tr w14:paraId="50F0D3D1" w14:textId="77777777" w:rsidTr="00ED2F52">
                    <w:tblPrEx>
                      <w:tblW w:w="12820" w:type="dxa"/>
                      <w:tblLayout w:type="fixed"/>
                      <w:tblLook w:val="04A0"/>
                    </w:tblPrEx>
                    <w:trPr>
                      <w:trHeight w:val="78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69140FBA" w14:textId="77777777">
                        <w:pPr>
                          <w:rPr>
                            <w:color w:val="000000"/>
                            <w:sz w:val="20"/>
                          </w:rPr>
                        </w:pPr>
                        <w:r w:rsidRPr="00ED2F52">
                          <w:rPr>
                            <w:color w:val="000000"/>
                            <w:sz w:val="20"/>
                          </w:rPr>
                          <w:t xml:space="preserve">2. SURVEY AND STUDIES </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41AC34CD" w14:textId="77777777">
                        <w:pPr>
                          <w:jc w:val="center"/>
                          <w:rPr>
                            <w:color w:val="000000"/>
                            <w:sz w:val="20"/>
                          </w:rPr>
                        </w:pPr>
                        <w:r w:rsidRPr="00ED2F52">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6727B56"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70F24411"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192A385D"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3C108C1"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1F7973BC"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1159BFCD"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3B1FE068" w14:textId="77777777">
                        <w:pPr>
                          <w:jc w:val="right"/>
                          <w:rPr>
                            <w:color w:val="000000"/>
                            <w:sz w:val="20"/>
                          </w:rPr>
                        </w:pPr>
                        <w:r w:rsidRPr="00ED2F52">
                          <w:rPr>
                            <w:color w:val="000000"/>
                            <w:sz w:val="20"/>
                          </w:rPr>
                          <w:t> </w:t>
                        </w:r>
                      </w:p>
                    </w:tc>
                  </w:tr>
                  <w:tr w14:paraId="2A6C289A" w14:textId="77777777" w:rsidTr="00ED2F52">
                    <w:tblPrEx>
                      <w:tblW w:w="12820" w:type="dxa"/>
                      <w:tblLayout w:type="fixed"/>
                      <w:tblLook w:val="04A0"/>
                    </w:tblPrEx>
                    <w:trPr>
                      <w:trHeight w:val="104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41FAD131" w14:textId="77777777">
                        <w:pPr>
                          <w:rPr>
                            <w:color w:val="000000"/>
                            <w:sz w:val="20"/>
                          </w:rPr>
                        </w:pPr>
                        <w:r w:rsidRPr="00ED2F52">
                          <w:rPr>
                            <w:color w:val="000000"/>
                            <w:sz w:val="20"/>
                          </w:rPr>
                          <w:t>3.ACQUISITION, INSTALLATION, AND UTILIZATION OF TECHNOLOGY AND SYSTEMS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4E381D97"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59D40D0F"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3705E52C"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783591F6"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A2D876C"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7FB11A37"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4847A3F8"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7F6A41D3" w14:textId="77777777">
                        <w:pPr>
                          <w:jc w:val="right"/>
                          <w:rPr>
                            <w:color w:val="000000"/>
                            <w:sz w:val="20"/>
                          </w:rPr>
                        </w:pPr>
                        <w:r w:rsidRPr="00ED2F52">
                          <w:rPr>
                            <w:color w:val="000000"/>
                            <w:sz w:val="20"/>
                          </w:rPr>
                          <w:t xml:space="preserve">$0 </w:t>
                        </w:r>
                      </w:p>
                    </w:tc>
                  </w:tr>
                  <w:tr w14:paraId="040BF70A" w14:textId="77777777" w:rsidTr="00ED2F52">
                    <w:tblPrEx>
                      <w:tblW w:w="12820" w:type="dxa"/>
                      <w:tblLayout w:type="fixed"/>
                      <w:tblLook w:val="04A0"/>
                    </w:tblPrEx>
                    <w:trPr>
                      <w:trHeight w:val="26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125E539F" w14:textId="77777777">
                        <w:pPr>
                          <w:rPr>
                            <w:color w:val="000000"/>
                            <w:sz w:val="20"/>
                          </w:rPr>
                        </w:pPr>
                        <w:r w:rsidRPr="00ED2F52">
                          <w:rPr>
                            <w:color w:val="000000"/>
                            <w:sz w:val="20"/>
                          </w:rPr>
                          <w:t>4. REPORT REQUIREMENTS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47BAACAA"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5F7ECE8C" w14:textId="77777777">
                        <w:pPr>
                          <w:jc w:val="center"/>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1EC6B411"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47F6B689"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EC56EC0"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7369271"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639CD8F5" w14:textId="77777777">
                        <w:pPr>
                          <w:jc w:val="center"/>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133C1C07" w14:textId="77777777">
                        <w:pPr>
                          <w:jc w:val="right"/>
                          <w:rPr>
                            <w:color w:val="000000"/>
                            <w:sz w:val="20"/>
                          </w:rPr>
                        </w:pPr>
                        <w:r w:rsidRPr="00ED2F52">
                          <w:rPr>
                            <w:color w:val="000000"/>
                            <w:sz w:val="20"/>
                          </w:rPr>
                          <w:t> </w:t>
                        </w:r>
                      </w:p>
                    </w:tc>
                  </w:tr>
                  <w:tr w14:paraId="0F03F3CB" w14:textId="77777777" w:rsidTr="00ED2F52">
                    <w:tblPrEx>
                      <w:tblW w:w="12820" w:type="dxa"/>
                      <w:tblLayout w:type="fixed"/>
                      <w:tblLook w:val="04A0"/>
                    </w:tblPrEx>
                    <w:trPr>
                      <w:trHeight w:val="104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5A10DA7A" w14:textId="77777777">
                        <w:pPr>
                          <w:rPr>
                            <w:color w:val="000000"/>
                            <w:sz w:val="20"/>
                          </w:rPr>
                        </w:pPr>
                        <w:r w:rsidRPr="00ED2F52">
                          <w:rPr>
                            <w:color w:val="000000"/>
                            <w:sz w:val="20"/>
                          </w:rPr>
                          <w:t xml:space="preserve">REQUEST FOR CASE-BY-CASE EMISSION LIMITS - Per 52.40(e);  (based on BACT analysis of 2020 NSR ICR) </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539A5BBA" w14:textId="77777777">
                        <w:pPr>
                          <w:jc w:val="center"/>
                          <w:rPr>
                            <w:color w:val="000000"/>
                            <w:sz w:val="20"/>
                          </w:rPr>
                        </w:pPr>
                        <w:r w:rsidRPr="00ED2F52">
                          <w:rPr>
                            <w:color w:val="000000"/>
                            <w:sz w:val="20"/>
                          </w:rPr>
                          <w:t>156</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63BDCD81" w14:textId="77777777">
                        <w:pPr>
                          <w:jc w:val="center"/>
                          <w:rPr>
                            <w:sz w:val="20"/>
                          </w:rPr>
                        </w:pPr>
                        <w:r w:rsidRPr="00ED2F52">
                          <w:rPr>
                            <w:sz w:val="20"/>
                          </w:rPr>
                          <w:t>1</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0381AD07" w14:textId="77777777">
                        <w:pPr>
                          <w:jc w:val="center"/>
                          <w:rPr>
                            <w:color w:val="000000"/>
                            <w:sz w:val="20"/>
                          </w:rPr>
                        </w:pPr>
                        <w:r w:rsidRPr="00ED2F52">
                          <w:rPr>
                            <w:color w:val="000000"/>
                            <w:sz w:val="20"/>
                          </w:rPr>
                          <w:t>156</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0D78CE2" w14:textId="77777777">
                        <w:pPr>
                          <w:jc w:val="center"/>
                          <w:rPr>
                            <w:sz w:val="20"/>
                          </w:rPr>
                        </w:pPr>
                        <w:r w:rsidRPr="00ED2F52">
                          <w:rPr>
                            <w:sz w:val="20"/>
                          </w:rPr>
                          <w:t>0.8</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8447B71" w14:textId="77777777">
                        <w:pPr>
                          <w:jc w:val="center"/>
                          <w:rPr>
                            <w:color w:val="000000"/>
                            <w:sz w:val="20"/>
                          </w:rPr>
                        </w:pPr>
                        <w:r w:rsidRPr="00ED2F52">
                          <w:rPr>
                            <w:color w:val="000000"/>
                            <w:sz w:val="20"/>
                          </w:rPr>
                          <w:t>124.8</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46406083" w14:textId="77777777">
                        <w:pPr>
                          <w:jc w:val="center"/>
                          <w:rPr>
                            <w:color w:val="000000"/>
                            <w:sz w:val="20"/>
                          </w:rPr>
                        </w:pPr>
                        <w:r w:rsidRPr="00ED2F52">
                          <w:rPr>
                            <w:color w:val="000000"/>
                            <w:sz w:val="20"/>
                          </w:rPr>
                          <w:t>6.24</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EC35FDA" w14:textId="77777777">
                        <w:pPr>
                          <w:jc w:val="center"/>
                          <w:rPr>
                            <w:color w:val="000000"/>
                            <w:sz w:val="20"/>
                          </w:rPr>
                        </w:pPr>
                        <w:r w:rsidRPr="00ED2F52">
                          <w:rPr>
                            <w:color w:val="000000"/>
                            <w:sz w:val="20"/>
                          </w:rPr>
                          <w:t>12.48</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1840F501" w14:textId="352EEFAB">
                        <w:pPr>
                          <w:jc w:val="right"/>
                          <w:rPr>
                            <w:color w:val="000000"/>
                            <w:sz w:val="20"/>
                          </w:rPr>
                        </w:pPr>
                        <w:r w:rsidRPr="00ED2F52">
                          <w:rPr>
                            <w:color w:val="000000"/>
                            <w:sz w:val="20"/>
                          </w:rPr>
                          <w:t xml:space="preserve">$17,744 </w:t>
                        </w:r>
                      </w:p>
                    </w:tc>
                  </w:tr>
                  <w:tr w14:paraId="5305C06F" w14:textId="77777777" w:rsidTr="00ED2F52">
                    <w:tblPrEx>
                      <w:tblW w:w="12820" w:type="dxa"/>
                      <w:tblLayout w:type="fixed"/>
                      <w:tblLook w:val="04A0"/>
                    </w:tblPrEx>
                    <w:trPr>
                      <w:trHeight w:val="52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25AC70B7" w14:textId="77777777">
                        <w:pPr>
                          <w:rPr>
                            <w:color w:val="000000"/>
                            <w:sz w:val="20"/>
                          </w:rPr>
                        </w:pPr>
                        <w:r w:rsidRPr="00ED2F52">
                          <w:rPr>
                            <w:color w:val="000000"/>
                            <w:sz w:val="20"/>
                          </w:rPr>
                          <w:t>A. Familiarize with regulatory requirement</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636CD845" w14:textId="77777777">
                        <w:pPr>
                          <w:jc w:val="center"/>
                          <w:rPr>
                            <w:color w:val="000000"/>
                            <w:sz w:val="20"/>
                          </w:rPr>
                        </w:pPr>
                        <w:r w:rsidRPr="00ED2F52">
                          <w:rPr>
                            <w:color w:val="000000"/>
                            <w:sz w:val="20"/>
                          </w:rPr>
                          <w:t>10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61B1CD52" w14:textId="77777777">
                        <w:pPr>
                          <w:jc w:val="center"/>
                          <w:rPr>
                            <w:sz w:val="20"/>
                          </w:rPr>
                        </w:pPr>
                        <w:r w:rsidRPr="00ED2F52">
                          <w:rPr>
                            <w:sz w:val="20"/>
                          </w:rPr>
                          <w:t>1</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7D1E9F19" w14:textId="77777777">
                        <w:pPr>
                          <w:jc w:val="center"/>
                          <w:rPr>
                            <w:color w:val="000000"/>
                            <w:sz w:val="20"/>
                          </w:rPr>
                        </w:pPr>
                        <w:r w:rsidRPr="00ED2F52">
                          <w:rPr>
                            <w:color w:val="000000"/>
                            <w:sz w:val="20"/>
                          </w:rPr>
                          <w:t>10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1ACA79E5" w14:textId="77777777">
                        <w:pPr>
                          <w:jc w:val="center"/>
                          <w:rPr>
                            <w:sz w:val="20"/>
                          </w:rPr>
                        </w:pPr>
                        <w:r w:rsidRPr="00ED2F52">
                          <w:rPr>
                            <w:sz w:val="20"/>
                          </w:rPr>
                          <w:t>80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64B30AC0" w14:textId="77777777">
                        <w:pPr>
                          <w:jc w:val="center"/>
                          <w:rPr>
                            <w:color w:val="000000"/>
                            <w:sz w:val="20"/>
                          </w:rPr>
                        </w:pPr>
                        <w:r w:rsidRPr="00ED2F52">
                          <w:rPr>
                            <w:color w:val="000000"/>
                            <w:sz w:val="20"/>
                          </w:rPr>
                          <w:t>800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43B0494F" w14:textId="77777777">
                        <w:pPr>
                          <w:jc w:val="center"/>
                          <w:rPr>
                            <w:color w:val="000000"/>
                            <w:sz w:val="20"/>
                          </w:rPr>
                        </w:pPr>
                        <w:r w:rsidRPr="00ED2F52">
                          <w:rPr>
                            <w:color w:val="000000"/>
                            <w:sz w:val="20"/>
                          </w:rPr>
                          <w:t>40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CF92235" w14:textId="77777777">
                        <w:pPr>
                          <w:jc w:val="center"/>
                          <w:rPr>
                            <w:color w:val="000000"/>
                            <w:sz w:val="20"/>
                          </w:rPr>
                        </w:pPr>
                        <w:r w:rsidRPr="00ED2F52">
                          <w:rPr>
                            <w:color w:val="000000"/>
                            <w:sz w:val="20"/>
                          </w:rPr>
                          <w:t>80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5CA2222B" w14:textId="6488AC67">
                        <w:pPr>
                          <w:jc w:val="right"/>
                          <w:rPr>
                            <w:color w:val="000000"/>
                            <w:sz w:val="20"/>
                          </w:rPr>
                        </w:pPr>
                        <w:r w:rsidRPr="00ED2F52">
                          <w:rPr>
                            <w:color w:val="000000"/>
                            <w:sz w:val="20"/>
                          </w:rPr>
                          <w:t xml:space="preserve">$113,746 </w:t>
                        </w:r>
                      </w:p>
                    </w:tc>
                  </w:tr>
                  <w:tr w14:paraId="6816D6F7" w14:textId="77777777" w:rsidTr="00ED2F52">
                    <w:tblPrEx>
                      <w:tblW w:w="12820" w:type="dxa"/>
                      <w:tblLayout w:type="fixed"/>
                      <w:tblLook w:val="04A0"/>
                    </w:tblPrEx>
                    <w:trPr>
                      <w:trHeight w:val="315"/>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1EB442FC" w14:textId="77777777">
                        <w:pPr>
                          <w:rPr>
                            <w:color w:val="000000"/>
                            <w:sz w:val="20"/>
                          </w:rPr>
                        </w:pPr>
                        <w:r w:rsidRPr="00ED2F52">
                          <w:rPr>
                            <w:color w:val="000000"/>
                            <w:sz w:val="20"/>
                          </w:rPr>
                          <w:t>B. Required Activities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047A7D2A"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6A206FE6" w14:textId="77777777">
                        <w:pPr>
                          <w:jc w:val="center"/>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7971BADE"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1B1AE191"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714C4885"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16871626"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7695EC9" w14:textId="77777777">
                        <w:pPr>
                          <w:jc w:val="center"/>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00661A98" w14:textId="77777777">
                        <w:pPr>
                          <w:jc w:val="right"/>
                          <w:rPr>
                            <w:color w:val="000000"/>
                            <w:sz w:val="20"/>
                          </w:rPr>
                        </w:pPr>
                        <w:r w:rsidRPr="00ED2F52">
                          <w:rPr>
                            <w:color w:val="000000"/>
                            <w:sz w:val="20"/>
                          </w:rPr>
                          <w:t> </w:t>
                        </w:r>
                      </w:p>
                    </w:tc>
                  </w:tr>
                  <w:tr w14:paraId="3E4F1E27" w14:textId="77777777" w:rsidTr="00ED2F52">
                    <w:tblPrEx>
                      <w:tblW w:w="12820" w:type="dxa"/>
                      <w:tblLayout w:type="fixed"/>
                      <w:tblLook w:val="04A0"/>
                    </w:tblPrEx>
                    <w:trPr>
                      <w:trHeight w:val="31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4F419FD7" w14:textId="77777777">
                        <w:pPr>
                          <w:rPr>
                            <w:i/>
                            <w:iCs/>
                            <w:color w:val="000000"/>
                            <w:sz w:val="20"/>
                          </w:rPr>
                        </w:pPr>
                        <w:r w:rsidRPr="00ED2F52">
                          <w:rPr>
                            <w:i/>
                            <w:iCs/>
                            <w:color w:val="000000"/>
                            <w:sz w:val="20"/>
                          </w:rPr>
                          <w:t xml:space="preserve">New Sources - Testing </w:t>
                        </w:r>
                        <w:r w:rsidRPr="00ED2F52">
                          <w:rPr>
                            <w:color w:val="000000"/>
                            <w:sz w:val="20"/>
                            <w:vertAlign w:val="superscript"/>
                          </w:rPr>
                          <w:t>c</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239DE8BA"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7BF5F771" w14:textId="77777777">
                        <w:pPr>
                          <w:jc w:val="center"/>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26229C05"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18C829EF"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1FD7F8E"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05133A3D"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4DADECDB" w14:textId="77777777">
                        <w:pPr>
                          <w:jc w:val="center"/>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24647E54" w14:textId="77777777">
                        <w:pPr>
                          <w:jc w:val="right"/>
                          <w:rPr>
                            <w:color w:val="000000"/>
                            <w:sz w:val="20"/>
                          </w:rPr>
                        </w:pPr>
                        <w:r w:rsidRPr="00ED2F52">
                          <w:rPr>
                            <w:color w:val="000000"/>
                            <w:sz w:val="20"/>
                          </w:rPr>
                          <w:t> </w:t>
                        </w:r>
                      </w:p>
                    </w:tc>
                  </w:tr>
                  <w:tr w14:paraId="7EAFF26C" w14:textId="77777777" w:rsidTr="00ED2F52">
                    <w:tblPrEx>
                      <w:tblW w:w="12820" w:type="dxa"/>
                      <w:tblLayout w:type="fixed"/>
                      <w:tblLook w:val="04A0"/>
                    </w:tblPrEx>
                    <w:trPr>
                      <w:trHeight w:val="77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7C449C80" w14:textId="77777777">
                        <w:pPr>
                          <w:rPr>
                            <w:sz w:val="20"/>
                          </w:rPr>
                        </w:pPr>
                        <w:r w:rsidRPr="00ED2F52">
                          <w:rPr>
                            <w:sz w:val="20"/>
                          </w:rPr>
                          <w:t>Initial NOx Performance Test</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6F34CEA3"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57E83208"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01D44FA0"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48FF641F"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8B0DF8B"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047C9FA8"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3C05A06F"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3EE8A933" w14:textId="77777777">
                        <w:pPr>
                          <w:jc w:val="right"/>
                          <w:rPr>
                            <w:color w:val="000000"/>
                            <w:sz w:val="20"/>
                          </w:rPr>
                        </w:pPr>
                        <w:r w:rsidRPr="00ED2F52">
                          <w:rPr>
                            <w:color w:val="000000"/>
                            <w:sz w:val="20"/>
                          </w:rPr>
                          <w:t xml:space="preserve">$0.00 </w:t>
                        </w:r>
                      </w:p>
                    </w:tc>
                  </w:tr>
                  <w:tr w14:paraId="591A6E4B" w14:textId="77777777" w:rsidTr="00ED2F52">
                    <w:tblPrEx>
                      <w:tblW w:w="12820" w:type="dxa"/>
                      <w:tblLayout w:type="fixed"/>
                      <w:tblLook w:val="04A0"/>
                    </w:tblPrEx>
                    <w:trPr>
                      <w:trHeight w:val="65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3EF424D4" w14:textId="77777777">
                        <w:pPr>
                          <w:rPr>
                            <w:sz w:val="20"/>
                          </w:rPr>
                        </w:pPr>
                        <w:r w:rsidRPr="00ED2F52">
                          <w:rPr>
                            <w:sz w:val="20"/>
                          </w:rPr>
                          <w:t>Repeat NOx Performance Test</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37359BC7"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1EA5F511"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5FB7437F"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14A5536E"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257E52D8"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7A3CDE90"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C334010"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252D6222" w14:textId="77777777">
                        <w:pPr>
                          <w:jc w:val="right"/>
                          <w:rPr>
                            <w:color w:val="000000"/>
                            <w:sz w:val="20"/>
                          </w:rPr>
                        </w:pPr>
                        <w:r w:rsidRPr="00ED2F52">
                          <w:rPr>
                            <w:color w:val="000000"/>
                            <w:sz w:val="20"/>
                          </w:rPr>
                          <w:t xml:space="preserve">$0.00 </w:t>
                        </w:r>
                      </w:p>
                    </w:tc>
                  </w:tr>
                  <w:tr w14:paraId="29D73FC9" w14:textId="77777777" w:rsidTr="00ED2F52">
                    <w:tblPrEx>
                      <w:tblW w:w="12820" w:type="dxa"/>
                      <w:tblLayout w:type="fixed"/>
                      <w:tblLook w:val="04A0"/>
                    </w:tblPrEx>
                    <w:trPr>
                      <w:trHeight w:val="75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66061912" w14:textId="77777777">
                        <w:pPr>
                          <w:rPr>
                            <w:i/>
                            <w:iCs/>
                            <w:color w:val="000000"/>
                            <w:sz w:val="20"/>
                          </w:rPr>
                        </w:pPr>
                        <w:r w:rsidRPr="00ED2F52">
                          <w:rPr>
                            <w:i/>
                            <w:iCs/>
                            <w:color w:val="000000"/>
                            <w:sz w:val="20"/>
                          </w:rPr>
                          <w:t xml:space="preserve">Existing Sources - Initial Testing </w:t>
                        </w:r>
                        <w:r w:rsidRPr="00ED2F52">
                          <w:rPr>
                            <w:color w:val="000000"/>
                            <w:sz w:val="20"/>
                            <w:vertAlign w:val="superscript"/>
                          </w:rPr>
                          <w:t>d</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12FCC1FA"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5AA3FA8" w14:textId="77777777">
                        <w:pPr>
                          <w:jc w:val="center"/>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F58CD78"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3CCF72B3"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7D700B79"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4E7527FA"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7F8B87F2" w14:textId="77777777">
                        <w:pPr>
                          <w:jc w:val="center"/>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26EB3EDC" w14:textId="77777777">
                        <w:pPr>
                          <w:jc w:val="right"/>
                          <w:rPr>
                            <w:color w:val="000000"/>
                            <w:sz w:val="20"/>
                          </w:rPr>
                        </w:pPr>
                        <w:r w:rsidRPr="00ED2F52">
                          <w:rPr>
                            <w:color w:val="000000"/>
                            <w:sz w:val="20"/>
                          </w:rPr>
                          <w:t> </w:t>
                        </w:r>
                      </w:p>
                    </w:tc>
                  </w:tr>
                  <w:tr w14:paraId="6EDD20D9" w14:textId="77777777" w:rsidTr="00ED2F52">
                    <w:tblPrEx>
                      <w:tblW w:w="12820" w:type="dxa"/>
                      <w:tblLayout w:type="fixed"/>
                      <w:tblLook w:val="04A0"/>
                    </w:tblPrEx>
                    <w:trPr>
                      <w:trHeight w:val="52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41B6CEE5" w14:textId="77777777">
                        <w:pPr>
                          <w:rPr>
                            <w:color w:val="000000"/>
                            <w:sz w:val="20"/>
                          </w:rPr>
                        </w:pPr>
                        <w:r w:rsidRPr="00ED2F52">
                          <w:rPr>
                            <w:color w:val="000000"/>
                            <w:sz w:val="20"/>
                          </w:rPr>
                          <w:t>Initial NOx Performance Test</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1D2C0EF8"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3E470986"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464533D2"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67E1C678"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B87D8DC"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05976603"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1C313EC2"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28415EC3" w14:textId="77777777">
                        <w:pPr>
                          <w:jc w:val="right"/>
                          <w:rPr>
                            <w:color w:val="000000"/>
                            <w:sz w:val="20"/>
                          </w:rPr>
                        </w:pPr>
                        <w:r w:rsidRPr="00ED2F52">
                          <w:rPr>
                            <w:color w:val="000000"/>
                            <w:sz w:val="20"/>
                          </w:rPr>
                          <w:t xml:space="preserve">$0.00 </w:t>
                        </w:r>
                      </w:p>
                    </w:tc>
                  </w:tr>
                  <w:tr w14:paraId="0640F809" w14:textId="77777777" w:rsidTr="00ED2F52">
                    <w:tblPrEx>
                      <w:tblW w:w="12820" w:type="dxa"/>
                      <w:tblLayout w:type="fixed"/>
                      <w:tblLook w:val="04A0"/>
                    </w:tblPrEx>
                    <w:trPr>
                      <w:trHeight w:val="26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34422602" w14:textId="77777777">
                        <w:pPr>
                          <w:rPr>
                            <w:color w:val="000000"/>
                            <w:sz w:val="20"/>
                          </w:rPr>
                        </w:pPr>
                        <w:r w:rsidRPr="00ED2F52">
                          <w:rPr>
                            <w:color w:val="000000"/>
                            <w:sz w:val="20"/>
                          </w:rPr>
                          <w:t xml:space="preserve">Repeat NOx Performance Test </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68B8FA42"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1B65A685"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25B20F6A"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3B0619D8"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741A401E"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E1AB822"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216C64B"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4EC21232" w14:textId="77777777">
                        <w:pPr>
                          <w:jc w:val="right"/>
                          <w:rPr>
                            <w:color w:val="000000"/>
                            <w:sz w:val="20"/>
                          </w:rPr>
                        </w:pPr>
                        <w:r w:rsidRPr="00ED2F52">
                          <w:rPr>
                            <w:color w:val="000000"/>
                            <w:sz w:val="20"/>
                          </w:rPr>
                          <w:t xml:space="preserve">$0.00 </w:t>
                        </w:r>
                      </w:p>
                    </w:tc>
                  </w:tr>
                  <w:tr w14:paraId="6680A85C" w14:textId="77777777" w:rsidTr="00ED2F52">
                    <w:tblPrEx>
                      <w:tblW w:w="12820" w:type="dxa"/>
                      <w:tblLayout w:type="fixed"/>
                      <w:tblLook w:val="04A0"/>
                    </w:tblPrEx>
                    <w:trPr>
                      <w:trHeight w:val="57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05782C04" w14:textId="77777777">
                        <w:pPr>
                          <w:rPr>
                            <w:i/>
                            <w:iCs/>
                            <w:color w:val="000000"/>
                            <w:sz w:val="20"/>
                          </w:rPr>
                        </w:pPr>
                        <w:r w:rsidRPr="00ED2F52">
                          <w:rPr>
                            <w:i/>
                            <w:iCs/>
                            <w:color w:val="000000"/>
                            <w:sz w:val="20"/>
                          </w:rPr>
                          <w:t xml:space="preserve">New and Existing Sources - Monitoring </w:t>
                        </w:r>
                        <w:r w:rsidRPr="00ED2F52">
                          <w:rPr>
                            <w:color w:val="000000"/>
                            <w:sz w:val="20"/>
                            <w:vertAlign w:val="superscript"/>
                          </w:rPr>
                          <w:t>e</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6E3D5883"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4279893C" w14:textId="77777777">
                        <w:pPr>
                          <w:jc w:val="center"/>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4B928F26"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508A822A"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6CB06B88"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471A3E49"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4D4565A" w14:textId="77777777">
                        <w:pPr>
                          <w:jc w:val="center"/>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7101A0BF" w14:textId="77777777">
                        <w:pPr>
                          <w:jc w:val="right"/>
                          <w:rPr>
                            <w:color w:val="000000"/>
                            <w:sz w:val="20"/>
                          </w:rPr>
                        </w:pPr>
                        <w:r w:rsidRPr="00ED2F52">
                          <w:rPr>
                            <w:color w:val="000000"/>
                            <w:sz w:val="20"/>
                          </w:rPr>
                          <w:t> </w:t>
                        </w:r>
                      </w:p>
                    </w:tc>
                  </w:tr>
                  <w:tr w14:paraId="024510B7" w14:textId="77777777" w:rsidTr="00ED2F52">
                    <w:tblPrEx>
                      <w:tblW w:w="12820" w:type="dxa"/>
                      <w:tblLayout w:type="fixed"/>
                      <w:tblLook w:val="04A0"/>
                    </w:tblPrEx>
                    <w:trPr>
                      <w:trHeight w:val="58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70C7BDB1" w14:textId="77777777">
                        <w:pPr>
                          <w:rPr>
                            <w:color w:val="000000"/>
                            <w:sz w:val="20"/>
                          </w:rPr>
                        </w:pPr>
                        <w:r w:rsidRPr="00ED2F52">
                          <w:rPr>
                            <w:color w:val="000000"/>
                            <w:sz w:val="20"/>
                          </w:rPr>
                          <w:t>Daily Calibration Drift Tests - NOx CEMS</w:t>
                        </w:r>
                        <w:r w:rsidRPr="00ED2F52">
                          <w:rPr>
                            <w:color w:val="000000"/>
                            <w:sz w:val="22"/>
                            <w:szCs w:val="22"/>
                            <w:vertAlign w:val="superscript"/>
                          </w:rPr>
                          <w:t>g</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39C51B33"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59B13C95"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7F6DFDC9"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39AE0A2C"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64C90117"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0E3BB7A9"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4017BE1"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67FA2407" w14:textId="77777777">
                        <w:pPr>
                          <w:jc w:val="right"/>
                          <w:rPr>
                            <w:color w:val="000000"/>
                            <w:sz w:val="20"/>
                          </w:rPr>
                        </w:pPr>
                        <w:r w:rsidRPr="00ED2F52">
                          <w:rPr>
                            <w:color w:val="000000"/>
                            <w:sz w:val="20"/>
                          </w:rPr>
                          <w:t xml:space="preserve">$0.00 </w:t>
                        </w:r>
                      </w:p>
                    </w:tc>
                  </w:tr>
                  <w:tr w14:paraId="225AFE42" w14:textId="77777777" w:rsidTr="00ED2F52">
                    <w:tblPrEx>
                      <w:tblW w:w="12820" w:type="dxa"/>
                      <w:tblLayout w:type="fixed"/>
                      <w:tblLook w:val="04A0"/>
                    </w:tblPrEx>
                    <w:trPr>
                      <w:trHeight w:val="52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2E9EECBC" w14:textId="77777777">
                        <w:pPr>
                          <w:rPr>
                            <w:color w:val="000000"/>
                            <w:sz w:val="20"/>
                          </w:rPr>
                        </w:pPr>
                        <w:r w:rsidRPr="00ED2F52">
                          <w:rPr>
                            <w:color w:val="000000"/>
                            <w:sz w:val="20"/>
                          </w:rPr>
                          <w:t>C. Create Information (Included in 4B)</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21ECC13E"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12BE22F2"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234F52F7"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352E9849"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794F818"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08FE86D1"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786A817"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73EB3B9D" w14:textId="77777777">
                        <w:pPr>
                          <w:jc w:val="right"/>
                          <w:rPr>
                            <w:color w:val="000000"/>
                            <w:sz w:val="20"/>
                          </w:rPr>
                        </w:pPr>
                        <w:r w:rsidRPr="00ED2F52">
                          <w:rPr>
                            <w:color w:val="000000"/>
                            <w:sz w:val="20"/>
                          </w:rPr>
                          <w:t> </w:t>
                        </w:r>
                      </w:p>
                    </w:tc>
                  </w:tr>
                  <w:tr w14:paraId="402B9D7D" w14:textId="77777777" w:rsidTr="00ED2F52">
                    <w:tblPrEx>
                      <w:tblW w:w="12820" w:type="dxa"/>
                      <w:tblLayout w:type="fixed"/>
                      <w:tblLook w:val="04A0"/>
                    </w:tblPrEx>
                    <w:trPr>
                      <w:trHeight w:val="52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17D8E626" w14:textId="77777777">
                        <w:pPr>
                          <w:rPr>
                            <w:color w:val="000000"/>
                            <w:sz w:val="20"/>
                          </w:rPr>
                        </w:pPr>
                        <w:r w:rsidRPr="00ED2F52">
                          <w:rPr>
                            <w:color w:val="000000"/>
                            <w:sz w:val="20"/>
                          </w:rPr>
                          <w:t>D. Gather Existing Information (Included in 4E)</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7701EDCF"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200D0C45"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2F9C8677"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22DF3D14"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6936E46E"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79E64AB1"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12CC5660"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441A4DE8" w14:textId="77777777">
                        <w:pPr>
                          <w:jc w:val="right"/>
                          <w:rPr>
                            <w:color w:val="000000"/>
                            <w:sz w:val="20"/>
                          </w:rPr>
                        </w:pPr>
                        <w:r w:rsidRPr="00ED2F52">
                          <w:rPr>
                            <w:color w:val="000000"/>
                            <w:sz w:val="20"/>
                          </w:rPr>
                          <w:t> </w:t>
                        </w:r>
                      </w:p>
                    </w:tc>
                  </w:tr>
                  <w:tr w14:paraId="64B1AAF6" w14:textId="77777777" w:rsidTr="00ED2F52">
                    <w:tblPrEx>
                      <w:tblW w:w="12820" w:type="dxa"/>
                      <w:tblLayout w:type="fixed"/>
                      <w:tblLook w:val="04A0"/>
                    </w:tblPrEx>
                    <w:trPr>
                      <w:trHeight w:val="26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6445A6F0" w14:textId="77777777">
                        <w:pPr>
                          <w:rPr>
                            <w:color w:val="000000"/>
                            <w:sz w:val="20"/>
                          </w:rPr>
                        </w:pPr>
                        <w:r w:rsidRPr="00ED2F52">
                          <w:rPr>
                            <w:color w:val="000000"/>
                            <w:sz w:val="20"/>
                          </w:rPr>
                          <w:t>E. Write Report</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5F223FEB" w14:textId="77777777">
                        <w:pPr>
                          <w:jc w:val="right"/>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3FFB0871"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1C7FAA60"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68B7D7C0"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6FDCC766"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03DA8E6B"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729643CF"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09B44B19" w14:textId="77777777">
                        <w:pPr>
                          <w:jc w:val="right"/>
                          <w:rPr>
                            <w:color w:val="000000"/>
                            <w:sz w:val="20"/>
                          </w:rPr>
                        </w:pPr>
                        <w:r w:rsidRPr="00ED2F52">
                          <w:rPr>
                            <w:color w:val="000000"/>
                            <w:sz w:val="20"/>
                          </w:rPr>
                          <w:t> </w:t>
                        </w:r>
                      </w:p>
                    </w:tc>
                  </w:tr>
                  <w:tr w14:paraId="0E92F1B1" w14:textId="77777777" w:rsidTr="00ED2F52">
                    <w:tblPrEx>
                      <w:tblW w:w="12820" w:type="dxa"/>
                      <w:tblLayout w:type="fixed"/>
                      <w:tblLook w:val="04A0"/>
                    </w:tblPrEx>
                    <w:trPr>
                      <w:trHeight w:val="26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0EF89801" w14:textId="77777777">
                        <w:pPr>
                          <w:rPr>
                            <w:i/>
                            <w:iCs/>
                            <w:color w:val="000000"/>
                            <w:sz w:val="20"/>
                            <w:u w:val="single"/>
                          </w:rPr>
                        </w:pPr>
                        <w:r w:rsidRPr="00ED2F52">
                          <w:rPr>
                            <w:i/>
                            <w:iCs/>
                            <w:color w:val="000000"/>
                            <w:sz w:val="20"/>
                            <w:u w:val="single"/>
                          </w:rPr>
                          <w:t>New Sources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71EC22C5"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AFED98E" w14:textId="77777777">
                        <w:pPr>
                          <w:jc w:val="center"/>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DECC4F8"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2F4D5AA0"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459A81C5"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3712DA5"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37F0ECEE" w14:textId="77777777">
                        <w:pPr>
                          <w:jc w:val="center"/>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30BE4612" w14:textId="77777777">
                        <w:pPr>
                          <w:jc w:val="right"/>
                          <w:rPr>
                            <w:color w:val="000000"/>
                            <w:sz w:val="20"/>
                          </w:rPr>
                        </w:pPr>
                        <w:r w:rsidRPr="00ED2F52">
                          <w:rPr>
                            <w:color w:val="000000"/>
                            <w:sz w:val="20"/>
                          </w:rPr>
                          <w:t> </w:t>
                        </w:r>
                      </w:p>
                    </w:tc>
                  </w:tr>
                  <w:tr w14:paraId="17E9BAE9" w14:textId="77777777" w:rsidTr="00ED2F52">
                    <w:tblPrEx>
                      <w:tblW w:w="12820" w:type="dxa"/>
                      <w:tblLayout w:type="fixed"/>
                      <w:tblLook w:val="04A0"/>
                    </w:tblPrEx>
                    <w:trPr>
                      <w:trHeight w:val="52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364EBBEA" w14:textId="77777777">
                        <w:pPr>
                          <w:rPr>
                            <w:color w:val="000000"/>
                            <w:sz w:val="20"/>
                          </w:rPr>
                        </w:pPr>
                        <w:r w:rsidRPr="00ED2F52">
                          <w:rPr>
                            <w:color w:val="000000"/>
                            <w:sz w:val="20"/>
                          </w:rPr>
                          <w:t>Notification of Demonstration of CEMS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058BC4B9"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5E068FF9"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3CCE2816"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4BE4ABA8"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1E9A39CE"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1DA84B49"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C5CF2E1"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74DE86E3" w14:textId="77777777">
                        <w:pPr>
                          <w:jc w:val="right"/>
                          <w:rPr>
                            <w:color w:val="000000"/>
                            <w:sz w:val="20"/>
                          </w:rPr>
                        </w:pPr>
                        <w:r w:rsidRPr="00ED2F52">
                          <w:rPr>
                            <w:color w:val="000000"/>
                            <w:sz w:val="20"/>
                          </w:rPr>
                          <w:t xml:space="preserve">$0.00 </w:t>
                        </w:r>
                      </w:p>
                    </w:tc>
                  </w:tr>
                  <w:tr w14:paraId="44AAA695" w14:textId="77777777" w:rsidTr="00ED2F52">
                    <w:tblPrEx>
                      <w:tblW w:w="12820" w:type="dxa"/>
                      <w:tblLayout w:type="fixed"/>
                      <w:tblLook w:val="04A0"/>
                    </w:tblPrEx>
                    <w:trPr>
                      <w:trHeight w:val="57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7CB44DA3" w14:textId="77777777">
                        <w:pPr>
                          <w:rPr>
                            <w:color w:val="000000"/>
                            <w:sz w:val="20"/>
                          </w:rPr>
                        </w:pPr>
                        <w:r w:rsidRPr="00ED2F52">
                          <w:rPr>
                            <w:color w:val="000000"/>
                            <w:sz w:val="20"/>
                          </w:rPr>
                          <w:t>Notification of Initial Performance Test</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2C1373FB"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1553124"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3C4AD419"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1DB78865"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24F84A4F"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64477457"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4471DED"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5753CB49" w14:textId="77777777">
                        <w:pPr>
                          <w:jc w:val="right"/>
                          <w:rPr>
                            <w:color w:val="000000"/>
                            <w:sz w:val="20"/>
                          </w:rPr>
                        </w:pPr>
                        <w:r w:rsidRPr="00ED2F52">
                          <w:rPr>
                            <w:color w:val="000000"/>
                            <w:sz w:val="20"/>
                          </w:rPr>
                          <w:t xml:space="preserve">$0.00 </w:t>
                        </w:r>
                      </w:p>
                    </w:tc>
                  </w:tr>
                  <w:tr w14:paraId="1EA7BB13" w14:textId="77777777" w:rsidTr="00ED2F52">
                    <w:tblPrEx>
                      <w:tblW w:w="12820" w:type="dxa"/>
                      <w:tblLayout w:type="fixed"/>
                      <w:tblLook w:val="04A0"/>
                    </w:tblPrEx>
                    <w:trPr>
                      <w:trHeight w:val="26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61C56DA8" w14:textId="77777777">
                        <w:pPr>
                          <w:rPr>
                            <w:color w:val="000000"/>
                            <w:sz w:val="20"/>
                          </w:rPr>
                        </w:pPr>
                        <w:r w:rsidRPr="00ED2F52">
                          <w:rPr>
                            <w:color w:val="000000"/>
                            <w:sz w:val="20"/>
                          </w:rPr>
                          <w:t>Report of Performance Tests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6E0CA377"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75E7F979"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5F5A90DD"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30745C82"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7B0DA21E"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5115042"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1440DB75"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172FC510" w14:textId="77777777">
                        <w:pPr>
                          <w:jc w:val="right"/>
                          <w:rPr>
                            <w:color w:val="000000"/>
                            <w:sz w:val="20"/>
                          </w:rPr>
                        </w:pPr>
                        <w:r w:rsidRPr="00ED2F52">
                          <w:rPr>
                            <w:color w:val="000000"/>
                            <w:sz w:val="20"/>
                          </w:rPr>
                          <w:t xml:space="preserve">$0.00 </w:t>
                        </w:r>
                      </w:p>
                    </w:tc>
                  </w:tr>
                  <w:tr w14:paraId="64EA4290" w14:textId="77777777" w:rsidTr="00ED2F52">
                    <w:tblPrEx>
                      <w:tblW w:w="12820" w:type="dxa"/>
                      <w:tblLayout w:type="fixed"/>
                      <w:tblLook w:val="04A0"/>
                    </w:tblPrEx>
                    <w:trPr>
                      <w:trHeight w:val="78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23C08D96" w14:textId="77777777">
                        <w:pPr>
                          <w:rPr>
                            <w:color w:val="000000"/>
                            <w:sz w:val="20"/>
                          </w:rPr>
                        </w:pPr>
                        <w:r w:rsidRPr="00ED2F52">
                          <w:rPr>
                            <w:color w:val="000000"/>
                            <w:sz w:val="20"/>
                          </w:rPr>
                          <w:t>Submit Annual Electronic Reports via CEDRI or analogous electronic reporting to EPA</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2D048A7C"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22418C78"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47B68DC4"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41697E8E"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728EC13"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47F54A40"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82E5FAE"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1619554E" w14:textId="77777777">
                        <w:pPr>
                          <w:jc w:val="right"/>
                          <w:rPr>
                            <w:color w:val="000000"/>
                            <w:sz w:val="20"/>
                          </w:rPr>
                        </w:pPr>
                        <w:r w:rsidRPr="00ED2F52">
                          <w:rPr>
                            <w:color w:val="000000"/>
                            <w:sz w:val="20"/>
                          </w:rPr>
                          <w:t xml:space="preserve">$0 </w:t>
                        </w:r>
                      </w:p>
                    </w:tc>
                  </w:tr>
                  <w:tr w14:paraId="42D32BC4" w14:textId="77777777" w:rsidTr="00ED2F52">
                    <w:tblPrEx>
                      <w:tblW w:w="12820" w:type="dxa"/>
                      <w:tblLayout w:type="fixed"/>
                      <w:tblLook w:val="04A0"/>
                    </w:tblPrEx>
                    <w:trPr>
                      <w:trHeight w:val="26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0A08751E" w14:textId="77777777">
                        <w:pPr>
                          <w:rPr>
                            <w:i/>
                            <w:iCs/>
                            <w:color w:val="000000"/>
                            <w:sz w:val="20"/>
                            <w:u w:val="single"/>
                          </w:rPr>
                        </w:pPr>
                        <w:r w:rsidRPr="00ED2F52">
                          <w:rPr>
                            <w:i/>
                            <w:iCs/>
                            <w:color w:val="000000"/>
                            <w:sz w:val="20"/>
                            <w:u w:val="single"/>
                          </w:rPr>
                          <w:t>Existing Sources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0181BB78" w14:textId="77777777">
                        <w:pPr>
                          <w:jc w:val="right"/>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6901AD94"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006CEF72"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6E2A9DD6"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73F60823"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40A31396"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4B33387C"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070AC278" w14:textId="77777777">
                        <w:pPr>
                          <w:jc w:val="right"/>
                          <w:rPr>
                            <w:color w:val="000000"/>
                            <w:sz w:val="20"/>
                          </w:rPr>
                        </w:pPr>
                        <w:r w:rsidRPr="00ED2F52">
                          <w:rPr>
                            <w:color w:val="000000"/>
                            <w:sz w:val="20"/>
                          </w:rPr>
                          <w:t> </w:t>
                        </w:r>
                      </w:p>
                    </w:tc>
                  </w:tr>
                  <w:tr w14:paraId="09B77C20" w14:textId="77777777" w:rsidTr="00ED2F52">
                    <w:tblPrEx>
                      <w:tblW w:w="12820" w:type="dxa"/>
                      <w:tblLayout w:type="fixed"/>
                      <w:tblLook w:val="04A0"/>
                    </w:tblPrEx>
                    <w:trPr>
                      <w:trHeight w:val="52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3A42E48E" w14:textId="77777777">
                        <w:pPr>
                          <w:rPr>
                            <w:color w:val="000000"/>
                            <w:sz w:val="20"/>
                          </w:rPr>
                        </w:pPr>
                        <w:r w:rsidRPr="00ED2F52">
                          <w:rPr>
                            <w:color w:val="000000"/>
                            <w:sz w:val="20"/>
                          </w:rPr>
                          <w:t>Notification of Demonstration of CEMS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3346FA12"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44F46040"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E1D5DAD"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779F9B4C"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4115B0B7"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78292AED"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E60CD1E"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42A9DE07" w14:textId="77777777">
                        <w:pPr>
                          <w:jc w:val="right"/>
                          <w:rPr>
                            <w:color w:val="000000"/>
                            <w:sz w:val="20"/>
                          </w:rPr>
                        </w:pPr>
                        <w:r w:rsidRPr="00ED2F52">
                          <w:rPr>
                            <w:color w:val="000000"/>
                            <w:sz w:val="20"/>
                          </w:rPr>
                          <w:t xml:space="preserve">$0.00 </w:t>
                        </w:r>
                      </w:p>
                    </w:tc>
                  </w:tr>
                  <w:tr w14:paraId="3FE96267" w14:textId="77777777" w:rsidTr="00ED2F52">
                    <w:tblPrEx>
                      <w:tblW w:w="12820" w:type="dxa"/>
                      <w:tblLayout w:type="fixed"/>
                      <w:tblLook w:val="04A0"/>
                    </w:tblPrEx>
                    <w:trPr>
                      <w:trHeight w:val="52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5F219956" w14:textId="77777777">
                        <w:pPr>
                          <w:rPr>
                            <w:color w:val="000000"/>
                            <w:sz w:val="20"/>
                          </w:rPr>
                        </w:pPr>
                        <w:r w:rsidRPr="00ED2F52">
                          <w:rPr>
                            <w:color w:val="000000"/>
                            <w:sz w:val="20"/>
                          </w:rPr>
                          <w:t>Notification of Initial Performance Test</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27045D8C"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6D858D83"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3792C9A2"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154E2D30"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73283C0A"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69942EE9"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74D89468"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33C24BF9" w14:textId="77777777">
                        <w:pPr>
                          <w:jc w:val="right"/>
                          <w:rPr>
                            <w:color w:val="000000"/>
                            <w:sz w:val="20"/>
                          </w:rPr>
                        </w:pPr>
                        <w:r w:rsidRPr="00ED2F52">
                          <w:rPr>
                            <w:color w:val="000000"/>
                            <w:sz w:val="20"/>
                          </w:rPr>
                          <w:t xml:space="preserve">$0.00 </w:t>
                        </w:r>
                      </w:p>
                    </w:tc>
                  </w:tr>
                  <w:tr w14:paraId="300E4F5E" w14:textId="77777777" w:rsidTr="00ED2F52">
                    <w:tblPrEx>
                      <w:tblW w:w="12820" w:type="dxa"/>
                      <w:tblLayout w:type="fixed"/>
                      <w:tblLook w:val="04A0"/>
                    </w:tblPrEx>
                    <w:trPr>
                      <w:trHeight w:val="52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7770E62D" w14:textId="77777777">
                        <w:pPr>
                          <w:rPr>
                            <w:color w:val="000000"/>
                            <w:sz w:val="20"/>
                          </w:rPr>
                        </w:pPr>
                        <w:r w:rsidRPr="00ED2F52">
                          <w:rPr>
                            <w:color w:val="000000"/>
                            <w:sz w:val="20"/>
                          </w:rPr>
                          <w:t>Report of Initial Performance Test Results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413B479B"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1A36D782"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44F653AB"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38F49EDD"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1B7F52AA"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7E92F715"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671DCABA"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7CF72333" w14:textId="77777777">
                        <w:pPr>
                          <w:jc w:val="right"/>
                          <w:rPr>
                            <w:color w:val="000000"/>
                            <w:sz w:val="20"/>
                          </w:rPr>
                        </w:pPr>
                        <w:r w:rsidRPr="00ED2F52">
                          <w:rPr>
                            <w:color w:val="000000"/>
                            <w:sz w:val="20"/>
                          </w:rPr>
                          <w:t xml:space="preserve">$0.00 </w:t>
                        </w:r>
                      </w:p>
                    </w:tc>
                  </w:tr>
                  <w:tr w14:paraId="4987105D" w14:textId="77777777" w:rsidTr="00ED2F52">
                    <w:tblPrEx>
                      <w:tblW w:w="12820" w:type="dxa"/>
                      <w:tblLayout w:type="fixed"/>
                      <w:tblLook w:val="04A0"/>
                    </w:tblPrEx>
                    <w:trPr>
                      <w:trHeight w:val="78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30079C18" w14:textId="77777777">
                        <w:pPr>
                          <w:rPr>
                            <w:color w:val="000000"/>
                            <w:sz w:val="20"/>
                          </w:rPr>
                        </w:pPr>
                        <w:r w:rsidRPr="00ED2F52">
                          <w:rPr>
                            <w:color w:val="000000"/>
                            <w:sz w:val="20"/>
                          </w:rPr>
                          <w:t>Submit Annual Electronic Reports via CEDRI or analogous electronic reporting to EPA</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2EFC217B"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199D4094"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40C33FE3"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1D76C44E"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705599D5"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1EFB74BF"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FBA7A4F"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1FF30803" w14:textId="77777777">
                        <w:pPr>
                          <w:jc w:val="right"/>
                          <w:rPr>
                            <w:color w:val="000000"/>
                            <w:sz w:val="20"/>
                          </w:rPr>
                        </w:pPr>
                        <w:r w:rsidRPr="00ED2F52">
                          <w:rPr>
                            <w:color w:val="000000"/>
                            <w:sz w:val="20"/>
                          </w:rPr>
                          <w:t xml:space="preserve">$0.00 </w:t>
                        </w:r>
                      </w:p>
                    </w:tc>
                  </w:tr>
                  <w:tr w14:paraId="31C43F75" w14:textId="77777777" w:rsidTr="00ED2F52">
                    <w:tblPrEx>
                      <w:tblW w:w="12820" w:type="dxa"/>
                      <w:tblLayout w:type="fixed"/>
                      <w:tblLook w:val="04A0"/>
                    </w:tblPrEx>
                    <w:trPr>
                      <w:trHeight w:val="56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5D8B9F3E" w14:textId="77777777">
                        <w:pPr>
                          <w:rPr>
                            <w:b/>
                            <w:bCs/>
                            <w:i/>
                            <w:iCs/>
                            <w:color w:val="000000"/>
                            <w:sz w:val="20"/>
                          </w:rPr>
                        </w:pPr>
                        <w:r w:rsidRPr="00ED2F52">
                          <w:rPr>
                            <w:b/>
                            <w:bCs/>
                            <w:i/>
                            <w:iCs/>
                            <w:color w:val="000000"/>
                            <w:sz w:val="20"/>
                          </w:rPr>
                          <w:t>Subtotal for Reporting Requirements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5068F719" w14:textId="77777777">
                        <w:pPr>
                          <w:jc w:val="right"/>
                          <w:rPr>
                            <w:b/>
                            <w:bCs/>
                            <w:i/>
                            <w:iCs/>
                            <w:color w:val="000000"/>
                            <w:sz w:val="20"/>
                          </w:rPr>
                        </w:pPr>
                        <w:r w:rsidRPr="00ED2F52">
                          <w:rPr>
                            <w:b/>
                            <w:bCs/>
                            <w:i/>
                            <w:i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65DC514C" w14:textId="77777777">
                        <w:pPr>
                          <w:jc w:val="right"/>
                          <w:rPr>
                            <w:b/>
                            <w:bCs/>
                            <w:i/>
                            <w:iCs/>
                            <w:sz w:val="20"/>
                          </w:rPr>
                        </w:pPr>
                        <w:r w:rsidRPr="00ED2F52">
                          <w:rPr>
                            <w:b/>
                            <w:bCs/>
                            <w:i/>
                            <w:i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5027BAEF" w14:textId="77777777">
                        <w:pPr>
                          <w:jc w:val="right"/>
                          <w:rPr>
                            <w:b/>
                            <w:bCs/>
                            <w:i/>
                            <w:iCs/>
                            <w:color w:val="000000"/>
                            <w:sz w:val="20"/>
                          </w:rPr>
                        </w:pPr>
                        <w:r w:rsidRPr="00ED2F52">
                          <w:rPr>
                            <w:b/>
                            <w:bCs/>
                            <w:i/>
                            <w:iCs/>
                            <w:color w:val="000000"/>
                            <w:sz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1F3B3300" w14:textId="77777777">
                        <w:pPr>
                          <w:jc w:val="right"/>
                          <w:rPr>
                            <w:b/>
                            <w:bCs/>
                            <w:i/>
                            <w:iCs/>
                            <w:sz w:val="20"/>
                          </w:rPr>
                        </w:pPr>
                        <w:r w:rsidRPr="00ED2F52">
                          <w:rPr>
                            <w:b/>
                            <w:bCs/>
                            <w:i/>
                            <w:iCs/>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D20481D" w14:textId="77777777">
                        <w:pPr>
                          <w:jc w:val="center"/>
                          <w:rPr>
                            <w:b/>
                            <w:bCs/>
                            <w:i/>
                            <w:iCs/>
                            <w:color w:val="000000"/>
                            <w:sz w:val="20"/>
                          </w:rPr>
                        </w:pPr>
                        <w:r w:rsidRPr="00ED2F52">
                          <w:rPr>
                            <w:b/>
                            <w:bCs/>
                            <w:i/>
                            <w:iCs/>
                            <w:color w:val="000000"/>
                            <w:sz w:val="20"/>
                          </w:rPr>
                          <w:t>1,064</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1A7B5475" w14:textId="77777777">
                        <w:pPr>
                          <w:jc w:val="center"/>
                          <w:rPr>
                            <w:b/>
                            <w:bCs/>
                            <w:i/>
                            <w:iCs/>
                            <w:color w:val="000000"/>
                            <w:sz w:val="20"/>
                          </w:rPr>
                        </w:pPr>
                        <w:r w:rsidRPr="00ED2F52">
                          <w:rPr>
                            <w:b/>
                            <w:bCs/>
                            <w:i/>
                            <w:iCs/>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863D0C4" w14:textId="77777777">
                        <w:pPr>
                          <w:jc w:val="center"/>
                          <w:rPr>
                            <w:b/>
                            <w:bCs/>
                            <w:i/>
                            <w:iCs/>
                            <w:color w:val="000000"/>
                            <w:sz w:val="20"/>
                          </w:rPr>
                        </w:pPr>
                        <w:r w:rsidRPr="00ED2F52">
                          <w:rPr>
                            <w:b/>
                            <w:bCs/>
                            <w:i/>
                            <w:iCs/>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784CB4E2" w14:textId="77777777">
                        <w:pPr>
                          <w:jc w:val="right"/>
                          <w:rPr>
                            <w:b/>
                            <w:bCs/>
                            <w:i/>
                            <w:iCs/>
                            <w:color w:val="000000"/>
                            <w:sz w:val="20"/>
                          </w:rPr>
                        </w:pPr>
                        <w:r w:rsidRPr="00ED2F52">
                          <w:rPr>
                            <w:b/>
                            <w:bCs/>
                            <w:i/>
                            <w:iCs/>
                            <w:color w:val="000000"/>
                            <w:sz w:val="20"/>
                          </w:rPr>
                          <w:t xml:space="preserve">$131,490 </w:t>
                        </w:r>
                      </w:p>
                    </w:tc>
                  </w:tr>
                  <w:tr w14:paraId="77F2E406" w14:textId="77777777" w:rsidTr="00ED2F52">
                    <w:tblPrEx>
                      <w:tblW w:w="12820" w:type="dxa"/>
                      <w:tblLayout w:type="fixed"/>
                      <w:tblLook w:val="04A0"/>
                    </w:tblPrEx>
                    <w:trPr>
                      <w:trHeight w:val="52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50C340FF" w14:textId="77777777">
                        <w:pPr>
                          <w:rPr>
                            <w:color w:val="000000"/>
                            <w:sz w:val="20"/>
                          </w:rPr>
                        </w:pPr>
                        <w:r w:rsidRPr="00ED2F52">
                          <w:rPr>
                            <w:color w:val="000000"/>
                            <w:sz w:val="20"/>
                          </w:rPr>
                          <w:t>5. RECORDKEEPING REQUIREMENTS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6DA15A24" w14:textId="77777777">
                        <w:pPr>
                          <w:jc w:val="right"/>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620BF94F"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00682AA3"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37386803"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9FB08CC"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7E8D2377"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79696A0"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371D3E7C" w14:textId="77777777">
                        <w:pPr>
                          <w:jc w:val="right"/>
                          <w:rPr>
                            <w:color w:val="000000"/>
                            <w:sz w:val="20"/>
                          </w:rPr>
                        </w:pPr>
                        <w:r w:rsidRPr="00ED2F52">
                          <w:rPr>
                            <w:color w:val="000000"/>
                            <w:sz w:val="20"/>
                          </w:rPr>
                          <w:t> </w:t>
                        </w:r>
                      </w:p>
                    </w:tc>
                  </w:tr>
                  <w:tr w14:paraId="7DC0E05B" w14:textId="77777777" w:rsidTr="00ED2F52">
                    <w:tblPrEx>
                      <w:tblW w:w="12820" w:type="dxa"/>
                      <w:tblLayout w:type="fixed"/>
                      <w:tblLook w:val="04A0"/>
                    </w:tblPrEx>
                    <w:trPr>
                      <w:trHeight w:val="52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3C22B73C" w14:textId="77777777">
                        <w:pPr>
                          <w:rPr>
                            <w:color w:val="000000"/>
                            <w:sz w:val="20"/>
                          </w:rPr>
                        </w:pPr>
                        <w:r w:rsidRPr="00ED2F52">
                          <w:rPr>
                            <w:color w:val="000000"/>
                            <w:sz w:val="20"/>
                          </w:rPr>
                          <w:t>A. Familiarize with regulatory requirement</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1ADC58C8"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1246BE49"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3EFEB0E4"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4BD4E169"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40D85708"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468F983C"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DD016D5"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0308A57A" w14:textId="77777777">
                        <w:pPr>
                          <w:jc w:val="right"/>
                          <w:rPr>
                            <w:color w:val="000000"/>
                            <w:sz w:val="20"/>
                          </w:rPr>
                        </w:pPr>
                        <w:r w:rsidRPr="00ED2F52">
                          <w:rPr>
                            <w:color w:val="000000"/>
                            <w:sz w:val="20"/>
                          </w:rPr>
                          <w:t> </w:t>
                        </w:r>
                      </w:p>
                    </w:tc>
                  </w:tr>
                  <w:tr w14:paraId="1C78E809" w14:textId="77777777" w:rsidTr="00ED2F52">
                    <w:tblPrEx>
                      <w:tblW w:w="12820" w:type="dxa"/>
                      <w:tblLayout w:type="fixed"/>
                      <w:tblLook w:val="04A0"/>
                    </w:tblPrEx>
                    <w:trPr>
                      <w:trHeight w:val="26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6B6BF540" w14:textId="77777777">
                        <w:pPr>
                          <w:rPr>
                            <w:color w:val="000000"/>
                            <w:sz w:val="20"/>
                          </w:rPr>
                        </w:pPr>
                        <w:r w:rsidRPr="00ED2F52">
                          <w:rPr>
                            <w:color w:val="000000"/>
                            <w:sz w:val="20"/>
                          </w:rPr>
                          <w:t xml:space="preserve">B. Plan Activities </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27AC8246"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200E922C"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A0A542F"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94C83BD"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7766BC61"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3B55C375"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643840D5"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5D1C29B5" w14:textId="77777777">
                        <w:pPr>
                          <w:jc w:val="right"/>
                          <w:rPr>
                            <w:color w:val="000000"/>
                            <w:sz w:val="20"/>
                          </w:rPr>
                        </w:pPr>
                        <w:r w:rsidRPr="00ED2F52">
                          <w:rPr>
                            <w:color w:val="000000"/>
                            <w:sz w:val="20"/>
                          </w:rPr>
                          <w:t> </w:t>
                        </w:r>
                      </w:p>
                    </w:tc>
                  </w:tr>
                  <w:tr w14:paraId="1A9371C4" w14:textId="77777777" w:rsidTr="00ED2F52">
                    <w:tblPrEx>
                      <w:tblW w:w="12820" w:type="dxa"/>
                      <w:tblLayout w:type="fixed"/>
                      <w:tblLook w:val="04A0"/>
                    </w:tblPrEx>
                    <w:trPr>
                      <w:trHeight w:val="26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656A6E98" w14:textId="77777777">
                        <w:pPr>
                          <w:rPr>
                            <w:color w:val="000000"/>
                            <w:sz w:val="20"/>
                          </w:rPr>
                        </w:pPr>
                        <w:r w:rsidRPr="00ED2F52">
                          <w:rPr>
                            <w:color w:val="000000"/>
                            <w:sz w:val="20"/>
                          </w:rPr>
                          <w:t xml:space="preserve">C. Implement Activities </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3F21A871"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947CE1F"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22BB314A"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025E95F0"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1AAD88E"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12427431"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1A70338C"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5D76331B" w14:textId="77777777">
                        <w:pPr>
                          <w:jc w:val="right"/>
                          <w:rPr>
                            <w:color w:val="000000"/>
                            <w:sz w:val="20"/>
                          </w:rPr>
                        </w:pPr>
                        <w:r w:rsidRPr="00ED2F52">
                          <w:rPr>
                            <w:color w:val="000000"/>
                            <w:sz w:val="20"/>
                          </w:rPr>
                          <w:t> </w:t>
                        </w:r>
                      </w:p>
                    </w:tc>
                  </w:tr>
                  <w:tr w14:paraId="30E6CBD8" w14:textId="77777777" w:rsidTr="00ED2F52">
                    <w:tblPrEx>
                      <w:tblW w:w="12820" w:type="dxa"/>
                      <w:tblLayout w:type="fixed"/>
                      <w:tblLook w:val="04A0"/>
                    </w:tblPrEx>
                    <w:trPr>
                      <w:trHeight w:val="26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25801D22" w14:textId="77777777">
                        <w:pPr>
                          <w:rPr>
                            <w:color w:val="000000"/>
                            <w:sz w:val="20"/>
                          </w:rPr>
                        </w:pPr>
                        <w:r w:rsidRPr="00ED2F52">
                          <w:rPr>
                            <w:color w:val="000000"/>
                            <w:sz w:val="20"/>
                          </w:rPr>
                          <w:t xml:space="preserve">D. Record Data </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3EEA6C48" w14:textId="77777777">
                        <w:pPr>
                          <w:jc w:val="center"/>
                          <w:rPr>
                            <w:color w:val="000000"/>
                            <w:sz w:val="20"/>
                          </w:rPr>
                        </w:pPr>
                        <w:r w:rsidRPr="00ED2F52">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4248D235"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7EB5231A"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06109336"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44EC2E59"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33BADADC"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26AEB30"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7ACD4BED" w14:textId="77777777">
                        <w:pPr>
                          <w:jc w:val="right"/>
                          <w:rPr>
                            <w:color w:val="000000"/>
                            <w:sz w:val="20"/>
                          </w:rPr>
                        </w:pPr>
                        <w:r w:rsidRPr="00ED2F52">
                          <w:rPr>
                            <w:color w:val="000000"/>
                            <w:sz w:val="20"/>
                          </w:rPr>
                          <w:t> </w:t>
                        </w:r>
                      </w:p>
                    </w:tc>
                  </w:tr>
                  <w:tr w14:paraId="0B348B9F" w14:textId="77777777" w:rsidTr="00ED2F52">
                    <w:tblPrEx>
                      <w:tblW w:w="12820" w:type="dxa"/>
                      <w:tblLayout w:type="fixed"/>
                      <w:tblLook w:val="04A0"/>
                    </w:tblPrEx>
                    <w:trPr>
                      <w:trHeight w:val="52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2126E3FA" w14:textId="77777777">
                        <w:pPr>
                          <w:rPr>
                            <w:color w:val="000000"/>
                            <w:sz w:val="20"/>
                          </w:rPr>
                        </w:pPr>
                        <w:r w:rsidRPr="00ED2F52">
                          <w:rPr>
                            <w:color w:val="000000"/>
                            <w:sz w:val="20"/>
                          </w:rPr>
                          <w:t>E. Time to Transmit or Disclose Information</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6C04C4BC" w14:textId="77777777">
                        <w:pPr>
                          <w:jc w:val="right"/>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DFC551D"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2459F3E8"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9EED1DE"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49F5E92C"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79FF074F"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47C86918"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6E74A03F" w14:textId="77777777">
                        <w:pPr>
                          <w:jc w:val="right"/>
                          <w:rPr>
                            <w:color w:val="000000"/>
                            <w:sz w:val="20"/>
                          </w:rPr>
                        </w:pPr>
                        <w:r w:rsidRPr="00ED2F52">
                          <w:rPr>
                            <w:color w:val="000000"/>
                            <w:sz w:val="20"/>
                          </w:rPr>
                          <w:t> </w:t>
                        </w:r>
                      </w:p>
                    </w:tc>
                  </w:tr>
                  <w:tr w14:paraId="21C6339F" w14:textId="77777777" w:rsidTr="00ED2F52">
                    <w:tblPrEx>
                      <w:tblW w:w="12820" w:type="dxa"/>
                      <w:tblLayout w:type="fixed"/>
                      <w:tblLook w:val="04A0"/>
                    </w:tblPrEx>
                    <w:trPr>
                      <w:trHeight w:val="26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79DD1A9D" w14:textId="77777777">
                        <w:pPr>
                          <w:rPr>
                            <w:i/>
                            <w:iCs/>
                            <w:color w:val="000000"/>
                            <w:sz w:val="20"/>
                            <w:u w:val="single"/>
                          </w:rPr>
                        </w:pPr>
                        <w:r w:rsidRPr="00ED2F52">
                          <w:rPr>
                            <w:i/>
                            <w:iCs/>
                            <w:color w:val="000000"/>
                            <w:sz w:val="20"/>
                            <w:u w:val="single"/>
                          </w:rPr>
                          <w:t>Existing Sources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325300A8" w14:textId="77777777">
                        <w:pPr>
                          <w:jc w:val="right"/>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354CFE2E"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5BFF9AF"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10DA99A6"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2D453E70"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4790CF4"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42F2C44F"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7661D21A" w14:textId="77777777">
                        <w:pPr>
                          <w:jc w:val="right"/>
                          <w:rPr>
                            <w:color w:val="000000"/>
                            <w:sz w:val="20"/>
                          </w:rPr>
                        </w:pPr>
                        <w:r w:rsidRPr="00ED2F52">
                          <w:rPr>
                            <w:color w:val="000000"/>
                            <w:sz w:val="20"/>
                          </w:rPr>
                          <w:t> </w:t>
                        </w:r>
                      </w:p>
                    </w:tc>
                  </w:tr>
                  <w:tr w14:paraId="6858D53F" w14:textId="77777777" w:rsidTr="00ED2F52">
                    <w:tblPrEx>
                      <w:tblW w:w="12820" w:type="dxa"/>
                      <w:tblLayout w:type="fixed"/>
                      <w:tblLook w:val="04A0"/>
                    </w:tblPrEx>
                    <w:trPr>
                      <w:trHeight w:val="26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4BB71E1F" w14:textId="77777777">
                        <w:pPr>
                          <w:rPr>
                            <w:color w:val="000000"/>
                            <w:sz w:val="20"/>
                          </w:rPr>
                        </w:pPr>
                        <w:r w:rsidRPr="00ED2F52">
                          <w:rPr>
                            <w:color w:val="000000"/>
                            <w:sz w:val="20"/>
                          </w:rPr>
                          <w:t>Data Collection</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4B0B706A" w14:textId="77777777">
                        <w:pPr>
                          <w:jc w:val="center"/>
                          <w:rPr>
                            <w:color w:val="000000"/>
                            <w:sz w:val="20"/>
                          </w:rPr>
                        </w:pPr>
                        <w:r w:rsidRPr="00ED2F52">
                          <w:rPr>
                            <w:color w:val="000000"/>
                            <w:sz w:val="20"/>
                          </w:rPr>
                          <w:t>0.4</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10E47498" w14:textId="77777777">
                        <w:pPr>
                          <w:jc w:val="center"/>
                          <w:rPr>
                            <w:sz w:val="20"/>
                          </w:rPr>
                        </w:pPr>
                        <w:r w:rsidRPr="00ED2F52">
                          <w:rPr>
                            <w:sz w:val="20"/>
                          </w:rPr>
                          <w:t>12</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275995C8" w14:textId="77777777">
                        <w:pPr>
                          <w:jc w:val="center"/>
                          <w:rPr>
                            <w:color w:val="000000"/>
                            <w:sz w:val="20"/>
                          </w:rPr>
                        </w:pPr>
                        <w:r w:rsidRPr="00ED2F52">
                          <w:rPr>
                            <w:color w:val="000000"/>
                            <w:sz w:val="20"/>
                          </w:rPr>
                          <w:t>4.8</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32D3D3BA" w14:textId="77777777">
                        <w:pPr>
                          <w:jc w:val="center"/>
                          <w:rPr>
                            <w:sz w:val="20"/>
                          </w:rPr>
                        </w:pPr>
                        <w:r w:rsidRPr="00ED2F52">
                          <w:rPr>
                            <w:sz w:val="20"/>
                          </w:rPr>
                          <w:t>80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36E57A6" w14:textId="77777777">
                        <w:pPr>
                          <w:jc w:val="center"/>
                          <w:rPr>
                            <w:color w:val="000000"/>
                            <w:sz w:val="20"/>
                          </w:rPr>
                        </w:pPr>
                        <w:r w:rsidRPr="00ED2F52">
                          <w:rPr>
                            <w:color w:val="000000"/>
                            <w:sz w:val="20"/>
                          </w:rPr>
                          <w:t>384</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3B251CF3" w14:textId="77777777">
                        <w:pPr>
                          <w:jc w:val="center"/>
                          <w:rPr>
                            <w:color w:val="000000"/>
                            <w:sz w:val="20"/>
                          </w:rPr>
                        </w:pPr>
                        <w:r w:rsidRPr="00ED2F52">
                          <w:rPr>
                            <w:color w:val="000000"/>
                            <w:sz w:val="20"/>
                          </w:rPr>
                          <w:t>19.2</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19D45F1C" w14:textId="77777777">
                        <w:pPr>
                          <w:jc w:val="center"/>
                          <w:rPr>
                            <w:color w:val="000000"/>
                            <w:sz w:val="20"/>
                          </w:rPr>
                        </w:pPr>
                        <w:r w:rsidRPr="00ED2F52">
                          <w:rPr>
                            <w:color w:val="000000"/>
                            <w:sz w:val="20"/>
                          </w:rPr>
                          <w:t>38.4</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03517DEE" w14:textId="24756EE3">
                        <w:pPr>
                          <w:jc w:val="right"/>
                          <w:rPr>
                            <w:color w:val="000000"/>
                            <w:sz w:val="20"/>
                          </w:rPr>
                        </w:pPr>
                        <w:r w:rsidRPr="00ED2F52">
                          <w:rPr>
                            <w:color w:val="000000"/>
                            <w:sz w:val="20"/>
                          </w:rPr>
                          <w:t>$54,59</w:t>
                        </w:r>
                        <w:r w:rsidR="00344573">
                          <w:rPr>
                            <w:color w:val="000000"/>
                            <w:sz w:val="20"/>
                          </w:rPr>
                          <w:t>8</w:t>
                        </w:r>
                        <w:r w:rsidRPr="00ED2F52">
                          <w:rPr>
                            <w:color w:val="000000"/>
                            <w:sz w:val="20"/>
                          </w:rPr>
                          <w:t xml:space="preserve"> </w:t>
                        </w:r>
                      </w:p>
                    </w:tc>
                  </w:tr>
                  <w:tr w14:paraId="5B85B21A" w14:textId="77777777" w:rsidTr="00ED2F52">
                    <w:tblPrEx>
                      <w:tblW w:w="12820" w:type="dxa"/>
                      <w:tblLayout w:type="fixed"/>
                      <w:tblLook w:val="04A0"/>
                    </w:tblPrEx>
                    <w:trPr>
                      <w:trHeight w:val="182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32F9BE29" w14:textId="77777777">
                        <w:pPr>
                          <w:rPr>
                            <w:color w:val="000000"/>
                            <w:sz w:val="20"/>
                          </w:rPr>
                        </w:pPr>
                        <w:r w:rsidRPr="00ED2F52">
                          <w:rPr>
                            <w:color w:val="000000"/>
                            <w:sz w:val="20"/>
                          </w:rPr>
                          <w:t>Records of 1-hour ave. NOx emissions, 24-hour ave. NOx emissions, excluded NOx emissions data, daily drift tests, quarterly accuracy determination for CEMS, certified and trained staff records, off-site staff records.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3201076F"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6C86ED50"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0F4AF48D"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49947AA5"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6031F956"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78373992"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79A8945D"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5350BD94" w14:textId="77777777">
                        <w:pPr>
                          <w:jc w:val="right"/>
                          <w:rPr>
                            <w:color w:val="000000"/>
                            <w:sz w:val="20"/>
                          </w:rPr>
                        </w:pPr>
                        <w:r w:rsidRPr="00ED2F52">
                          <w:rPr>
                            <w:color w:val="000000"/>
                            <w:sz w:val="20"/>
                          </w:rPr>
                          <w:t xml:space="preserve">$0.00 </w:t>
                        </w:r>
                      </w:p>
                    </w:tc>
                  </w:tr>
                  <w:tr w14:paraId="0626CF8A" w14:textId="77777777" w:rsidTr="00ED2F52">
                    <w:tblPrEx>
                      <w:tblW w:w="12820" w:type="dxa"/>
                      <w:tblLayout w:type="fixed"/>
                      <w:tblLook w:val="04A0"/>
                    </w:tblPrEx>
                    <w:trPr>
                      <w:trHeight w:val="26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330E7965" w14:textId="77777777">
                        <w:pPr>
                          <w:rPr>
                            <w:i/>
                            <w:iCs/>
                            <w:color w:val="000000"/>
                            <w:sz w:val="20"/>
                            <w:u w:val="single"/>
                          </w:rPr>
                        </w:pPr>
                        <w:r w:rsidRPr="00ED2F52">
                          <w:rPr>
                            <w:i/>
                            <w:iCs/>
                            <w:color w:val="000000"/>
                            <w:sz w:val="20"/>
                            <w:u w:val="single"/>
                          </w:rPr>
                          <w:t>New Sources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4D53EB63"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277A0AAF" w14:textId="77777777">
                        <w:pPr>
                          <w:jc w:val="center"/>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0FF8ADA0"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522982A1"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1D853A79"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1B210196"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C4691DC" w14:textId="77777777">
                        <w:pPr>
                          <w:jc w:val="center"/>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1A5691DF" w14:textId="77777777">
                        <w:pPr>
                          <w:jc w:val="right"/>
                          <w:rPr>
                            <w:color w:val="000000"/>
                            <w:sz w:val="20"/>
                          </w:rPr>
                        </w:pPr>
                        <w:r w:rsidRPr="00ED2F52">
                          <w:rPr>
                            <w:color w:val="000000"/>
                            <w:sz w:val="20"/>
                          </w:rPr>
                          <w:t> </w:t>
                        </w:r>
                      </w:p>
                    </w:tc>
                  </w:tr>
                  <w:tr w14:paraId="27C40E4F" w14:textId="77777777" w:rsidTr="00ED2F52">
                    <w:tblPrEx>
                      <w:tblW w:w="12820" w:type="dxa"/>
                      <w:tblLayout w:type="fixed"/>
                      <w:tblLook w:val="04A0"/>
                    </w:tblPrEx>
                    <w:trPr>
                      <w:trHeight w:val="26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19F4851A" w14:textId="77777777">
                        <w:pPr>
                          <w:rPr>
                            <w:color w:val="000000"/>
                            <w:sz w:val="20"/>
                          </w:rPr>
                        </w:pPr>
                        <w:r w:rsidRPr="00ED2F52">
                          <w:rPr>
                            <w:color w:val="000000"/>
                            <w:sz w:val="20"/>
                          </w:rPr>
                          <w:t>Data Collection</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54A2F11D"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A08C7FF"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0DED28AE"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5E3E40AC"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1543FFCC"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6CB8EB81"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D2FAF20"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795E0A74" w14:textId="77777777">
                        <w:pPr>
                          <w:jc w:val="right"/>
                          <w:rPr>
                            <w:color w:val="000000"/>
                            <w:sz w:val="20"/>
                          </w:rPr>
                        </w:pPr>
                        <w:r w:rsidRPr="00ED2F52">
                          <w:rPr>
                            <w:color w:val="000000"/>
                            <w:sz w:val="20"/>
                          </w:rPr>
                          <w:t xml:space="preserve">$0 </w:t>
                        </w:r>
                      </w:p>
                    </w:tc>
                  </w:tr>
                  <w:tr w14:paraId="1615D8C0" w14:textId="77777777" w:rsidTr="00ED2F52">
                    <w:tblPrEx>
                      <w:tblW w:w="12820" w:type="dxa"/>
                      <w:tblLayout w:type="fixed"/>
                      <w:tblLook w:val="04A0"/>
                    </w:tblPrEx>
                    <w:trPr>
                      <w:trHeight w:val="182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2765C471" w14:textId="77777777">
                        <w:pPr>
                          <w:rPr>
                            <w:color w:val="000000"/>
                            <w:sz w:val="20"/>
                          </w:rPr>
                        </w:pPr>
                        <w:r w:rsidRPr="00ED2F52">
                          <w:rPr>
                            <w:color w:val="000000"/>
                            <w:sz w:val="20"/>
                          </w:rPr>
                          <w:t>Records of 1-hour ave. NOx emissions, 24-hour ave. NOx emissions, excluded NOx emissions data, daily drift tests, quarterly accuracy determination for CEMS, certified and trained staff records, off-site staff records.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062DF16E"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2B93BC4A"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5DAB269E"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09F55D09"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24FEC962"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D808765"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6D722E2"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2661EEE0" w14:textId="77777777">
                        <w:pPr>
                          <w:jc w:val="right"/>
                          <w:rPr>
                            <w:color w:val="000000"/>
                            <w:sz w:val="20"/>
                          </w:rPr>
                        </w:pPr>
                        <w:r w:rsidRPr="00ED2F52">
                          <w:rPr>
                            <w:color w:val="000000"/>
                            <w:sz w:val="20"/>
                          </w:rPr>
                          <w:t xml:space="preserve">$0 </w:t>
                        </w:r>
                      </w:p>
                    </w:tc>
                  </w:tr>
                  <w:tr w14:paraId="764EBD45" w14:textId="77777777" w:rsidTr="00ED2F52">
                    <w:tblPrEx>
                      <w:tblW w:w="12820" w:type="dxa"/>
                      <w:tblLayout w:type="fixed"/>
                      <w:tblLook w:val="04A0"/>
                    </w:tblPrEx>
                    <w:trPr>
                      <w:trHeight w:val="26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5F28FB44" w14:textId="77777777">
                        <w:pPr>
                          <w:rPr>
                            <w:color w:val="000000"/>
                            <w:sz w:val="20"/>
                          </w:rPr>
                        </w:pPr>
                        <w:r w:rsidRPr="00ED2F52">
                          <w:rPr>
                            <w:color w:val="000000"/>
                            <w:sz w:val="20"/>
                          </w:rPr>
                          <w:t>F. Time to Train Personnel</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423C3E6A"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1C3332C4"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732F3CE7"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7640507E"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1C5CE53E"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32D32B8E"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6A3AAA9E" w14:textId="77777777">
                        <w:pPr>
                          <w:jc w:val="center"/>
                          <w:rPr>
                            <w:color w:val="000000"/>
                            <w:sz w:val="20"/>
                          </w:rPr>
                        </w:pPr>
                        <w:r w:rsidRPr="00ED2F52">
                          <w:rPr>
                            <w:color w:val="000000"/>
                            <w:sz w:val="20"/>
                          </w:rPr>
                          <w:t>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67B06CE7" w14:textId="77777777">
                        <w:pPr>
                          <w:jc w:val="right"/>
                          <w:rPr>
                            <w:color w:val="000000"/>
                            <w:sz w:val="20"/>
                          </w:rPr>
                        </w:pPr>
                        <w:r w:rsidRPr="00ED2F52">
                          <w:rPr>
                            <w:color w:val="000000"/>
                            <w:sz w:val="20"/>
                          </w:rPr>
                          <w:t xml:space="preserve">$0 </w:t>
                        </w:r>
                      </w:p>
                    </w:tc>
                  </w:tr>
                  <w:tr w14:paraId="0B9238FD" w14:textId="77777777" w:rsidTr="00ED2F52">
                    <w:tblPrEx>
                      <w:tblW w:w="12820" w:type="dxa"/>
                      <w:tblLayout w:type="fixed"/>
                      <w:tblLook w:val="04A0"/>
                    </w:tblPrEx>
                    <w:trPr>
                      <w:trHeight w:val="26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45BFFAB9" w14:textId="77777777">
                        <w:pPr>
                          <w:rPr>
                            <w:color w:val="000000"/>
                            <w:sz w:val="20"/>
                          </w:rPr>
                        </w:pPr>
                        <w:r w:rsidRPr="00ED2F52">
                          <w:rPr>
                            <w:color w:val="000000"/>
                            <w:sz w:val="20"/>
                          </w:rPr>
                          <w:t xml:space="preserve">G. Time for Audits </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71027261" w14:textId="77777777">
                        <w:pPr>
                          <w:jc w:val="center"/>
                          <w:rPr>
                            <w:color w:val="000000"/>
                            <w:sz w:val="20"/>
                          </w:rPr>
                        </w:pPr>
                        <w:r w:rsidRPr="00ED2F52">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5EAF804"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22395FD6"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0E1E58EE"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D46612D"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00AD676"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4AD241E9"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7F3767B3" w14:textId="77777777">
                        <w:pPr>
                          <w:jc w:val="right"/>
                          <w:rPr>
                            <w:color w:val="000000"/>
                            <w:sz w:val="20"/>
                          </w:rPr>
                        </w:pPr>
                        <w:r w:rsidRPr="00ED2F52">
                          <w:rPr>
                            <w:color w:val="000000"/>
                            <w:sz w:val="20"/>
                          </w:rPr>
                          <w:t> </w:t>
                        </w:r>
                      </w:p>
                    </w:tc>
                  </w:tr>
                  <w:tr w14:paraId="789007D2" w14:textId="77777777" w:rsidTr="00ED2F52">
                    <w:tblPrEx>
                      <w:tblW w:w="12820" w:type="dxa"/>
                      <w:tblLayout w:type="fixed"/>
                      <w:tblLook w:val="04A0"/>
                    </w:tblPrEx>
                    <w:trPr>
                      <w:trHeight w:val="66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03A0F83D" w14:textId="77777777">
                        <w:pPr>
                          <w:rPr>
                            <w:b/>
                            <w:bCs/>
                            <w:i/>
                            <w:iCs/>
                            <w:color w:val="000000"/>
                            <w:sz w:val="20"/>
                          </w:rPr>
                        </w:pPr>
                        <w:r w:rsidRPr="00ED2F52">
                          <w:rPr>
                            <w:b/>
                            <w:bCs/>
                            <w:i/>
                            <w:iCs/>
                            <w:color w:val="000000"/>
                            <w:sz w:val="20"/>
                          </w:rPr>
                          <w:t>Subtotal for Recordkeeping Requirements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515FE3B9" w14:textId="77777777">
                        <w:pPr>
                          <w:jc w:val="right"/>
                          <w:rPr>
                            <w:b/>
                            <w:bCs/>
                            <w:i/>
                            <w:iCs/>
                            <w:color w:val="000000"/>
                            <w:sz w:val="20"/>
                          </w:rPr>
                        </w:pPr>
                        <w:r w:rsidRPr="00ED2F52">
                          <w:rPr>
                            <w:b/>
                            <w:bCs/>
                            <w:i/>
                            <w:i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66B00673" w14:textId="77777777">
                        <w:pPr>
                          <w:jc w:val="right"/>
                          <w:rPr>
                            <w:b/>
                            <w:bCs/>
                            <w:i/>
                            <w:iCs/>
                            <w:sz w:val="20"/>
                          </w:rPr>
                        </w:pPr>
                        <w:r w:rsidRPr="00ED2F52">
                          <w:rPr>
                            <w:b/>
                            <w:bCs/>
                            <w:i/>
                            <w:i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09F4463E" w14:textId="77777777">
                        <w:pPr>
                          <w:jc w:val="right"/>
                          <w:rPr>
                            <w:b/>
                            <w:bCs/>
                            <w:i/>
                            <w:iCs/>
                            <w:color w:val="000000"/>
                            <w:sz w:val="20"/>
                          </w:rPr>
                        </w:pPr>
                        <w:r w:rsidRPr="00ED2F52">
                          <w:rPr>
                            <w:b/>
                            <w:bCs/>
                            <w:i/>
                            <w:iCs/>
                            <w:color w:val="000000"/>
                            <w:sz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7B37718A" w14:textId="77777777">
                        <w:pPr>
                          <w:jc w:val="right"/>
                          <w:rPr>
                            <w:b/>
                            <w:bCs/>
                            <w:i/>
                            <w:iCs/>
                            <w:sz w:val="20"/>
                          </w:rPr>
                        </w:pPr>
                        <w:r w:rsidRPr="00ED2F52">
                          <w:rPr>
                            <w:b/>
                            <w:bCs/>
                            <w:i/>
                            <w:iCs/>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190BC41B" w14:textId="77777777">
                        <w:pPr>
                          <w:jc w:val="center"/>
                          <w:rPr>
                            <w:b/>
                            <w:bCs/>
                            <w:i/>
                            <w:iCs/>
                            <w:color w:val="000000"/>
                            <w:sz w:val="20"/>
                          </w:rPr>
                        </w:pPr>
                        <w:r w:rsidRPr="00ED2F52">
                          <w:rPr>
                            <w:b/>
                            <w:bCs/>
                            <w:i/>
                            <w:iCs/>
                            <w:color w:val="000000"/>
                            <w:sz w:val="20"/>
                          </w:rPr>
                          <w:t>442</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736EF4C8" w14:textId="77777777">
                        <w:pPr>
                          <w:jc w:val="center"/>
                          <w:rPr>
                            <w:b/>
                            <w:bCs/>
                            <w:i/>
                            <w:iCs/>
                            <w:color w:val="000000"/>
                            <w:sz w:val="20"/>
                          </w:rPr>
                        </w:pPr>
                        <w:r w:rsidRPr="00ED2F52">
                          <w:rPr>
                            <w:b/>
                            <w:bCs/>
                            <w:i/>
                            <w:iCs/>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2B1869C" w14:textId="77777777">
                        <w:pPr>
                          <w:jc w:val="center"/>
                          <w:rPr>
                            <w:b/>
                            <w:bCs/>
                            <w:i/>
                            <w:iCs/>
                            <w:color w:val="000000"/>
                            <w:sz w:val="20"/>
                          </w:rPr>
                        </w:pPr>
                        <w:r w:rsidRPr="00ED2F52">
                          <w:rPr>
                            <w:b/>
                            <w:bCs/>
                            <w:i/>
                            <w:iCs/>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6F85BC27" w14:textId="77777777">
                        <w:pPr>
                          <w:jc w:val="right"/>
                          <w:rPr>
                            <w:b/>
                            <w:bCs/>
                            <w:i/>
                            <w:iCs/>
                            <w:color w:val="000000"/>
                            <w:sz w:val="20"/>
                          </w:rPr>
                        </w:pPr>
                        <w:r w:rsidRPr="00ED2F52">
                          <w:rPr>
                            <w:b/>
                            <w:bCs/>
                            <w:i/>
                            <w:iCs/>
                            <w:color w:val="000000"/>
                            <w:sz w:val="20"/>
                          </w:rPr>
                          <w:t xml:space="preserve">$54,598 </w:t>
                        </w:r>
                      </w:p>
                    </w:tc>
                  </w:tr>
                  <w:tr w14:paraId="1063E7E0" w14:textId="77777777" w:rsidTr="00ED2F52">
                    <w:tblPrEx>
                      <w:tblW w:w="12820" w:type="dxa"/>
                      <w:tblLayout w:type="fixed"/>
                      <w:tblLook w:val="04A0"/>
                    </w:tblPrEx>
                    <w:trPr>
                      <w:trHeight w:val="56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48890A89" w14:textId="77777777">
                        <w:pPr>
                          <w:rPr>
                            <w:b/>
                            <w:bCs/>
                            <w:color w:val="000000"/>
                            <w:sz w:val="20"/>
                          </w:rPr>
                        </w:pPr>
                        <w:r w:rsidRPr="00ED2F52">
                          <w:rPr>
                            <w:b/>
                            <w:bCs/>
                            <w:color w:val="000000"/>
                            <w:sz w:val="20"/>
                          </w:rPr>
                          <w:t xml:space="preserve">Total Labor Burden and Cost (rounded) </w:t>
                        </w:r>
                        <w:r w:rsidRPr="00ED2F52">
                          <w:rPr>
                            <w:b/>
                            <w:bCs/>
                            <w:color w:val="000000"/>
                            <w:sz w:val="20"/>
                            <w:vertAlign w:val="superscript"/>
                          </w:rPr>
                          <w:t>f</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4C65FE5D" w14:textId="77777777">
                        <w:pPr>
                          <w:jc w:val="right"/>
                          <w:rPr>
                            <w:b/>
                            <w:bCs/>
                            <w:color w:val="000000"/>
                            <w:sz w:val="20"/>
                          </w:rPr>
                        </w:pPr>
                        <w:r w:rsidRPr="00ED2F52">
                          <w:rPr>
                            <w:b/>
                            <w:b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7FDC1265" w14:textId="77777777">
                        <w:pPr>
                          <w:jc w:val="center"/>
                          <w:rPr>
                            <w:b/>
                            <w:bCs/>
                            <w:sz w:val="20"/>
                          </w:rPr>
                        </w:pPr>
                        <w:r w:rsidRPr="00ED2F52">
                          <w:rPr>
                            <w:b/>
                            <w:b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38BA9A03" w14:textId="77777777">
                        <w:pPr>
                          <w:jc w:val="right"/>
                          <w:rPr>
                            <w:b/>
                            <w:bCs/>
                            <w:color w:val="000000"/>
                            <w:sz w:val="20"/>
                          </w:rPr>
                        </w:pPr>
                        <w:r w:rsidRPr="00ED2F52">
                          <w:rPr>
                            <w:b/>
                            <w:bCs/>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69B33F87" w14:textId="77777777">
                        <w:pPr>
                          <w:jc w:val="right"/>
                          <w:rPr>
                            <w:b/>
                            <w:bCs/>
                            <w:sz w:val="20"/>
                          </w:rPr>
                        </w:pPr>
                        <w:r w:rsidRPr="00ED2F52">
                          <w:rPr>
                            <w:b/>
                            <w:bCs/>
                            <w:sz w:val="20"/>
                          </w:rPr>
                          <w:t> </w:t>
                        </w:r>
                      </w:p>
                    </w:tc>
                    <w:tc>
                      <w:tcPr>
                        <w:tcW w:w="3700" w:type="dxa"/>
                        <w:gridSpan w:val="3"/>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1C99011A" w14:textId="77777777">
                        <w:pPr>
                          <w:jc w:val="center"/>
                          <w:rPr>
                            <w:b/>
                            <w:bCs/>
                            <w:color w:val="000000"/>
                            <w:sz w:val="20"/>
                          </w:rPr>
                        </w:pPr>
                        <w:r w:rsidRPr="00ED2F52">
                          <w:rPr>
                            <w:b/>
                            <w:bCs/>
                            <w:color w:val="000000"/>
                            <w:sz w:val="20"/>
                          </w:rPr>
                          <w:t>1,500</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34CBFADE" w14:textId="77777777">
                        <w:pPr>
                          <w:jc w:val="right"/>
                          <w:rPr>
                            <w:b/>
                            <w:bCs/>
                            <w:color w:val="000000"/>
                            <w:sz w:val="20"/>
                          </w:rPr>
                        </w:pPr>
                        <w:r w:rsidRPr="00ED2F52">
                          <w:rPr>
                            <w:b/>
                            <w:bCs/>
                            <w:color w:val="000000"/>
                            <w:sz w:val="20"/>
                          </w:rPr>
                          <w:t xml:space="preserve">$190,000 </w:t>
                        </w:r>
                      </w:p>
                    </w:tc>
                  </w:tr>
                  <w:tr w14:paraId="7C0E9965" w14:textId="77777777" w:rsidTr="00ED2F52">
                    <w:tblPrEx>
                      <w:tblW w:w="12820" w:type="dxa"/>
                      <w:tblLayout w:type="fixed"/>
                      <w:tblLook w:val="04A0"/>
                    </w:tblPrEx>
                    <w:trPr>
                      <w:trHeight w:val="56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63C32BF4" w14:textId="77777777">
                        <w:pPr>
                          <w:rPr>
                            <w:b/>
                            <w:bCs/>
                            <w:sz w:val="20"/>
                          </w:rPr>
                        </w:pPr>
                        <w:r w:rsidRPr="00ED2F52">
                          <w:rPr>
                            <w:b/>
                            <w:bCs/>
                            <w:sz w:val="20"/>
                          </w:rPr>
                          <w:t xml:space="preserve">Total Capital and O&amp;M Cost (rounded) </w:t>
                        </w:r>
                        <w:r w:rsidRPr="00ED2F52">
                          <w:rPr>
                            <w:b/>
                            <w:bCs/>
                            <w:sz w:val="20"/>
                            <w:vertAlign w:val="superscript"/>
                          </w:rPr>
                          <w:t>f</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517A1697" w14:textId="77777777">
                        <w:pPr>
                          <w:jc w:val="right"/>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53C18EB9"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438D3050"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1A83567D"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B99C2B1"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14CECC81"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C884049"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72171F09" w14:textId="77777777">
                        <w:pPr>
                          <w:jc w:val="right"/>
                          <w:rPr>
                            <w:b/>
                            <w:bCs/>
                            <w:color w:val="000000"/>
                            <w:sz w:val="20"/>
                          </w:rPr>
                        </w:pPr>
                        <w:r w:rsidRPr="00ED2F52">
                          <w:rPr>
                            <w:b/>
                            <w:bCs/>
                            <w:color w:val="000000"/>
                            <w:sz w:val="20"/>
                          </w:rPr>
                          <w:t xml:space="preserve">$0 </w:t>
                        </w:r>
                      </w:p>
                    </w:tc>
                  </w:tr>
                  <w:tr w14:paraId="1651617A" w14:textId="77777777" w:rsidTr="00ED2F52">
                    <w:tblPrEx>
                      <w:tblW w:w="12820" w:type="dxa"/>
                      <w:tblLayout w:type="fixed"/>
                      <w:tblLook w:val="04A0"/>
                    </w:tblPrEx>
                    <w:trPr>
                      <w:trHeight w:val="300"/>
                    </w:trPr>
                    <w:tc>
                      <w:tcPr>
                        <w:tcW w:w="29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571FC514" w14:textId="77777777">
                        <w:pPr>
                          <w:rPr>
                            <w:b/>
                            <w:bCs/>
                            <w:sz w:val="20"/>
                          </w:rPr>
                        </w:pPr>
                        <w:r w:rsidRPr="00ED2F52">
                          <w:rPr>
                            <w:b/>
                            <w:bCs/>
                            <w:sz w:val="20"/>
                          </w:rPr>
                          <w:t xml:space="preserve">Grand TOTAL (rounded) </w:t>
                        </w:r>
                        <w:r w:rsidRPr="00ED2F52">
                          <w:rPr>
                            <w:b/>
                            <w:bCs/>
                            <w:sz w:val="20"/>
                            <w:vertAlign w:val="superscript"/>
                          </w:rPr>
                          <w:t>f</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78D8872C" w14:textId="77777777">
                        <w:pPr>
                          <w:jc w:val="right"/>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25C6AD4E"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51F348CD"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7D3CB48A"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1CE70AB2"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66920C2E"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BEA1F6C" w14:textId="77777777">
                        <w:pPr>
                          <w:jc w:val="right"/>
                          <w:rPr>
                            <w:color w:val="000000"/>
                            <w:sz w:val="20"/>
                          </w:rPr>
                        </w:pPr>
                        <w:r w:rsidRPr="00ED2F52">
                          <w:rPr>
                            <w:color w:val="000000"/>
                            <w:sz w:val="20"/>
                          </w:rPr>
                          <w:t> </w:t>
                        </w:r>
                      </w:p>
                    </w:tc>
                    <w:tc>
                      <w:tcPr>
                        <w:tcW w:w="1200" w:type="dxa"/>
                        <w:tcBorders>
                          <w:top w:val="nil"/>
                          <w:left w:val="nil"/>
                          <w:bottom w:val="single" w:sz="4" w:space="0" w:color="auto"/>
                          <w:right w:val="single" w:sz="4" w:space="0" w:color="auto"/>
                        </w:tcBorders>
                        <w:shd w:val="clear" w:color="auto" w:fill="auto"/>
                        <w:vAlign w:val="center"/>
                        <w:hideMark/>
                      </w:tcPr>
                      <w:p w:rsidR="00ED2F52" w:rsidRPr="00ED2F52" w:rsidP="00ED2F52" w14:paraId="2FC43C7D" w14:textId="77777777">
                        <w:pPr>
                          <w:jc w:val="right"/>
                          <w:rPr>
                            <w:b/>
                            <w:bCs/>
                            <w:color w:val="000000"/>
                            <w:sz w:val="20"/>
                          </w:rPr>
                        </w:pPr>
                        <w:r w:rsidRPr="00ED2F52">
                          <w:rPr>
                            <w:b/>
                            <w:bCs/>
                            <w:color w:val="000000"/>
                            <w:sz w:val="20"/>
                          </w:rPr>
                          <w:t xml:space="preserve">$200,000 </w:t>
                        </w:r>
                      </w:p>
                    </w:tc>
                  </w:tr>
                  <w:tr w14:paraId="2F218A92" w14:textId="77777777" w:rsidTr="00ED2F52">
                    <w:tblPrEx>
                      <w:tblW w:w="12820" w:type="dxa"/>
                      <w:tblLayout w:type="fixed"/>
                      <w:tblLook w:val="04A0"/>
                    </w:tblPrEx>
                    <w:trPr>
                      <w:trHeight w:val="103"/>
                    </w:trPr>
                    <w:tc>
                      <w:tcPr>
                        <w:tcW w:w="2960" w:type="dxa"/>
                        <w:tcBorders>
                          <w:top w:val="nil"/>
                          <w:left w:val="nil"/>
                          <w:bottom w:val="nil"/>
                          <w:right w:val="nil"/>
                        </w:tcBorders>
                        <w:shd w:val="clear" w:color="auto" w:fill="auto"/>
                        <w:noWrap/>
                        <w:vAlign w:val="bottom"/>
                        <w:hideMark/>
                      </w:tcPr>
                      <w:p w:rsidR="00ED2F52" w:rsidRPr="00ED2F52" w:rsidP="00ED2F52" w14:paraId="4B154589" w14:textId="77777777">
                        <w:pPr>
                          <w:jc w:val="right"/>
                          <w:rPr>
                            <w:b/>
                            <w:bCs/>
                            <w:color w:val="000000"/>
                            <w:sz w:val="20"/>
                          </w:rPr>
                        </w:pPr>
                      </w:p>
                    </w:tc>
                    <w:tc>
                      <w:tcPr>
                        <w:tcW w:w="1120" w:type="dxa"/>
                        <w:tcBorders>
                          <w:top w:val="nil"/>
                          <w:left w:val="nil"/>
                          <w:bottom w:val="nil"/>
                          <w:right w:val="nil"/>
                        </w:tcBorders>
                        <w:shd w:val="clear" w:color="auto" w:fill="auto"/>
                        <w:noWrap/>
                        <w:vAlign w:val="bottom"/>
                        <w:hideMark/>
                      </w:tcPr>
                      <w:p w:rsidR="00ED2F52" w:rsidRPr="00ED2F52" w:rsidP="00ED2F52" w14:paraId="0A1965CD" w14:textId="77777777">
                        <w:pPr>
                          <w:rPr>
                            <w:sz w:val="20"/>
                          </w:rPr>
                        </w:pPr>
                      </w:p>
                    </w:tc>
                    <w:tc>
                      <w:tcPr>
                        <w:tcW w:w="1320" w:type="dxa"/>
                        <w:tcBorders>
                          <w:top w:val="nil"/>
                          <w:left w:val="nil"/>
                          <w:bottom w:val="nil"/>
                          <w:right w:val="nil"/>
                        </w:tcBorders>
                        <w:shd w:val="clear" w:color="auto" w:fill="auto"/>
                        <w:noWrap/>
                        <w:vAlign w:val="bottom"/>
                        <w:hideMark/>
                      </w:tcPr>
                      <w:p w:rsidR="00ED2F52" w:rsidRPr="00ED2F52" w:rsidP="00ED2F52" w14:paraId="0B631276" w14:textId="77777777">
                        <w:pPr>
                          <w:rPr>
                            <w:sz w:val="20"/>
                          </w:rPr>
                        </w:pPr>
                      </w:p>
                    </w:tc>
                    <w:tc>
                      <w:tcPr>
                        <w:tcW w:w="1240" w:type="dxa"/>
                        <w:tcBorders>
                          <w:top w:val="nil"/>
                          <w:left w:val="nil"/>
                          <w:bottom w:val="nil"/>
                          <w:right w:val="nil"/>
                        </w:tcBorders>
                        <w:shd w:val="clear" w:color="auto" w:fill="auto"/>
                        <w:noWrap/>
                        <w:vAlign w:val="bottom"/>
                        <w:hideMark/>
                      </w:tcPr>
                      <w:p w:rsidR="00ED2F52" w:rsidRPr="00ED2F52" w:rsidP="00ED2F52" w14:paraId="72C7FA0D" w14:textId="77777777">
                        <w:pPr>
                          <w:rPr>
                            <w:sz w:val="20"/>
                          </w:rPr>
                        </w:pPr>
                      </w:p>
                    </w:tc>
                    <w:tc>
                      <w:tcPr>
                        <w:tcW w:w="1280" w:type="dxa"/>
                        <w:tcBorders>
                          <w:top w:val="nil"/>
                          <w:left w:val="nil"/>
                          <w:bottom w:val="nil"/>
                          <w:right w:val="nil"/>
                        </w:tcBorders>
                        <w:shd w:val="clear" w:color="auto" w:fill="auto"/>
                        <w:noWrap/>
                        <w:vAlign w:val="bottom"/>
                        <w:hideMark/>
                      </w:tcPr>
                      <w:p w:rsidR="00ED2F52" w:rsidRPr="00ED2F52" w:rsidP="00ED2F52" w14:paraId="7CD0C5F8" w14:textId="77777777">
                        <w:pPr>
                          <w:rPr>
                            <w:sz w:val="20"/>
                          </w:rPr>
                        </w:pPr>
                      </w:p>
                    </w:tc>
                    <w:tc>
                      <w:tcPr>
                        <w:tcW w:w="1160" w:type="dxa"/>
                        <w:tcBorders>
                          <w:top w:val="nil"/>
                          <w:left w:val="nil"/>
                          <w:bottom w:val="nil"/>
                          <w:right w:val="nil"/>
                        </w:tcBorders>
                        <w:shd w:val="clear" w:color="auto" w:fill="auto"/>
                        <w:noWrap/>
                        <w:vAlign w:val="bottom"/>
                        <w:hideMark/>
                      </w:tcPr>
                      <w:p w:rsidR="00ED2F52" w:rsidRPr="00ED2F52" w:rsidP="00ED2F52" w14:paraId="7047C808" w14:textId="77777777">
                        <w:pPr>
                          <w:rPr>
                            <w:sz w:val="20"/>
                          </w:rPr>
                        </w:pPr>
                      </w:p>
                    </w:tc>
                    <w:tc>
                      <w:tcPr>
                        <w:tcW w:w="1280" w:type="dxa"/>
                        <w:tcBorders>
                          <w:top w:val="nil"/>
                          <w:left w:val="nil"/>
                          <w:bottom w:val="nil"/>
                          <w:right w:val="nil"/>
                        </w:tcBorders>
                        <w:shd w:val="clear" w:color="auto" w:fill="auto"/>
                        <w:noWrap/>
                        <w:vAlign w:val="bottom"/>
                        <w:hideMark/>
                      </w:tcPr>
                      <w:p w:rsidR="00ED2F52" w:rsidRPr="00ED2F52" w:rsidP="00ED2F52" w14:paraId="0CD1CE60" w14:textId="77777777">
                        <w:pPr>
                          <w:rPr>
                            <w:sz w:val="20"/>
                          </w:rPr>
                        </w:pPr>
                      </w:p>
                    </w:tc>
                    <w:tc>
                      <w:tcPr>
                        <w:tcW w:w="1260" w:type="dxa"/>
                        <w:tcBorders>
                          <w:top w:val="nil"/>
                          <w:left w:val="nil"/>
                          <w:bottom w:val="nil"/>
                          <w:right w:val="nil"/>
                        </w:tcBorders>
                        <w:shd w:val="clear" w:color="auto" w:fill="auto"/>
                        <w:noWrap/>
                        <w:vAlign w:val="bottom"/>
                        <w:hideMark/>
                      </w:tcPr>
                      <w:p w:rsidR="00ED2F52" w:rsidRPr="00ED2F52" w:rsidP="00ED2F52" w14:paraId="67E6E8E7" w14:textId="77777777">
                        <w:pPr>
                          <w:rPr>
                            <w:sz w:val="20"/>
                          </w:rPr>
                        </w:pPr>
                      </w:p>
                    </w:tc>
                    <w:tc>
                      <w:tcPr>
                        <w:tcW w:w="1200" w:type="dxa"/>
                        <w:tcBorders>
                          <w:top w:val="nil"/>
                          <w:left w:val="nil"/>
                          <w:bottom w:val="nil"/>
                          <w:right w:val="nil"/>
                        </w:tcBorders>
                        <w:shd w:val="clear" w:color="auto" w:fill="auto"/>
                        <w:noWrap/>
                        <w:vAlign w:val="bottom"/>
                        <w:hideMark/>
                      </w:tcPr>
                      <w:p w:rsidR="00ED2F52" w:rsidRPr="00ED2F52" w:rsidP="00ED2F52" w14:paraId="2081D052" w14:textId="77777777">
                        <w:pPr>
                          <w:rPr>
                            <w:sz w:val="20"/>
                          </w:rPr>
                        </w:pPr>
                      </w:p>
                    </w:tc>
                  </w:tr>
                  <w:tr w14:paraId="544CC733" w14:textId="77777777" w:rsidTr="00ED2F52">
                    <w:tblPrEx>
                      <w:tblW w:w="12820" w:type="dxa"/>
                      <w:tblLayout w:type="fixed"/>
                      <w:tblLook w:val="04A0"/>
                    </w:tblPrEx>
                    <w:trPr>
                      <w:trHeight w:val="320"/>
                    </w:trPr>
                    <w:tc>
                      <w:tcPr>
                        <w:tcW w:w="12820" w:type="dxa"/>
                        <w:gridSpan w:val="9"/>
                        <w:tcBorders>
                          <w:top w:val="nil"/>
                          <w:left w:val="nil"/>
                          <w:bottom w:val="nil"/>
                          <w:right w:val="nil"/>
                        </w:tcBorders>
                        <w:shd w:val="clear" w:color="auto" w:fill="auto"/>
                        <w:vAlign w:val="center"/>
                        <w:hideMark/>
                      </w:tcPr>
                      <w:p w:rsidR="00ED2F52" w:rsidRPr="00ED2F52" w:rsidP="00ED2F52" w14:paraId="34CDC008" w14:textId="77777777">
                        <w:pPr>
                          <w:rPr>
                            <w:color w:val="000000"/>
                            <w:sz w:val="20"/>
                          </w:rPr>
                        </w:pPr>
                        <w:r w:rsidRPr="00ED2F52">
                          <w:rPr>
                            <w:color w:val="000000"/>
                            <w:sz w:val="20"/>
                            <w:vertAlign w:val="superscript"/>
                          </w:rPr>
                          <w:t>a</w:t>
                        </w:r>
                        <w:r w:rsidRPr="00ED2F52">
                          <w:rPr>
                            <w:color w:val="000000"/>
                            <w:sz w:val="20"/>
                          </w:rPr>
                          <w:t xml:space="preserve">  We have assumed that there are approximately 80 affected municipal waste combustors (MWCs).</w:t>
                        </w:r>
                      </w:p>
                    </w:tc>
                  </w:tr>
                  <w:tr w14:paraId="5670B5EE" w14:textId="77777777" w:rsidTr="00ED2F52">
                    <w:tblPrEx>
                      <w:tblW w:w="12820" w:type="dxa"/>
                      <w:tblLayout w:type="fixed"/>
                      <w:tblLook w:val="04A0"/>
                    </w:tblPrEx>
                    <w:trPr>
                      <w:trHeight w:val="1460"/>
                    </w:trPr>
                    <w:tc>
                      <w:tcPr>
                        <w:tcW w:w="12820" w:type="dxa"/>
                        <w:gridSpan w:val="9"/>
                        <w:tcBorders>
                          <w:top w:val="nil"/>
                          <w:left w:val="nil"/>
                          <w:bottom w:val="nil"/>
                          <w:right w:val="nil"/>
                        </w:tcBorders>
                        <w:shd w:val="clear" w:color="auto" w:fill="auto"/>
                        <w:vAlign w:val="bottom"/>
                        <w:hideMark/>
                      </w:tcPr>
                      <w:p w:rsidR="00ED2F52" w:rsidRPr="00ED2F52" w:rsidP="00ED2F52" w14:paraId="2082D6A2" w14:textId="77777777">
                        <w:pPr>
                          <w:rPr>
                            <w:color w:val="000000"/>
                            <w:sz w:val="20"/>
                          </w:rPr>
                        </w:pPr>
                        <w:r w:rsidRPr="00ED2F52">
                          <w:rPr>
                            <w:color w:val="000000"/>
                            <w:sz w:val="20"/>
                            <w:vertAlign w:val="superscript"/>
                          </w:rPr>
                          <w:t>b</w:t>
                        </w:r>
                        <w:r w:rsidRPr="00ED2F52">
                          <w:rPr>
                            <w:color w:val="000000"/>
                            <w:sz w:val="20"/>
                          </w:rPr>
                          <w:t xml:space="preserve">  This ICR uses the following labor rates: $161.62 per hour for Executive, Administrative, and Managerial labor; $127.68 per hour for Technical labor, and $64.22 per hour for Clerical labor.  These rates are from the United States Department of Labor, Bureau of Labor Statistics, June 2022, “Table 2. Civilian Workers, by Occupational and Industry group.”  The rates are from column 1, “Total Compensation.”  The rates have been increased by 110 percent to account for the benefit packages available to those employed by private industry.  Archived report releases can be accessed from https://www.bls.gov/bls/news-release/ecec.htm#2021;  from homepage, select Economic Releases, Archived News Releases, Employer Costs for Employee Compensation, Select a past year, Select a published report.</w:t>
                        </w:r>
                      </w:p>
                    </w:tc>
                  </w:tr>
                  <w:tr w14:paraId="4E4A0E53" w14:textId="77777777" w:rsidTr="00ED2F52">
                    <w:tblPrEx>
                      <w:tblW w:w="12820" w:type="dxa"/>
                      <w:tblLayout w:type="fixed"/>
                      <w:tblLook w:val="04A0"/>
                    </w:tblPrEx>
                    <w:trPr>
                      <w:trHeight w:val="343"/>
                    </w:trPr>
                    <w:tc>
                      <w:tcPr>
                        <w:tcW w:w="12820" w:type="dxa"/>
                        <w:gridSpan w:val="9"/>
                        <w:tcBorders>
                          <w:top w:val="nil"/>
                          <w:left w:val="nil"/>
                          <w:bottom w:val="nil"/>
                          <w:right w:val="nil"/>
                        </w:tcBorders>
                        <w:shd w:val="clear" w:color="auto" w:fill="auto"/>
                        <w:vAlign w:val="center"/>
                        <w:hideMark/>
                      </w:tcPr>
                      <w:p w:rsidR="00ED2F52" w:rsidRPr="00ED2F52" w:rsidP="00ED2F52" w14:paraId="3D004454" w14:textId="77777777">
                        <w:pPr>
                          <w:rPr>
                            <w:color w:val="000000"/>
                            <w:sz w:val="20"/>
                          </w:rPr>
                        </w:pPr>
                        <w:r w:rsidRPr="00ED2F52">
                          <w:rPr>
                            <w:color w:val="000000"/>
                            <w:sz w:val="20"/>
                            <w:vertAlign w:val="superscript"/>
                          </w:rPr>
                          <w:t>c</w:t>
                        </w:r>
                        <w:r w:rsidRPr="00ED2F52">
                          <w:rPr>
                            <w:color w:val="000000"/>
                            <w:sz w:val="20"/>
                          </w:rPr>
                          <w:t xml:space="preserve">  New MWCs test for NOx. We have assumed that 5 percent of respondents would repeat initial performance test due to failure.</w:t>
                        </w:r>
                      </w:p>
                    </w:tc>
                  </w:tr>
                  <w:tr w14:paraId="4CE9AB78" w14:textId="77777777" w:rsidTr="00ED2F52">
                    <w:tblPrEx>
                      <w:tblW w:w="12820" w:type="dxa"/>
                      <w:tblLayout w:type="fixed"/>
                      <w:tblLook w:val="04A0"/>
                    </w:tblPrEx>
                    <w:trPr>
                      <w:trHeight w:val="583"/>
                    </w:trPr>
                    <w:tc>
                      <w:tcPr>
                        <w:tcW w:w="12820" w:type="dxa"/>
                        <w:gridSpan w:val="9"/>
                        <w:tcBorders>
                          <w:top w:val="nil"/>
                          <w:left w:val="nil"/>
                          <w:bottom w:val="nil"/>
                          <w:right w:val="nil"/>
                        </w:tcBorders>
                        <w:shd w:val="clear" w:color="auto" w:fill="auto"/>
                        <w:vAlign w:val="center"/>
                        <w:hideMark/>
                      </w:tcPr>
                      <w:p w:rsidR="00ED2F52" w:rsidRPr="00ED2F52" w:rsidP="00ED2F52" w14:paraId="0A146EC1" w14:textId="77777777">
                        <w:pPr>
                          <w:rPr>
                            <w:sz w:val="20"/>
                          </w:rPr>
                        </w:pPr>
                        <w:r w:rsidRPr="00ED2F52">
                          <w:rPr>
                            <w:sz w:val="20"/>
                            <w:vertAlign w:val="superscript"/>
                          </w:rPr>
                          <w:t>d</w:t>
                        </w:r>
                        <w:r w:rsidRPr="00ED2F52">
                          <w:rPr>
                            <w:sz w:val="20"/>
                          </w:rPr>
                          <w:t xml:space="preserve">  The rule requires existing MWCs to conduct an initial compliance test within 90 days from the installation of the pollution control equipment used to comply with the NOx emission limits. We have assumed that 5 percent of respondents would repeat annual performance test due to failure.</w:t>
                        </w:r>
                      </w:p>
                    </w:tc>
                  </w:tr>
                  <w:tr w14:paraId="03A54383" w14:textId="77777777" w:rsidTr="00ED2F52">
                    <w:tblPrEx>
                      <w:tblW w:w="12820" w:type="dxa"/>
                      <w:tblLayout w:type="fixed"/>
                      <w:tblLook w:val="04A0"/>
                    </w:tblPrEx>
                    <w:trPr>
                      <w:trHeight w:val="310"/>
                    </w:trPr>
                    <w:tc>
                      <w:tcPr>
                        <w:tcW w:w="12820" w:type="dxa"/>
                        <w:gridSpan w:val="9"/>
                        <w:tcBorders>
                          <w:top w:val="nil"/>
                          <w:left w:val="nil"/>
                          <w:bottom w:val="nil"/>
                          <w:right w:val="nil"/>
                        </w:tcBorders>
                        <w:shd w:val="clear" w:color="auto" w:fill="auto"/>
                        <w:noWrap/>
                        <w:vAlign w:val="center"/>
                        <w:hideMark/>
                      </w:tcPr>
                      <w:p w:rsidR="00ED2F52" w:rsidRPr="00ED2F52" w:rsidP="00ED2F52" w14:paraId="3B63EDC4" w14:textId="77777777">
                        <w:pPr>
                          <w:rPr>
                            <w:color w:val="000000"/>
                            <w:sz w:val="20"/>
                          </w:rPr>
                        </w:pPr>
                        <w:r w:rsidRPr="00ED2F52">
                          <w:rPr>
                            <w:color w:val="000000"/>
                            <w:sz w:val="20"/>
                            <w:vertAlign w:val="superscript"/>
                          </w:rPr>
                          <w:t>e</w:t>
                        </w:r>
                        <w:r w:rsidRPr="00ED2F52">
                          <w:rPr>
                            <w:color w:val="000000"/>
                            <w:sz w:val="20"/>
                          </w:rPr>
                          <w:t xml:space="preserve">  Calibration drift checks on the air flow sensor on the NOx CEMS  or CPMS are performed daily. </w:t>
                        </w:r>
                      </w:p>
                    </w:tc>
                  </w:tr>
                  <w:tr w14:paraId="1C0CD7B9" w14:textId="77777777" w:rsidTr="00ED2F52">
                    <w:tblPrEx>
                      <w:tblW w:w="12820" w:type="dxa"/>
                      <w:tblLayout w:type="fixed"/>
                      <w:tblLook w:val="04A0"/>
                    </w:tblPrEx>
                    <w:trPr>
                      <w:trHeight w:val="375"/>
                    </w:trPr>
                    <w:tc>
                      <w:tcPr>
                        <w:tcW w:w="12820" w:type="dxa"/>
                        <w:gridSpan w:val="9"/>
                        <w:tcBorders>
                          <w:top w:val="nil"/>
                          <w:left w:val="nil"/>
                          <w:bottom w:val="nil"/>
                          <w:right w:val="nil"/>
                        </w:tcBorders>
                        <w:shd w:val="clear" w:color="auto" w:fill="auto"/>
                        <w:hideMark/>
                      </w:tcPr>
                      <w:p w:rsidR="00ED2F52" w:rsidRPr="00ED2F52" w:rsidP="00ED2F52" w14:paraId="761B9AC1" w14:textId="77777777">
                        <w:pPr>
                          <w:rPr>
                            <w:color w:val="000000"/>
                            <w:sz w:val="20"/>
                          </w:rPr>
                        </w:pPr>
                        <w:r w:rsidRPr="00ED2F52">
                          <w:rPr>
                            <w:color w:val="000000"/>
                            <w:sz w:val="20"/>
                            <w:vertAlign w:val="superscript"/>
                          </w:rPr>
                          <w:t>f</w:t>
                        </w:r>
                        <w:r w:rsidRPr="00ED2F52">
                          <w:rPr>
                            <w:color w:val="000000"/>
                            <w:sz w:val="20"/>
                          </w:rPr>
                          <w:t xml:space="preserve">  Totals have been rounded to 3 significant figures.  Figures may not add exactly due to rounding.</w:t>
                        </w:r>
                      </w:p>
                    </w:tc>
                  </w:tr>
                  <w:tr w14:paraId="674E60F6" w14:textId="77777777" w:rsidTr="00ED2F52">
                    <w:tblPrEx>
                      <w:tblW w:w="12820" w:type="dxa"/>
                      <w:tblLayout w:type="fixed"/>
                      <w:tblLook w:val="04A0"/>
                    </w:tblPrEx>
                    <w:trPr>
                      <w:trHeight w:val="980"/>
                    </w:trPr>
                    <w:tc>
                      <w:tcPr>
                        <w:tcW w:w="12820" w:type="dxa"/>
                        <w:gridSpan w:val="9"/>
                        <w:tcBorders>
                          <w:top w:val="nil"/>
                          <w:left w:val="nil"/>
                          <w:bottom w:val="nil"/>
                          <w:right w:val="nil"/>
                        </w:tcBorders>
                        <w:shd w:val="clear" w:color="auto" w:fill="auto"/>
                        <w:hideMark/>
                      </w:tcPr>
                      <w:p w:rsidR="00ED2F52" w:rsidRPr="00ED2F52" w:rsidP="00ED2F52" w14:paraId="33BCA68E" w14:textId="77777777">
                        <w:pPr>
                          <w:rPr>
                            <w:color w:val="000000"/>
                            <w:sz w:val="20"/>
                          </w:rPr>
                        </w:pPr>
                        <w:r w:rsidRPr="00ED2F52">
                          <w:rPr>
                            <w:color w:val="000000"/>
                            <w:sz w:val="20"/>
                            <w:vertAlign w:val="superscript"/>
                          </w:rPr>
                          <w:t>g</w:t>
                        </w:r>
                        <w:r w:rsidRPr="00ED2F52">
                          <w:rPr>
                            <w:color w:val="000000"/>
                            <w:sz w:val="20"/>
                          </w:rPr>
                          <w:t xml:space="preserve">  As described in EPA's final rule Non-EGU Sectors Technical Support Document, EPA conducted research on existing federal regulations, state RACTs and facility permits.  EPA research found 74 units are assumed to already be subject to NSPS (ie. NSPS subpart Eb) or state RACTs and are assumed to already have CEMS installed.  EPA research found 6 MWCs of the 80 affected units do not have existing controls.</w:t>
                        </w:r>
                      </w:p>
                    </w:tc>
                  </w:tr>
                </w:tbl>
                <w:p w:rsidR="00401A59" w:rsidP="00CD3BBE" w14:paraId="28B4E21E" w14:textId="77777777">
                  <w:pPr>
                    <w:rPr>
                      <w:b/>
                      <w:bCs/>
                      <w:szCs w:val="24"/>
                    </w:rPr>
                  </w:pPr>
                </w:p>
                <w:p w:rsidR="00CD3BBE" w:rsidP="00CD3BBE" w14:paraId="4AAA3095" w14:textId="5A2954C5">
                  <w:pPr>
                    <w:rPr>
                      <w:b/>
                      <w:bCs/>
                      <w:szCs w:val="24"/>
                    </w:rPr>
                  </w:pPr>
                  <w:r w:rsidRPr="00D17F6A">
                    <w:rPr>
                      <w:b/>
                      <w:bCs/>
                      <w:szCs w:val="24"/>
                    </w:rPr>
                    <w:t xml:space="preserve">Table </w:t>
                  </w:r>
                  <w:r>
                    <w:rPr>
                      <w:b/>
                      <w:bCs/>
                      <w:szCs w:val="24"/>
                    </w:rPr>
                    <w:t>17</w:t>
                  </w:r>
                  <w:r w:rsidRPr="00D17F6A">
                    <w:rPr>
                      <w:b/>
                      <w:bCs/>
                      <w:szCs w:val="24"/>
                    </w:rPr>
                    <w:t xml:space="preserve">: </w:t>
                  </w:r>
                  <w:r>
                    <w:rPr>
                      <w:b/>
                      <w:bCs/>
                      <w:szCs w:val="24"/>
                    </w:rPr>
                    <w:t xml:space="preserve">Annual </w:t>
                  </w:r>
                  <w:r w:rsidRPr="00D17F6A">
                    <w:rPr>
                      <w:b/>
                      <w:bCs/>
                      <w:szCs w:val="24"/>
                    </w:rPr>
                    <w:t xml:space="preserve">Respondent Burden and Cost – </w:t>
                  </w:r>
                  <w:r>
                    <w:rPr>
                      <w:b/>
                      <w:bCs/>
                      <w:szCs w:val="24"/>
                    </w:rPr>
                    <w:t>Solid Waste Combustors and Incinerators, Year 2</w:t>
                  </w:r>
                </w:p>
                <w:p w:rsidR="00CD3BBE" w:rsidP="00CD3BBE" w14:paraId="7E16AEC0" w14:textId="0C5ECDA3">
                  <w:pPr>
                    <w:rPr>
                      <w:b/>
                      <w:bCs/>
                      <w:szCs w:val="24"/>
                    </w:rPr>
                  </w:pPr>
                </w:p>
                <w:tbl>
                  <w:tblPr>
                    <w:tblW w:w="12800" w:type="dxa"/>
                    <w:tblLayout w:type="fixed"/>
                    <w:tblLook w:val="04A0"/>
                  </w:tblPr>
                  <w:tblGrid>
                    <w:gridCol w:w="2860"/>
                    <w:gridCol w:w="1120"/>
                    <w:gridCol w:w="1320"/>
                    <w:gridCol w:w="1240"/>
                    <w:gridCol w:w="1300"/>
                    <w:gridCol w:w="1160"/>
                    <w:gridCol w:w="1280"/>
                    <w:gridCol w:w="1260"/>
                    <w:gridCol w:w="1260"/>
                  </w:tblGrid>
                  <w:tr w14:paraId="0C53FEDF" w14:textId="77777777" w:rsidTr="00ED2F52">
                    <w:tblPrEx>
                      <w:tblW w:w="12800" w:type="dxa"/>
                      <w:tblLayout w:type="fixed"/>
                      <w:tblLook w:val="04A0"/>
                    </w:tblPrEx>
                    <w:trPr>
                      <w:trHeight w:val="1300"/>
                    </w:trPr>
                    <w:tc>
                      <w:tcPr>
                        <w:tcW w:w="2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2F52" w:rsidRPr="00ED2F52" w:rsidP="00ED2F52" w14:paraId="1F1F55F2" w14:textId="77777777">
                        <w:pPr>
                          <w:jc w:val="center"/>
                          <w:rPr>
                            <w:b/>
                            <w:bCs/>
                            <w:color w:val="000000"/>
                            <w:sz w:val="20"/>
                          </w:rPr>
                        </w:pPr>
                        <w:r w:rsidRPr="00ED2F52">
                          <w:rPr>
                            <w:b/>
                            <w:bCs/>
                            <w:color w:val="000000"/>
                            <w:sz w:val="20"/>
                          </w:rPr>
                          <w:t>Burden Item</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1030D58C" w14:textId="77777777">
                        <w:pPr>
                          <w:jc w:val="center"/>
                          <w:rPr>
                            <w:color w:val="000000"/>
                            <w:sz w:val="20"/>
                          </w:rPr>
                        </w:pPr>
                        <w:r w:rsidRPr="00ED2F52">
                          <w:rPr>
                            <w:color w:val="000000"/>
                            <w:sz w:val="20"/>
                          </w:rPr>
                          <w:t>(A)</w:t>
                        </w:r>
                        <w:r w:rsidRPr="00ED2F52">
                          <w:rPr>
                            <w:color w:val="000000"/>
                            <w:sz w:val="20"/>
                          </w:rPr>
                          <w:br/>
                        </w:r>
                        <w:r w:rsidRPr="00ED2F52">
                          <w:rPr>
                            <w:color w:val="000000"/>
                            <w:sz w:val="20"/>
                          </w:rPr>
                          <w:t>Hours per Occurrence</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3C7D0AEA" w14:textId="77777777">
                        <w:pPr>
                          <w:jc w:val="center"/>
                          <w:rPr>
                            <w:sz w:val="20"/>
                          </w:rPr>
                        </w:pPr>
                        <w:r w:rsidRPr="00ED2F52">
                          <w:rPr>
                            <w:sz w:val="20"/>
                          </w:rPr>
                          <w:t>(B)</w:t>
                        </w:r>
                        <w:r w:rsidRPr="00ED2F52">
                          <w:rPr>
                            <w:sz w:val="20"/>
                          </w:rPr>
                          <w:br/>
                        </w:r>
                        <w:r w:rsidRPr="00ED2F52">
                          <w:rPr>
                            <w:sz w:val="20"/>
                          </w:rPr>
                          <w:t>Occurrences/ Respondent/ Year</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24188F8C" w14:textId="77777777">
                        <w:pPr>
                          <w:jc w:val="center"/>
                          <w:rPr>
                            <w:color w:val="000000"/>
                            <w:sz w:val="20"/>
                          </w:rPr>
                        </w:pPr>
                        <w:r w:rsidRPr="00ED2F52">
                          <w:rPr>
                            <w:color w:val="000000"/>
                            <w:sz w:val="20"/>
                          </w:rPr>
                          <w:t>(C)</w:t>
                        </w:r>
                        <w:r w:rsidRPr="00ED2F52">
                          <w:rPr>
                            <w:color w:val="000000"/>
                            <w:sz w:val="20"/>
                          </w:rPr>
                          <w:br/>
                        </w:r>
                        <w:r w:rsidRPr="00ED2F52">
                          <w:rPr>
                            <w:color w:val="000000"/>
                            <w:sz w:val="20"/>
                          </w:rPr>
                          <w:t xml:space="preserve">Hours/ Respondent/ Year </w:t>
                        </w:r>
                        <w:r w:rsidRPr="00ED2F52">
                          <w:rPr>
                            <w:color w:val="000000"/>
                            <w:sz w:val="20"/>
                          </w:rPr>
                          <w:br/>
                        </w:r>
                        <w:r w:rsidRPr="00ED2F52">
                          <w:rPr>
                            <w:color w:val="000000"/>
                            <w:sz w:val="20"/>
                          </w:rPr>
                          <w:t>(A x B)</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5D47ADD9" w14:textId="77777777">
                        <w:pPr>
                          <w:jc w:val="center"/>
                          <w:rPr>
                            <w:sz w:val="20"/>
                          </w:rPr>
                        </w:pPr>
                        <w:r w:rsidRPr="00ED2F52">
                          <w:rPr>
                            <w:sz w:val="20"/>
                          </w:rPr>
                          <w:t>(D)</w:t>
                        </w:r>
                        <w:r w:rsidRPr="00ED2F52">
                          <w:rPr>
                            <w:sz w:val="20"/>
                          </w:rPr>
                          <w:br/>
                        </w:r>
                        <w:r w:rsidRPr="00ED2F52">
                          <w:rPr>
                            <w:sz w:val="20"/>
                          </w:rPr>
                          <w:t>Respondents/</w:t>
                        </w:r>
                        <w:r w:rsidRPr="00ED2F52">
                          <w:rPr>
                            <w:sz w:val="20"/>
                          </w:rPr>
                          <w:br/>
                        </w:r>
                        <w:r w:rsidRPr="00ED2F52">
                          <w:rPr>
                            <w:sz w:val="20"/>
                          </w:rPr>
                          <w:t>Year</w:t>
                        </w:r>
                        <w:r w:rsidRPr="00ED2F52">
                          <w:rPr>
                            <w:sz w:val="20"/>
                            <w:vertAlign w:val="superscript"/>
                          </w:rPr>
                          <w:t>a</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21E53C52" w14:textId="77777777">
                        <w:pPr>
                          <w:jc w:val="center"/>
                          <w:rPr>
                            <w:color w:val="000000"/>
                            <w:sz w:val="20"/>
                          </w:rPr>
                        </w:pPr>
                        <w:r w:rsidRPr="00ED2F52">
                          <w:rPr>
                            <w:color w:val="000000"/>
                            <w:sz w:val="20"/>
                          </w:rPr>
                          <w:t>(E)</w:t>
                        </w:r>
                        <w:r w:rsidRPr="00ED2F52">
                          <w:rPr>
                            <w:color w:val="000000"/>
                            <w:sz w:val="20"/>
                          </w:rPr>
                          <w:br/>
                        </w:r>
                        <w:r w:rsidRPr="00ED2F52">
                          <w:rPr>
                            <w:color w:val="000000"/>
                            <w:sz w:val="20"/>
                          </w:rPr>
                          <w:t xml:space="preserve">Technical Hours/Year </w:t>
                        </w:r>
                        <w:r w:rsidRPr="00ED2F52">
                          <w:rPr>
                            <w:color w:val="000000"/>
                            <w:sz w:val="20"/>
                          </w:rPr>
                          <w:br/>
                        </w:r>
                        <w:r w:rsidRPr="00ED2F52">
                          <w:rPr>
                            <w:color w:val="000000"/>
                            <w:sz w:val="20"/>
                          </w:rPr>
                          <w:t>(C x D)</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7247CB23" w14:textId="77777777">
                        <w:pPr>
                          <w:jc w:val="center"/>
                          <w:rPr>
                            <w:color w:val="000000"/>
                            <w:sz w:val="20"/>
                          </w:rPr>
                        </w:pPr>
                        <w:r w:rsidRPr="00ED2F52">
                          <w:rPr>
                            <w:color w:val="000000"/>
                            <w:sz w:val="20"/>
                          </w:rPr>
                          <w:t xml:space="preserve">(F) Managerial Hours/Year </w:t>
                        </w:r>
                        <w:r w:rsidRPr="00ED2F52">
                          <w:rPr>
                            <w:color w:val="000000"/>
                            <w:sz w:val="20"/>
                          </w:rPr>
                          <w:br/>
                        </w:r>
                        <w:r w:rsidRPr="00ED2F52">
                          <w:rPr>
                            <w:color w:val="000000"/>
                            <w:sz w:val="20"/>
                          </w:rPr>
                          <w:t>(E x 0.05)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4748E424" w14:textId="77777777">
                        <w:pPr>
                          <w:jc w:val="center"/>
                          <w:rPr>
                            <w:color w:val="000000"/>
                            <w:sz w:val="20"/>
                          </w:rPr>
                        </w:pPr>
                        <w:r w:rsidRPr="00ED2F52">
                          <w:rPr>
                            <w:color w:val="000000"/>
                            <w:sz w:val="20"/>
                          </w:rPr>
                          <w:t xml:space="preserve">(G) </w:t>
                        </w:r>
                        <w:r w:rsidRPr="00ED2F52">
                          <w:rPr>
                            <w:color w:val="000000"/>
                            <w:sz w:val="20"/>
                          </w:rPr>
                          <w:br/>
                        </w:r>
                        <w:r w:rsidRPr="00ED2F52">
                          <w:rPr>
                            <w:color w:val="000000"/>
                            <w:sz w:val="20"/>
                          </w:rPr>
                          <w:t xml:space="preserve">Clerical Hours/Year </w:t>
                        </w:r>
                        <w:r w:rsidRPr="00ED2F52">
                          <w:rPr>
                            <w:color w:val="000000"/>
                            <w:sz w:val="20"/>
                          </w:rPr>
                          <w:br/>
                        </w:r>
                        <w:r w:rsidRPr="00ED2F52">
                          <w:rPr>
                            <w:color w:val="000000"/>
                            <w:sz w:val="20"/>
                          </w:rPr>
                          <w:t>(E x 0.10)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52651E9B" w14:textId="77777777">
                        <w:pPr>
                          <w:jc w:val="center"/>
                          <w:rPr>
                            <w:color w:val="000000"/>
                            <w:sz w:val="20"/>
                          </w:rPr>
                        </w:pPr>
                        <w:r w:rsidRPr="00ED2F52">
                          <w:rPr>
                            <w:color w:val="000000"/>
                            <w:sz w:val="20"/>
                          </w:rPr>
                          <w:t>(H)</w:t>
                        </w:r>
                        <w:r w:rsidRPr="00ED2F52">
                          <w:rPr>
                            <w:color w:val="000000"/>
                            <w:sz w:val="20"/>
                          </w:rPr>
                          <w:br/>
                        </w:r>
                        <w:r w:rsidRPr="00ED2F52">
                          <w:rPr>
                            <w:color w:val="000000"/>
                            <w:sz w:val="20"/>
                          </w:rPr>
                          <w:t>Cost/ Year</w:t>
                        </w:r>
                        <w:r w:rsidRPr="00ED2F52">
                          <w:rPr>
                            <w:color w:val="000000"/>
                            <w:sz w:val="20"/>
                            <w:vertAlign w:val="superscript"/>
                          </w:rPr>
                          <w:t>b</w:t>
                        </w:r>
                      </w:p>
                    </w:tc>
                  </w:tr>
                  <w:tr w14:paraId="0F1F0408" w14:textId="77777777" w:rsidTr="00ED2F52">
                    <w:tblPrEx>
                      <w:tblW w:w="12800" w:type="dxa"/>
                      <w:tblLayout w:type="fixed"/>
                      <w:tblLook w:val="04A0"/>
                    </w:tblPrEx>
                    <w:trPr>
                      <w:trHeight w:val="26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0D656D55" w14:textId="77777777">
                        <w:pPr>
                          <w:rPr>
                            <w:color w:val="000000"/>
                            <w:sz w:val="20"/>
                          </w:rPr>
                        </w:pPr>
                        <w:r w:rsidRPr="00ED2F52">
                          <w:rPr>
                            <w:color w:val="000000"/>
                            <w:sz w:val="20"/>
                          </w:rPr>
                          <w:t xml:space="preserve">1. APPLICATIONS </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072011D3" w14:textId="77777777">
                        <w:pPr>
                          <w:jc w:val="center"/>
                          <w:rPr>
                            <w:color w:val="000000"/>
                            <w:sz w:val="20"/>
                          </w:rPr>
                        </w:pPr>
                        <w:r w:rsidRPr="00ED2F52">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74588B1D"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03DDD1F9" w14:textId="77777777">
                        <w:pPr>
                          <w:jc w:val="right"/>
                          <w:rPr>
                            <w:color w:val="000000"/>
                            <w:sz w:val="20"/>
                          </w:rPr>
                        </w:pPr>
                        <w:r w:rsidRPr="00ED2F52">
                          <w:rPr>
                            <w:color w:val="000000"/>
                            <w:sz w:val="20"/>
                          </w:rPr>
                          <w:t> </w:t>
                        </w:r>
                      </w:p>
                    </w:tc>
                    <w:tc>
                      <w:tcPr>
                        <w:tcW w:w="1300" w:type="dxa"/>
                        <w:tcBorders>
                          <w:top w:val="nil"/>
                          <w:left w:val="nil"/>
                          <w:bottom w:val="single" w:sz="4" w:space="0" w:color="auto"/>
                          <w:right w:val="single" w:sz="4" w:space="0" w:color="auto"/>
                        </w:tcBorders>
                        <w:shd w:val="clear" w:color="auto" w:fill="auto"/>
                        <w:vAlign w:val="center"/>
                        <w:hideMark/>
                      </w:tcPr>
                      <w:p w:rsidR="00ED2F52" w:rsidRPr="00ED2F52" w:rsidP="00ED2F52" w14:paraId="6FCCE970"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23245F6E"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456DCE9C"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09C13BC"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1EADDDB4" w14:textId="77777777">
                        <w:pPr>
                          <w:jc w:val="right"/>
                          <w:rPr>
                            <w:color w:val="000000"/>
                            <w:sz w:val="20"/>
                          </w:rPr>
                        </w:pPr>
                        <w:r w:rsidRPr="00ED2F52">
                          <w:rPr>
                            <w:color w:val="000000"/>
                            <w:sz w:val="20"/>
                          </w:rPr>
                          <w:t> </w:t>
                        </w:r>
                      </w:p>
                    </w:tc>
                  </w:tr>
                  <w:tr w14:paraId="1270930E" w14:textId="77777777" w:rsidTr="00ED2F52">
                    <w:tblPrEx>
                      <w:tblW w:w="12800" w:type="dxa"/>
                      <w:tblLayout w:type="fixed"/>
                      <w:tblLook w:val="04A0"/>
                    </w:tblPrEx>
                    <w:trPr>
                      <w:trHeight w:val="643"/>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33EA5EE1" w14:textId="77777777">
                        <w:pPr>
                          <w:rPr>
                            <w:color w:val="000000"/>
                            <w:sz w:val="20"/>
                          </w:rPr>
                        </w:pPr>
                        <w:r w:rsidRPr="00ED2F52">
                          <w:rPr>
                            <w:color w:val="000000"/>
                            <w:sz w:val="20"/>
                          </w:rPr>
                          <w:t xml:space="preserve">2. SURVEY AND STUDIES </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4146AB84" w14:textId="77777777">
                        <w:pPr>
                          <w:jc w:val="center"/>
                          <w:rPr>
                            <w:color w:val="000000"/>
                            <w:sz w:val="20"/>
                          </w:rPr>
                        </w:pPr>
                        <w:r w:rsidRPr="00ED2F52">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4F2EAF42"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4D065BAE" w14:textId="77777777">
                        <w:pPr>
                          <w:jc w:val="right"/>
                          <w:rPr>
                            <w:color w:val="000000"/>
                            <w:sz w:val="20"/>
                          </w:rPr>
                        </w:pPr>
                        <w:r w:rsidRPr="00ED2F52">
                          <w:rPr>
                            <w:color w:val="000000"/>
                            <w:sz w:val="20"/>
                          </w:rPr>
                          <w:t> </w:t>
                        </w:r>
                      </w:p>
                    </w:tc>
                    <w:tc>
                      <w:tcPr>
                        <w:tcW w:w="1300" w:type="dxa"/>
                        <w:tcBorders>
                          <w:top w:val="nil"/>
                          <w:left w:val="nil"/>
                          <w:bottom w:val="single" w:sz="4" w:space="0" w:color="auto"/>
                          <w:right w:val="single" w:sz="4" w:space="0" w:color="auto"/>
                        </w:tcBorders>
                        <w:shd w:val="clear" w:color="auto" w:fill="auto"/>
                        <w:vAlign w:val="center"/>
                        <w:hideMark/>
                      </w:tcPr>
                      <w:p w:rsidR="00ED2F52" w:rsidRPr="00ED2F52" w:rsidP="00ED2F52" w14:paraId="07F800D9"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045481E"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0CEC8516"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68BA5CD4"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08827ED" w14:textId="77777777">
                        <w:pPr>
                          <w:jc w:val="right"/>
                          <w:rPr>
                            <w:color w:val="000000"/>
                            <w:sz w:val="20"/>
                          </w:rPr>
                        </w:pPr>
                        <w:r w:rsidRPr="00ED2F52">
                          <w:rPr>
                            <w:color w:val="000000"/>
                            <w:sz w:val="20"/>
                          </w:rPr>
                          <w:t> </w:t>
                        </w:r>
                      </w:p>
                    </w:tc>
                  </w:tr>
                  <w:tr w14:paraId="5A27BAEA" w14:textId="77777777" w:rsidTr="00ED2F52">
                    <w:tblPrEx>
                      <w:tblW w:w="12800" w:type="dxa"/>
                      <w:tblLayout w:type="fixed"/>
                      <w:tblLook w:val="04A0"/>
                    </w:tblPrEx>
                    <w:trPr>
                      <w:trHeight w:val="110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03C63F68" w14:textId="77777777">
                        <w:pPr>
                          <w:rPr>
                            <w:color w:val="000000"/>
                            <w:sz w:val="20"/>
                          </w:rPr>
                        </w:pPr>
                        <w:r w:rsidRPr="00ED2F52">
                          <w:rPr>
                            <w:color w:val="000000"/>
                            <w:sz w:val="20"/>
                          </w:rPr>
                          <w:t>3.ACQUISITION, INSTALLATION, AND UTILIZATION OF TECHNOLOGY AND SYSTEMS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677B188C"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7869B3A8"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0A1E3D74" w14:textId="77777777">
                        <w:pPr>
                          <w:jc w:val="center"/>
                          <w:rPr>
                            <w:color w:val="000000"/>
                            <w:sz w:val="20"/>
                          </w:rPr>
                        </w:pPr>
                        <w:r w:rsidRPr="00ED2F52">
                          <w:rPr>
                            <w:color w:val="000000"/>
                            <w:sz w:val="20"/>
                          </w:rPr>
                          <w:t>0</w:t>
                        </w:r>
                      </w:p>
                    </w:tc>
                    <w:tc>
                      <w:tcPr>
                        <w:tcW w:w="1300" w:type="dxa"/>
                        <w:tcBorders>
                          <w:top w:val="nil"/>
                          <w:left w:val="nil"/>
                          <w:bottom w:val="single" w:sz="4" w:space="0" w:color="auto"/>
                          <w:right w:val="single" w:sz="4" w:space="0" w:color="auto"/>
                        </w:tcBorders>
                        <w:shd w:val="clear" w:color="auto" w:fill="auto"/>
                        <w:vAlign w:val="center"/>
                        <w:hideMark/>
                      </w:tcPr>
                      <w:p w:rsidR="00ED2F52" w:rsidRPr="00ED2F52" w:rsidP="00ED2F52" w14:paraId="452843B6"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4BA7C47"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713E7D7E"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561327A"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7CDA34C7" w14:textId="77777777">
                        <w:pPr>
                          <w:jc w:val="right"/>
                          <w:rPr>
                            <w:color w:val="000000"/>
                            <w:sz w:val="20"/>
                          </w:rPr>
                        </w:pPr>
                        <w:r w:rsidRPr="00ED2F52">
                          <w:rPr>
                            <w:color w:val="000000"/>
                            <w:sz w:val="20"/>
                          </w:rPr>
                          <w:t xml:space="preserve">$0 </w:t>
                        </w:r>
                      </w:p>
                    </w:tc>
                  </w:tr>
                  <w:tr w14:paraId="79318E64" w14:textId="77777777" w:rsidTr="00ED2F52">
                    <w:tblPrEx>
                      <w:tblW w:w="12800" w:type="dxa"/>
                      <w:tblLayout w:type="fixed"/>
                      <w:tblLook w:val="04A0"/>
                    </w:tblPrEx>
                    <w:trPr>
                      <w:trHeight w:val="26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413A9054" w14:textId="77777777">
                        <w:pPr>
                          <w:rPr>
                            <w:color w:val="000000"/>
                            <w:sz w:val="20"/>
                          </w:rPr>
                        </w:pPr>
                        <w:r w:rsidRPr="00ED2F52">
                          <w:rPr>
                            <w:color w:val="000000"/>
                            <w:sz w:val="20"/>
                          </w:rPr>
                          <w:t>4. REPORT REQUIREMENTS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7EBFC0E0"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1D5753D4" w14:textId="77777777">
                        <w:pPr>
                          <w:jc w:val="center"/>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3A37A8A2" w14:textId="77777777">
                        <w:pPr>
                          <w:jc w:val="center"/>
                          <w:rPr>
                            <w:color w:val="000000"/>
                            <w:sz w:val="20"/>
                          </w:rPr>
                        </w:pPr>
                        <w:r w:rsidRPr="00ED2F52">
                          <w:rPr>
                            <w:color w:val="000000"/>
                            <w:sz w:val="20"/>
                          </w:rPr>
                          <w:t> </w:t>
                        </w:r>
                      </w:p>
                    </w:tc>
                    <w:tc>
                      <w:tcPr>
                        <w:tcW w:w="1300" w:type="dxa"/>
                        <w:tcBorders>
                          <w:top w:val="nil"/>
                          <w:left w:val="nil"/>
                          <w:bottom w:val="single" w:sz="4" w:space="0" w:color="auto"/>
                          <w:right w:val="single" w:sz="4" w:space="0" w:color="auto"/>
                        </w:tcBorders>
                        <w:shd w:val="clear" w:color="auto" w:fill="auto"/>
                        <w:vAlign w:val="center"/>
                        <w:hideMark/>
                      </w:tcPr>
                      <w:p w:rsidR="00ED2F52" w:rsidRPr="00ED2F52" w:rsidP="00ED2F52" w14:paraId="044D26AC"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1ED14377"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D1601CC"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304FD995"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25B073E" w14:textId="77777777">
                        <w:pPr>
                          <w:jc w:val="right"/>
                          <w:rPr>
                            <w:color w:val="000000"/>
                            <w:sz w:val="20"/>
                          </w:rPr>
                        </w:pPr>
                        <w:r w:rsidRPr="00ED2F52">
                          <w:rPr>
                            <w:color w:val="000000"/>
                            <w:sz w:val="20"/>
                          </w:rPr>
                          <w:t> </w:t>
                        </w:r>
                      </w:p>
                    </w:tc>
                  </w:tr>
                  <w:tr w14:paraId="1044AAF0" w14:textId="77777777" w:rsidTr="00ED2F52">
                    <w:tblPrEx>
                      <w:tblW w:w="12800" w:type="dxa"/>
                      <w:tblLayout w:type="fixed"/>
                      <w:tblLook w:val="04A0"/>
                    </w:tblPrEx>
                    <w:trPr>
                      <w:trHeight w:val="52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7D308D5C" w14:textId="77777777">
                        <w:pPr>
                          <w:rPr>
                            <w:color w:val="000000"/>
                            <w:sz w:val="20"/>
                          </w:rPr>
                        </w:pPr>
                        <w:r w:rsidRPr="00ED2F52">
                          <w:rPr>
                            <w:color w:val="000000"/>
                            <w:sz w:val="20"/>
                          </w:rPr>
                          <w:t>A. Familiarize with regulatory requirement</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4AABFD14"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4318CF71"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29DB0076" w14:textId="77777777">
                        <w:pPr>
                          <w:jc w:val="center"/>
                          <w:rPr>
                            <w:color w:val="000000"/>
                            <w:sz w:val="20"/>
                          </w:rPr>
                        </w:pPr>
                        <w:r w:rsidRPr="00ED2F52">
                          <w:rPr>
                            <w:color w:val="000000"/>
                            <w:sz w:val="20"/>
                          </w:rPr>
                          <w:t>0</w:t>
                        </w:r>
                      </w:p>
                    </w:tc>
                    <w:tc>
                      <w:tcPr>
                        <w:tcW w:w="1300" w:type="dxa"/>
                        <w:tcBorders>
                          <w:top w:val="nil"/>
                          <w:left w:val="nil"/>
                          <w:bottom w:val="single" w:sz="4" w:space="0" w:color="auto"/>
                          <w:right w:val="single" w:sz="4" w:space="0" w:color="auto"/>
                        </w:tcBorders>
                        <w:shd w:val="clear" w:color="auto" w:fill="auto"/>
                        <w:vAlign w:val="center"/>
                        <w:hideMark/>
                      </w:tcPr>
                      <w:p w:rsidR="00ED2F52" w:rsidRPr="00ED2F52" w:rsidP="00ED2F52" w14:paraId="51AD839C"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89EE239"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259636C"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4A480159"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47688860" w14:textId="77777777">
                        <w:pPr>
                          <w:jc w:val="right"/>
                          <w:rPr>
                            <w:color w:val="000000"/>
                            <w:sz w:val="20"/>
                          </w:rPr>
                        </w:pPr>
                        <w:r w:rsidRPr="00ED2F52">
                          <w:rPr>
                            <w:color w:val="000000"/>
                            <w:sz w:val="20"/>
                          </w:rPr>
                          <w:t xml:space="preserve">$0.00 </w:t>
                        </w:r>
                      </w:p>
                    </w:tc>
                  </w:tr>
                  <w:tr w14:paraId="5714A6AE" w14:textId="77777777" w:rsidTr="00ED2F52">
                    <w:tblPrEx>
                      <w:tblW w:w="12800" w:type="dxa"/>
                      <w:tblLayout w:type="fixed"/>
                      <w:tblLook w:val="04A0"/>
                    </w:tblPrEx>
                    <w:trPr>
                      <w:trHeight w:val="315"/>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355E676B" w14:textId="77777777">
                        <w:pPr>
                          <w:rPr>
                            <w:color w:val="000000"/>
                            <w:sz w:val="20"/>
                          </w:rPr>
                        </w:pPr>
                        <w:r w:rsidRPr="00ED2F52">
                          <w:rPr>
                            <w:color w:val="000000"/>
                            <w:sz w:val="20"/>
                          </w:rPr>
                          <w:t>B. Required Activities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01B2507D"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30C66C01" w14:textId="77777777">
                        <w:pPr>
                          <w:jc w:val="center"/>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472A3CBB" w14:textId="77777777">
                        <w:pPr>
                          <w:jc w:val="center"/>
                          <w:rPr>
                            <w:color w:val="000000"/>
                            <w:sz w:val="20"/>
                          </w:rPr>
                        </w:pPr>
                        <w:r w:rsidRPr="00ED2F52">
                          <w:rPr>
                            <w:color w:val="000000"/>
                            <w:sz w:val="20"/>
                          </w:rPr>
                          <w:t> </w:t>
                        </w:r>
                      </w:p>
                    </w:tc>
                    <w:tc>
                      <w:tcPr>
                        <w:tcW w:w="1300" w:type="dxa"/>
                        <w:tcBorders>
                          <w:top w:val="nil"/>
                          <w:left w:val="nil"/>
                          <w:bottom w:val="single" w:sz="4" w:space="0" w:color="auto"/>
                          <w:right w:val="single" w:sz="4" w:space="0" w:color="auto"/>
                        </w:tcBorders>
                        <w:shd w:val="clear" w:color="auto" w:fill="auto"/>
                        <w:vAlign w:val="center"/>
                        <w:hideMark/>
                      </w:tcPr>
                      <w:p w:rsidR="00ED2F52" w:rsidRPr="00ED2F52" w:rsidP="00ED2F52" w14:paraId="3A689EA9"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A9B933B"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1D6C3679"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B7272FB"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0B1FBC5" w14:textId="77777777">
                        <w:pPr>
                          <w:jc w:val="right"/>
                          <w:rPr>
                            <w:color w:val="000000"/>
                            <w:sz w:val="20"/>
                          </w:rPr>
                        </w:pPr>
                        <w:r w:rsidRPr="00ED2F52">
                          <w:rPr>
                            <w:color w:val="000000"/>
                            <w:sz w:val="20"/>
                          </w:rPr>
                          <w:t> </w:t>
                        </w:r>
                      </w:p>
                    </w:tc>
                  </w:tr>
                  <w:tr w14:paraId="1D6D89DB" w14:textId="77777777" w:rsidTr="00ED2F52">
                    <w:tblPrEx>
                      <w:tblW w:w="12800" w:type="dxa"/>
                      <w:tblLayout w:type="fixed"/>
                      <w:tblLook w:val="04A0"/>
                    </w:tblPrEx>
                    <w:trPr>
                      <w:trHeight w:val="31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4E4B538D" w14:textId="77777777">
                        <w:pPr>
                          <w:rPr>
                            <w:i/>
                            <w:iCs/>
                            <w:color w:val="000000"/>
                            <w:sz w:val="20"/>
                          </w:rPr>
                        </w:pPr>
                        <w:r w:rsidRPr="00ED2F52">
                          <w:rPr>
                            <w:i/>
                            <w:iCs/>
                            <w:color w:val="000000"/>
                            <w:sz w:val="20"/>
                          </w:rPr>
                          <w:t xml:space="preserve">New Sources - Testing </w:t>
                        </w:r>
                        <w:r w:rsidRPr="00ED2F52">
                          <w:rPr>
                            <w:color w:val="000000"/>
                            <w:sz w:val="20"/>
                            <w:vertAlign w:val="superscript"/>
                          </w:rPr>
                          <w:t>c</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3AD1291B"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522C555" w14:textId="77777777">
                        <w:pPr>
                          <w:jc w:val="center"/>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21F8FD29" w14:textId="77777777">
                        <w:pPr>
                          <w:jc w:val="center"/>
                          <w:rPr>
                            <w:color w:val="000000"/>
                            <w:sz w:val="20"/>
                          </w:rPr>
                        </w:pPr>
                        <w:r w:rsidRPr="00ED2F52">
                          <w:rPr>
                            <w:color w:val="000000"/>
                            <w:sz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6814D8F8"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2D4A273"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3268CF06"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79DAEA53"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E5C7E7E" w14:textId="77777777">
                        <w:pPr>
                          <w:jc w:val="right"/>
                          <w:rPr>
                            <w:color w:val="000000"/>
                            <w:sz w:val="20"/>
                          </w:rPr>
                        </w:pPr>
                        <w:r w:rsidRPr="00ED2F52">
                          <w:rPr>
                            <w:color w:val="000000"/>
                            <w:sz w:val="20"/>
                          </w:rPr>
                          <w:t> </w:t>
                        </w:r>
                      </w:p>
                    </w:tc>
                  </w:tr>
                  <w:tr w14:paraId="5F073A5D" w14:textId="77777777" w:rsidTr="00ED2F52">
                    <w:tblPrEx>
                      <w:tblW w:w="12800" w:type="dxa"/>
                      <w:tblLayout w:type="fixed"/>
                      <w:tblLook w:val="04A0"/>
                    </w:tblPrEx>
                    <w:trPr>
                      <w:trHeight w:val="1063"/>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0E4E677C" w14:textId="77777777">
                        <w:pPr>
                          <w:rPr>
                            <w:sz w:val="20"/>
                          </w:rPr>
                        </w:pPr>
                        <w:r w:rsidRPr="00ED2F52">
                          <w:rPr>
                            <w:sz w:val="20"/>
                          </w:rPr>
                          <w:t>Initial NOx Performance Test</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70E4BA1D"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11C4E1F9"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491DD59D" w14:textId="77777777">
                        <w:pPr>
                          <w:jc w:val="center"/>
                          <w:rPr>
                            <w:color w:val="000000"/>
                            <w:sz w:val="20"/>
                          </w:rPr>
                        </w:pPr>
                        <w:r w:rsidRPr="00ED2F52">
                          <w:rPr>
                            <w:color w:val="000000"/>
                            <w:sz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1898BECE"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6DCA55A"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49C0303B"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6D072CA9"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47493872" w14:textId="77777777">
                        <w:pPr>
                          <w:jc w:val="right"/>
                          <w:rPr>
                            <w:color w:val="000000"/>
                            <w:sz w:val="20"/>
                          </w:rPr>
                        </w:pPr>
                        <w:r w:rsidRPr="00ED2F52">
                          <w:rPr>
                            <w:color w:val="000000"/>
                            <w:sz w:val="20"/>
                          </w:rPr>
                          <w:t xml:space="preserve">$0.00 </w:t>
                        </w:r>
                      </w:p>
                    </w:tc>
                  </w:tr>
                  <w:tr w14:paraId="6BA29783" w14:textId="77777777" w:rsidTr="00ED2F52">
                    <w:tblPrEx>
                      <w:tblW w:w="12800" w:type="dxa"/>
                      <w:tblLayout w:type="fixed"/>
                      <w:tblLook w:val="04A0"/>
                    </w:tblPrEx>
                    <w:trPr>
                      <w:trHeight w:val="26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3356F088" w14:textId="77777777">
                        <w:pPr>
                          <w:rPr>
                            <w:sz w:val="20"/>
                          </w:rPr>
                        </w:pPr>
                        <w:r w:rsidRPr="00ED2F52">
                          <w:rPr>
                            <w:sz w:val="20"/>
                          </w:rPr>
                          <w:t>Repeat NOx Performance Test</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295656B7"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704984FE"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4F7FEE4C" w14:textId="77777777">
                        <w:pPr>
                          <w:jc w:val="center"/>
                          <w:rPr>
                            <w:color w:val="000000"/>
                            <w:sz w:val="20"/>
                          </w:rPr>
                        </w:pPr>
                        <w:r w:rsidRPr="00ED2F52">
                          <w:rPr>
                            <w:color w:val="000000"/>
                            <w:sz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79E5B458"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7C4492E5"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6DC45001"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1F3E1719"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C08E0BE" w14:textId="77777777">
                        <w:pPr>
                          <w:jc w:val="right"/>
                          <w:rPr>
                            <w:color w:val="000000"/>
                            <w:sz w:val="20"/>
                          </w:rPr>
                        </w:pPr>
                        <w:r w:rsidRPr="00ED2F52">
                          <w:rPr>
                            <w:color w:val="000000"/>
                            <w:sz w:val="20"/>
                          </w:rPr>
                          <w:t xml:space="preserve">$0.00 </w:t>
                        </w:r>
                      </w:p>
                    </w:tc>
                  </w:tr>
                  <w:tr w14:paraId="200C040F" w14:textId="77777777" w:rsidTr="00ED2F52">
                    <w:tblPrEx>
                      <w:tblW w:w="12800" w:type="dxa"/>
                      <w:tblLayout w:type="fixed"/>
                      <w:tblLook w:val="04A0"/>
                    </w:tblPrEx>
                    <w:trPr>
                      <w:trHeight w:val="116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579B6929" w14:textId="77777777">
                        <w:pPr>
                          <w:rPr>
                            <w:i/>
                            <w:iCs/>
                            <w:color w:val="000000"/>
                            <w:sz w:val="20"/>
                          </w:rPr>
                        </w:pPr>
                        <w:r w:rsidRPr="00ED2F52">
                          <w:rPr>
                            <w:i/>
                            <w:iCs/>
                            <w:color w:val="000000"/>
                            <w:sz w:val="20"/>
                          </w:rPr>
                          <w:t xml:space="preserve">Existing Sources - Initial Testing </w:t>
                        </w:r>
                        <w:r w:rsidRPr="00ED2F52">
                          <w:rPr>
                            <w:color w:val="000000"/>
                            <w:sz w:val="20"/>
                            <w:vertAlign w:val="superscript"/>
                          </w:rPr>
                          <w:t>d</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001E2B61"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2072E7C8" w14:textId="77777777">
                        <w:pPr>
                          <w:jc w:val="center"/>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73329854" w14:textId="77777777">
                        <w:pPr>
                          <w:jc w:val="center"/>
                          <w:rPr>
                            <w:color w:val="000000"/>
                            <w:sz w:val="20"/>
                          </w:rPr>
                        </w:pPr>
                        <w:r w:rsidRPr="00ED2F52">
                          <w:rPr>
                            <w:color w:val="000000"/>
                            <w:sz w:val="20"/>
                          </w:rPr>
                          <w:t> </w:t>
                        </w:r>
                      </w:p>
                    </w:tc>
                    <w:tc>
                      <w:tcPr>
                        <w:tcW w:w="1300" w:type="dxa"/>
                        <w:tcBorders>
                          <w:top w:val="nil"/>
                          <w:left w:val="nil"/>
                          <w:bottom w:val="single" w:sz="4" w:space="0" w:color="auto"/>
                          <w:right w:val="single" w:sz="4" w:space="0" w:color="auto"/>
                        </w:tcBorders>
                        <w:shd w:val="clear" w:color="auto" w:fill="auto"/>
                        <w:vAlign w:val="center"/>
                        <w:hideMark/>
                      </w:tcPr>
                      <w:p w:rsidR="00ED2F52" w:rsidRPr="00ED2F52" w:rsidP="00ED2F52" w14:paraId="770AD156"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750DD623"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EDCED55"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6C89B004"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793276FF" w14:textId="77777777">
                        <w:pPr>
                          <w:jc w:val="right"/>
                          <w:rPr>
                            <w:color w:val="000000"/>
                            <w:sz w:val="20"/>
                          </w:rPr>
                        </w:pPr>
                        <w:r w:rsidRPr="00ED2F52">
                          <w:rPr>
                            <w:color w:val="000000"/>
                            <w:sz w:val="20"/>
                          </w:rPr>
                          <w:t> </w:t>
                        </w:r>
                      </w:p>
                    </w:tc>
                  </w:tr>
                  <w:tr w14:paraId="60F5D71E" w14:textId="77777777" w:rsidTr="00ED2F52">
                    <w:tblPrEx>
                      <w:tblW w:w="12800" w:type="dxa"/>
                      <w:tblLayout w:type="fixed"/>
                      <w:tblLook w:val="04A0"/>
                    </w:tblPrEx>
                    <w:trPr>
                      <w:trHeight w:val="52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08046AD3" w14:textId="77777777">
                        <w:pPr>
                          <w:rPr>
                            <w:color w:val="000000"/>
                            <w:sz w:val="20"/>
                          </w:rPr>
                        </w:pPr>
                        <w:r w:rsidRPr="00ED2F52">
                          <w:rPr>
                            <w:color w:val="000000"/>
                            <w:sz w:val="20"/>
                          </w:rPr>
                          <w:t>Initial NOx Performance Test</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2C82DD0C"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3366D845"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0B83B0C7" w14:textId="77777777">
                        <w:pPr>
                          <w:jc w:val="center"/>
                          <w:rPr>
                            <w:color w:val="000000"/>
                            <w:sz w:val="20"/>
                          </w:rPr>
                        </w:pPr>
                        <w:r w:rsidRPr="00ED2F52">
                          <w:rPr>
                            <w:color w:val="000000"/>
                            <w:sz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5621705F"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BE0E18C"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D39AD6C"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8BEE1DA"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1DEB24F7" w14:textId="77777777">
                        <w:pPr>
                          <w:jc w:val="right"/>
                          <w:rPr>
                            <w:color w:val="000000"/>
                            <w:sz w:val="20"/>
                          </w:rPr>
                        </w:pPr>
                        <w:r w:rsidRPr="00ED2F52">
                          <w:rPr>
                            <w:color w:val="000000"/>
                            <w:sz w:val="20"/>
                          </w:rPr>
                          <w:t xml:space="preserve">$0.00 </w:t>
                        </w:r>
                      </w:p>
                    </w:tc>
                  </w:tr>
                  <w:tr w14:paraId="54B33AA0" w14:textId="77777777" w:rsidTr="00ED2F52">
                    <w:tblPrEx>
                      <w:tblW w:w="12800" w:type="dxa"/>
                      <w:tblLayout w:type="fixed"/>
                      <w:tblLook w:val="04A0"/>
                    </w:tblPrEx>
                    <w:trPr>
                      <w:trHeight w:val="26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524A8D5D" w14:textId="77777777">
                        <w:pPr>
                          <w:rPr>
                            <w:color w:val="000000"/>
                            <w:sz w:val="20"/>
                          </w:rPr>
                        </w:pPr>
                        <w:r w:rsidRPr="00ED2F52">
                          <w:rPr>
                            <w:color w:val="000000"/>
                            <w:sz w:val="20"/>
                          </w:rPr>
                          <w:t xml:space="preserve">Repeat NOx Performance Test </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111DFF1B"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46D06BE0"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44C74BA3" w14:textId="77777777">
                        <w:pPr>
                          <w:jc w:val="center"/>
                          <w:rPr>
                            <w:color w:val="000000"/>
                            <w:sz w:val="20"/>
                          </w:rPr>
                        </w:pPr>
                        <w:r w:rsidRPr="00ED2F52">
                          <w:rPr>
                            <w:color w:val="000000"/>
                            <w:sz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2CAD8F32"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195B48FC"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E0B9A87"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7E34029C"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C550526" w14:textId="77777777">
                        <w:pPr>
                          <w:jc w:val="right"/>
                          <w:rPr>
                            <w:color w:val="000000"/>
                            <w:sz w:val="20"/>
                          </w:rPr>
                        </w:pPr>
                        <w:r w:rsidRPr="00ED2F52">
                          <w:rPr>
                            <w:color w:val="000000"/>
                            <w:sz w:val="20"/>
                          </w:rPr>
                          <w:t xml:space="preserve">$0.00 </w:t>
                        </w:r>
                      </w:p>
                    </w:tc>
                  </w:tr>
                  <w:tr w14:paraId="161CBDA6" w14:textId="77777777" w:rsidTr="00ED2F52">
                    <w:tblPrEx>
                      <w:tblW w:w="12800" w:type="dxa"/>
                      <w:tblLayout w:type="fixed"/>
                      <w:tblLook w:val="04A0"/>
                    </w:tblPrEx>
                    <w:trPr>
                      <w:trHeight w:val="57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7ADCF253" w14:textId="77777777">
                        <w:pPr>
                          <w:rPr>
                            <w:i/>
                            <w:iCs/>
                            <w:color w:val="000000"/>
                            <w:sz w:val="20"/>
                          </w:rPr>
                        </w:pPr>
                        <w:r w:rsidRPr="00ED2F52">
                          <w:rPr>
                            <w:i/>
                            <w:iCs/>
                            <w:color w:val="000000"/>
                            <w:sz w:val="20"/>
                          </w:rPr>
                          <w:t xml:space="preserve">New and Existing Sources - Monitoring </w:t>
                        </w:r>
                        <w:r w:rsidRPr="00ED2F52">
                          <w:rPr>
                            <w:color w:val="000000"/>
                            <w:sz w:val="20"/>
                            <w:vertAlign w:val="superscript"/>
                          </w:rPr>
                          <w:t>e</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09495111"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5CB7B6D7" w14:textId="77777777">
                        <w:pPr>
                          <w:jc w:val="center"/>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0EEE42C1" w14:textId="77777777">
                        <w:pPr>
                          <w:jc w:val="center"/>
                          <w:rPr>
                            <w:color w:val="000000"/>
                            <w:sz w:val="20"/>
                          </w:rPr>
                        </w:pPr>
                        <w:r w:rsidRPr="00ED2F52">
                          <w:rPr>
                            <w:color w:val="000000"/>
                            <w:sz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6583A820"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6D5AE71"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4E91DE38"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4D06FAE3"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1FD3A990" w14:textId="77777777">
                        <w:pPr>
                          <w:jc w:val="right"/>
                          <w:rPr>
                            <w:color w:val="000000"/>
                            <w:sz w:val="20"/>
                          </w:rPr>
                        </w:pPr>
                        <w:r w:rsidRPr="00ED2F52">
                          <w:rPr>
                            <w:color w:val="000000"/>
                            <w:sz w:val="20"/>
                          </w:rPr>
                          <w:t> </w:t>
                        </w:r>
                      </w:p>
                    </w:tc>
                  </w:tr>
                  <w:tr w14:paraId="1F1BF971" w14:textId="77777777" w:rsidTr="00ED2F52">
                    <w:tblPrEx>
                      <w:tblW w:w="12800" w:type="dxa"/>
                      <w:tblLayout w:type="fixed"/>
                      <w:tblLook w:val="04A0"/>
                    </w:tblPrEx>
                    <w:trPr>
                      <w:trHeight w:val="58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67A455F4" w14:textId="77777777">
                        <w:pPr>
                          <w:rPr>
                            <w:color w:val="000000"/>
                            <w:sz w:val="20"/>
                          </w:rPr>
                        </w:pPr>
                        <w:r w:rsidRPr="00ED2F52">
                          <w:rPr>
                            <w:color w:val="000000"/>
                            <w:sz w:val="20"/>
                          </w:rPr>
                          <w:t>Daily Calibration Drift Tests - NOx CEMS</w:t>
                        </w:r>
                        <w:r w:rsidRPr="00ED2F52">
                          <w:rPr>
                            <w:color w:val="000000"/>
                            <w:sz w:val="22"/>
                            <w:szCs w:val="22"/>
                            <w:vertAlign w:val="superscript"/>
                          </w:rPr>
                          <w:t>g</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26826AE0"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744AE92A"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78DFEFA2" w14:textId="77777777">
                        <w:pPr>
                          <w:jc w:val="center"/>
                          <w:rPr>
                            <w:color w:val="000000"/>
                            <w:sz w:val="20"/>
                          </w:rPr>
                        </w:pPr>
                        <w:r w:rsidRPr="00ED2F52">
                          <w:rPr>
                            <w:color w:val="000000"/>
                            <w:sz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41F911F6"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B32EACE"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3B668B8C"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680441DD"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65FAA7C" w14:textId="77777777">
                        <w:pPr>
                          <w:jc w:val="right"/>
                          <w:rPr>
                            <w:color w:val="000000"/>
                            <w:sz w:val="20"/>
                          </w:rPr>
                        </w:pPr>
                        <w:r w:rsidRPr="00ED2F52">
                          <w:rPr>
                            <w:color w:val="000000"/>
                            <w:sz w:val="20"/>
                          </w:rPr>
                          <w:t xml:space="preserve">$0.00 </w:t>
                        </w:r>
                      </w:p>
                    </w:tc>
                  </w:tr>
                  <w:tr w14:paraId="6041D899" w14:textId="77777777" w:rsidTr="00ED2F52">
                    <w:tblPrEx>
                      <w:tblW w:w="12800" w:type="dxa"/>
                      <w:tblLayout w:type="fixed"/>
                      <w:tblLook w:val="04A0"/>
                    </w:tblPrEx>
                    <w:trPr>
                      <w:trHeight w:val="52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0F3D25D7" w14:textId="77777777">
                        <w:pPr>
                          <w:rPr>
                            <w:color w:val="000000"/>
                            <w:sz w:val="20"/>
                          </w:rPr>
                        </w:pPr>
                        <w:r w:rsidRPr="00ED2F52">
                          <w:rPr>
                            <w:color w:val="000000"/>
                            <w:sz w:val="20"/>
                          </w:rPr>
                          <w:t>C. Create Information (Included in 4B)</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37E16F04"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5E6CB1FC"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0AF4FFF8" w14:textId="77777777">
                        <w:pPr>
                          <w:jc w:val="right"/>
                          <w:rPr>
                            <w:color w:val="000000"/>
                            <w:sz w:val="20"/>
                          </w:rPr>
                        </w:pPr>
                        <w:r w:rsidRPr="00ED2F52">
                          <w:rPr>
                            <w:color w:val="000000"/>
                            <w:sz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740C8463"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1F3FCC1E"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6D866201"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76AA8AA"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31D5559B" w14:textId="77777777">
                        <w:pPr>
                          <w:jc w:val="right"/>
                          <w:rPr>
                            <w:color w:val="000000"/>
                            <w:sz w:val="20"/>
                          </w:rPr>
                        </w:pPr>
                        <w:r w:rsidRPr="00ED2F52">
                          <w:rPr>
                            <w:color w:val="000000"/>
                            <w:sz w:val="20"/>
                          </w:rPr>
                          <w:t> </w:t>
                        </w:r>
                      </w:p>
                    </w:tc>
                  </w:tr>
                  <w:tr w14:paraId="54887215" w14:textId="77777777" w:rsidTr="00ED2F52">
                    <w:tblPrEx>
                      <w:tblW w:w="12800" w:type="dxa"/>
                      <w:tblLayout w:type="fixed"/>
                      <w:tblLook w:val="04A0"/>
                    </w:tblPrEx>
                    <w:trPr>
                      <w:trHeight w:val="52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591F55C0" w14:textId="77777777">
                        <w:pPr>
                          <w:rPr>
                            <w:color w:val="000000"/>
                            <w:sz w:val="20"/>
                          </w:rPr>
                        </w:pPr>
                        <w:r w:rsidRPr="00ED2F52">
                          <w:rPr>
                            <w:color w:val="000000"/>
                            <w:sz w:val="20"/>
                          </w:rPr>
                          <w:t>D. Gather Existing Information (Included in 4E)</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22297D5F"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2CBB5817"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2A2F3523" w14:textId="77777777">
                        <w:pPr>
                          <w:jc w:val="right"/>
                          <w:rPr>
                            <w:color w:val="000000"/>
                            <w:sz w:val="20"/>
                          </w:rPr>
                        </w:pPr>
                        <w:r w:rsidRPr="00ED2F52">
                          <w:rPr>
                            <w:color w:val="000000"/>
                            <w:sz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70163DD4"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204EDE1C"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0CABA7D3"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3052005A"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4E44719" w14:textId="77777777">
                        <w:pPr>
                          <w:jc w:val="right"/>
                          <w:rPr>
                            <w:color w:val="000000"/>
                            <w:sz w:val="20"/>
                          </w:rPr>
                        </w:pPr>
                        <w:r w:rsidRPr="00ED2F52">
                          <w:rPr>
                            <w:color w:val="000000"/>
                            <w:sz w:val="20"/>
                          </w:rPr>
                          <w:t> </w:t>
                        </w:r>
                      </w:p>
                    </w:tc>
                  </w:tr>
                  <w:tr w14:paraId="738AC0F3" w14:textId="77777777" w:rsidTr="00ED2F52">
                    <w:tblPrEx>
                      <w:tblW w:w="12800" w:type="dxa"/>
                      <w:tblLayout w:type="fixed"/>
                      <w:tblLook w:val="04A0"/>
                    </w:tblPrEx>
                    <w:trPr>
                      <w:trHeight w:val="26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118D6DF7" w14:textId="77777777">
                        <w:pPr>
                          <w:rPr>
                            <w:color w:val="000000"/>
                            <w:sz w:val="20"/>
                          </w:rPr>
                        </w:pPr>
                        <w:r w:rsidRPr="00ED2F52">
                          <w:rPr>
                            <w:color w:val="000000"/>
                            <w:sz w:val="20"/>
                          </w:rPr>
                          <w:t>E. Write Report</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79C06A81" w14:textId="77777777">
                        <w:pPr>
                          <w:jc w:val="right"/>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65C2C588"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7C20D72E" w14:textId="77777777">
                        <w:pPr>
                          <w:jc w:val="right"/>
                          <w:rPr>
                            <w:color w:val="000000"/>
                            <w:sz w:val="20"/>
                          </w:rPr>
                        </w:pPr>
                        <w:r w:rsidRPr="00ED2F52">
                          <w:rPr>
                            <w:color w:val="000000"/>
                            <w:sz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12EC0BAE"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488D161"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0FD52E70"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0633B02"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79DB77AA" w14:textId="77777777">
                        <w:pPr>
                          <w:jc w:val="right"/>
                          <w:rPr>
                            <w:color w:val="000000"/>
                            <w:sz w:val="20"/>
                          </w:rPr>
                        </w:pPr>
                        <w:r w:rsidRPr="00ED2F52">
                          <w:rPr>
                            <w:color w:val="000000"/>
                            <w:sz w:val="20"/>
                          </w:rPr>
                          <w:t> </w:t>
                        </w:r>
                      </w:p>
                    </w:tc>
                  </w:tr>
                  <w:tr w14:paraId="5786C20E" w14:textId="77777777" w:rsidTr="00ED2F52">
                    <w:tblPrEx>
                      <w:tblW w:w="12800" w:type="dxa"/>
                      <w:tblLayout w:type="fixed"/>
                      <w:tblLook w:val="04A0"/>
                    </w:tblPrEx>
                    <w:trPr>
                      <w:trHeight w:val="26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2D190CCF" w14:textId="77777777">
                        <w:pPr>
                          <w:rPr>
                            <w:i/>
                            <w:iCs/>
                            <w:color w:val="000000"/>
                            <w:sz w:val="20"/>
                            <w:u w:val="single"/>
                          </w:rPr>
                        </w:pPr>
                        <w:r w:rsidRPr="00ED2F52">
                          <w:rPr>
                            <w:i/>
                            <w:iCs/>
                            <w:color w:val="000000"/>
                            <w:sz w:val="20"/>
                            <w:u w:val="single"/>
                          </w:rPr>
                          <w:t>New Sources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350D35A5"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56CFC99D" w14:textId="77777777">
                        <w:pPr>
                          <w:jc w:val="center"/>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7C768198" w14:textId="77777777">
                        <w:pPr>
                          <w:jc w:val="center"/>
                          <w:rPr>
                            <w:color w:val="000000"/>
                            <w:sz w:val="20"/>
                          </w:rPr>
                        </w:pPr>
                        <w:r w:rsidRPr="00ED2F52">
                          <w:rPr>
                            <w:color w:val="000000"/>
                            <w:sz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6956A432"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BE5F54B"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00002401"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071E11A"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4BD578C4" w14:textId="77777777">
                        <w:pPr>
                          <w:jc w:val="right"/>
                          <w:rPr>
                            <w:color w:val="000000"/>
                            <w:sz w:val="20"/>
                          </w:rPr>
                        </w:pPr>
                        <w:r w:rsidRPr="00ED2F52">
                          <w:rPr>
                            <w:color w:val="000000"/>
                            <w:sz w:val="20"/>
                          </w:rPr>
                          <w:t> </w:t>
                        </w:r>
                      </w:p>
                    </w:tc>
                  </w:tr>
                  <w:tr w14:paraId="16C6F01F" w14:textId="77777777" w:rsidTr="00ED2F52">
                    <w:tblPrEx>
                      <w:tblW w:w="12800" w:type="dxa"/>
                      <w:tblLayout w:type="fixed"/>
                      <w:tblLook w:val="04A0"/>
                    </w:tblPrEx>
                    <w:trPr>
                      <w:trHeight w:val="52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67CF7E88" w14:textId="77777777">
                        <w:pPr>
                          <w:rPr>
                            <w:color w:val="000000"/>
                            <w:sz w:val="20"/>
                          </w:rPr>
                        </w:pPr>
                        <w:r w:rsidRPr="00ED2F52">
                          <w:rPr>
                            <w:color w:val="000000"/>
                            <w:sz w:val="20"/>
                          </w:rPr>
                          <w:t>Notification of Demonstration of CEMS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1E361361"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1B924044"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54B823E1" w14:textId="77777777">
                        <w:pPr>
                          <w:jc w:val="center"/>
                          <w:rPr>
                            <w:color w:val="000000"/>
                            <w:sz w:val="20"/>
                          </w:rPr>
                        </w:pPr>
                        <w:r w:rsidRPr="00ED2F52">
                          <w:rPr>
                            <w:color w:val="000000"/>
                            <w:sz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37454AE7"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7857436D"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46C29FB0"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3374FCC7"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A122FF7" w14:textId="77777777">
                        <w:pPr>
                          <w:jc w:val="right"/>
                          <w:rPr>
                            <w:color w:val="000000"/>
                            <w:sz w:val="20"/>
                          </w:rPr>
                        </w:pPr>
                        <w:r w:rsidRPr="00ED2F52">
                          <w:rPr>
                            <w:color w:val="000000"/>
                            <w:sz w:val="20"/>
                          </w:rPr>
                          <w:t xml:space="preserve">$0.00 </w:t>
                        </w:r>
                      </w:p>
                    </w:tc>
                  </w:tr>
                  <w:tr w14:paraId="45A530C7" w14:textId="77777777" w:rsidTr="00ED2F52">
                    <w:tblPrEx>
                      <w:tblW w:w="12800" w:type="dxa"/>
                      <w:tblLayout w:type="fixed"/>
                      <w:tblLook w:val="04A0"/>
                    </w:tblPrEx>
                    <w:trPr>
                      <w:trHeight w:val="553"/>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68F6A37C" w14:textId="77777777">
                        <w:pPr>
                          <w:rPr>
                            <w:color w:val="000000"/>
                            <w:sz w:val="20"/>
                          </w:rPr>
                        </w:pPr>
                        <w:r w:rsidRPr="00ED2F52">
                          <w:rPr>
                            <w:color w:val="000000"/>
                            <w:sz w:val="20"/>
                          </w:rPr>
                          <w:t>Notification of Initial Performance Test</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58EABE29"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408E1D3C"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270467AE" w14:textId="77777777">
                        <w:pPr>
                          <w:jc w:val="center"/>
                          <w:rPr>
                            <w:color w:val="000000"/>
                            <w:sz w:val="20"/>
                          </w:rPr>
                        </w:pPr>
                        <w:r w:rsidRPr="00ED2F52">
                          <w:rPr>
                            <w:color w:val="000000"/>
                            <w:sz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6F0A52BA"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7A14A593"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0520E9EC"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ABABD67"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4900FAE0" w14:textId="77777777">
                        <w:pPr>
                          <w:jc w:val="right"/>
                          <w:rPr>
                            <w:color w:val="000000"/>
                            <w:sz w:val="20"/>
                          </w:rPr>
                        </w:pPr>
                        <w:r w:rsidRPr="00ED2F52">
                          <w:rPr>
                            <w:color w:val="000000"/>
                            <w:sz w:val="20"/>
                          </w:rPr>
                          <w:t xml:space="preserve">$0.00 </w:t>
                        </w:r>
                      </w:p>
                    </w:tc>
                  </w:tr>
                  <w:tr w14:paraId="4FF0914C" w14:textId="77777777" w:rsidTr="00ED2F52">
                    <w:tblPrEx>
                      <w:tblW w:w="12800" w:type="dxa"/>
                      <w:tblLayout w:type="fixed"/>
                      <w:tblLook w:val="04A0"/>
                    </w:tblPrEx>
                    <w:trPr>
                      <w:trHeight w:val="26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6D4D0E1E" w14:textId="77777777">
                        <w:pPr>
                          <w:rPr>
                            <w:color w:val="000000"/>
                            <w:sz w:val="20"/>
                          </w:rPr>
                        </w:pPr>
                        <w:r w:rsidRPr="00ED2F52">
                          <w:rPr>
                            <w:color w:val="000000"/>
                            <w:sz w:val="20"/>
                          </w:rPr>
                          <w:t>Report of Performance Tests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40238E35"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2F136417"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15F3A238" w14:textId="77777777">
                        <w:pPr>
                          <w:jc w:val="center"/>
                          <w:rPr>
                            <w:color w:val="000000"/>
                            <w:sz w:val="20"/>
                          </w:rPr>
                        </w:pPr>
                        <w:r w:rsidRPr="00ED2F52">
                          <w:rPr>
                            <w:color w:val="000000"/>
                            <w:sz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3EA30C58"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101D692F"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358E20D"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13E4EC7C"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05109C4" w14:textId="77777777">
                        <w:pPr>
                          <w:jc w:val="right"/>
                          <w:rPr>
                            <w:color w:val="000000"/>
                            <w:sz w:val="20"/>
                          </w:rPr>
                        </w:pPr>
                        <w:r w:rsidRPr="00ED2F52">
                          <w:rPr>
                            <w:color w:val="000000"/>
                            <w:sz w:val="20"/>
                          </w:rPr>
                          <w:t xml:space="preserve">$0.00 </w:t>
                        </w:r>
                      </w:p>
                    </w:tc>
                  </w:tr>
                  <w:tr w14:paraId="7BFFC8EC" w14:textId="77777777" w:rsidTr="00B945B1">
                    <w:tblPrEx>
                      <w:tblW w:w="12800" w:type="dxa"/>
                      <w:tblLayout w:type="fixed"/>
                      <w:tblLook w:val="04A0"/>
                    </w:tblPrEx>
                    <w:trPr>
                      <w:trHeight w:val="1282"/>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5B02FC6E" w14:textId="77777777">
                        <w:pPr>
                          <w:rPr>
                            <w:color w:val="000000"/>
                            <w:sz w:val="20"/>
                          </w:rPr>
                        </w:pPr>
                        <w:r w:rsidRPr="00ED2F52">
                          <w:rPr>
                            <w:color w:val="000000"/>
                            <w:sz w:val="20"/>
                          </w:rPr>
                          <w:t>Submit Annual Electronic Reports via CEDRI or analogous electronic reporting to EPA</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1C9AF06A"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7F05CDEC"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1CB9D883" w14:textId="77777777">
                        <w:pPr>
                          <w:jc w:val="center"/>
                          <w:rPr>
                            <w:color w:val="000000"/>
                            <w:sz w:val="20"/>
                          </w:rPr>
                        </w:pPr>
                        <w:r w:rsidRPr="00ED2F52">
                          <w:rPr>
                            <w:color w:val="000000"/>
                            <w:sz w:val="20"/>
                          </w:rPr>
                          <w:t>48</w:t>
                        </w:r>
                      </w:p>
                    </w:tc>
                    <w:tc>
                      <w:tcPr>
                        <w:tcW w:w="13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20B3E425"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0442F04"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42CC828C"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3AB90363"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66C3AE3A" w14:textId="77777777">
                        <w:pPr>
                          <w:jc w:val="right"/>
                          <w:rPr>
                            <w:color w:val="000000"/>
                            <w:sz w:val="20"/>
                          </w:rPr>
                        </w:pPr>
                        <w:r w:rsidRPr="00ED2F52">
                          <w:rPr>
                            <w:color w:val="000000"/>
                            <w:sz w:val="20"/>
                          </w:rPr>
                          <w:t xml:space="preserve">$0 </w:t>
                        </w:r>
                      </w:p>
                    </w:tc>
                  </w:tr>
                  <w:tr w14:paraId="10D1AEDC" w14:textId="77777777" w:rsidTr="00ED2F52">
                    <w:tblPrEx>
                      <w:tblW w:w="12800" w:type="dxa"/>
                      <w:tblLayout w:type="fixed"/>
                      <w:tblLook w:val="04A0"/>
                    </w:tblPrEx>
                    <w:trPr>
                      <w:trHeight w:val="26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1ECC0E7B" w14:textId="77777777">
                        <w:pPr>
                          <w:rPr>
                            <w:i/>
                            <w:iCs/>
                            <w:color w:val="000000"/>
                            <w:sz w:val="20"/>
                            <w:u w:val="single"/>
                          </w:rPr>
                        </w:pPr>
                        <w:r w:rsidRPr="00ED2F52">
                          <w:rPr>
                            <w:i/>
                            <w:iCs/>
                            <w:color w:val="000000"/>
                            <w:sz w:val="20"/>
                            <w:u w:val="single"/>
                          </w:rPr>
                          <w:t>Existing Sources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15544B32" w14:textId="77777777">
                        <w:pPr>
                          <w:jc w:val="right"/>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5DD56DB7"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5FDEFA4B" w14:textId="77777777">
                        <w:pPr>
                          <w:jc w:val="right"/>
                          <w:rPr>
                            <w:color w:val="000000"/>
                            <w:sz w:val="20"/>
                          </w:rPr>
                        </w:pPr>
                        <w:r w:rsidRPr="00ED2F52">
                          <w:rPr>
                            <w:color w:val="000000"/>
                            <w:sz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0834EFE8"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71E456E5"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FE67132"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6917B7C"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363B023D" w14:textId="77777777">
                        <w:pPr>
                          <w:jc w:val="right"/>
                          <w:rPr>
                            <w:color w:val="000000"/>
                            <w:sz w:val="20"/>
                          </w:rPr>
                        </w:pPr>
                        <w:r w:rsidRPr="00ED2F52">
                          <w:rPr>
                            <w:color w:val="000000"/>
                            <w:sz w:val="20"/>
                          </w:rPr>
                          <w:t> </w:t>
                        </w:r>
                      </w:p>
                    </w:tc>
                  </w:tr>
                  <w:tr w14:paraId="24485486" w14:textId="77777777" w:rsidTr="00ED2F52">
                    <w:tblPrEx>
                      <w:tblW w:w="12800" w:type="dxa"/>
                      <w:tblLayout w:type="fixed"/>
                      <w:tblLook w:val="04A0"/>
                    </w:tblPrEx>
                    <w:trPr>
                      <w:trHeight w:val="52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572DF973" w14:textId="77777777">
                        <w:pPr>
                          <w:rPr>
                            <w:color w:val="000000"/>
                            <w:sz w:val="20"/>
                          </w:rPr>
                        </w:pPr>
                        <w:r w:rsidRPr="00ED2F52">
                          <w:rPr>
                            <w:color w:val="000000"/>
                            <w:sz w:val="20"/>
                          </w:rPr>
                          <w:t>Notification of Demonstration of CEMS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19C78E37"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17A79ADE"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13ECE3AF" w14:textId="77777777">
                        <w:pPr>
                          <w:jc w:val="center"/>
                          <w:rPr>
                            <w:color w:val="000000"/>
                            <w:sz w:val="20"/>
                          </w:rPr>
                        </w:pPr>
                        <w:r w:rsidRPr="00ED2F52">
                          <w:rPr>
                            <w:color w:val="000000"/>
                            <w:sz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01E76A6C"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25EA6D67"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D73DCCB"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0EA1017"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3E7832F9" w14:textId="77777777">
                        <w:pPr>
                          <w:jc w:val="right"/>
                          <w:rPr>
                            <w:color w:val="000000"/>
                            <w:sz w:val="20"/>
                          </w:rPr>
                        </w:pPr>
                        <w:r w:rsidRPr="00ED2F52">
                          <w:rPr>
                            <w:color w:val="000000"/>
                            <w:sz w:val="20"/>
                          </w:rPr>
                          <w:t xml:space="preserve">$0.00 </w:t>
                        </w:r>
                      </w:p>
                    </w:tc>
                  </w:tr>
                  <w:tr w14:paraId="7B7D0975" w14:textId="77777777" w:rsidTr="00ED2F52">
                    <w:tblPrEx>
                      <w:tblW w:w="12800" w:type="dxa"/>
                      <w:tblLayout w:type="fixed"/>
                      <w:tblLook w:val="04A0"/>
                    </w:tblPrEx>
                    <w:trPr>
                      <w:trHeight w:val="52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05DF58E6" w14:textId="77777777">
                        <w:pPr>
                          <w:rPr>
                            <w:color w:val="000000"/>
                            <w:sz w:val="20"/>
                          </w:rPr>
                        </w:pPr>
                        <w:r w:rsidRPr="00ED2F52">
                          <w:rPr>
                            <w:color w:val="000000"/>
                            <w:sz w:val="20"/>
                          </w:rPr>
                          <w:t>Notification of Initial Performance Test</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64621637"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21FB31B2"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3CAE3ADA" w14:textId="77777777">
                        <w:pPr>
                          <w:jc w:val="center"/>
                          <w:rPr>
                            <w:color w:val="000000"/>
                            <w:sz w:val="20"/>
                          </w:rPr>
                        </w:pPr>
                        <w:r w:rsidRPr="00ED2F52">
                          <w:rPr>
                            <w:color w:val="000000"/>
                            <w:sz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03149816"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481B4421"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9119269"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122AB09F"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AC67B83" w14:textId="77777777">
                        <w:pPr>
                          <w:jc w:val="right"/>
                          <w:rPr>
                            <w:color w:val="000000"/>
                            <w:sz w:val="20"/>
                          </w:rPr>
                        </w:pPr>
                        <w:r w:rsidRPr="00ED2F52">
                          <w:rPr>
                            <w:color w:val="000000"/>
                            <w:sz w:val="20"/>
                          </w:rPr>
                          <w:t xml:space="preserve">$0.00 </w:t>
                        </w:r>
                      </w:p>
                    </w:tc>
                  </w:tr>
                  <w:tr w14:paraId="297A9A4E" w14:textId="77777777" w:rsidTr="00ED2F52">
                    <w:tblPrEx>
                      <w:tblW w:w="12800" w:type="dxa"/>
                      <w:tblLayout w:type="fixed"/>
                      <w:tblLook w:val="04A0"/>
                    </w:tblPrEx>
                    <w:trPr>
                      <w:trHeight w:val="52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06E0C88A" w14:textId="77777777">
                        <w:pPr>
                          <w:rPr>
                            <w:color w:val="000000"/>
                            <w:sz w:val="20"/>
                          </w:rPr>
                        </w:pPr>
                        <w:r w:rsidRPr="00ED2F52">
                          <w:rPr>
                            <w:color w:val="000000"/>
                            <w:sz w:val="20"/>
                          </w:rPr>
                          <w:t>Report of Initial Performance Test Results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787A137F"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7E4AE645"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1A70DE14" w14:textId="77777777">
                        <w:pPr>
                          <w:jc w:val="center"/>
                          <w:rPr>
                            <w:color w:val="000000"/>
                            <w:sz w:val="20"/>
                          </w:rPr>
                        </w:pPr>
                        <w:r w:rsidRPr="00ED2F52">
                          <w:rPr>
                            <w:color w:val="000000"/>
                            <w:sz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7704663A"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7ED2AB6A"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7306F485"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6CDF8B9F"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6FC55F6" w14:textId="77777777">
                        <w:pPr>
                          <w:jc w:val="right"/>
                          <w:rPr>
                            <w:color w:val="000000"/>
                            <w:sz w:val="20"/>
                          </w:rPr>
                        </w:pPr>
                        <w:r w:rsidRPr="00ED2F52">
                          <w:rPr>
                            <w:color w:val="000000"/>
                            <w:sz w:val="20"/>
                          </w:rPr>
                          <w:t xml:space="preserve">$0.00 </w:t>
                        </w:r>
                      </w:p>
                    </w:tc>
                  </w:tr>
                  <w:tr w14:paraId="4A7BC3E5" w14:textId="77777777" w:rsidTr="00A83512">
                    <w:tblPrEx>
                      <w:tblW w:w="12800" w:type="dxa"/>
                      <w:tblLayout w:type="fixed"/>
                      <w:tblLook w:val="04A0"/>
                    </w:tblPrEx>
                    <w:trPr>
                      <w:trHeight w:val="1066"/>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5F7E774E" w14:textId="77777777">
                        <w:pPr>
                          <w:rPr>
                            <w:color w:val="000000"/>
                            <w:sz w:val="20"/>
                          </w:rPr>
                        </w:pPr>
                        <w:r w:rsidRPr="00ED2F52">
                          <w:rPr>
                            <w:color w:val="000000"/>
                            <w:sz w:val="20"/>
                          </w:rPr>
                          <w:t>Submit Annual Electronic Reports via CEDRI or analogous electronic reporting to EPA</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11B3C46E"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38836250"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235F734D" w14:textId="77777777">
                        <w:pPr>
                          <w:jc w:val="center"/>
                          <w:rPr>
                            <w:color w:val="000000"/>
                            <w:sz w:val="20"/>
                          </w:rPr>
                        </w:pPr>
                        <w:r w:rsidRPr="00ED2F52">
                          <w:rPr>
                            <w:color w:val="000000"/>
                            <w:sz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1FD71B74"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1A44F9C0"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632DEE99"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74275818"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46B7BDE" w14:textId="77777777">
                        <w:pPr>
                          <w:jc w:val="right"/>
                          <w:rPr>
                            <w:color w:val="000000"/>
                            <w:sz w:val="20"/>
                          </w:rPr>
                        </w:pPr>
                        <w:r w:rsidRPr="00ED2F52">
                          <w:rPr>
                            <w:color w:val="000000"/>
                            <w:sz w:val="20"/>
                          </w:rPr>
                          <w:t xml:space="preserve">$0.00 </w:t>
                        </w:r>
                      </w:p>
                    </w:tc>
                  </w:tr>
                  <w:tr w14:paraId="34500986" w14:textId="77777777" w:rsidTr="00ED2F52">
                    <w:tblPrEx>
                      <w:tblW w:w="12800" w:type="dxa"/>
                      <w:tblLayout w:type="fixed"/>
                      <w:tblLook w:val="04A0"/>
                    </w:tblPrEx>
                    <w:trPr>
                      <w:trHeight w:val="60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091716A4" w14:textId="77777777">
                        <w:pPr>
                          <w:rPr>
                            <w:b/>
                            <w:bCs/>
                            <w:i/>
                            <w:iCs/>
                            <w:color w:val="000000"/>
                            <w:sz w:val="20"/>
                          </w:rPr>
                        </w:pPr>
                        <w:r w:rsidRPr="00ED2F52">
                          <w:rPr>
                            <w:b/>
                            <w:bCs/>
                            <w:i/>
                            <w:iCs/>
                            <w:color w:val="000000"/>
                            <w:sz w:val="20"/>
                          </w:rPr>
                          <w:t>Subtotal for Reporting Requirements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55CC3B03" w14:textId="77777777">
                        <w:pPr>
                          <w:jc w:val="right"/>
                          <w:rPr>
                            <w:b/>
                            <w:bCs/>
                            <w:i/>
                            <w:iCs/>
                            <w:color w:val="000000"/>
                            <w:sz w:val="20"/>
                          </w:rPr>
                        </w:pPr>
                        <w:r w:rsidRPr="00ED2F52">
                          <w:rPr>
                            <w:b/>
                            <w:bCs/>
                            <w:i/>
                            <w:i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1700CD17" w14:textId="77777777">
                        <w:pPr>
                          <w:jc w:val="right"/>
                          <w:rPr>
                            <w:b/>
                            <w:bCs/>
                            <w:i/>
                            <w:iCs/>
                            <w:sz w:val="20"/>
                          </w:rPr>
                        </w:pPr>
                        <w:r w:rsidRPr="00ED2F52">
                          <w:rPr>
                            <w:b/>
                            <w:bCs/>
                            <w:i/>
                            <w:i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14C8AD85" w14:textId="77777777">
                        <w:pPr>
                          <w:jc w:val="right"/>
                          <w:rPr>
                            <w:b/>
                            <w:bCs/>
                            <w:i/>
                            <w:iCs/>
                            <w:color w:val="000000"/>
                            <w:sz w:val="20"/>
                          </w:rPr>
                        </w:pPr>
                        <w:r w:rsidRPr="00ED2F52">
                          <w:rPr>
                            <w:b/>
                            <w:bCs/>
                            <w:i/>
                            <w:iCs/>
                            <w:color w:val="000000"/>
                            <w:sz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71B589B3" w14:textId="77777777">
                        <w:pPr>
                          <w:jc w:val="right"/>
                          <w:rPr>
                            <w:b/>
                            <w:bCs/>
                            <w:i/>
                            <w:iCs/>
                            <w:sz w:val="20"/>
                          </w:rPr>
                        </w:pPr>
                        <w:r w:rsidRPr="00ED2F52">
                          <w:rPr>
                            <w:b/>
                            <w:bCs/>
                            <w:i/>
                            <w:iCs/>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C7095AE" w14:textId="77777777">
                        <w:pPr>
                          <w:jc w:val="center"/>
                          <w:rPr>
                            <w:b/>
                            <w:bCs/>
                            <w:i/>
                            <w:iCs/>
                            <w:color w:val="000000"/>
                            <w:sz w:val="20"/>
                          </w:rPr>
                        </w:pPr>
                        <w:r w:rsidRPr="00ED2F52">
                          <w:rPr>
                            <w:b/>
                            <w:bCs/>
                            <w:i/>
                            <w:iCs/>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662B2593" w14:textId="77777777">
                        <w:pPr>
                          <w:jc w:val="center"/>
                          <w:rPr>
                            <w:b/>
                            <w:bCs/>
                            <w:i/>
                            <w:iCs/>
                            <w:color w:val="000000"/>
                            <w:sz w:val="20"/>
                          </w:rPr>
                        </w:pPr>
                        <w:r w:rsidRPr="00ED2F52">
                          <w:rPr>
                            <w:b/>
                            <w:bCs/>
                            <w:i/>
                            <w:iCs/>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04D71CA" w14:textId="77777777">
                        <w:pPr>
                          <w:jc w:val="center"/>
                          <w:rPr>
                            <w:b/>
                            <w:bCs/>
                            <w:i/>
                            <w:iCs/>
                            <w:color w:val="000000"/>
                            <w:sz w:val="20"/>
                          </w:rPr>
                        </w:pPr>
                        <w:r w:rsidRPr="00ED2F52">
                          <w:rPr>
                            <w:b/>
                            <w:bCs/>
                            <w:i/>
                            <w:iCs/>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6130FC0" w14:textId="77777777">
                        <w:pPr>
                          <w:jc w:val="right"/>
                          <w:rPr>
                            <w:b/>
                            <w:bCs/>
                            <w:i/>
                            <w:iCs/>
                            <w:color w:val="000000"/>
                            <w:sz w:val="20"/>
                          </w:rPr>
                        </w:pPr>
                        <w:r w:rsidRPr="00ED2F52">
                          <w:rPr>
                            <w:b/>
                            <w:bCs/>
                            <w:i/>
                            <w:iCs/>
                            <w:color w:val="000000"/>
                            <w:sz w:val="20"/>
                          </w:rPr>
                          <w:t xml:space="preserve">$0 </w:t>
                        </w:r>
                      </w:p>
                    </w:tc>
                  </w:tr>
                  <w:tr w14:paraId="46832E07" w14:textId="77777777" w:rsidTr="00ED2F52">
                    <w:tblPrEx>
                      <w:tblW w:w="12800" w:type="dxa"/>
                      <w:tblLayout w:type="fixed"/>
                      <w:tblLook w:val="04A0"/>
                    </w:tblPrEx>
                    <w:trPr>
                      <w:trHeight w:val="52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7D8A2C2C" w14:textId="77777777">
                        <w:pPr>
                          <w:rPr>
                            <w:color w:val="000000"/>
                            <w:sz w:val="20"/>
                          </w:rPr>
                        </w:pPr>
                        <w:r w:rsidRPr="00ED2F52">
                          <w:rPr>
                            <w:color w:val="000000"/>
                            <w:sz w:val="20"/>
                          </w:rPr>
                          <w:t>5. RECORDKEEPING REQUIREMENTS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38CD93AA" w14:textId="77777777">
                        <w:pPr>
                          <w:jc w:val="right"/>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41A6A804"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31887154" w14:textId="77777777">
                        <w:pPr>
                          <w:jc w:val="right"/>
                          <w:rPr>
                            <w:color w:val="000000"/>
                            <w:sz w:val="20"/>
                          </w:rPr>
                        </w:pPr>
                        <w:r w:rsidRPr="00ED2F52">
                          <w:rPr>
                            <w:color w:val="000000"/>
                            <w:sz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5A706F1E"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2663B64E"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A559119"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1FAC3FDB"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E1A6AE2" w14:textId="77777777">
                        <w:pPr>
                          <w:jc w:val="right"/>
                          <w:rPr>
                            <w:color w:val="000000"/>
                            <w:sz w:val="20"/>
                          </w:rPr>
                        </w:pPr>
                        <w:r w:rsidRPr="00ED2F52">
                          <w:rPr>
                            <w:color w:val="000000"/>
                            <w:sz w:val="20"/>
                          </w:rPr>
                          <w:t> </w:t>
                        </w:r>
                      </w:p>
                    </w:tc>
                  </w:tr>
                  <w:tr w14:paraId="2DA989B6" w14:textId="77777777" w:rsidTr="00ED2F52">
                    <w:tblPrEx>
                      <w:tblW w:w="12800" w:type="dxa"/>
                      <w:tblLayout w:type="fixed"/>
                      <w:tblLook w:val="04A0"/>
                    </w:tblPrEx>
                    <w:trPr>
                      <w:trHeight w:val="52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318998C9" w14:textId="77777777">
                        <w:pPr>
                          <w:rPr>
                            <w:color w:val="000000"/>
                            <w:sz w:val="20"/>
                          </w:rPr>
                        </w:pPr>
                        <w:r w:rsidRPr="00ED2F52">
                          <w:rPr>
                            <w:color w:val="000000"/>
                            <w:sz w:val="20"/>
                          </w:rPr>
                          <w:t>A. Familiarize with regulatory requirement</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06B7337C"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3D3ED511"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2E80CFC8" w14:textId="77777777">
                        <w:pPr>
                          <w:jc w:val="right"/>
                          <w:rPr>
                            <w:color w:val="000000"/>
                            <w:sz w:val="20"/>
                          </w:rPr>
                        </w:pPr>
                        <w:r w:rsidRPr="00ED2F52">
                          <w:rPr>
                            <w:color w:val="000000"/>
                            <w:sz w:val="20"/>
                          </w:rPr>
                          <w:t> </w:t>
                        </w:r>
                      </w:p>
                    </w:tc>
                    <w:tc>
                      <w:tcPr>
                        <w:tcW w:w="1300" w:type="dxa"/>
                        <w:tcBorders>
                          <w:top w:val="nil"/>
                          <w:left w:val="nil"/>
                          <w:bottom w:val="single" w:sz="4" w:space="0" w:color="auto"/>
                          <w:right w:val="single" w:sz="4" w:space="0" w:color="auto"/>
                        </w:tcBorders>
                        <w:shd w:val="clear" w:color="auto" w:fill="auto"/>
                        <w:vAlign w:val="center"/>
                        <w:hideMark/>
                      </w:tcPr>
                      <w:p w:rsidR="00ED2F52" w:rsidRPr="00ED2F52" w:rsidP="00ED2F52" w14:paraId="1EB006FF"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62092838"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1458E668"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318BD323"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C2FB7C3" w14:textId="77777777">
                        <w:pPr>
                          <w:jc w:val="right"/>
                          <w:rPr>
                            <w:color w:val="000000"/>
                            <w:sz w:val="20"/>
                          </w:rPr>
                        </w:pPr>
                        <w:r w:rsidRPr="00ED2F52">
                          <w:rPr>
                            <w:color w:val="000000"/>
                            <w:sz w:val="20"/>
                          </w:rPr>
                          <w:t> </w:t>
                        </w:r>
                      </w:p>
                    </w:tc>
                  </w:tr>
                  <w:tr w14:paraId="7D25A9B0" w14:textId="77777777" w:rsidTr="00ED2F52">
                    <w:tblPrEx>
                      <w:tblW w:w="12800" w:type="dxa"/>
                      <w:tblLayout w:type="fixed"/>
                      <w:tblLook w:val="04A0"/>
                    </w:tblPrEx>
                    <w:trPr>
                      <w:trHeight w:val="26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5C14C4BC" w14:textId="77777777">
                        <w:pPr>
                          <w:rPr>
                            <w:color w:val="000000"/>
                            <w:sz w:val="20"/>
                          </w:rPr>
                        </w:pPr>
                        <w:r w:rsidRPr="00ED2F52">
                          <w:rPr>
                            <w:color w:val="000000"/>
                            <w:sz w:val="20"/>
                          </w:rPr>
                          <w:t xml:space="preserve">B. Plan Activities </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23CC544A"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70CA5540"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1D356533" w14:textId="77777777">
                        <w:pPr>
                          <w:jc w:val="right"/>
                          <w:rPr>
                            <w:color w:val="000000"/>
                            <w:sz w:val="20"/>
                          </w:rPr>
                        </w:pPr>
                        <w:r w:rsidRPr="00ED2F52">
                          <w:rPr>
                            <w:color w:val="000000"/>
                            <w:sz w:val="20"/>
                          </w:rPr>
                          <w:t> </w:t>
                        </w:r>
                      </w:p>
                    </w:tc>
                    <w:tc>
                      <w:tcPr>
                        <w:tcW w:w="1300" w:type="dxa"/>
                        <w:tcBorders>
                          <w:top w:val="nil"/>
                          <w:left w:val="nil"/>
                          <w:bottom w:val="single" w:sz="4" w:space="0" w:color="auto"/>
                          <w:right w:val="single" w:sz="4" w:space="0" w:color="auto"/>
                        </w:tcBorders>
                        <w:shd w:val="clear" w:color="auto" w:fill="auto"/>
                        <w:vAlign w:val="center"/>
                        <w:hideMark/>
                      </w:tcPr>
                      <w:p w:rsidR="00ED2F52" w:rsidRPr="00ED2F52" w:rsidP="00ED2F52" w14:paraId="24780D33"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2C9F35CB"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72DF8589"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412BBFB"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DC22C2D" w14:textId="77777777">
                        <w:pPr>
                          <w:jc w:val="right"/>
                          <w:rPr>
                            <w:color w:val="000000"/>
                            <w:sz w:val="20"/>
                          </w:rPr>
                        </w:pPr>
                        <w:r w:rsidRPr="00ED2F52">
                          <w:rPr>
                            <w:color w:val="000000"/>
                            <w:sz w:val="20"/>
                          </w:rPr>
                          <w:t> </w:t>
                        </w:r>
                      </w:p>
                    </w:tc>
                  </w:tr>
                  <w:tr w14:paraId="34273108" w14:textId="77777777" w:rsidTr="00ED2F52">
                    <w:tblPrEx>
                      <w:tblW w:w="12800" w:type="dxa"/>
                      <w:tblLayout w:type="fixed"/>
                      <w:tblLook w:val="04A0"/>
                    </w:tblPrEx>
                    <w:trPr>
                      <w:trHeight w:val="26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28EBC1FF" w14:textId="77777777">
                        <w:pPr>
                          <w:rPr>
                            <w:color w:val="000000"/>
                            <w:sz w:val="20"/>
                          </w:rPr>
                        </w:pPr>
                        <w:r w:rsidRPr="00ED2F52">
                          <w:rPr>
                            <w:color w:val="000000"/>
                            <w:sz w:val="20"/>
                          </w:rPr>
                          <w:t xml:space="preserve">C. Implement Activities </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777E0D41"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39CF6A9A"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53976AD" w14:textId="77777777">
                        <w:pPr>
                          <w:jc w:val="right"/>
                          <w:rPr>
                            <w:color w:val="000000"/>
                            <w:sz w:val="20"/>
                          </w:rPr>
                        </w:pPr>
                        <w:r w:rsidRPr="00ED2F52">
                          <w:rPr>
                            <w:color w:val="000000"/>
                            <w:sz w:val="20"/>
                          </w:rPr>
                          <w:t> </w:t>
                        </w:r>
                      </w:p>
                    </w:tc>
                    <w:tc>
                      <w:tcPr>
                        <w:tcW w:w="1300" w:type="dxa"/>
                        <w:tcBorders>
                          <w:top w:val="nil"/>
                          <w:left w:val="nil"/>
                          <w:bottom w:val="single" w:sz="4" w:space="0" w:color="auto"/>
                          <w:right w:val="single" w:sz="4" w:space="0" w:color="auto"/>
                        </w:tcBorders>
                        <w:shd w:val="clear" w:color="auto" w:fill="auto"/>
                        <w:vAlign w:val="center"/>
                        <w:hideMark/>
                      </w:tcPr>
                      <w:p w:rsidR="00ED2F52" w:rsidRPr="00ED2F52" w:rsidP="00ED2F52" w14:paraId="688AB7CB"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2CB9C4A2"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6DB9452E"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779FD6BD"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49FE198E" w14:textId="77777777">
                        <w:pPr>
                          <w:jc w:val="right"/>
                          <w:rPr>
                            <w:color w:val="000000"/>
                            <w:sz w:val="20"/>
                          </w:rPr>
                        </w:pPr>
                        <w:r w:rsidRPr="00ED2F52">
                          <w:rPr>
                            <w:color w:val="000000"/>
                            <w:sz w:val="20"/>
                          </w:rPr>
                          <w:t> </w:t>
                        </w:r>
                      </w:p>
                    </w:tc>
                  </w:tr>
                  <w:tr w14:paraId="2EA90C1A" w14:textId="77777777" w:rsidTr="00ED2F52">
                    <w:tblPrEx>
                      <w:tblW w:w="12800" w:type="dxa"/>
                      <w:tblLayout w:type="fixed"/>
                      <w:tblLook w:val="04A0"/>
                    </w:tblPrEx>
                    <w:trPr>
                      <w:trHeight w:val="26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5E90CE94" w14:textId="77777777">
                        <w:pPr>
                          <w:rPr>
                            <w:color w:val="000000"/>
                            <w:sz w:val="20"/>
                          </w:rPr>
                        </w:pPr>
                        <w:r w:rsidRPr="00ED2F52">
                          <w:rPr>
                            <w:color w:val="000000"/>
                            <w:sz w:val="20"/>
                          </w:rPr>
                          <w:t xml:space="preserve">D. Record Data </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7451F953" w14:textId="77777777">
                        <w:pPr>
                          <w:jc w:val="center"/>
                          <w:rPr>
                            <w:color w:val="000000"/>
                            <w:sz w:val="20"/>
                          </w:rPr>
                        </w:pPr>
                        <w:r w:rsidRPr="00ED2F52">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7D6E522"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5A21061E" w14:textId="77777777">
                        <w:pPr>
                          <w:jc w:val="right"/>
                          <w:rPr>
                            <w:color w:val="000000"/>
                            <w:sz w:val="20"/>
                          </w:rPr>
                        </w:pPr>
                        <w:r w:rsidRPr="00ED2F52">
                          <w:rPr>
                            <w:color w:val="000000"/>
                            <w:sz w:val="20"/>
                          </w:rPr>
                          <w:t> </w:t>
                        </w:r>
                      </w:p>
                    </w:tc>
                    <w:tc>
                      <w:tcPr>
                        <w:tcW w:w="1300" w:type="dxa"/>
                        <w:tcBorders>
                          <w:top w:val="nil"/>
                          <w:left w:val="nil"/>
                          <w:bottom w:val="single" w:sz="4" w:space="0" w:color="auto"/>
                          <w:right w:val="single" w:sz="4" w:space="0" w:color="auto"/>
                        </w:tcBorders>
                        <w:shd w:val="clear" w:color="auto" w:fill="auto"/>
                        <w:vAlign w:val="center"/>
                        <w:hideMark/>
                      </w:tcPr>
                      <w:p w:rsidR="00ED2F52" w:rsidRPr="00ED2F52" w:rsidP="00ED2F52" w14:paraId="3FF492A7"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24AADDC5"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4A0AA4E2"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15645589"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45321DAB" w14:textId="77777777">
                        <w:pPr>
                          <w:jc w:val="right"/>
                          <w:rPr>
                            <w:color w:val="000000"/>
                            <w:sz w:val="20"/>
                          </w:rPr>
                        </w:pPr>
                        <w:r w:rsidRPr="00ED2F52">
                          <w:rPr>
                            <w:color w:val="000000"/>
                            <w:sz w:val="20"/>
                          </w:rPr>
                          <w:t> </w:t>
                        </w:r>
                      </w:p>
                    </w:tc>
                  </w:tr>
                  <w:tr w14:paraId="38504E5B" w14:textId="77777777" w:rsidTr="00ED2F52">
                    <w:tblPrEx>
                      <w:tblW w:w="12800" w:type="dxa"/>
                      <w:tblLayout w:type="fixed"/>
                      <w:tblLook w:val="04A0"/>
                    </w:tblPrEx>
                    <w:trPr>
                      <w:trHeight w:val="52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26421943" w14:textId="77777777">
                        <w:pPr>
                          <w:rPr>
                            <w:color w:val="000000"/>
                            <w:sz w:val="20"/>
                          </w:rPr>
                        </w:pPr>
                        <w:r w:rsidRPr="00ED2F52">
                          <w:rPr>
                            <w:color w:val="000000"/>
                            <w:sz w:val="20"/>
                          </w:rPr>
                          <w:t>E. Time to Transmit or Disclose Information</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50CFF4AF" w14:textId="77777777">
                        <w:pPr>
                          <w:jc w:val="right"/>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54EAB324"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4AE7568D" w14:textId="77777777">
                        <w:pPr>
                          <w:jc w:val="right"/>
                          <w:rPr>
                            <w:color w:val="000000"/>
                            <w:sz w:val="20"/>
                          </w:rPr>
                        </w:pPr>
                        <w:r w:rsidRPr="00ED2F52">
                          <w:rPr>
                            <w:color w:val="000000"/>
                            <w:sz w:val="20"/>
                          </w:rPr>
                          <w:t> </w:t>
                        </w:r>
                      </w:p>
                    </w:tc>
                    <w:tc>
                      <w:tcPr>
                        <w:tcW w:w="1300" w:type="dxa"/>
                        <w:tcBorders>
                          <w:top w:val="nil"/>
                          <w:left w:val="nil"/>
                          <w:bottom w:val="single" w:sz="4" w:space="0" w:color="auto"/>
                          <w:right w:val="single" w:sz="4" w:space="0" w:color="auto"/>
                        </w:tcBorders>
                        <w:shd w:val="clear" w:color="auto" w:fill="auto"/>
                        <w:vAlign w:val="center"/>
                        <w:hideMark/>
                      </w:tcPr>
                      <w:p w:rsidR="00ED2F52" w:rsidRPr="00ED2F52" w:rsidP="00ED2F52" w14:paraId="27F03D56"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466DC51D"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7C2FBE33"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4EA0B478"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63848DF" w14:textId="77777777">
                        <w:pPr>
                          <w:jc w:val="right"/>
                          <w:rPr>
                            <w:color w:val="000000"/>
                            <w:sz w:val="20"/>
                          </w:rPr>
                        </w:pPr>
                        <w:r w:rsidRPr="00ED2F52">
                          <w:rPr>
                            <w:color w:val="000000"/>
                            <w:sz w:val="20"/>
                          </w:rPr>
                          <w:t> </w:t>
                        </w:r>
                      </w:p>
                    </w:tc>
                  </w:tr>
                  <w:tr w14:paraId="18AC3C6A" w14:textId="77777777" w:rsidTr="00ED2F52">
                    <w:tblPrEx>
                      <w:tblW w:w="12800" w:type="dxa"/>
                      <w:tblLayout w:type="fixed"/>
                      <w:tblLook w:val="04A0"/>
                    </w:tblPrEx>
                    <w:trPr>
                      <w:trHeight w:val="26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7BDACD80" w14:textId="77777777">
                        <w:pPr>
                          <w:rPr>
                            <w:i/>
                            <w:iCs/>
                            <w:color w:val="000000"/>
                            <w:sz w:val="20"/>
                            <w:u w:val="single"/>
                          </w:rPr>
                        </w:pPr>
                        <w:r w:rsidRPr="00ED2F52">
                          <w:rPr>
                            <w:i/>
                            <w:iCs/>
                            <w:color w:val="000000"/>
                            <w:sz w:val="20"/>
                            <w:u w:val="single"/>
                          </w:rPr>
                          <w:t>Existing Sources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140A9C8A" w14:textId="77777777">
                        <w:pPr>
                          <w:jc w:val="right"/>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7624297B"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64583B3C" w14:textId="77777777">
                        <w:pPr>
                          <w:jc w:val="right"/>
                          <w:rPr>
                            <w:color w:val="000000"/>
                            <w:sz w:val="20"/>
                          </w:rPr>
                        </w:pPr>
                        <w:r w:rsidRPr="00ED2F52">
                          <w:rPr>
                            <w:color w:val="000000"/>
                            <w:sz w:val="20"/>
                          </w:rPr>
                          <w:t> </w:t>
                        </w:r>
                      </w:p>
                    </w:tc>
                    <w:tc>
                      <w:tcPr>
                        <w:tcW w:w="1300" w:type="dxa"/>
                        <w:tcBorders>
                          <w:top w:val="nil"/>
                          <w:left w:val="nil"/>
                          <w:bottom w:val="single" w:sz="4" w:space="0" w:color="auto"/>
                          <w:right w:val="single" w:sz="4" w:space="0" w:color="auto"/>
                        </w:tcBorders>
                        <w:shd w:val="clear" w:color="auto" w:fill="auto"/>
                        <w:vAlign w:val="center"/>
                        <w:hideMark/>
                      </w:tcPr>
                      <w:p w:rsidR="00ED2F52" w:rsidRPr="00ED2F52" w:rsidP="00ED2F52" w14:paraId="27E547D6"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2201AAD2"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3502F81B"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4DF4F807"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49DC04AD" w14:textId="77777777">
                        <w:pPr>
                          <w:jc w:val="right"/>
                          <w:rPr>
                            <w:color w:val="000000"/>
                            <w:sz w:val="20"/>
                          </w:rPr>
                        </w:pPr>
                        <w:r w:rsidRPr="00ED2F52">
                          <w:rPr>
                            <w:color w:val="000000"/>
                            <w:sz w:val="20"/>
                          </w:rPr>
                          <w:t> </w:t>
                        </w:r>
                      </w:p>
                    </w:tc>
                  </w:tr>
                  <w:tr w14:paraId="202E2C52" w14:textId="77777777" w:rsidTr="00ED2F52">
                    <w:tblPrEx>
                      <w:tblW w:w="12800" w:type="dxa"/>
                      <w:tblLayout w:type="fixed"/>
                      <w:tblLook w:val="04A0"/>
                    </w:tblPrEx>
                    <w:trPr>
                      <w:trHeight w:val="26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229660A3" w14:textId="77777777">
                        <w:pPr>
                          <w:rPr>
                            <w:color w:val="000000"/>
                            <w:sz w:val="20"/>
                          </w:rPr>
                        </w:pPr>
                        <w:r w:rsidRPr="00ED2F52">
                          <w:rPr>
                            <w:color w:val="000000"/>
                            <w:sz w:val="20"/>
                          </w:rPr>
                          <w:t>Data Collection</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7E06148B" w14:textId="77777777">
                        <w:pPr>
                          <w:jc w:val="center"/>
                          <w:rPr>
                            <w:color w:val="000000"/>
                            <w:sz w:val="20"/>
                          </w:rPr>
                        </w:pPr>
                        <w:r w:rsidRPr="00ED2F52">
                          <w:rPr>
                            <w:color w:val="000000"/>
                            <w:sz w:val="20"/>
                          </w:rPr>
                          <w:t>0.4</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4A4F15B3" w14:textId="77777777">
                        <w:pPr>
                          <w:jc w:val="center"/>
                          <w:rPr>
                            <w:sz w:val="20"/>
                          </w:rPr>
                        </w:pPr>
                        <w:r w:rsidRPr="00ED2F52">
                          <w:rPr>
                            <w:sz w:val="20"/>
                          </w:rPr>
                          <w:t>12</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570061F2" w14:textId="77777777">
                        <w:pPr>
                          <w:jc w:val="center"/>
                          <w:rPr>
                            <w:color w:val="000000"/>
                            <w:sz w:val="20"/>
                          </w:rPr>
                        </w:pPr>
                        <w:r w:rsidRPr="00ED2F52">
                          <w:rPr>
                            <w:color w:val="000000"/>
                            <w:sz w:val="20"/>
                          </w:rPr>
                          <w:t>4.8</w:t>
                        </w:r>
                      </w:p>
                    </w:tc>
                    <w:tc>
                      <w:tcPr>
                        <w:tcW w:w="13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44BA6CA9" w14:textId="77777777">
                        <w:pPr>
                          <w:jc w:val="center"/>
                          <w:rPr>
                            <w:sz w:val="20"/>
                          </w:rPr>
                        </w:pPr>
                        <w:r w:rsidRPr="00ED2F52">
                          <w:rPr>
                            <w:sz w:val="20"/>
                          </w:rPr>
                          <w:t>80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EE770E0" w14:textId="77777777">
                        <w:pPr>
                          <w:jc w:val="center"/>
                          <w:rPr>
                            <w:color w:val="000000"/>
                            <w:sz w:val="20"/>
                          </w:rPr>
                        </w:pPr>
                        <w:r w:rsidRPr="00ED2F52">
                          <w:rPr>
                            <w:color w:val="000000"/>
                            <w:sz w:val="20"/>
                          </w:rPr>
                          <w:t>384</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4FE22747" w14:textId="77777777">
                        <w:pPr>
                          <w:jc w:val="center"/>
                          <w:rPr>
                            <w:color w:val="000000"/>
                            <w:sz w:val="20"/>
                          </w:rPr>
                        </w:pPr>
                        <w:r w:rsidRPr="00ED2F52">
                          <w:rPr>
                            <w:color w:val="000000"/>
                            <w:sz w:val="20"/>
                          </w:rPr>
                          <w:t>19.2</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3209A9D5" w14:textId="77777777">
                        <w:pPr>
                          <w:jc w:val="center"/>
                          <w:rPr>
                            <w:color w:val="000000"/>
                            <w:sz w:val="20"/>
                          </w:rPr>
                        </w:pPr>
                        <w:r w:rsidRPr="00ED2F52">
                          <w:rPr>
                            <w:color w:val="000000"/>
                            <w:sz w:val="20"/>
                          </w:rPr>
                          <w:t>38.4</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37C51E74" w14:textId="75DE234B">
                        <w:pPr>
                          <w:jc w:val="right"/>
                          <w:rPr>
                            <w:color w:val="000000"/>
                            <w:sz w:val="20"/>
                          </w:rPr>
                        </w:pPr>
                        <w:r w:rsidRPr="00ED2F52">
                          <w:rPr>
                            <w:color w:val="000000"/>
                            <w:sz w:val="20"/>
                          </w:rPr>
                          <w:t xml:space="preserve">$54,598 </w:t>
                        </w:r>
                      </w:p>
                    </w:tc>
                  </w:tr>
                  <w:tr w14:paraId="158676A3" w14:textId="77777777" w:rsidTr="00ED2F52">
                    <w:tblPrEx>
                      <w:tblW w:w="12800" w:type="dxa"/>
                      <w:tblLayout w:type="fixed"/>
                      <w:tblLook w:val="04A0"/>
                    </w:tblPrEx>
                    <w:trPr>
                      <w:trHeight w:val="120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26671A03" w14:textId="77777777">
                        <w:pPr>
                          <w:rPr>
                            <w:color w:val="000000"/>
                            <w:sz w:val="20"/>
                          </w:rPr>
                        </w:pPr>
                        <w:r w:rsidRPr="00ED2F52">
                          <w:rPr>
                            <w:color w:val="000000"/>
                            <w:sz w:val="20"/>
                          </w:rPr>
                          <w:t>Records of 1-hour ave. NOx emissions, 24-hour ave. NOx emissions, excluded NOx emissions data, daily drift tests, quarterly accuracy determination for CEMS, certified and trained staff records, off-site staff records.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5C5D9EDC"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EA4397D"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4D3E2289" w14:textId="77777777">
                        <w:pPr>
                          <w:jc w:val="center"/>
                          <w:rPr>
                            <w:color w:val="000000"/>
                            <w:sz w:val="20"/>
                          </w:rPr>
                        </w:pPr>
                        <w:r w:rsidRPr="00ED2F52">
                          <w:rPr>
                            <w:color w:val="000000"/>
                            <w:sz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63BFCF76"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086DF12"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6128A362"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6F10CB61"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72572DD7" w14:textId="77777777">
                        <w:pPr>
                          <w:jc w:val="right"/>
                          <w:rPr>
                            <w:color w:val="000000"/>
                            <w:sz w:val="20"/>
                          </w:rPr>
                        </w:pPr>
                        <w:r w:rsidRPr="00ED2F52">
                          <w:rPr>
                            <w:color w:val="000000"/>
                            <w:sz w:val="20"/>
                          </w:rPr>
                          <w:t xml:space="preserve">$0.00 </w:t>
                        </w:r>
                      </w:p>
                    </w:tc>
                  </w:tr>
                  <w:tr w14:paraId="4D1EE787" w14:textId="77777777" w:rsidTr="00ED2F52">
                    <w:tblPrEx>
                      <w:tblW w:w="12800" w:type="dxa"/>
                      <w:tblLayout w:type="fixed"/>
                      <w:tblLook w:val="04A0"/>
                    </w:tblPrEx>
                    <w:trPr>
                      <w:trHeight w:val="26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6282037C" w14:textId="77777777">
                        <w:pPr>
                          <w:rPr>
                            <w:i/>
                            <w:iCs/>
                            <w:color w:val="000000"/>
                            <w:sz w:val="20"/>
                            <w:u w:val="single"/>
                          </w:rPr>
                        </w:pPr>
                        <w:r w:rsidRPr="00ED2F52">
                          <w:rPr>
                            <w:i/>
                            <w:iCs/>
                            <w:color w:val="000000"/>
                            <w:sz w:val="20"/>
                            <w:u w:val="single"/>
                          </w:rPr>
                          <w:t>New Sources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30CC95B2"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3397ABDA" w14:textId="77777777">
                        <w:pPr>
                          <w:jc w:val="center"/>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5CA88A08" w14:textId="77777777">
                        <w:pPr>
                          <w:jc w:val="center"/>
                          <w:rPr>
                            <w:color w:val="000000"/>
                            <w:sz w:val="20"/>
                          </w:rPr>
                        </w:pPr>
                        <w:r w:rsidRPr="00ED2F52">
                          <w:rPr>
                            <w:color w:val="000000"/>
                            <w:sz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48C44BD1"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2D9D74E2"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0C99C16B"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19DEC02"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273BCCE" w14:textId="77777777">
                        <w:pPr>
                          <w:jc w:val="right"/>
                          <w:rPr>
                            <w:color w:val="000000"/>
                            <w:sz w:val="20"/>
                          </w:rPr>
                        </w:pPr>
                        <w:r w:rsidRPr="00ED2F52">
                          <w:rPr>
                            <w:color w:val="000000"/>
                            <w:sz w:val="20"/>
                          </w:rPr>
                          <w:t> </w:t>
                        </w:r>
                      </w:p>
                    </w:tc>
                  </w:tr>
                  <w:tr w14:paraId="1CF7BB48" w14:textId="77777777" w:rsidTr="00ED2F52">
                    <w:tblPrEx>
                      <w:tblW w:w="12800" w:type="dxa"/>
                      <w:tblLayout w:type="fixed"/>
                      <w:tblLook w:val="04A0"/>
                    </w:tblPrEx>
                    <w:trPr>
                      <w:trHeight w:val="26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35A51054" w14:textId="77777777">
                        <w:pPr>
                          <w:rPr>
                            <w:color w:val="000000"/>
                            <w:sz w:val="20"/>
                          </w:rPr>
                        </w:pPr>
                        <w:r w:rsidRPr="00ED2F52">
                          <w:rPr>
                            <w:color w:val="000000"/>
                            <w:sz w:val="20"/>
                          </w:rPr>
                          <w:t>Data Collection</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1870466D"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264A8A42"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14A6C478" w14:textId="77777777">
                        <w:pPr>
                          <w:jc w:val="center"/>
                          <w:rPr>
                            <w:color w:val="000000"/>
                            <w:sz w:val="20"/>
                          </w:rPr>
                        </w:pPr>
                        <w:r w:rsidRPr="00ED2F52">
                          <w:rPr>
                            <w:color w:val="000000"/>
                            <w:sz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5CCBF5CD"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17A19AE2"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DBF88AD"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7EB0DA5"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7F7740A3" w14:textId="77777777">
                        <w:pPr>
                          <w:jc w:val="right"/>
                          <w:rPr>
                            <w:color w:val="000000"/>
                            <w:sz w:val="20"/>
                          </w:rPr>
                        </w:pPr>
                        <w:r w:rsidRPr="00ED2F52">
                          <w:rPr>
                            <w:color w:val="000000"/>
                            <w:sz w:val="20"/>
                          </w:rPr>
                          <w:t xml:space="preserve">$0 </w:t>
                        </w:r>
                      </w:p>
                    </w:tc>
                  </w:tr>
                  <w:tr w14:paraId="2711EF57" w14:textId="77777777" w:rsidTr="00ED2F52">
                    <w:tblPrEx>
                      <w:tblW w:w="12800" w:type="dxa"/>
                      <w:tblLayout w:type="fixed"/>
                      <w:tblLook w:val="04A0"/>
                    </w:tblPrEx>
                    <w:trPr>
                      <w:trHeight w:val="208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66D87B9E" w14:textId="77777777">
                        <w:pPr>
                          <w:rPr>
                            <w:color w:val="000000"/>
                            <w:sz w:val="20"/>
                          </w:rPr>
                        </w:pPr>
                        <w:r w:rsidRPr="00ED2F52">
                          <w:rPr>
                            <w:color w:val="000000"/>
                            <w:sz w:val="20"/>
                          </w:rPr>
                          <w:t>Records of 1-hour ave. NOx emissions, 24-hour ave. NOx emissions, excluded NOx emissions data, daily drift tests, quarterly accuracy determination for CEMS, certified and trained staff records, off-site staff records.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1A0B3AA9"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3BD62C34"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226A9352" w14:textId="77777777">
                        <w:pPr>
                          <w:jc w:val="center"/>
                          <w:rPr>
                            <w:color w:val="000000"/>
                            <w:sz w:val="20"/>
                          </w:rPr>
                        </w:pPr>
                        <w:r w:rsidRPr="00ED2F52">
                          <w:rPr>
                            <w:color w:val="000000"/>
                            <w:sz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6DA26EC1"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B7FC446"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3F99631C"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7A7BED0E"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7F4221A7" w14:textId="77777777">
                        <w:pPr>
                          <w:jc w:val="right"/>
                          <w:rPr>
                            <w:color w:val="000000"/>
                            <w:sz w:val="20"/>
                          </w:rPr>
                        </w:pPr>
                        <w:r w:rsidRPr="00ED2F52">
                          <w:rPr>
                            <w:color w:val="000000"/>
                            <w:sz w:val="20"/>
                          </w:rPr>
                          <w:t xml:space="preserve">$0 </w:t>
                        </w:r>
                      </w:p>
                    </w:tc>
                  </w:tr>
                  <w:tr w14:paraId="61021718" w14:textId="77777777" w:rsidTr="00ED2F52">
                    <w:tblPrEx>
                      <w:tblW w:w="12800" w:type="dxa"/>
                      <w:tblLayout w:type="fixed"/>
                      <w:tblLook w:val="04A0"/>
                    </w:tblPrEx>
                    <w:trPr>
                      <w:trHeight w:val="26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7617B731" w14:textId="77777777">
                        <w:pPr>
                          <w:rPr>
                            <w:color w:val="000000"/>
                            <w:sz w:val="20"/>
                          </w:rPr>
                        </w:pPr>
                        <w:r w:rsidRPr="00ED2F52">
                          <w:rPr>
                            <w:color w:val="000000"/>
                            <w:sz w:val="20"/>
                          </w:rPr>
                          <w:t>F. Time to Train Personnel</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06DBC3CC"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37F3194A" w14:textId="77777777">
                        <w:pPr>
                          <w:jc w:val="center"/>
                          <w:rPr>
                            <w:sz w:val="20"/>
                          </w:rPr>
                        </w:pPr>
                        <w:r w:rsidRPr="00ED2F52">
                          <w:rPr>
                            <w:sz w:val="20"/>
                          </w:rPr>
                          <w:t>0</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041DFDDC" w14:textId="77777777">
                        <w:pPr>
                          <w:jc w:val="center"/>
                          <w:rPr>
                            <w:color w:val="000000"/>
                            <w:sz w:val="20"/>
                          </w:rPr>
                        </w:pPr>
                        <w:r w:rsidRPr="00ED2F52">
                          <w:rPr>
                            <w:color w:val="000000"/>
                            <w:sz w:val="20"/>
                          </w:rPr>
                          <w:t>0</w:t>
                        </w:r>
                      </w:p>
                    </w:tc>
                    <w:tc>
                      <w:tcPr>
                        <w:tcW w:w="13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0DA08976"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62C6319B"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6869FAEC"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44CC13FD"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6427AC19" w14:textId="77777777">
                        <w:pPr>
                          <w:jc w:val="right"/>
                          <w:rPr>
                            <w:color w:val="000000"/>
                            <w:sz w:val="20"/>
                          </w:rPr>
                        </w:pPr>
                        <w:r w:rsidRPr="00ED2F52">
                          <w:rPr>
                            <w:color w:val="000000"/>
                            <w:sz w:val="20"/>
                          </w:rPr>
                          <w:t xml:space="preserve">$0 </w:t>
                        </w:r>
                      </w:p>
                    </w:tc>
                  </w:tr>
                  <w:tr w14:paraId="314AF8D0" w14:textId="77777777" w:rsidTr="00ED2F52">
                    <w:tblPrEx>
                      <w:tblW w:w="12800" w:type="dxa"/>
                      <w:tblLayout w:type="fixed"/>
                      <w:tblLook w:val="04A0"/>
                    </w:tblPrEx>
                    <w:trPr>
                      <w:trHeight w:val="26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283CCFA8" w14:textId="77777777">
                        <w:pPr>
                          <w:rPr>
                            <w:color w:val="000000"/>
                            <w:sz w:val="20"/>
                          </w:rPr>
                        </w:pPr>
                        <w:r w:rsidRPr="00ED2F52">
                          <w:rPr>
                            <w:color w:val="000000"/>
                            <w:sz w:val="20"/>
                          </w:rPr>
                          <w:t xml:space="preserve">G. Time for Audits </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3FF73500" w14:textId="77777777">
                        <w:pPr>
                          <w:jc w:val="center"/>
                          <w:rPr>
                            <w:color w:val="000000"/>
                            <w:sz w:val="20"/>
                          </w:rPr>
                        </w:pPr>
                        <w:r w:rsidRPr="00ED2F52">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9B91A18"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1D2ABD13" w14:textId="77777777">
                        <w:pPr>
                          <w:jc w:val="right"/>
                          <w:rPr>
                            <w:color w:val="000000"/>
                            <w:sz w:val="20"/>
                          </w:rPr>
                        </w:pPr>
                        <w:r w:rsidRPr="00ED2F52">
                          <w:rPr>
                            <w:color w:val="000000"/>
                            <w:sz w:val="20"/>
                          </w:rPr>
                          <w:t> </w:t>
                        </w:r>
                      </w:p>
                    </w:tc>
                    <w:tc>
                      <w:tcPr>
                        <w:tcW w:w="1300" w:type="dxa"/>
                        <w:tcBorders>
                          <w:top w:val="nil"/>
                          <w:left w:val="nil"/>
                          <w:bottom w:val="single" w:sz="4" w:space="0" w:color="auto"/>
                          <w:right w:val="single" w:sz="4" w:space="0" w:color="auto"/>
                        </w:tcBorders>
                        <w:shd w:val="clear" w:color="auto" w:fill="auto"/>
                        <w:vAlign w:val="center"/>
                        <w:hideMark/>
                      </w:tcPr>
                      <w:p w:rsidR="00ED2F52" w:rsidRPr="00ED2F52" w:rsidP="00ED2F52" w14:paraId="0BA437C8"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5FC97C6"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36574F89"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4E9314FC"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7B98D5B2" w14:textId="77777777">
                        <w:pPr>
                          <w:jc w:val="right"/>
                          <w:rPr>
                            <w:color w:val="000000"/>
                            <w:sz w:val="20"/>
                          </w:rPr>
                        </w:pPr>
                        <w:r w:rsidRPr="00ED2F52">
                          <w:rPr>
                            <w:color w:val="000000"/>
                            <w:sz w:val="20"/>
                          </w:rPr>
                          <w:t> </w:t>
                        </w:r>
                      </w:p>
                    </w:tc>
                  </w:tr>
                  <w:tr w14:paraId="76EF3199" w14:textId="77777777" w:rsidTr="00ED2F52">
                    <w:tblPrEx>
                      <w:tblW w:w="12800" w:type="dxa"/>
                      <w:tblLayout w:type="fixed"/>
                      <w:tblLook w:val="04A0"/>
                    </w:tblPrEx>
                    <w:trPr>
                      <w:trHeight w:val="54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243813D0" w14:textId="77777777">
                        <w:pPr>
                          <w:rPr>
                            <w:b/>
                            <w:bCs/>
                            <w:i/>
                            <w:iCs/>
                            <w:color w:val="000000"/>
                            <w:sz w:val="20"/>
                          </w:rPr>
                        </w:pPr>
                        <w:r w:rsidRPr="00ED2F52">
                          <w:rPr>
                            <w:b/>
                            <w:bCs/>
                            <w:i/>
                            <w:iCs/>
                            <w:color w:val="000000"/>
                            <w:sz w:val="20"/>
                          </w:rPr>
                          <w:t>Subtotal for Recordkeeping Requirements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165CDAA5" w14:textId="77777777">
                        <w:pPr>
                          <w:jc w:val="right"/>
                          <w:rPr>
                            <w:b/>
                            <w:bCs/>
                            <w:i/>
                            <w:iCs/>
                            <w:color w:val="000000"/>
                            <w:sz w:val="20"/>
                          </w:rPr>
                        </w:pPr>
                        <w:r w:rsidRPr="00ED2F52">
                          <w:rPr>
                            <w:b/>
                            <w:bCs/>
                            <w:i/>
                            <w:i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33CBBBE" w14:textId="77777777">
                        <w:pPr>
                          <w:jc w:val="right"/>
                          <w:rPr>
                            <w:b/>
                            <w:bCs/>
                            <w:i/>
                            <w:iCs/>
                            <w:sz w:val="20"/>
                          </w:rPr>
                        </w:pPr>
                        <w:r w:rsidRPr="00ED2F52">
                          <w:rPr>
                            <w:b/>
                            <w:bCs/>
                            <w:i/>
                            <w:i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4BFB2CA8" w14:textId="77777777">
                        <w:pPr>
                          <w:jc w:val="right"/>
                          <w:rPr>
                            <w:b/>
                            <w:bCs/>
                            <w:i/>
                            <w:iCs/>
                            <w:color w:val="000000"/>
                            <w:sz w:val="20"/>
                          </w:rPr>
                        </w:pPr>
                        <w:r w:rsidRPr="00ED2F52">
                          <w:rPr>
                            <w:b/>
                            <w:bCs/>
                            <w:i/>
                            <w:iCs/>
                            <w:color w:val="000000"/>
                            <w:sz w:val="20"/>
                          </w:rPr>
                          <w:t> </w:t>
                        </w:r>
                      </w:p>
                    </w:tc>
                    <w:tc>
                      <w:tcPr>
                        <w:tcW w:w="130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7DED118E" w14:textId="77777777">
                        <w:pPr>
                          <w:jc w:val="right"/>
                          <w:rPr>
                            <w:b/>
                            <w:bCs/>
                            <w:i/>
                            <w:iCs/>
                            <w:sz w:val="20"/>
                          </w:rPr>
                        </w:pPr>
                        <w:r w:rsidRPr="00ED2F52">
                          <w:rPr>
                            <w:b/>
                            <w:bCs/>
                            <w:i/>
                            <w:iCs/>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AC77458" w14:textId="77777777">
                        <w:pPr>
                          <w:jc w:val="center"/>
                          <w:rPr>
                            <w:b/>
                            <w:bCs/>
                            <w:i/>
                            <w:iCs/>
                            <w:color w:val="000000"/>
                            <w:sz w:val="20"/>
                          </w:rPr>
                        </w:pPr>
                        <w:r w:rsidRPr="00ED2F52">
                          <w:rPr>
                            <w:b/>
                            <w:bCs/>
                            <w:i/>
                            <w:iCs/>
                            <w:color w:val="000000"/>
                            <w:sz w:val="20"/>
                          </w:rPr>
                          <w:t>442</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0C6FBE8" w14:textId="77777777">
                        <w:pPr>
                          <w:jc w:val="center"/>
                          <w:rPr>
                            <w:b/>
                            <w:bCs/>
                            <w:i/>
                            <w:iCs/>
                            <w:color w:val="000000"/>
                            <w:sz w:val="20"/>
                          </w:rPr>
                        </w:pPr>
                        <w:r w:rsidRPr="00ED2F52">
                          <w:rPr>
                            <w:b/>
                            <w:bCs/>
                            <w:i/>
                            <w:iCs/>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CBAC601" w14:textId="77777777">
                        <w:pPr>
                          <w:jc w:val="center"/>
                          <w:rPr>
                            <w:b/>
                            <w:bCs/>
                            <w:i/>
                            <w:iCs/>
                            <w:color w:val="000000"/>
                            <w:sz w:val="20"/>
                          </w:rPr>
                        </w:pPr>
                        <w:r w:rsidRPr="00ED2F52">
                          <w:rPr>
                            <w:b/>
                            <w:bCs/>
                            <w:i/>
                            <w:iCs/>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744ADC37" w14:textId="77777777">
                        <w:pPr>
                          <w:jc w:val="right"/>
                          <w:rPr>
                            <w:b/>
                            <w:bCs/>
                            <w:i/>
                            <w:iCs/>
                            <w:color w:val="000000"/>
                            <w:sz w:val="20"/>
                          </w:rPr>
                        </w:pPr>
                        <w:r w:rsidRPr="00ED2F52">
                          <w:rPr>
                            <w:b/>
                            <w:bCs/>
                            <w:i/>
                            <w:iCs/>
                            <w:color w:val="000000"/>
                            <w:sz w:val="20"/>
                          </w:rPr>
                          <w:t xml:space="preserve">$54,598 </w:t>
                        </w:r>
                      </w:p>
                    </w:tc>
                  </w:tr>
                  <w:tr w14:paraId="5E83EBF8" w14:textId="77777777" w:rsidTr="00ED2F52">
                    <w:tblPrEx>
                      <w:tblW w:w="12800" w:type="dxa"/>
                      <w:tblLayout w:type="fixed"/>
                      <w:tblLook w:val="04A0"/>
                    </w:tblPrEx>
                    <w:trPr>
                      <w:trHeight w:val="56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514EB218" w14:textId="77777777">
                        <w:pPr>
                          <w:rPr>
                            <w:b/>
                            <w:bCs/>
                            <w:color w:val="000000"/>
                            <w:sz w:val="20"/>
                          </w:rPr>
                        </w:pPr>
                        <w:r w:rsidRPr="00ED2F52">
                          <w:rPr>
                            <w:b/>
                            <w:bCs/>
                            <w:color w:val="000000"/>
                            <w:sz w:val="20"/>
                          </w:rPr>
                          <w:t xml:space="preserve">Total Labor Burden and Cost (rounded) </w:t>
                        </w:r>
                        <w:r w:rsidRPr="00ED2F52">
                          <w:rPr>
                            <w:b/>
                            <w:bCs/>
                            <w:color w:val="000000"/>
                            <w:sz w:val="20"/>
                            <w:vertAlign w:val="superscript"/>
                          </w:rPr>
                          <w:t>f</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531311C4" w14:textId="77777777">
                        <w:pPr>
                          <w:jc w:val="right"/>
                          <w:rPr>
                            <w:b/>
                            <w:bCs/>
                            <w:color w:val="000000"/>
                            <w:sz w:val="20"/>
                          </w:rPr>
                        </w:pPr>
                        <w:r w:rsidRPr="00ED2F52">
                          <w:rPr>
                            <w:b/>
                            <w:b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1D9D7E3F" w14:textId="77777777">
                        <w:pPr>
                          <w:jc w:val="center"/>
                          <w:rPr>
                            <w:b/>
                            <w:bCs/>
                            <w:sz w:val="20"/>
                          </w:rPr>
                        </w:pPr>
                        <w:r w:rsidRPr="00ED2F52">
                          <w:rPr>
                            <w:b/>
                            <w:bCs/>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3E00FBE5" w14:textId="77777777">
                        <w:pPr>
                          <w:jc w:val="right"/>
                          <w:rPr>
                            <w:b/>
                            <w:bCs/>
                            <w:color w:val="000000"/>
                            <w:sz w:val="20"/>
                          </w:rPr>
                        </w:pPr>
                        <w:r w:rsidRPr="00ED2F52">
                          <w:rPr>
                            <w:b/>
                            <w:bCs/>
                            <w:color w:val="000000"/>
                            <w:sz w:val="20"/>
                          </w:rPr>
                          <w:t> </w:t>
                        </w:r>
                      </w:p>
                    </w:tc>
                    <w:tc>
                      <w:tcPr>
                        <w:tcW w:w="1300" w:type="dxa"/>
                        <w:tcBorders>
                          <w:top w:val="nil"/>
                          <w:left w:val="nil"/>
                          <w:bottom w:val="single" w:sz="4" w:space="0" w:color="auto"/>
                          <w:right w:val="single" w:sz="4" w:space="0" w:color="auto"/>
                        </w:tcBorders>
                        <w:shd w:val="clear" w:color="auto" w:fill="auto"/>
                        <w:vAlign w:val="center"/>
                        <w:hideMark/>
                      </w:tcPr>
                      <w:p w:rsidR="00ED2F52" w:rsidRPr="00ED2F52" w:rsidP="00ED2F52" w14:paraId="46CC6532" w14:textId="77777777">
                        <w:pPr>
                          <w:jc w:val="right"/>
                          <w:rPr>
                            <w:b/>
                            <w:bCs/>
                            <w:sz w:val="20"/>
                          </w:rPr>
                        </w:pPr>
                        <w:r w:rsidRPr="00ED2F52">
                          <w:rPr>
                            <w:b/>
                            <w:bCs/>
                            <w:sz w:val="20"/>
                          </w:rPr>
                          <w:t> </w:t>
                        </w:r>
                      </w:p>
                    </w:tc>
                    <w:tc>
                      <w:tcPr>
                        <w:tcW w:w="3700" w:type="dxa"/>
                        <w:gridSpan w:val="3"/>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2A53034F" w14:textId="77777777">
                        <w:pPr>
                          <w:jc w:val="center"/>
                          <w:rPr>
                            <w:b/>
                            <w:bCs/>
                            <w:color w:val="000000"/>
                            <w:sz w:val="20"/>
                          </w:rPr>
                        </w:pPr>
                        <w:r w:rsidRPr="00ED2F52">
                          <w:rPr>
                            <w:b/>
                            <w:bCs/>
                            <w:color w:val="000000"/>
                            <w:sz w:val="20"/>
                          </w:rPr>
                          <w:t>400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4DB2C6DD" w14:textId="77777777">
                        <w:pPr>
                          <w:jc w:val="right"/>
                          <w:rPr>
                            <w:b/>
                            <w:bCs/>
                            <w:color w:val="000000"/>
                            <w:sz w:val="20"/>
                          </w:rPr>
                        </w:pPr>
                        <w:r w:rsidRPr="00ED2F52">
                          <w:rPr>
                            <w:b/>
                            <w:bCs/>
                            <w:color w:val="000000"/>
                            <w:sz w:val="20"/>
                          </w:rPr>
                          <w:t xml:space="preserve">$50,000 </w:t>
                        </w:r>
                      </w:p>
                    </w:tc>
                  </w:tr>
                  <w:tr w14:paraId="48D22C71" w14:textId="77777777" w:rsidTr="00ED2F52">
                    <w:tblPrEx>
                      <w:tblW w:w="12800" w:type="dxa"/>
                      <w:tblLayout w:type="fixed"/>
                      <w:tblLook w:val="04A0"/>
                    </w:tblPrEx>
                    <w:trPr>
                      <w:trHeight w:val="56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06006137" w14:textId="77777777">
                        <w:pPr>
                          <w:rPr>
                            <w:b/>
                            <w:bCs/>
                            <w:sz w:val="20"/>
                          </w:rPr>
                        </w:pPr>
                        <w:r w:rsidRPr="00ED2F52">
                          <w:rPr>
                            <w:b/>
                            <w:bCs/>
                            <w:sz w:val="20"/>
                          </w:rPr>
                          <w:t xml:space="preserve">Total Capital and O&amp;M Cost (rounded) </w:t>
                        </w:r>
                        <w:r w:rsidRPr="00ED2F52">
                          <w:rPr>
                            <w:b/>
                            <w:bCs/>
                            <w:sz w:val="20"/>
                            <w:vertAlign w:val="superscript"/>
                          </w:rPr>
                          <w:t>f</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579E1F78" w14:textId="77777777">
                        <w:pPr>
                          <w:jc w:val="right"/>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682A2A0A"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349BAD9B" w14:textId="77777777">
                        <w:pPr>
                          <w:jc w:val="right"/>
                          <w:rPr>
                            <w:color w:val="000000"/>
                            <w:sz w:val="20"/>
                          </w:rPr>
                        </w:pPr>
                        <w:r w:rsidRPr="00ED2F52">
                          <w:rPr>
                            <w:color w:val="000000"/>
                            <w:sz w:val="20"/>
                          </w:rPr>
                          <w:t> </w:t>
                        </w:r>
                      </w:p>
                    </w:tc>
                    <w:tc>
                      <w:tcPr>
                        <w:tcW w:w="1300" w:type="dxa"/>
                        <w:tcBorders>
                          <w:top w:val="nil"/>
                          <w:left w:val="nil"/>
                          <w:bottom w:val="single" w:sz="4" w:space="0" w:color="auto"/>
                          <w:right w:val="single" w:sz="4" w:space="0" w:color="auto"/>
                        </w:tcBorders>
                        <w:shd w:val="clear" w:color="auto" w:fill="auto"/>
                        <w:vAlign w:val="center"/>
                        <w:hideMark/>
                      </w:tcPr>
                      <w:p w:rsidR="00ED2F52" w:rsidRPr="00ED2F52" w:rsidP="00ED2F52" w14:paraId="535FE355"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20A10D6C"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D8C9E08"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769782C7"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D80FF62" w14:textId="77777777">
                        <w:pPr>
                          <w:jc w:val="right"/>
                          <w:rPr>
                            <w:b/>
                            <w:bCs/>
                            <w:color w:val="000000"/>
                            <w:sz w:val="20"/>
                          </w:rPr>
                        </w:pPr>
                        <w:r w:rsidRPr="00ED2F52">
                          <w:rPr>
                            <w:b/>
                            <w:bCs/>
                            <w:color w:val="000000"/>
                            <w:sz w:val="20"/>
                          </w:rPr>
                          <w:t xml:space="preserve">$0 </w:t>
                        </w:r>
                      </w:p>
                    </w:tc>
                  </w:tr>
                  <w:tr w14:paraId="170247FF" w14:textId="77777777" w:rsidTr="00ED2F52">
                    <w:tblPrEx>
                      <w:tblW w:w="12800" w:type="dxa"/>
                      <w:tblLayout w:type="fixed"/>
                      <w:tblLook w:val="04A0"/>
                    </w:tblPrEx>
                    <w:trPr>
                      <w:trHeight w:val="30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41FFBCB9" w14:textId="77777777">
                        <w:pPr>
                          <w:rPr>
                            <w:b/>
                            <w:bCs/>
                            <w:sz w:val="20"/>
                          </w:rPr>
                        </w:pPr>
                        <w:r w:rsidRPr="00ED2F52">
                          <w:rPr>
                            <w:b/>
                            <w:bCs/>
                            <w:sz w:val="20"/>
                          </w:rPr>
                          <w:t xml:space="preserve">Grand TOTAL (rounded) </w:t>
                        </w:r>
                        <w:r w:rsidRPr="00ED2F52">
                          <w:rPr>
                            <w:b/>
                            <w:bCs/>
                            <w:sz w:val="20"/>
                            <w:vertAlign w:val="superscript"/>
                          </w:rPr>
                          <w:t>f</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0AF7DE9A" w14:textId="77777777">
                        <w:pPr>
                          <w:jc w:val="right"/>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622361CE" w14:textId="77777777">
                        <w:pPr>
                          <w:jc w:val="right"/>
                          <w:rPr>
                            <w:sz w:val="20"/>
                          </w:rPr>
                        </w:pPr>
                        <w:r w:rsidRPr="00ED2F52">
                          <w:rPr>
                            <w:sz w:val="20"/>
                          </w:rPr>
                          <w:t> </w:t>
                        </w:r>
                      </w:p>
                    </w:tc>
                    <w:tc>
                      <w:tcPr>
                        <w:tcW w:w="1240" w:type="dxa"/>
                        <w:tcBorders>
                          <w:top w:val="nil"/>
                          <w:left w:val="nil"/>
                          <w:bottom w:val="single" w:sz="4" w:space="0" w:color="auto"/>
                          <w:right w:val="single" w:sz="4" w:space="0" w:color="auto"/>
                        </w:tcBorders>
                        <w:shd w:val="clear" w:color="auto" w:fill="auto"/>
                        <w:vAlign w:val="center"/>
                        <w:hideMark/>
                      </w:tcPr>
                      <w:p w:rsidR="00ED2F52" w:rsidRPr="00ED2F52" w:rsidP="00ED2F52" w14:paraId="026C0DF5" w14:textId="77777777">
                        <w:pPr>
                          <w:jc w:val="right"/>
                          <w:rPr>
                            <w:color w:val="000000"/>
                            <w:sz w:val="20"/>
                          </w:rPr>
                        </w:pPr>
                        <w:r w:rsidRPr="00ED2F52">
                          <w:rPr>
                            <w:color w:val="000000"/>
                            <w:sz w:val="20"/>
                          </w:rPr>
                          <w:t> </w:t>
                        </w:r>
                      </w:p>
                    </w:tc>
                    <w:tc>
                      <w:tcPr>
                        <w:tcW w:w="1300" w:type="dxa"/>
                        <w:tcBorders>
                          <w:top w:val="nil"/>
                          <w:left w:val="nil"/>
                          <w:bottom w:val="single" w:sz="4" w:space="0" w:color="auto"/>
                          <w:right w:val="single" w:sz="4" w:space="0" w:color="auto"/>
                        </w:tcBorders>
                        <w:shd w:val="clear" w:color="auto" w:fill="auto"/>
                        <w:vAlign w:val="center"/>
                        <w:hideMark/>
                      </w:tcPr>
                      <w:p w:rsidR="00ED2F52" w:rsidRPr="00ED2F52" w:rsidP="00ED2F52" w14:paraId="0660159F"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2F2A2F49"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0064C8AC"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35732BD0"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1E64AB09" w14:textId="77777777">
                        <w:pPr>
                          <w:jc w:val="right"/>
                          <w:rPr>
                            <w:b/>
                            <w:bCs/>
                            <w:color w:val="000000"/>
                            <w:sz w:val="20"/>
                          </w:rPr>
                        </w:pPr>
                        <w:r w:rsidRPr="00ED2F52">
                          <w:rPr>
                            <w:b/>
                            <w:bCs/>
                            <w:color w:val="000000"/>
                            <w:sz w:val="20"/>
                          </w:rPr>
                          <w:t xml:space="preserve">$100,000 </w:t>
                        </w:r>
                      </w:p>
                    </w:tc>
                  </w:tr>
                  <w:tr w14:paraId="19139C92" w14:textId="77777777" w:rsidTr="00ED2F52">
                    <w:tblPrEx>
                      <w:tblW w:w="12800" w:type="dxa"/>
                      <w:tblLayout w:type="fixed"/>
                      <w:tblLook w:val="04A0"/>
                    </w:tblPrEx>
                    <w:trPr>
                      <w:trHeight w:val="150"/>
                    </w:trPr>
                    <w:tc>
                      <w:tcPr>
                        <w:tcW w:w="2860" w:type="dxa"/>
                        <w:tcBorders>
                          <w:top w:val="nil"/>
                          <w:left w:val="nil"/>
                          <w:bottom w:val="nil"/>
                          <w:right w:val="nil"/>
                        </w:tcBorders>
                        <w:shd w:val="clear" w:color="auto" w:fill="auto"/>
                        <w:noWrap/>
                        <w:vAlign w:val="bottom"/>
                        <w:hideMark/>
                      </w:tcPr>
                      <w:p w:rsidR="00ED2F52" w:rsidRPr="00ED2F52" w:rsidP="00ED2F52" w14:paraId="4D90BF4D" w14:textId="77777777">
                        <w:pPr>
                          <w:jc w:val="right"/>
                          <w:rPr>
                            <w:b/>
                            <w:bCs/>
                            <w:color w:val="000000"/>
                            <w:sz w:val="20"/>
                          </w:rPr>
                        </w:pPr>
                      </w:p>
                    </w:tc>
                    <w:tc>
                      <w:tcPr>
                        <w:tcW w:w="1120" w:type="dxa"/>
                        <w:tcBorders>
                          <w:top w:val="nil"/>
                          <w:left w:val="nil"/>
                          <w:bottom w:val="nil"/>
                          <w:right w:val="nil"/>
                        </w:tcBorders>
                        <w:shd w:val="clear" w:color="auto" w:fill="auto"/>
                        <w:noWrap/>
                        <w:vAlign w:val="bottom"/>
                        <w:hideMark/>
                      </w:tcPr>
                      <w:p w:rsidR="00ED2F52" w:rsidRPr="00ED2F52" w:rsidP="00ED2F52" w14:paraId="4507D99E" w14:textId="77777777">
                        <w:pPr>
                          <w:rPr>
                            <w:sz w:val="20"/>
                          </w:rPr>
                        </w:pPr>
                      </w:p>
                    </w:tc>
                    <w:tc>
                      <w:tcPr>
                        <w:tcW w:w="1320" w:type="dxa"/>
                        <w:tcBorders>
                          <w:top w:val="nil"/>
                          <w:left w:val="nil"/>
                          <w:bottom w:val="nil"/>
                          <w:right w:val="nil"/>
                        </w:tcBorders>
                        <w:shd w:val="clear" w:color="auto" w:fill="auto"/>
                        <w:noWrap/>
                        <w:vAlign w:val="bottom"/>
                        <w:hideMark/>
                      </w:tcPr>
                      <w:p w:rsidR="00ED2F52" w:rsidRPr="00ED2F52" w:rsidP="00ED2F52" w14:paraId="59346AC6" w14:textId="77777777">
                        <w:pPr>
                          <w:rPr>
                            <w:sz w:val="20"/>
                          </w:rPr>
                        </w:pPr>
                      </w:p>
                    </w:tc>
                    <w:tc>
                      <w:tcPr>
                        <w:tcW w:w="1240" w:type="dxa"/>
                        <w:tcBorders>
                          <w:top w:val="nil"/>
                          <w:left w:val="nil"/>
                          <w:bottom w:val="nil"/>
                          <w:right w:val="nil"/>
                        </w:tcBorders>
                        <w:shd w:val="clear" w:color="auto" w:fill="auto"/>
                        <w:noWrap/>
                        <w:vAlign w:val="bottom"/>
                        <w:hideMark/>
                      </w:tcPr>
                      <w:p w:rsidR="00ED2F52" w:rsidRPr="00ED2F52" w:rsidP="00ED2F52" w14:paraId="4AF108BE" w14:textId="77777777">
                        <w:pPr>
                          <w:rPr>
                            <w:sz w:val="20"/>
                          </w:rPr>
                        </w:pPr>
                      </w:p>
                    </w:tc>
                    <w:tc>
                      <w:tcPr>
                        <w:tcW w:w="1300" w:type="dxa"/>
                        <w:tcBorders>
                          <w:top w:val="nil"/>
                          <w:left w:val="nil"/>
                          <w:bottom w:val="nil"/>
                          <w:right w:val="nil"/>
                        </w:tcBorders>
                        <w:shd w:val="clear" w:color="auto" w:fill="auto"/>
                        <w:noWrap/>
                        <w:vAlign w:val="bottom"/>
                        <w:hideMark/>
                      </w:tcPr>
                      <w:p w:rsidR="00ED2F52" w:rsidRPr="00ED2F52" w:rsidP="00ED2F52" w14:paraId="1BE9408F" w14:textId="77777777">
                        <w:pPr>
                          <w:rPr>
                            <w:sz w:val="20"/>
                          </w:rPr>
                        </w:pPr>
                      </w:p>
                    </w:tc>
                    <w:tc>
                      <w:tcPr>
                        <w:tcW w:w="1160" w:type="dxa"/>
                        <w:tcBorders>
                          <w:top w:val="nil"/>
                          <w:left w:val="nil"/>
                          <w:bottom w:val="nil"/>
                          <w:right w:val="nil"/>
                        </w:tcBorders>
                        <w:shd w:val="clear" w:color="auto" w:fill="auto"/>
                        <w:noWrap/>
                        <w:vAlign w:val="bottom"/>
                        <w:hideMark/>
                      </w:tcPr>
                      <w:p w:rsidR="00ED2F52" w:rsidRPr="00ED2F52" w:rsidP="00ED2F52" w14:paraId="5E5E7820" w14:textId="77777777">
                        <w:pPr>
                          <w:rPr>
                            <w:sz w:val="20"/>
                          </w:rPr>
                        </w:pPr>
                      </w:p>
                    </w:tc>
                    <w:tc>
                      <w:tcPr>
                        <w:tcW w:w="1280" w:type="dxa"/>
                        <w:tcBorders>
                          <w:top w:val="nil"/>
                          <w:left w:val="nil"/>
                          <w:bottom w:val="nil"/>
                          <w:right w:val="nil"/>
                        </w:tcBorders>
                        <w:shd w:val="clear" w:color="auto" w:fill="auto"/>
                        <w:noWrap/>
                        <w:vAlign w:val="bottom"/>
                        <w:hideMark/>
                      </w:tcPr>
                      <w:p w:rsidR="00ED2F52" w:rsidRPr="00ED2F52" w:rsidP="00ED2F52" w14:paraId="69335D15" w14:textId="77777777">
                        <w:pPr>
                          <w:rPr>
                            <w:sz w:val="20"/>
                          </w:rPr>
                        </w:pPr>
                      </w:p>
                    </w:tc>
                    <w:tc>
                      <w:tcPr>
                        <w:tcW w:w="1260" w:type="dxa"/>
                        <w:tcBorders>
                          <w:top w:val="nil"/>
                          <w:left w:val="nil"/>
                          <w:bottom w:val="nil"/>
                          <w:right w:val="nil"/>
                        </w:tcBorders>
                        <w:shd w:val="clear" w:color="auto" w:fill="auto"/>
                        <w:noWrap/>
                        <w:vAlign w:val="bottom"/>
                        <w:hideMark/>
                      </w:tcPr>
                      <w:p w:rsidR="00ED2F52" w:rsidRPr="00ED2F52" w:rsidP="00ED2F52" w14:paraId="7286D953" w14:textId="77777777">
                        <w:pPr>
                          <w:rPr>
                            <w:sz w:val="20"/>
                          </w:rPr>
                        </w:pPr>
                      </w:p>
                    </w:tc>
                    <w:tc>
                      <w:tcPr>
                        <w:tcW w:w="1260" w:type="dxa"/>
                        <w:tcBorders>
                          <w:top w:val="nil"/>
                          <w:left w:val="nil"/>
                          <w:bottom w:val="nil"/>
                          <w:right w:val="nil"/>
                        </w:tcBorders>
                        <w:shd w:val="clear" w:color="auto" w:fill="auto"/>
                        <w:noWrap/>
                        <w:vAlign w:val="bottom"/>
                        <w:hideMark/>
                      </w:tcPr>
                      <w:p w:rsidR="00ED2F52" w:rsidRPr="00ED2F52" w:rsidP="00ED2F52" w14:paraId="3A4C382B" w14:textId="77777777">
                        <w:pPr>
                          <w:rPr>
                            <w:sz w:val="20"/>
                          </w:rPr>
                        </w:pPr>
                      </w:p>
                    </w:tc>
                  </w:tr>
                  <w:tr w14:paraId="27A9F495" w14:textId="77777777" w:rsidTr="00ED2F52">
                    <w:tblPrEx>
                      <w:tblW w:w="12800" w:type="dxa"/>
                      <w:tblLayout w:type="fixed"/>
                      <w:tblLook w:val="04A0"/>
                    </w:tblPrEx>
                    <w:trPr>
                      <w:trHeight w:val="260"/>
                    </w:trPr>
                    <w:tc>
                      <w:tcPr>
                        <w:tcW w:w="12800" w:type="dxa"/>
                        <w:gridSpan w:val="9"/>
                        <w:tcBorders>
                          <w:top w:val="nil"/>
                          <w:left w:val="nil"/>
                          <w:bottom w:val="nil"/>
                          <w:right w:val="nil"/>
                        </w:tcBorders>
                        <w:shd w:val="clear" w:color="auto" w:fill="auto"/>
                        <w:vAlign w:val="center"/>
                        <w:hideMark/>
                      </w:tcPr>
                      <w:p w:rsidR="00ED2F52" w:rsidRPr="00ED2F52" w:rsidP="00ED2F52" w14:paraId="206A4370" w14:textId="77777777">
                        <w:pPr>
                          <w:rPr>
                            <w:color w:val="000000"/>
                            <w:sz w:val="20"/>
                          </w:rPr>
                        </w:pPr>
                        <w:r w:rsidRPr="00ED2F52">
                          <w:rPr>
                            <w:color w:val="000000"/>
                            <w:sz w:val="20"/>
                            <w:vertAlign w:val="superscript"/>
                          </w:rPr>
                          <w:t>a</w:t>
                        </w:r>
                        <w:r w:rsidRPr="00ED2F52">
                          <w:rPr>
                            <w:color w:val="000000"/>
                            <w:sz w:val="20"/>
                          </w:rPr>
                          <w:t xml:space="preserve">  We have assumed that there are approximately 80 affected municipal waste combustors (MWCs).</w:t>
                        </w:r>
                      </w:p>
                    </w:tc>
                  </w:tr>
                  <w:tr w14:paraId="5813D616" w14:textId="77777777" w:rsidTr="00ED2F52">
                    <w:tblPrEx>
                      <w:tblW w:w="12800" w:type="dxa"/>
                      <w:tblLayout w:type="fixed"/>
                      <w:tblLook w:val="04A0"/>
                    </w:tblPrEx>
                    <w:trPr>
                      <w:trHeight w:val="1453"/>
                    </w:trPr>
                    <w:tc>
                      <w:tcPr>
                        <w:tcW w:w="12800" w:type="dxa"/>
                        <w:gridSpan w:val="9"/>
                        <w:tcBorders>
                          <w:top w:val="nil"/>
                          <w:left w:val="nil"/>
                          <w:bottom w:val="nil"/>
                          <w:right w:val="nil"/>
                        </w:tcBorders>
                        <w:shd w:val="clear" w:color="auto" w:fill="auto"/>
                        <w:vAlign w:val="bottom"/>
                        <w:hideMark/>
                      </w:tcPr>
                      <w:p w:rsidR="00ED2F52" w:rsidRPr="00ED2F52" w:rsidP="00ED2F52" w14:paraId="3E18CA40" w14:textId="77777777">
                        <w:pPr>
                          <w:rPr>
                            <w:color w:val="000000"/>
                            <w:sz w:val="20"/>
                          </w:rPr>
                        </w:pPr>
                        <w:r w:rsidRPr="00ED2F52">
                          <w:rPr>
                            <w:color w:val="000000"/>
                            <w:sz w:val="20"/>
                            <w:vertAlign w:val="superscript"/>
                          </w:rPr>
                          <w:t>b</w:t>
                        </w:r>
                        <w:r w:rsidRPr="00ED2F52">
                          <w:rPr>
                            <w:color w:val="000000"/>
                            <w:sz w:val="20"/>
                          </w:rPr>
                          <w:t xml:space="preserve">  This ICR uses the following labor rates: $161.62 per hour for Executive, Administrative, and Managerial labor; $127.68 per hour for Technical labor, and $64.22 per hour for Clerical labor.  These rates are from the United States Department of Labor, Bureau of Labor Statistics, June 2022, “Table 2. Civilian Workers, by Occupational and Industry group.”  The rates are from column 1, “Total Compensation.”  The rates have been increased by 110 percent to account for the benefit packages available to those employed by private industry.  Archived report releases can be accessed from https://www.bls.gov/bls/news-release/ecec.htm#2021;  from homepage, select Economic Releases, Archived News Releases, Employer Costs for Employee Compensation, Select a past year, Select a published report.</w:t>
                        </w:r>
                      </w:p>
                    </w:tc>
                  </w:tr>
                  <w:tr w14:paraId="4C66D08F" w14:textId="77777777" w:rsidTr="00ED2F52">
                    <w:tblPrEx>
                      <w:tblW w:w="12800" w:type="dxa"/>
                      <w:tblLayout w:type="fixed"/>
                      <w:tblLook w:val="04A0"/>
                    </w:tblPrEx>
                    <w:trPr>
                      <w:trHeight w:val="330"/>
                    </w:trPr>
                    <w:tc>
                      <w:tcPr>
                        <w:tcW w:w="12800" w:type="dxa"/>
                        <w:gridSpan w:val="9"/>
                        <w:tcBorders>
                          <w:top w:val="nil"/>
                          <w:left w:val="nil"/>
                          <w:bottom w:val="nil"/>
                          <w:right w:val="nil"/>
                        </w:tcBorders>
                        <w:shd w:val="clear" w:color="auto" w:fill="auto"/>
                        <w:vAlign w:val="center"/>
                        <w:hideMark/>
                      </w:tcPr>
                      <w:p w:rsidR="00ED2F52" w:rsidRPr="00ED2F52" w:rsidP="00ED2F52" w14:paraId="0C08E5DC" w14:textId="77777777">
                        <w:pPr>
                          <w:rPr>
                            <w:color w:val="000000"/>
                            <w:sz w:val="20"/>
                          </w:rPr>
                        </w:pPr>
                        <w:r w:rsidRPr="00ED2F52">
                          <w:rPr>
                            <w:color w:val="000000"/>
                            <w:sz w:val="20"/>
                            <w:vertAlign w:val="superscript"/>
                          </w:rPr>
                          <w:t>c</w:t>
                        </w:r>
                        <w:r w:rsidRPr="00ED2F52">
                          <w:rPr>
                            <w:color w:val="000000"/>
                            <w:sz w:val="20"/>
                          </w:rPr>
                          <w:t xml:space="preserve">  New MWCs test for NOx. We have assumed that 5 percent of respondents would repeat initial performance test due to failure.</w:t>
                        </w:r>
                      </w:p>
                    </w:tc>
                  </w:tr>
                  <w:tr w14:paraId="21F38C3D" w14:textId="77777777" w:rsidTr="00ED2F52">
                    <w:tblPrEx>
                      <w:tblW w:w="12800" w:type="dxa"/>
                      <w:tblLayout w:type="fixed"/>
                      <w:tblLook w:val="04A0"/>
                    </w:tblPrEx>
                    <w:trPr>
                      <w:trHeight w:val="493"/>
                    </w:trPr>
                    <w:tc>
                      <w:tcPr>
                        <w:tcW w:w="12800" w:type="dxa"/>
                        <w:gridSpan w:val="9"/>
                        <w:tcBorders>
                          <w:top w:val="nil"/>
                          <w:left w:val="nil"/>
                          <w:bottom w:val="nil"/>
                          <w:right w:val="nil"/>
                        </w:tcBorders>
                        <w:shd w:val="clear" w:color="auto" w:fill="auto"/>
                        <w:vAlign w:val="center"/>
                        <w:hideMark/>
                      </w:tcPr>
                      <w:p w:rsidR="00ED2F52" w:rsidRPr="00ED2F52" w:rsidP="00ED2F52" w14:paraId="1F5BDB2A" w14:textId="77777777">
                        <w:pPr>
                          <w:rPr>
                            <w:sz w:val="20"/>
                          </w:rPr>
                        </w:pPr>
                        <w:r w:rsidRPr="00ED2F52">
                          <w:rPr>
                            <w:sz w:val="20"/>
                            <w:vertAlign w:val="superscript"/>
                          </w:rPr>
                          <w:t>d</w:t>
                        </w:r>
                        <w:r w:rsidRPr="00ED2F52">
                          <w:rPr>
                            <w:sz w:val="20"/>
                          </w:rPr>
                          <w:t xml:space="preserve">  The rule requires existing MWCs to conduct an initial compliance test within 90 days from the installation of the pollution control equipment used to comply with the NOx emission limits. We have assumed that 5 percent of respondents would repeat annual performance test due to failure.</w:t>
                        </w:r>
                      </w:p>
                    </w:tc>
                  </w:tr>
                  <w:tr w14:paraId="1B765BAC" w14:textId="77777777" w:rsidTr="00ED2F52">
                    <w:tblPrEx>
                      <w:tblW w:w="12800" w:type="dxa"/>
                      <w:tblLayout w:type="fixed"/>
                      <w:tblLook w:val="04A0"/>
                    </w:tblPrEx>
                    <w:trPr>
                      <w:trHeight w:val="310"/>
                    </w:trPr>
                    <w:tc>
                      <w:tcPr>
                        <w:tcW w:w="12800" w:type="dxa"/>
                        <w:gridSpan w:val="9"/>
                        <w:tcBorders>
                          <w:top w:val="nil"/>
                          <w:left w:val="nil"/>
                          <w:bottom w:val="nil"/>
                          <w:right w:val="nil"/>
                        </w:tcBorders>
                        <w:shd w:val="clear" w:color="auto" w:fill="auto"/>
                        <w:noWrap/>
                        <w:vAlign w:val="center"/>
                        <w:hideMark/>
                      </w:tcPr>
                      <w:p w:rsidR="00ED2F52" w:rsidRPr="00ED2F52" w:rsidP="00ED2F52" w14:paraId="1757B98F" w14:textId="77777777">
                        <w:pPr>
                          <w:rPr>
                            <w:color w:val="000000"/>
                            <w:sz w:val="20"/>
                          </w:rPr>
                        </w:pPr>
                        <w:r w:rsidRPr="00ED2F52">
                          <w:rPr>
                            <w:color w:val="000000"/>
                            <w:sz w:val="20"/>
                            <w:vertAlign w:val="superscript"/>
                          </w:rPr>
                          <w:t>e</w:t>
                        </w:r>
                        <w:r w:rsidRPr="00ED2F52">
                          <w:rPr>
                            <w:color w:val="000000"/>
                            <w:sz w:val="20"/>
                          </w:rPr>
                          <w:t xml:space="preserve">  Calibration drift checks on the air flow sensor on the NOx CEMS or CPMS are performed daily. </w:t>
                        </w:r>
                      </w:p>
                    </w:tc>
                  </w:tr>
                  <w:tr w14:paraId="0720D5CE" w14:textId="77777777" w:rsidTr="00ED2F52">
                    <w:tblPrEx>
                      <w:tblW w:w="12800" w:type="dxa"/>
                      <w:tblLayout w:type="fixed"/>
                      <w:tblLook w:val="04A0"/>
                    </w:tblPrEx>
                    <w:trPr>
                      <w:trHeight w:val="320"/>
                    </w:trPr>
                    <w:tc>
                      <w:tcPr>
                        <w:tcW w:w="12800" w:type="dxa"/>
                        <w:gridSpan w:val="9"/>
                        <w:tcBorders>
                          <w:top w:val="nil"/>
                          <w:left w:val="nil"/>
                          <w:bottom w:val="nil"/>
                          <w:right w:val="nil"/>
                        </w:tcBorders>
                        <w:shd w:val="clear" w:color="auto" w:fill="auto"/>
                        <w:hideMark/>
                      </w:tcPr>
                      <w:p w:rsidR="00ED2F52" w:rsidRPr="00ED2F52" w:rsidP="00ED2F52" w14:paraId="26A79C38" w14:textId="77777777">
                        <w:pPr>
                          <w:rPr>
                            <w:color w:val="000000"/>
                            <w:sz w:val="20"/>
                          </w:rPr>
                        </w:pPr>
                        <w:r w:rsidRPr="00ED2F52">
                          <w:rPr>
                            <w:color w:val="000000"/>
                            <w:sz w:val="20"/>
                            <w:vertAlign w:val="superscript"/>
                          </w:rPr>
                          <w:t>f</w:t>
                        </w:r>
                        <w:r w:rsidRPr="00ED2F52">
                          <w:rPr>
                            <w:color w:val="000000"/>
                            <w:sz w:val="20"/>
                          </w:rPr>
                          <w:t xml:space="preserve">  Totals have been rounded to 3 significant figures.  Figures may not add exactly due to rounding.</w:t>
                        </w:r>
                      </w:p>
                    </w:tc>
                  </w:tr>
                  <w:tr w14:paraId="34D19C84" w14:textId="77777777" w:rsidTr="00ED2F52">
                    <w:tblPrEx>
                      <w:tblW w:w="12800" w:type="dxa"/>
                      <w:tblLayout w:type="fixed"/>
                      <w:tblLook w:val="04A0"/>
                    </w:tblPrEx>
                    <w:trPr>
                      <w:trHeight w:val="770"/>
                    </w:trPr>
                    <w:tc>
                      <w:tcPr>
                        <w:tcW w:w="12800" w:type="dxa"/>
                        <w:gridSpan w:val="9"/>
                        <w:tcBorders>
                          <w:top w:val="nil"/>
                          <w:left w:val="nil"/>
                          <w:bottom w:val="nil"/>
                          <w:right w:val="nil"/>
                        </w:tcBorders>
                        <w:shd w:val="clear" w:color="auto" w:fill="auto"/>
                        <w:hideMark/>
                      </w:tcPr>
                      <w:p w:rsidR="00ED2F52" w:rsidRPr="00ED2F52" w:rsidP="00ED2F52" w14:paraId="11B701ED" w14:textId="77777777">
                        <w:pPr>
                          <w:rPr>
                            <w:color w:val="000000"/>
                            <w:sz w:val="20"/>
                          </w:rPr>
                        </w:pPr>
                        <w:r w:rsidRPr="00ED2F52">
                          <w:rPr>
                            <w:color w:val="000000"/>
                            <w:sz w:val="20"/>
                            <w:vertAlign w:val="superscript"/>
                          </w:rPr>
                          <w:t>g</w:t>
                        </w:r>
                        <w:r w:rsidRPr="00ED2F52">
                          <w:rPr>
                            <w:color w:val="000000"/>
                            <w:sz w:val="20"/>
                          </w:rPr>
                          <w:t xml:space="preserve">  As described in EPA's final rule Non-EGU Sectors Technical Support Document, EPA conducted research on existing federal regulations, state RACTs and facility permits.  EPA research found 74 units are assumed to already be subject to NSPS (ie. NSPS subpart Eb) or state RACTs and are assumed to already have CEMS installed.  EPA research found 6 MWCs of the 80 affected units do not have existing controls.</w:t>
                        </w:r>
                      </w:p>
                    </w:tc>
                  </w:tr>
                </w:tbl>
                <w:p w:rsidR="00CD3BBE" w:rsidRPr="00273D70" w:rsidP="00CD3BBE" w14:paraId="473AE7CC" w14:textId="77777777">
                  <w:pPr>
                    <w:rPr>
                      <w:b/>
                      <w:bCs/>
                      <w:szCs w:val="24"/>
                    </w:rPr>
                  </w:pPr>
                </w:p>
                <w:p w:rsidR="00CD3BBE" w:rsidP="00CD3BBE" w14:paraId="39DB5440" w14:textId="4178C2C3">
                  <w:pPr>
                    <w:rPr>
                      <w:b/>
                      <w:bCs/>
                      <w:szCs w:val="24"/>
                    </w:rPr>
                  </w:pPr>
                  <w:r w:rsidRPr="00D17F6A">
                    <w:rPr>
                      <w:b/>
                      <w:bCs/>
                      <w:szCs w:val="24"/>
                    </w:rPr>
                    <w:t xml:space="preserve">Table </w:t>
                  </w:r>
                  <w:r>
                    <w:rPr>
                      <w:b/>
                      <w:bCs/>
                      <w:szCs w:val="24"/>
                    </w:rPr>
                    <w:t>18</w:t>
                  </w:r>
                  <w:r w:rsidRPr="00D17F6A">
                    <w:rPr>
                      <w:b/>
                      <w:bCs/>
                      <w:szCs w:val="24"/>
                    </w:rPr>
                    <w:t xml:space="preserve">: </w:t>
                  </w:r>
                  <w:r>
                    <w:rPr>
                      <w:b/>
                      <w:bCs/>
                      <w:szCs w:val="24"/>
                    </w:rPr>
                    <w:t xml:space="preserve">Annual </w:t>
                  </w:r>
                  <w:r w:rsidRPr="00D17F6A">
                    <w:rPr>
                      <w:b/>
                      <w:bCs/>
                      <w:szCs w:val="24"/>
                    </w:rPr>
                    <w:t xml:space="preserve">Respondent Burden and Cost – </w:t>
                  </w:r>
                  <w:r>
                    <w:rPr>
                      <w:b/>
                      <w:bCs/>
                      <w:szCs w:val="24"/>
                    </w:rPr>
                    <w:t>Solid Waste Combustors and Incinerators, Year 3</w:t>
                  </w:r>
                </w:p>
                <w:p w:rsidR="00E0299C" w:rsidP="00CD3BBE" w14:paraId="2B22A084" w14:textId="6A74AB16">
                  <w:pPr>
                    <w:rPr>
                      <w:b/>
                      <w:bCs/>
                      <w:szCs w:val="24"/>
                    </w:rPr>
                  </w:pPr>
                </w:p>
                <w:tbl>
                  <w:tblPr>
                    <w:tblW w:w="12660" w:type="dxa"/>
                    <w:tblLayout w:type="fixed"/>
                    <w:tblLook w:val="04A0"/>
                  </w:tblPr>
                  <w:tblGrid>
                    <w:gridCol w:w="2620"/>
                    <w:gridCol w:w="1120"/>
                    <w:gridCol w:w="1320"/>
                    <w:gridCol w:w="1160"/>
                    <w:gridCol w:w="1280"/>
                    <w:gridCol w:w="1160"/>
                    <w:gridCol w:w="1280"/>
                    <w:gridCol w:w="1260"/>
                    <w:gridCol w:w="1460"/>
                  </w:tblGrid>
                  <w:tr w14:paraId="7B9B3E75" w14:textId="77777777" w:rsidTr="00ED2F52">
                    <w:tblPrEx>
                      <w:tblW w:w="12660" w:type="dxa"/>
                      <w:tblLayout w:type="fixed"/>
                      <w:tblLook w:val="04A0"/>
                    </w:tblPrEx>
                    <w:trPr>
                      <w:trHeight w:val="260"/>
                    </w:trPr>
                    <w:tc>
                      <w:tcPr>
                        <w:tcW w:w="2620" w:type="dxa"/>
                        <w:tcBorders>
                          <w:top w:val="nil"/>
                          <w:left w:val="nil"/>
                          <w:bottom w:val="nil"/>
                          <w:right w:val="nil"/>
                        </w:tcBorders>
                        <w:shd w:val="clear" w:color="auto" w:fill="auto"/>
                        <w:noWrap/>
                        <w:vAlign w:val="bottom"/>
                        <w:hideMark/>
                      </w:tcPr>
                      <w:p w:rsidR="00ED2F52" w:rsidRPr="00ED2F52" w:rsidP="00ED2F52" w14:paraId="4AB7EEE0" w14:textId="77777777">
                        <w:pPr>
                          <w:rPr>
                            <w:b/>
                            <w:bCs/>
                            <w:color w:val="000000"/>
                            <w:szCs w:val="24"/>
                          </w:rPr>
                        </w:pPr>
                      </w:p>
                    </w:tc>
                    <w:tc>
                      <w:tcPr>
                        <w:tcW w:w="1120" w:type="dxa"/>
                        <w:tcBorders>
                          <w:top w:val="nil"/>
                          <w:left w:val="nil"/>
                          <w:bottom w:val="nil"/>
                          <w:right w:val="nil"/>
                        </w:tcBorders>
                        <w:shd w:val="clear" w:color="auto" w:fill="auto"/>
                        <w:noWrap/>
                        <w:vAlign w:val="bottom"/>
                        <w:hideMark/>
                      </w:tcPr>
                      <w:p w:rsidR="00ED2F52" w:rsidRPr="00ED2F52" w:rsidP="00ED2F52" w14:paraId="0D53F094" w14:textId="77777777">
                        <w:pPr>
                          <w:rPr>
                            <w:sz w:val="20"/>
                          </w:rPr>
                        </w:pPr>
                      </w:p>
                    </w:tc>
                    <w:tc>
                      <w:tcPr>
                        <w:tcW w:w="1320" w:type="dxa"/>
                        <w:tcBorders>
                          <w:top w:val="nil"/>
                          <w:left w:val="nil"/>
                          <w:bottom w:val="nil"/>
                          <w:right w:val="nil"/>
                        </w:tcBorders>
                        <w:shd w:val="clear" w:color="auto" w:fill="auto"/>
                        <w:noWrap/>
                        <w:vAlign w:val="bottom"/>
                        <w:hideMark/>
                      </w:tcPr>
                      <w:p w:rsidR="00ED2F52" w:rsidRPr="00ED2F52" w:rsidP="00ED2F52" w14:paraId="68411223" w14:textId="77777777">
                        <w:pPr>
                          <w:rPr>
                            <w:sz w:val="20"/>
                          </w:rPr>
                        </w:pPr>
                      </w:p>
                    </w:tc>
                    <w:tc>
                      <w:tcPr>
                        <w:tcW w:w="1160" w:type="dxa"/>
                        <w:tcBorders>
                          <w:top w:val="nil"/>
                          <w:left w:val="nil"/>
                          <w:bottom w:val="nil"/>
                          <w:right w:val="nil"/>
                        </w:tcBorders>
                        <w:shd w:val="clear" w:color="auto" w:fill="auto"/>
                        <w:noWrap/>
                        <w:vAlign w:val="bottom"/>
                        <w:hideMark/>
                      </w:tcPr>
                      <w:p w:rsidR="00ED2F52" w:rsidRPr="00ED2F52" w:rsidP="00ED2F52" w14:paraId="2361C7A5" w14:textId="77777777">
                        <w:pPr>
                          <w:rPr>
                            <w:sz w:val="20"/>
                          </w:rPr>
                        </w:pPr>
                      </w:p>
                    </w:tc>
                    <w:tc>
                      <w:tcPr>
                        <w:tcW w:w="1280" w:type="dxa"/>
                        <w:tcBorders>
                          <w:top w:val="nil"/>
                          <w:left w:val="nil"/>
                          <w:bottom w:val="nil"/>
                          <w:right w:val="nil"/>
                        </w:tcBorders>
                        <w:shd w:val="clear" w:color="auto" w:fill="auto"/>
                        <w:noWrap/>
                        <w:vAlign w:val="bottom"/>
                        <w:hideMark/>
                      </w:tcPr>
                      <w:p w:rsidR="00ED2F52" w:rsidRPr="00ED2F52" w:rsidP="00ED2F52" w14:paraId="7934D33D" w14:textId="77777777">
                        <w:pPr>
                          <w:rPr>
                            <w:sz w:val="20"/>
                          </w:rPr>
                        </w:pPr>
                      </w:p>
                    </w:tc>
                    <w:tc>
                      <w:tcPr>
                        <w:tcW w:w="1160" w:type="dxa"/>
                        <w:tcBorders>
                          <w:top w:val="nil"/>
                          <w:left w:val="nil"/>
                          <w:bottom w:val="nil"/>
                          <w:right w:val="nil"/>
                        </w:tcBorders>
                        <w:shd w:val="clear" w:color="auto" w:fill="auto"/>
                        <w:noWrap/>
                        <w:vAlign w:val="bottom"/>
                        <w:hideMark/>
                      </w:tcPr>
                      <w:p w:rsidR="00ED2F52" w:rsidRPr="00ED2F52" w:rsidP="00ED2F52" w14:paraId="7A98C43E" w14:textId="77777777">
                        <w:pPr>
                          <w:rPr>
                            <w:sz w:val="20"/>
                          </w:rPr>
                        </w:pPr>
                      </w:p>
                    </w:tc>
                    <w:tc>
                      <w:tcPr>
                        <w:tcW w:w="1280" w:type="dxa"/>
                        <w:tcBorders>
                          <w:top w:val="nil"/>
                          <w:left w:val="nil"/>
                          <w:bottom w:val="nil"/>
                          <w:right w:val="nil"/>
                        </w:tcBorders>
                        <w:shd w:val="clear" w:color="auto" w:fill="auto"/>
                        <w:noWrap/>
                        <w:vAlign w:val="bottom"/>
                        <w:hideMark/>
                      </w:tcPr>
                      <w:p w:rsidR="00ED2F52" w:rsidRPr="00ED2F52" w:rsidP="00ED2F52" w14:paraId="51AD6CBE" w14:textId="77777777">
                        <w:pPr>
                          <w:rPr>
                            <w:sz w:val="20"/>
                          </w:rPr>
                        </w:pPr>
                      </w:p>
                    </w:tc>
                    <w:tc>
                      <w:tcPr>
                        <w:tcW w:w="1260" w:type="dxa"/>
                        <w:tcBorders>
                          <w:top w:val="nil"/>
                          <w:left w:val="nil"/>
                          <w:bottom w:val="nil"/>
                          <w:right w:val="nil"/>
                        </w:tcBorders>
                        <w:shd w:val="clear" w:color="auto" w:fill="auto"/>
                        <w:noWrap/>
                        <w:vAlign w:val="bottom"/>
                        <w:hideMark/>
                      </w:tcPr>
                      <w:p w:rsidR="00ED2F52" w:rsidRPr="00ED2F52" w:rsidP="00ED2F52" w14:paraId="0531965C" w14:textId="77777777">
                        <w:pPr>
                          <w:rPr>
                            <w:sz w:val="20"/>
                          </w:rPr>
                        </w:pPr>
                      </w:p>
                    </w:tc>
                    <w:tc>
                      <w:tcPr>
                        <w:tcW w:w="1460" w:type="dxa"/>
                        <w:tcBorders>
                          <w:top w:val="nil"/>
                          <w:left w:val="nil"/>
                          <w:bottom w:val="nil"/>
                          <w:right w:val="nil"/>
                        </w:tcBorders>
                        <w:shd w:val="clear" w:color="auto" w:fill="auto"/>
                        <w:noWrap/>
                        <w:vAlign w:val="bottom"/>
                        <w:hideMark/>
                      </w:tcPr>
                      <w:p w:rsidR="00ED2F52" w:rsidRPr="00ED2F52" w:rsidP="00ED2F52" w14:paraId="5A61F906" w14:textId="77777777">
                        <w:pPr>
                          <w:rPr>
                            <w:sz w:val="20"/>
                          </w:rPr>
                        </w:pPr>
                      </w:p>
                    </w:tc>
                  </w:tr>
                  <w:tr w14:paraId="186A6B72" w14:textId="77777777" w:rsidTr="00ED2F52">
                    <w:tblPrEx>
                      <w:tblW w:w="12660" w:type="dxa"/>
                      <w:tblLayout w:type="fixed"/>
                      <w:tblLook w:val="04A0"/>
                    </w:tblPrEx>
                    <w:trPr>
                      <w:trHeight w:val="1300"/>
                    </w:trPr>
                    <w:tc>
                      <w:tcPr>
                        <w:tcW w:w="2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2F52" w:rsidRPr="00ED2F52" w:rsidP="00ED2F52" w14:paraId="0DB80232" w14:textId="77777777">
                        <w:pPr>
                          <w:jc w:val="center"/>
                          <w:rPr>
                            <w:b/>
                            <w:bCs/>
                            <w:color w:val="000000"/>
                            <w:sz w:val="20"/>
                          </w:rPr>
                        </w:pPr>
                        <w:r w:rsidRPr="00ED2F52">
                          <w:rPr>
                            <w:b/>
                            <w:bCs/>
                            <w:color w:val="000000"/>
                            <w:sz w:val="20"/>
                          </w:rPr>
                          <w:t>Burden Item</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6738FD05" w14:textId="77777777">
                        <w:pPr>
                          <w:jc w:val="center"/>
                          <w:rPr>
                            <w:color w:val="000000"/>
                            <w:sz w:val="20"/>
                          </w:rPr>
                        </w:pPr>
                        <w:r w:rsidRPr="00ED2F52">
                          <w:rPr>
                            <w:color w:val="000000"/>
                            <w:sz w:val="20"/>
                          </w:rPr>
                          <w:t>(A)</w:t>
                        </w:r>
                        <w:r w:rsidRPr="00ED2F52">
                          <w:rPr>
                            <w:color w:val="000000"/>
                            <w:sz w:val="20"/>
                          </w:rPr>
                          <w:br/>
                        </w:r>
                        <w:r w:rsidRPr="00ED2F52">
                          <w:rPr>
                            <w:color w:val="000000"/>
                            <w:sz w:val="20"/>
                          </w:rPr>
                          <w:t>Hours per Occurrence</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104FA640" w14:textId="77777777">
                        <w:pPr>
                          <w:jc w:val="center"/>
                          <w:rPr>
                            <w:sz w:val="20"/>
                          </w:rPr>
                        </w:pPr>
                        <w:r w:rsidRPr="00ED2F52">
                          <w:rPr>
                            <w:sz w:val="20"/>
                          </w:rPr>
                          <w:t>(B)</w:t>
                        </w:r>
                        <w:r w:rsidRPr="00ED2F52">
                          <w:rPr>
                            <w:sz w:val="20"/>
                          </w:rPr>
                          <w:br/>
                        </w:r>
                        <w:r w:rsidRPr="00ED2F52">
                          <w:rPr>
                            <w:sz w:val="20"/>
                          </w:rPr>
                          <w:t>Occurrences/ Respondent/ Year</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5AA99B46" w14:textId="77777777">
                        <w:pPr>
                          <w:jc w:val="center"/>
                          <w:rPr>
                            <w:color w:val="000000"/>
                            <w:sz w:val="20"/>
                          </w:rPr>
                        </w:pPr>
                        <w:r w:rsidRPr="00ED2F52">
                          <w:rPr>
                            <w:color w:val="000000"/>
                            <w:sz w:val="20"/>
                          </w:rPr>
                          <w:t>(C)</w:t>
                        </w:r>
                        <w:r w:rsidRPr="00ED2F52">
                          <w:rPr>
                            <w:color w:val="000000"/>
                            <w:sz w:val="20"/>
                          </w:rPr>
                          <w:br/>
                        </w:r>
                        <w:r w:rsidRPr="00ED2F52">
                          <w:rPr>
                            <w:color w:val="000000"/>
                            <w:sz w:val="20"/>
                          </w:rPr>
                          <w:t xml:space="preserve">Hours/ Respondent/ Year </w:t>
                        </w:r>
                        <w:r w:rsidRPr="00ED2F52">
                          <w:rPr>
                            <w:color w:val="000000"/>
                            <w:sz w:val="20"/>
                          </w:rPr>
                          <w:br/>
                        </w:r>
                        <w:r w:rsidRPr="00ED2F52">
                          <w:rPr>
                            <w:color w:val="000000"/>
                            <w:sz w:val="20"/>
                          </w:rPr>
                          <w:t>(A x B)</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37B6A4D9" w14:textId="77777777">
                        <w:pPr>
                          <w:jc w:val="center"/>
                          <w:rPr>
                            <w:sz w:val="20"/>
                          </w:rPr>
                        </w:pPr>
                        <w:r w:rsidRPr="00ED2F52">
                          <w:rPr>
                            <w:sz w:val="20"/>
                          </w:rPr>
                          <w:t>(D)</w:t>
                        </w:r>
                        <w:r w:rsidRPr="00ED2F52">
                          <w:rPr>
                            <w:sz w:val="20"/>
                          </w:rPr>
                          <w:br/>
                        </w:r>
                        <w:r w:rsidRPr="00ED2F52">
                          <w:rPr>
                            <w:sz w:val="20"/>
                          </w:rPr>
                          <w:t>Respondents/</w:t>
                        </w:r>
                        <w:r w:rsidRPr="00ED2F52">
                          <w:rPr>
                            <w:sz w:val="20"/>
                          </w:rPr>
                          <w:br/>
                        </w:r>
                        <w:r w:rsidRPr="00ED2F52">
                          <w:rPr>
                            <w:sz w:val="20"/>
                          </w:rPr>
                          <w:t>Year</w:t>
                        </w:r>
                        <w:r w:rsidRPr="00ED2F52">
                          <w:rPr>
                            <w:sz w:val="20"/>
                            <w:vertAlign w:val="superscript"/>
                          </w:rPr>
                          <w:t>a</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74DED931" w14:textId="77777777">
                        <w:pPr>
                          <w:jc w:val="center"/>
                          <w:rPr>
                            <w:color w:val="000000"/>
                            <w:sz w:val="20"/>
                          </w:rPr>
                        </w:pPr>
                        <w:r w:rsidRPr="00ED2F52">
                          <w:rPr>
                            <w:color w:val="000000"/>
                            <w:sz w:val="20"/>
                          </w:rPr>
                          <w:t>(E)</w:t>
                        </w:r>
                        <w:r w:rsidRPr="00ED2F52">
                          <w:rPr>
                            <w:color w:val="000000"/>
                            <w:sz w:val="20"/>
                          </w:rPr>
                          <w:br/>
                        </w:r>
                        <w:r w:rsidRPr="00ED2F52">
                          <w:rPr>
                            <w:color w:val="000000"/>
                            <w:sz w:val="20"/>
                          </w:rPr>
                          <w:t xml:space="preserve">Technical Hours/Year </w:t>
                        </w:r>
                        <w:r w:rsidRPr="00ED2F52">
                          <w:rPr>
                            <w:color w:val="000000"/>
                            <w:sz w:val="20"/>
                          </w:rPr>
                          <w:br/>
                        </w:r>
                        <w:r w:rsidRPr="00ED2F52">
                          <w:rPr>
                            <w:color w:val="000000"/>
                            <w:sz w:val="20"/>
                          </w:rPr>
                          <w:t>(C x D)</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243F2E21" w14:textId="77777777">
                        <w:pPr>
                          <w:jc w:val="center"/>
                          <w:rPr>
                            <w:color w:val="000000"/>
                            <w:sz w:val="20"/>
                          </w:rPr>
                        </w:pPr>
                        <w:r w:rsidRPr="00ED2F52">
                          <w:rPr>
                            <w:color w:val="000000"/>
                            <w:sz w:val="20"/>
                          </w:rPr>
                          <w:t xml:space="preserve">(F) Managerial Hours/Year </w:t>
                        </w:r>
                        <w:r w:rsidRPr="00ED2F52">
                          <w:rPr>
                            <w:color w:val="000000"/>
                            <w:sz w:val="20"/>
                          </w:rPr>
                          <w:br/>
                        </w:r>
                        <w:r w:rsidRPr="00ED2F52">
                          <w:rPr>
                            <w:color w:val="000000"/>
                            <w:sz w:val="20"/>
                          </w:rPr>
                          <w:t>(E x 0.05)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26D96F3F" w14:textId="77777777">
                        <w:pPr>
                          <w:jc w:val="center"/>
                          <w:rPr>
                            <w:color w:val="000000"/>
                            <w:sz w:val="20"/>
                          </w:rPr>
                        </w:pPr>
                        <w:r w:rsidRPr="00ED2F52">
                          <w:rPr>
                            <w:color w:val="000000"/>
                            <w:sz w:val="20"/>
                          </w:rPr>
                          <w:t xml:space="preserve">(G) </w:t>
                        </w:r>
                        <w:r w:rsidRPr="00ED2F52">
                          <w:rPr>
                            <w:color w:val="000000"/>
                            <w:sz w:val="20"/>
                          </w:rPr>
                          <w:br/>
                        </w:r>
                        <w:r w:rsidRPr="00ED2F52">
                          <w:rPr>
                            <w:color w:val="000000"/>
                            <w:sz w:val="20"/>
                          </w:rPr>
                          <w:t xml:space="preserve">Clerical Hours/Year </w:t>
                        </w:r>
                        <w:r w:rsidRPr="00ED2F52">
                          <w:rPr>
                            <w:color w:val="000000"/>
                            <w:sz w:val="20"/>
                          </w:rPr>
                          <w:br/>
                        </w:r>
                        <w:r w:rsidRPr="00ED2F52">
                          <w:rPr>
                            <w:color w:val="000000"/>
                            <w:sz w:val="20"/>
                          </w:rPr>
                          <w:t>(E x 0.10)</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7E8D93C2" w14:textId="77777777">
                        <w:pPr>
                          <w:jc w:val="center"/>
                          <w:rPr>
                            <w:color w:val="000000"/>
                            <w:sz w:val="20"/>
                          </w:rPr>
                        </w:pPr>
                        <w:r w:rsidRPr="00ED2F52">
                          <w:rPr>
                            <w:color w:val="000000"/>
                            <w:sz w:val="20"/>
                          </w:rPr>
                          <w:t>(H)</w:t>
                        </w:r>
                        <w:r w:rsidRPr="00ED2F52">
                          <w:rPr>
                            <w:color w:val="000000"/>
                            <w:sz w:val="20"/>
                          </w:rPr>
                          <w:br/>
                        </w:r>
                        <w:r w:rsidRPr="00ED2F52">
                          <w:rPr>
                            <w:color w:val="000000"/>
                            <w:sz w:val="20"/>
                          </w:rPr>
                          <w:t>Cost/ Year</w:t>
                        </w:r>
                        <w:r w:rsidRPr="00ED2F52">
                          <w:rPr>
                            <w:color w:val="000000"/>
                            <w:sz w:val="20"/>
                            <w:vertAlign w:val="superscript"/>
                          </w:rPr>
                          <w:t>b</w:t>
                        </w:r>
                      </w:p>
                    </w:tc>
                  </w:tr>
                  <w:tr w14:paraId="625A1D92" w14:textId="77777777" w:rsidTr="00ED2F52">
                    <w:tblPrEx>
                      <w:tblW w:w="12660" w:type="dxa"/>
                      <w:tblLayout w:type="fixed"/>
                      <w:tblLook w:val="04A0"/>
                    </w:tblPrEx>
                    <w:trPr>
                      <w:trHeight w:val="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45A8B288" w14:textId="77777777">
                        <w:pPr>
                          <w:rPr>
                            <w:color w:val="000000"/>
                            <w:sz w:val="20"/>
                          </w:rPr>
                        </w:pPr>
                        <w:r w:rsidRPr="00ED2F52">
                          <w:rPr>
                            <w:color w:val="000000"/>
                            <w:sz w:val="20"/>
                          </w:rPr>
                          <w:t xml:space="preserve">1. APPLICATIONS </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73D5D522" w14:textId="77777777">
                        <w:pPr>
                          <w:jc w:val="center"/>
                          <w:rPr>
                            <w:color w:val="000000"/>
                            <w:sz w:val="20"/>
                          </w:rPr>
                        </w:pPr>
                        <w:r w:rsidRPr="00ED2F52">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6D5E6F5C"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AE31FEB"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64C722E"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4DC5398F"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23DFD8A"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3F3461C3" w14:textId="77777777">
                        <w:pPr>
                          <w:jc w:val="right"/>
                          <w:rPr>
                            <w:color w:val="000000"/>
                            <w:sz w:val="20"/>
                          </w:rPr>
                        </w:pPr>
                        <w:r w:rsidRPr="00ED2F52">
                          <w:rPr>
                            <w:color w:val="000000"/>
                            <w:sz w:val="20"/>
                          </w:rPr>
                          <w:t> </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57974C62" w14:textId="77777777">
                        <w:pPr>
                          <w:jc w:val="right"/>
                          <w:rPr>
                            <w:color w:val="000000"/>
                            <w:sz w:val="20"/>
                          </w:rPr>
                        </w:pPr>
                        <w:r w:rsidRPr="00ED2F52">
                          <w:rPr>
                            <w:color w:val="000000"/>
                            <w:sz w:val="20"/>
                          </w:rPr>
                          <w:t> </w:t>
                        </w:r>
                      </w:p>
                    </w:tc>
                  </w:tr>
                  <w:tr w14:paraId="4A9CC4B9" w14:textId="77777777" w:rsidTr="00ED2F52">
                    <w:tblPrEx>
                      <w:tblW w:w="12660" w:type="dxa"/>
                      <w:tblLayout w:type="fixed"/>
                      <w:tblLook w:val="04A0"/>
                    </w:tblPrEx>
                    <w:trPr>
                      <w:trHeight w:val="83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362D5F4E" w14:textId="77777777">
                        <w:pPr>
                          <w:rPr>
                            <w:color w:val="000000"/>
                            <w:sz w:val="20"/>
                          </w:rPr>
                        </w:pPr>
                        <w:r w:rsidRPr="00ED2F52">
                          <w:rPr>
                            <w:color w:val="000000"/>
                            <w:sz w:val="20"/>
                          </w:rPr>
                          <w:t xml:space="preserve">2. SURVEY AND STUDIES </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05ADF115" w14:textId="77777777">
                        <w:pPr>
                          <w:jc w:val="center"/>
                          <w:rPr>
                            <w:color w:val="000000"/>
                            <w:sz w:val="20"/>
                          </w:rPr>
                        </w:pPr>
                        <w:r w:rsidRPr="00ED2F52">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7D065983"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77A50134"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102C2998"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9446FE2"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184E567"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2617205" w14:textId="77777777">
                        <w:pPr>
                          <w:jc w:val="right"/>
                          <w:rPr>
                            <w:color w:val="000000"/>
                            <w:sz w:val="20"/>
                          </w:rPr>
                        </w:pPr>
                        <w:r w:rsidRPr="00ED2F52">
                          <w:rPr>
                            <w:color w:val="000000"/>
                            <w:sz w:val="20"/>
                          </w:rPr>
                          <w:t> </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6F5FD5DF" w14:textId="77777777">
                        <w:pPr>
                          <w:jc w:val="right"/>
                          <w:rPr>
                            <w:color w:val="000000"/>
                            <w:sz w:val="20"/>
                          </w:rPr>
                        </w:pPr>
                        <w:r w:rsidRPr="00ED2F52">
                          <w:rPr>
                            <w:color w:val="000000"/>
                            <w:sz w:val="20"/>
                          </w:rPr>
                          <w:t> </w:t>
                        </w:r>
                      </w:p>
                    </w:tc>
                  </w:tr>
                  <w:tr w14:paraId="0EFAB3BC" w14:textId="77777777" w:rsidTr="00ED2F52">
                    <w:tblPrEx>
                      <w:tblW w:w="12660" w:type="dxa"/>
                      <w:tblLayout w:type="fixed"/>
                      <w:tblLook w:val="04A0"/>
                    </w:tblPrEx>
                    <w:trPr>
                      <w:trHeight w:val="110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7B33CF96" w14:textId="77777777">
                        <w:pPr>
                          <w:rPr>
                            <w:color w:val="000000"/>
                            <w:sz w:val="20"/>
                          </w:rPr>
                        </w:pPr>
                        <w:r w:rsidRPr="00ED2F52">
                          <w:rPr>
                            <w:color w:val="000000"/>
                            <w:sz w:val="20"/>
                          </w:rPr>
                          <w:t>3.ACQUISITION, INSTALLATION, AND UTILIZATION OF TECHNOLOGY AND SYSTEMS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0DAF9A4B"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24BED8D5"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489135F3"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05CF8B90"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629D674"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0E14CA07"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4E9736A0" w14:textId="77777777">
                        <w:pPr>
                          <w:jc w:val="center"/>
                          <w:rPr>
                            <w:color w:val="000000"/>
                            <w:sz w:val="20"/>
                          </w:rPr>
                        </w:pPr>
                        <w:r w:rsidRPr="00ED2F52">
                          <w:rPr>
                            <w:color w:val="000000"/>
                            <w:sz w:val="20"/>
                          </w:rPr>
                          <w:t>0</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1A1767ED" w14:textId="77777777">
                        <w:pPr>
                          <w:jc w:val="right"/>
                          <w:rPr>
                            <w:color w:val="000000"/>
                            <w:sz w:val="20"/>
                          </w:rPr>
                        </w:pPr>
                        <w:r w:rsidRPr="00ED2F52">
                          <w:rPr>
                            <w:color w:val="000000"/>
                            <w:sz w:val="20"/>
                          </w:rPr>
                          <w:t xml:space="preserve">$0 </w:t>
                        </w:r>
                      </w:p>
                    </w:tc>
                  </w:tr>
                  <w:tr w14:paraId="120CE0B2" w14:textId="77777777" w:rsidTr="00ED2F52">
                    <w:tblPrEx>
                      <w:tblW w:w="12660" w:type="dxa"/>
                      <w:tblLayout w:type="fixed"/>
                      <w:tblLook w:val="04A0"/>
                    </w:tblPrEx>
                    <w:trPr>
                      <w:trHeight w:val="5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42CDF575" w14:textId="77777777">
                        <w:pPr>
                          <w:rPr>
                            <w:color w:val="000000"/>
                            <w:sz w:val="20"/>
                          </w:rPr>
                        </w:pPr>
                        <w:r w:rsidRPr="00ED2F52">
                          <w:rPr>
                            <w:color w:val="000000"/>
                            <w:sz w:val="20"/>
                          </w:rPr>
                          <w:t>4. REPORT REQUIREMENTS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724E7240"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4681FEE8"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41CD54A"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612F248A"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6899A5DC"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697CE00E"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76AC71F1" w14:textId="77777777">
                        <w:pPr>
                          <w:jc w:val="center"/>
                          <w:rPr>
                            <w:color w:val="000000"/>
                            <w:sz w:val="20"/>
                          </w:rPr>
                        </w:pPr>
                        <w:r w:rsidRPr="00ED2F52">
                          <w:rPr>
                            <w:color w:val="000000"/>
                            <w:sz w:val="20"/>
                          </w:rPr>
                          <w:t> </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509C2A3A" w14:textId="77777777">
                        <w:pPr>
                          <w:jc w:val="right"/>
                          <w:rPr>
                            <w:color w:val="000000"/>
                            <w:sz w:val="20"/>
                          </w:rPr>
                        </w:pPr>
                        <w:r w:rsidRPr="00ED2F52">
                          <w:rPr>
                            <w:color w:val="000000"/>
                            <w:sz w:val="20"/>
                          </w:rPr>
                          <w:t> </w:t>
                        </w:r>
                      </w:p>
                    </w:tc>
                  </w:tr>
                  <w:tr w14:paraId="10B32AE6" w14:textId="77777777" w:rsidTr="00ED2F52">
                    <w:tblPrEx>
                      <w:tblW w:w="12660" w:type="dxa"/>
                      <w:tblLayout w:type="fixed"/>
                      <w:tblLook w:val="04A0"/>
                    </w:tblPrEx>
                    <w:trPr>
                      <w:trHeight w:val="104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1314B62D" w14:textId="77777777">
                        <w:pPr>
                          <w:rPr>
                            <w:color w:val="000000"/>
                            <w:sz w:val="20"/>
                          </w:rPr>
                        </w:pPr>
                        <w:r w:rsidRPr="00ED2F52">
                          <w:rPr>
                            <w:color w:val="000000"/>
                            <w:sz w:val="20"/>
                          </w:rPr>
                          <w:t xml:space="preserve">REQUEST FOR EXTENSION OF COMPLIANCE - Per 52.40(d);  (based on BACT analysis of 2020 NSR ICR) </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1C9DA7F4" w14:textId="77777777">
                        <w:pPr>
                          <w:jc w:val="center"/>
                          <w:rPr>
                            <w:color w:val="000000"/>
                            <w:sz w:val="20"/>
                          </w:rPr>
                        </w:pPr>
                        <w:r w:rsidRPr="00ED2F52">
                          <w:rPr>
                            <w:color w:val="000000"/>
                            <w:sz w:val="20"/>
                          </w:rPr>
                          <w:t>156</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6740F9AE" w14:textId="77777777">
                        <w:pPr>
                          <w:jc w:val="center"/>
                          <w:rPr>
                            <w:sz w:val="20"/>
                          </w:rPr>
                        </w:pPr>
                        <w:r w:rsidRPr="00ED2F52">
                          <w:rPr>
                            <w:sz w:val="20"/>
                          </w:rPr>
                          <w:t>1</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42B77156" w14:textId="77777777">
                        <w:pPr>
                          <w:jc w:val="center"/>
                          <w:rPr>
                            <w:color w:val="000000"/>
                            <w:sz w:val="20"/>
                          </w:rPr>
                        </w:pPr>
                        <w:r w:rsidRPr="00ED2F52">
                          <w:rPr>
                            <w:color w:val="000000"/>
                            <w:sz w:val="20"/>
                          </w:rPr>
                          <w:t>156</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1283C404" w14:textId="77777777">
                        <w:pPr>
                          <w:jc w:val="center"/>
                          <w:rPr>
                            <w:sz w:val="20"/>
                          </w:rPr>
                        </w:pPr>
                        <w:r w:rsidRPr="00ED2F52">
                          <w:rPr>
                            <w:sz w:val="20"/>
                          </w:rPr>
                          <w:t>0.8</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640383C6" w14:textId="77777777">
                        <w:pPr>
                          <w:jc w:val="center"/>
                          <w:rPr>
                            <w:color w:val="000000"/>
                            <w:sz w:val="20"/>
                          </w:rPr>
                        </w:pPr>
                        <w:r w:rsidRPr="00ED2F52">
                          <w:rPr>
                            <w:color w:val="000000"/>
                            <w:sz w:val="20"/>
                          </w:rPr>
                          <w:t>124.8</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75E33737" w14:textId="77777777">
                        <w:pPr>
                          <w:jc w:val="center"/>
                          <w:rPr>
                            <w:color w:val="000000"/>
                            <w:sz w:val="20"/>
                          </w:rPr>
                        </w:pPr>
                        <w:r w:rsidRPr="00ED2F52">
                          <w:rPr>
                            <w:color w:val="000000"/>
                            <w:sz w:val="20"/>
                          </w:rPr>
                          <w:t>6.24</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8CA3597" w14:textId="77777777">
                        <w:pPr>
                          <w:jc w:val="center"/>
                          <w:rPr>
                            <w:color w:val="000000"/>
                            <w:sz w:val="20"/>
                          </w:rPr>
                        </w:pPr>
                        <w:r w:rsidRPr="00ED2F52">
                          <w:rPr>
                            <w:color w:val="000000"/>
                            <w:sz w:val="20"/>
                          </w:rPr>
                          <w:t>12.48</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70769807" w14:textId="042D610E">
                        <w:pPr>
                          <w:jc w:val="right"/>
                          <w:rPr>
                            <w:color w:val="000000"/>
                            <w:sz w:val="20"/>
                          </w:rPr>
                        </w:pPr>
                        <w:r w:rsidRPr="00ED2F52">
                          <w:rPr>
                            <w:color w:val="000000"/>
                            <w:sz w:val="20"/>
                          </w:rPr>
                          <w:t xml:space="preserve">$17,744 </w:t>
                        </w:r>
                      </w:p>
                    </w:tc>
                  </w:tr>
                  <w:tr w14:paraId="2E587016" w14:textId="77777777" w:rsidTr="00ED2F52">
                    <w:tblPrEx>
                      <w:tblW w:w="12660" w:type="dxa"/>
                      <w:tblLayout w:type="fixed"/>
                      <w:tblLook w:val="04A0"/>
                    </w:tblPrEx>
                    <w:trPr>
                      <w:trHeight w:val="5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448171D3" w14:textId="77777777">
                        <w:pPr>
                          <w:rPr>
                            <w:color w:val="000000"/>
                            <w:sz w:val="20"/>
                          </w:rPr>
                        </w:pPr>
                        <w:r w:rsidRPr="00ED2F52">
                          <w:rPr>
                            <w:color w:val="000000"/>
                            <w:sz w:val="20"/>
                          </w:rPr>
                          <w:t>A. Familiarize with regulatory requirement</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34F8954D" w14:textId="77777777">
                        <w:pPr>
                          <w:jc w:val="center"/>
                          <w:rPr>
                            <w:color w:val="000000"/>
                            <w:sz w:val="20"/>
                          </w:rPr>
                        </w:pPr>
                        <w:r w:rsidRPr="00ED2F52">
                          <w:rPr>
                            <w:color w:val="000000"/>
                            <w:sz w:val="20"/>
                          </w:rPr>
                          <w:t>10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3F848928" w14:textId="77777777">
                        <w:pPr>
                          <w:jc w:val="center"/>
                          <w:rPr>
                            <w:sz w:val="20"/>
                          </w:rPr>
                        </w:pPr>
                        <w:r w:rsidRPr="00ED2F52">
                          <w:rPr>
                            <w:sz w:val="20"/>
                          </w:rPr>
                          <w:t>1</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A8EA9BB" w14:textId="77777777">
                        <w:pPr>
                          <w:jc w:val="center"/>
                          <w:rPr>
                            <w:color w:val="000000"/>
                            <w:sz w:val="20"/>
                          </w:rPr>
                        </w:pPr>
                        <w:r w:rsidRPr="00ED2F52">
                          <w:rPr>
                            <w:color w:val="000000"/>
                            <w:sz w:val="20"/>
                          </w:rPr>
                          <w:t>10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E1261D9" w14:textId="77777777">
                        <w:pPr>
                          <w:jc w:val="center"/>
                          <w:rPr>
                            <w:sz w:val="20"/>
                          </w:rPr>
                        </w:pPr>
                        <w:r w:rsidRPr="00ED2F52">
                          <w:rPr>
                            <w:sz w:val="20"/>
                          </w:rPr>
                          <w:t>80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12407F6D" w14:textId="77777777">
                        <w:pPr>
                          <w:jc w:val="center"/>
                          <w:rPr>
                            <w:color w:val="000000"/>
                            <w:sz w:val="20"/>
                          </w:rPr>
                        </w:pPr>
                        <w:r w:rsidRPr="00ED2F52">
                          <w:rPr>
                            <w:color w:val="000000"/>
                            <w:sz w:val="20"/>
                          </w:rPr>
                          <w:t>800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4F6537E9" w14:textId="77777777">
                        <w:pPr>
                          <w:jc w:val="center"/>
                          <w:rPr>
                            <w:color w:val="000000"/>
                            <w:sz w:val="20"/>
                          </w:rPr>
                        </w:pPr>
                        <w:r w:rsidRPr="00ED2F52">
                          <w:rPr>
                            <w:color w:val="000000"/>
                            <w:sz w:val="20"/>
                          </w:rPr>
                          <w:t>40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791ED223" w14:textId="77777777">
                        <w:pPr>
                          <w:jc w:val="center"/>
                          <w:rPr>
                            <w:color w:val="000000"/>
                            <w:sz w:val="20"/>
                          </w:rPr>
                        </w:pPr>
                        <w:r w:rsidRPr="00ED2F52">
                          <w:rPr>
                            <w:color w:val="000000"/>
                            <w:sz w:val="20"/>
                          </w:rPr>
                          <w:t>80</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2E708985" w14:textId="60ECCC56">
                        <w:pPr>
                          <w:jc w:val="right"/>
                          <w:rPr>
                            <w:color w:val="000000"/>
                            <w:sz w:val="20"/>
                          </w:rPr>
                        </w:pPr>
                        <w:r w:rsidRPr="00ED2F52">
                          <w:rPr>
                            <w:color w:val="000000"/>
                            <w:sz w:val="20"/>
                          </w:rPr>
                          <w:t xml:space="preserve">$113,746 </w:t>
                        </w:r>
                      </w:p>
                    </w:tc>
                  </w:tr>
                  <w:tr w14:paraId="6ADF41DC" w14:textId="77777777" w:rsidTr="00ED2F52">
                    <w:tblPrEx>
                      <w:tblW w:w="12660" w:type="dxa"/>
                      <w:tblLayout w:type="fixed"/>
                      <w:tblLook w:val="04A0"/>
                    </w:tblPrEx>
                    <w:trPr>
                      <w:trHeight w:val="315"/>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11D0BB62" w14:textId="77777777">
                        <w:pPr>
                          <w:rPr>
                            <w:color w:val="000000"/>
                            <w:sz w:val="20"/>
                          </w:rPr>
                        </w:pPr>
                        <w:r w:rsidRPr="00ED2F52">
                          <w:rPr>
                            <w:color w:val="000000"/>
                            <w:sz w:val="20"/>
                          </w:rPr>
                          <w:t>B. Required Activities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0FB16BB5"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247DAEB6"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4A43930"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B329B57"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4F7E1539"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33010386"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48F10106" w14:textId="77777777">
                        <w:pPr>
                          <w:jc w:val="center"/>
                          <w:rPr>
                            <w:color w:val="000000"/>
                            <w:sz w:val="20"/>
                          </w:rPr>
                        </w:pPr>
                        <w:r w:rsidRPr="00ED2F52">
                          <w:rPr>
                            <w:color w:val="000000"/>
                            <w:sz w:val="20"/>
                          </w:rPr>
                          <w:t> </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60C118BF" w14:textId="77777777">
                        <w:pPr>
                          <w:jc w:val="right"/>
                          <w:rPr>
                            <w:color w:val="000000"/>
                            <w:sz w:val="20"/>
                          </w:rPr>
                        </w:pPr>
                        <w:r w:rsidRPr="00ED2F52">
                          <w:rPr>
                            <w:color w:val="000000"/>
                            <w:sz w:val="20"/>
                          </w:rPr>
                          <w:t> </w:t>
                        </w:r>
                      </w:p>
                    </w:tc>
                  </w:tr>
                  <w:tr w14:paraId="738F45A7" w14:textId="77777777" w:rsidTr="00ED2F52">
                    <w:tblPrEx>
                      <w:tblW w:w="12660" w:type="dxa"/>
                      <w:tblLayout w:type="fixed"/>
                      <w:tblLook w:val="04A0"/>
                    </w:tblPrEx>
                    <w:trPr>
                      <w:trHeight w:val="31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11EE7309" w14:textId="77777777">
                        <w:pPr>
                          <w:rPr>
                            <w:i/>
                            <w:iCs/>
                            <w:color w:val="000000"/>
                            <w:sz w:val="20"/>
                          </w:rPr>
                        </w:pPr>
                        <w:r w:rsidRPr="00ED2F52">
                          <w:rPr>
                            <w:i/>
                            <w:iCs/>
                            <w:color w:val="000000"/>
                            <w:sz w:val="20"/>
                          </w:rPr>
                          <w:t xml:space="preserve">New Sources - Testing </w:t>
                        </w:r>
                        <w:r w:rsidRPr="00ED2F52">
                          <w:rPr>
                            <w:color w:val="000000"/>
                            <w:sz w:val="20"/>
                            <w:vertAlign w:val="superscript"/>
                          </w:rPr>
                          <w:t>c</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03BFD925"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71FA0EBF"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211498F8"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2E3D2502"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7AC17911"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6B4E7BFB"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3CF7414C" w14:textId="77777777">
                        <w:pPr>
                          <w:jc w:val="center"/>
                          <w:rPr>
                            <w:color w:val="000000"/>
                            <w:sz w:val="20"/>
                          </w:rPr>
                        </w:pPr>
                        <w:r w:rsidRPr="00ED2F52">
                          <w:rPr>
                            <w:color w:val="000000"/>
                            <w:sz w:val="20"/>
                          </w:rPr>
                          <w:t> </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7490D6D9" w14:textId="77777777">
                        <w:pPr>
                          <w:jc w:val="right"/>
                          <w:rPr>
                            <w:color w:val="000000"/>
                            <w:sz w:val="20"/>
                          </w:rPr>
                        </w:pPr>
                        <w:r w:rsidRPr="00ED2F52">
                          <w:rPr>
                            <w:color w:val="000000"/>
                            <w:sz w:val="20"/>
                          </w:rPr>
                          <w:t> </w:t>
                        </w:r>
                      </w:p>
                    </w:tc>
                  </w:tr>
                  <w:tr w14:paraId="2D99CCF4" w14:textId="77777777" w:rsidTr="00B945B1">
                    <w:tblPrEx>
                      <w:tblW w:w="12660" w:type="dxa"/>
                      <w:tblLayout w:type="fixed"/>
                      <w:tblLook w:val="04A0"/>
                    </w:tblPrEx>
                    <w:trPr>
                      <w:trHeight w:val="562"/>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5A701D90" w14:textId="77777777">
                        <w:pPr>
                          <w:rPr>
                            <w:sz w:val="20"/>
                          </w:rPr>
                        </w:pPr>
                        <w:r w:rsidRPr="00ED2F52">
                          <w:rPr>
                            <w:sz w:val="20"/>
                          </w:rPr>
                          <w:t>Initial NOx Performance Test</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1A2B0DEF"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0C23D87"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6BF2442"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5DDEC501"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4638922D"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034CA7E3"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ED15348" w14:textId="77777777">
                        <w:pPr>
                          <w:jc w:val="center"/>
                          <w:rPr>
                            <w:color w:val="000000"/>
                            <w:sz w:val="20"/>
                          </w:rPr>
                        </w:pPr>
                        <w:r w:rsidRPr="00ED2F52">
                          <w:rPr>
                            <w:color w:val="000000"/>
                            <w:sz w:val="20"/>
                          </w:rPr>
                          <w:t>0</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2F74C441" w14:textId="77777777">
                        <w:pPr>
                          <w:jc w:val="right"/>
                          <w:rPr>
                            <w:color w:val="000000"/>
                            <w:sz w:val="20"/>
                          </w:rPr>
                        </w:pPr>
                        <w:r w:rsidRPr="00ED2F52">
                          <w:rPr>
                            <w:color w:val="000000"/>
                            <w:sz w:val="20"/>
                          </w:rPr>
                          <w:t xml:space="preserve">$0.00 </w:t>
                        </w:r>
                      </w:p>
                    </w:tc>
                  </w:tr>
                  <w:tr w14:paraId="28963B66" w14:textId="77777777" w:rsidTr="00ED2F52">
                    <w:tblPrEx>
                      <w:tblW w:w="12660" w:type="dxa"/>
                      <w:tblLayout w:type="fixed"/>
                      <w:tblLook w:val="04A0"/>
                    </w:tblPrEx>
                    <w:trPr>
                      <w:trHeight w:val="5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0058703B" w14:textId="77777777">
                        <w:pPr>
                          <w:rPr>
                            <w:sz w:val="20"/>
                          </w:rPr>
                        </w:pPr>
                        <w:r w:rsidRPr="00ED2F52">
                          <w:rPr>
                            <w:sz w:val="20"/>
                          </w:rPr>
                          <w:t>Repeat NOx Performance Test</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5BD634C4"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43B318EC"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48CFF62B"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6D23A0B1"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AD894AC"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31CC5364"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6A7F30E" w14:textId="77777777">
                        <w:pPr>
                          <w:jc w:val="center"/>
                          <w:rPr>
                            <w:color w:val="000000"/>
                            <w:sz w:val="20"/>
                          </w:rPr>
                        </w:pPr>
                        <w:r w:rsidRPr="00ED2F52">
                          <w:rPr>
                            <w:color w:val="000000"/>
                            <w:sz w:val="20"/>
                          </w:rPr>
                          <w:t>0</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74241DC0" w14:textId="77777777">
                        <w:pPr>
                          <w:jc w:val="right"/>
                          <w:rPr>
                            <w:color w:val="000000"/>
                            <w:sz w:val="20"/>
                          </w:rPr>
                        </w:pPr>
                        <w:r w:rsidRPr="00ED2F52">
                          <w:rPr>
                            <w:color w:val="000000"/>
                            <w:sz w:val="20"/>
                          </w:rPr>
                          <w:t xml:space="preserve">$0.00 </w:t>
                        </w:r>
                      </w:p>
                    </w:tc>
                  </w:tr>
                  <w:tr w14:paraId="4C792343" w14:textId="77777777" w:rsidTr="00B945B1">
                    <w:tblPrEx>
                      <w:tblW w:w="12660" w:type="dxa"/>
                      <w:tblLayout w:type="fixed"/>
                      <w:tblLook w:val="04A0"/>
                    </w:tblPrEx>
                    <w:trPr>
                      <w:trHeight w:val="661"/>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26717A38" w14:textId="77777777">
                        <w:pPr>
                          <w:rPr>
                            <w:i/>
                            <w:iCs/>
                            <w:color w:val="000000"/>
                            <w:sz w:val="20"/>
                          </w:rPr>
                        </w:pPr>
                        <w:r w:rsidRPr="00ED2F52">
                          <w:rPr>
                            <w:i/>
                            <w:iCs/>
                            <w:color w:val="000000"/>
                            <w:sz w:val="20"/>
                          </w:rPr>
                          <w:t xml:space="preserve">Existing Sources - Initial Testing </w:t>
                        </w:r>
                        <w:r w:rsidRPr="00ED2F52">
                          <w:rPr>
                            <w:color w:val="000000"/>
                            <w:sz w:val="20"/>
                            <w:vertAlign w:val="superscript"/>
                          </w:rPr>
                          <w:t>d</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6A6A78BA"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11A6753A"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9EBFD00"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D55B50E"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4C0F9B93"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0DD026CE"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56D5C7F" w14:textId="77777777">
                        <w:pPr>
                          <w:jc w:val="center"/>
                          <w:rPr>
                            <w:color w:val="000000"/>
                            <w:sz w:val="20"/>
                          </w:rPr>
                        </w:pPr>
                        <w:r w:rsidRPr="00ED2F52">
                          <w:rPr>
                            <w:color w:val="000000"/>
                            <w:sz w:val="20"/>
                          </w:rPr>
                          <w:t> </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4F821554" w14:textId="77777777">
                        <w:pPr>
                          <w:jc w:val="right"/>
                          <w:rPr>
                            <w:color w:val="000000"/>
                            <w:sz w:val="20"/>
                          </w:rPr>
                        </w:pPr>
                        <w:r w:rsidRPr="00ED2F52">
                          <w:rPr>
                            <w:color w:val="000000"/>
                            <w:sz w:val="20"/>
                          </w:rPr>
                          <w:t> </w:t>
                        </w:r>
                      </w:p>
                    </w:tc>
                  </w:tr>
                  <w:tr w14:paraId="14D1A2F0" w14:textId="77777777" w:rsidTr="00ED2F52">
                    <w:tblPrEx>
                      <w:tblW w:w="12660" w:type="dxa"/>
                      <w:tblLayout w:type="fixed"/>
                      <w:tblLook w:val="04A0"/>
                    </w:tblPrEx>
                    <w:trPr>
                      <w:trHeight w:val="81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5E4AA2D2" w14:textId="77777777">
                        <w:pPr>
                          <w:rPr>
                            <w:sz w:val="20"/>
                          </w:rPr>
                        </w:pPr>
                        <w:r w:rsidRPr="00ED2F52">
                          <w:rPr>
                            <w:sz w:val="20"/>
                          </w:rPr>
                          <w:t>Initial NOx Performance Test</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70553830" w14:textId="77777777">
                        <w:pPr>
                          <w:jc w:val="center"/>
                          <w:rPr>
                            <w:color w:val="000000"/>
                            <w:sz w:val="20"/>
                          </w:rPr>
                        </w:pPr>
                        <w:r w:rsidRPr="00ED2F52">
                          <w:rPr>
                            <w:color w:val="000000"/>
                            <w:sz w:val="20"/>
                          </w:rPr>
                          <w:t>6</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10598AD8" w14:textId="77777777">
                        <w:pPr>
                          <w:jc w:val="center"/>
                          <w:rPr>
                            <w:sz w:val="20"/>
                          </w:rPr>
                        </w:pPr>
                        <w:r w:rsidRPr="00ED2F52">
                          <w:rPr>
                            <w:sz w:val="20"/>
                          </w:rPr>
                          <w:t>1</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6302841" w14:textId="77777777">
                        <w:pPr>
                          <w:jc w:val="center"/>
                          <w:rPr>
                            <w:color w:val="000000"/>
                            <w:sz w:val="20"/>
                          </w:rPr>
                        </w:pPr>
                        <w:r w:rsidRPr="00ED2F52">
                          <w:rPr>
                            <w:color w:val="000000"/>
                            <w:sz w:val="20"/>
                          </w:rPr>
                          <w:t>6</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108530C4" w14:textId="77777777">
                        <w:pPr>
                          <w:jc w:val="center"/>
                          <w:rPr>
                            <w:sz w:val="20"/>
                          </w:rPr>
                        </w:pPr>
                        <w:r w:rsidRPr="00ED2F52">
                          <w:rPr>
                            <w:sz w:val="20"/>
                          </w:rPr>
                          <w:t>6</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60AC78F0" w14:textId="77777777">
                        <w:pPr>
                          <w:jc w:val="center"/>
                          <w:rPr>
                            <w:color w:val="000000"/>
                            <w:sz w:val="20"/>
                          </w:rPr>
                        </w:pPr>
                        <w:r w:rsidRPr="00ED2F52">
                          <w:rPr>
                            <w:color w:val="000000"/>
                            <w:sz w:val="20"/>
                          </w:rPr>
                          <w:t>36</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3A86FB2" w14:textId="77777777">
                        <w:pPr>
                          <w:jc w:val="center"/>
                          <w:rPr>
                            <w:color w:val="000000"/>
                            <w:sz w:val="20"/>
                          </w:rPr>
                        </w:pPr>
                        <w:r w:rsidRPr="00ED2F52">
                          <w:rPr>
                            <w:color w:val="000000"/>
                            <w:sz w:val="20"/>
                          </w:rPr>
                          <w:t>1.8</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7FD1D7B4" w14:textId="77777777">
                        <w:pPr>
                          <w:jc w:val="center"/>
                          <w:rPr>
                            <w:color w:val="000000"/>
                            <w:sz w:val="20"/>
                          </w:rPr>
                        </w:pPr>
                        <w:r w:rsidRPr="00ED2F52">
                          <w:rPr>
                            <w:color w:val="000000"/>
                            <w:sz w:val="20"/>
                          </w:rPr>
                          <w:t>3.6</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304CFEA4" w14:textId="55AE9897">
                        <w:pPr>
                          <w:jc w:val="right"/>
                          <w:rPr>
                            <w:color w:val="000000"/>
                            <w:sz w:val="20"/>
                          </w:rPr>
                        </w:pPr>
                        <w:r w:rsidRPr="00ED2F52">
                          <w:rPr>
                            <w:color w:val="000000"/>
                            <w:sz w:val="20"/>
                          </w:rPr>
                          <w:t>$5,11</w:t>
                        </w:r>
                        <w:r w:rsidR="00344573">
                          <w:rPr>
                            <w:color w:val="000000"/>
                            <w:sz w:val="20"/>
                          </w:rPr>
                          <w:t>9</w:t>
                        </w:r>
                        <w:r w:rsidRPr="00ED2F52">
                          <w:rPr>
                            <w:color w:val="000000"/>
                            <w:sz w:val="20"/>
                          </w:rPr>
                          <w:t xml:space="preserve"> </w:t>
                        </w:r>
                      </w:p>
                    </w:tc>
                  </w:tr>
                  <w:tr w14:paraId="559DA41C" w14:textId="77777777" w:rsidTr="00ED2F52">
                    <w:tblPrEx>
                      <w:tblW w:w="12660" w:type="dxa"/>
                      <w:tblLayout w:type="fixed"/>
                      <w:tblLook w:val="04A0"/>
                    </w:tblPrEx>
                    <w:trPr>
                      <w:trHeight w:val="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49647DFF" w14:textId="77777777">
                        <w:pPr>
                          <w:rPr>
                            <w:color w:val="000000"/>
                            <w:sz w:val="20"/>
                          </w:rPr>
                        </w:pPr>
                        <w:r w:rsidRPr="00ED2F52">
                          <w:rPr>
                            <w:color w:val="000000"/>
                            <w:sz w:val="20"/>
                          </w:rPr>
                          <w:t xml:space="preserve">Repeat NOx Performance Test </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2F426AF1" w14:textId="77777777">
                        <w:pPr>
                          <w:jc w:val="center"/>
                          <w:rPr>
                            <w:sz w:val="20"/>
                          </w:rPr>
                        </w:pPr>
                        <w:r w:rsidRPr="00ED2F52">
                          <w:rPr>
                            <w:sz w:val="20"/>
                          </w:rPr>
                          <w:t>6</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220D6815" w14:textId="77777777">
                        <w:pPr>
                          <w:jc w:val="center"/>
                          <w:rPr>
                            <w:sz w:val="20"/>
                          </w:rPr>
                        </w:pPr>
                        <w:r w:rsidRPr="00ED2F52">
                          <w:rPr>
                            <w:sz w:val="20"/>
                          </w:rPr>
                          <w:t>1</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775EC0DF" w14:textId="77777777">
                        <w:pPr>
                          <w:jc w:val="center"/>
                          <w:rPr>
                            <w:color w:val="000000"/>
                            <w:sz w:val="20"/>
                          </w:rPr>
                        </w:pPr>
                        <w:r w:rsidRPr="00ED2F52">
                          <w:rPr>
                            <w:color w:val="000000"/>
                            <w:sz w:val="20"/>
                          </w:rPr>
                          <w:t>6</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091A23A6" w14:textId="77777777">
                        <w:pPr>
                          <w:jc w:val="center"/>
                          <w:rPr>
                            <w:sz w:val="20"/>
                          </w:rPr>
                        </w:pPr>
                        <w:r w:rsidRPr="00ED2F52">
                          <w:rPr>
                            <w:sz w:val="20"/>
                          </w:rPr>
                          <w:t>0.3</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4AD65BDD" w14:textId="77777777">
                        <w:pPr>
                          <w:jc w:val="center"/>
                          <w:rPr>
                            <w:color w:val="000000"/>
                            <w:sz w:val="20"/>
                          </w:rPr>
                        </w:pPr>
                        <w:r w:rsidRPr="00ED2F52">
                          <w:rPr>
                            <w:color w:val="000000"/>
                            <w:sz w:val="20"/>
                          </w:rPr>
                          <w:t>2</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1C8F0ED8" w14:textId="77777777">
                        <w:pPr>
                          <w:jc w:val="center"/>
                          <w:rPr>
                            <w:color w:val="000000"/>
                            <w:sz w:val="20"/>
                          </w:rPr>
                        </w:pPr>
                        <w:r w:rsidRPr="00ED2F52">
                          <w:rPr>
                            <w:color w:val="000000"/>
                            <w:sz w:val="20"/>
                          </w:rPr>
                          <w:t>0.09</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37393AFA" w14:textId="77777777">
                        <w:pPr>
                          <w:jc w:val="center"/>
                          <w:rPr>
                            <w:color w:val="000000"/>
                            <w:sz w:val="20"/>
                          </w:rPr>
                        </w:pPr>
                        <w:r w:rsidRPr="00ED2F52">
                          <w:rPr>
                            <w:color w:val="000000"/>
                            <w:sz w:val="20"/>
                          </w:rPr>
                          <w:t>0.18</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29985FBD" w14:textId="396EDDB7">
                        <w:pPr>
                          <w:jc w:val="right"/>
                          <w:rPr>
                            <w:color w:val="000000"/>
                            <w:sz w:val="20"/>
                          </w:rPr>
                        </w:pPr>
                        <w:r w:rsidRPr="00ED2F52">
                          <w:rPr>
                            <w:color w:val="000000"/>
                            <w:sz w:val="20"/>
                          </w:rPr>
                          <w:t>$25</w:t>
                        </w:r>
                        <w:r w:rsidR="00344573">
                          <w:rPr>
                            <w:color w:val="000000"/>
                            <w:sz w:val="20"/>
                          </w:rPr>
                          <w:t>6</w:t>
                        </w:r>
                        <w:r w:rsidRPr="00ED2F52">
                          <w:rPr>
                            <w:color w:val="000000"/>
                            <w:sz w:val="20"/>
                          </w:rPr>
                          <w:t xml:space="preserve"> </w:t>
                        </w:r>
                      </w:p>
                    </w:tc>
                  </w:tr>
                  <w:tr w14:paraId="1569ED68" w14:textId="77777777" w:rsidTr="00ED2F52">
                    <w:tblPrEx>
                      <w:tblW w:w="12660" w:type="dxa"/>
                      <w:tblLayout w:type="fixed"/>
                      <w:tblLook w:val="04A0"/>
                    </w:tblPrEx>
                    <w:trPr>
                      <w:trHeight w:val="51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1BADA6D5" w14:textId="77777777">
                        <w:pPr>
                          <w:rPr>
                            <w:i/>
                            <w:iCs/>
                            <w:color w:val="000000"/>
                            <w:sz w:val="20"/>
                          </w:rPr>
                        </w:pPr>
                        <w:r w:rsidRPr="00ED2F52">
                          <w:rPr>
                            <w:i/>
                            <w:iCs/>
                            <w:color w:val="000000"/>
                            <w:sz w:val="20"/>
                          </w:rPr>
                          <w:t xml:space="preserve">New and Existing Sources - Monitoring </w:t>
                        </w:r>
                        <w:r w:rsidRPr="00ED2F52">
                          <w:rPr>
                            <w:color w:val="000000"/>
                            <w:sz w:val="20"/>
                            <w:vertAlign w:val="superscript"/>
                          </w:rPr>
                          <w:t>e</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6FE5F8FE"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648E0A47"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82D361C"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3981B4BA"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FFF1445"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37B96698"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EA1B2A7" w14:textId="77777777">
                        <w:pPr>
                          <w:jc w:val="center"/>
                          <w:rPr>
                            <w:color w:val="000000"/>
                            <w:sz w:val="20"/>
                          </w:rPr>
                        </w:pPr>
                        <w:r w:rsidRPr="00ED2F52">
                          <w:rPr>
                            <w:color w:val="000000"/>
                            <w:sz w:val="20"/>
                          </w:rPr>
                          <w:t> </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7C4F9DE9" w14:textId="77777777">
                        <w:pPr>
                          <w:jc w:val="right"/>
                          <w:rPr>
                            <w:color w:val="000000"/>
                            <w:sz w:val="20"/>
                          </w:rPr>
                        </w:pPr>
                        <w:r w:rsidRPr="00ED2F52">
                          <w:rPr>
                            <w:color w:val="000000"/>
                            <w:sz w:val="20"/>
                          </w:rPr>
                          <w:t> </w:t>
                        </w:r>
                      </w:p>
                    </w:tc>
                  </w:tr>
                  <w:tr w14:paraId="05FA363A" w14:textId="77777777" w:rsidTr="00ED2F52">
                    <w:tblPrEx>
                      <w:tblW w:w="12660" w:type="dxa"/>
                      <w:tblLayout w:type="fixed"/>
                      <w:tblLook w:val="04A0"/>
                    </w:tblPrEx>
                    <w:trPr>
                      <w:trHeight w:val="58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1BC568B4" w14:textId="77777777">
                        <w:pPr>
                          <w:rPr>
                            <w:color w:val="000000"/>
                            <w:sz w:val="20"/>
                          </w:rPr>
                        </w:pPr>
                        <w:r w:rsidRPr="00ED2F52">
                          <w:rPr>
                            <w:color w:val="000000"/>
                            <w:sz w:val="20"/>
                          </w:rPr>
                          <w:t>Daily Calibration Drift Tests - NOx CEMS</w:t>
                        </w:r>
                        <w:r w:rsidRPr="00ED2F52">
                          <w:rPr>
                            <w:color w:val="000000"/>
                            <w:sz w:val="22"/>
                            <w:szCs w:val="22"/>
                            <w:vertAlign w:val="superscript"/>
                          </w:rPr>
                          <w:t>h</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7F4E8486" w14:textId="77777777">
                        <w:pPr>
                          <w:jc w:val="center"/>
                          <w:rPr>
                            <w:color w:val="000000"/>
                            <w:sz w:val="20"/>
                          </w:rPr>
                        </w:pPr>
                        <w:r w:rsidRPr="00ED2F52">
                          <w:rPr>
                            <w:color w:val="000000"/>
                            <w:sz w:val="20"/>
                          </w:rPr>
                          <w:t>0.3</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23EFF4C" w14:textId="77777777">
                        <w:pPr>
                          <w:jc w:val="center"/>
                          <w:rPr>
                            <w:sz w:val="20"/>
                          </w:rPr>
                        </w:pPr>
                        <w:r w:rsidRPr="00ED2F52">
                          <w:rPr>
                            <w:sz w:val="20"/>
                          </w:rPr>
                          <w:t>330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45D4A867" w14:textId="77777777">
                        <w:pPr>
                          <w:jc w:val="center"/>
                          <w:rPr>
                            <w:color w:val="000000"/>
                            <w:sz w:val="20"/>
                          </w:rPr>
                        </w:pPr>
                        <w:r w:rsidRPr="00ED2F52">
                          <w:rPr>
                            <w:color w:val="000000"/>
                            <w:sz w:val="20"/>
                          </w:rPr>
                          <w:t>99</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0A4D4E31" w14:textId="77777777">
                        <w:pPr>
                          <w:jc w:val="center"/>
                          <w:rPr>
                            <w:sz w:val="20"/>
                          </w:rPr>
                        </w:pPr>
                        <w:r w:rsidRPr="00ED2F52">
                          <w:rPr>
                            <w:sz w:val="20"/>
                          </w:rPr>
                          <w:t>6</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2BD5EF4" w14:textId="77777777">
                        <w:pPr>
                          <w:jc w:val="center"/>
                          <w:rPr>
                            <w:color w:val="000000"/>
                            <w:sz w:val="20"/>
                          </w:rPr>
                        </w:pPr>
                        <w:r w:rsidRPr="00ED2F52">
                          <w:rPr>
                            <w:color w:val="000000"/>
                            <w:sz w:val="20"/>
                          </w:rPr>
                          <w:t>594</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45F09679" w14:textId="77777777">
                        <w:pPr>
                          <w:jc w:val="center"/>
                          <w:rPr>
                            <w:color w:val="000000"/>
                            <w:sz w:val="20"/>
                          </w:rPr>
                        </w:pPr>
                        <w:r w:rsidRPr="00ED2F52">
                          <w:rPr>
                            <w:color w:val="000000"/>
                            <w:sz w:val="20"/>
                          </w:rPr>
                          <w:t>29.7</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39C98603" w14:textId="77777777">
                        <w:pPr>
                          <w:jc w:val="center"/>
                          <w:rPr>
                            <w:color w:val="000000"/>
                            <w:sz w:val="20"/>
                          </w:rPr>
                        </w:pPr>
                        <w:r w:rsidRPr="00ED2F52">
                          <w:rPr>
                            <w:color w:val="000000"/>
                            <w:sz w:val="20"/>
                          </w:rPr>
                          <w:t>59.4</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0326E3B5" w14:textId="0447268F">
                        <w:pPr>
                          <w:jc w:val="right"/>
                          <w:rPr>
                            <w:color w:val="000000"/>
                            <w:sz w:val="20"/>
                          </w:rPr>
                        </w:pPr>
                        <w:r w:rsidRPr="00ED2F52">
                          <w:rPr>
                            <w:color w:val="000000"/>
                            <w:sz w:val="20"/>
                          </w:rPr>
                          <w:t xml:space="preserve">$84,456 </w:t>
                        </w:r>
                      </w:p>
                    </w:tc>
                  </w:tr>
                  <w:tr w14:paraId="23C81693" w14:textId="77777777" w:rsidTr="00ED2F52">
                    <w:tblPrEx>
                      <w:tblW w:w="12660" w:type="dxa"/>
                      <w:tblLayout w:type="fixed"/>
                      <w:tblLook w:val="04A0"/>
                    </w:tblPrEx>
                    <w:trPr>
                      <w:trHeight w:val="5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6AFF0DA3" w14:textId="77777777">
                        <w:pPr>
                          <w:rPr>
                            <w:color w:val="000000"/>
                            <w:sz w:val="20"/>
                          </w:rPr>
                        </w:pPr>
                        <w:r w:rsidRPr="00ED2F52">
                          <w:rPr>
                            <w:color w:val="000000"/>
                            <w:sz w:val="20"/>
                          </w:rPr>
                          <w:t>C. Create Information (Included in 4B)</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55BB0A62"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38A3CFA"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69520175"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0A0EE004"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77B4AC40"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6941194B"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17450CE" w14:textId="77777777">
                        <w:pPr>
                          <w:jc w:val="right"/>
                          <w:rPr>
                            <w:color w:val="000000"/>
                            <w:sz w:val="20"/>
                          </w:rPr>
                        </w:pPr>
                        <w:r w:rsidRPr="00ED2F52">
                          <w:rPr>
                            <w:color w:val="000000"/>
                            <w:sz w:val="20"/>
                          </w:rPr>
                          <w:t> </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664C9A4B" w14:textId="77777777">
                        <w:pPr>
                          <w:jc w:val="right"/>
                          <w:rPr>
                            <w:color w:val="000000"/>
                            <w:sz w:val="20"/>
                          </w:rPr>
                        </w:pPr>
                        <w:r w:rsidRPr="00ED2F52">
                          <w:rPr>
                            <w:color w:val="000000"/>
                            <w:sz w:val="20"/>
                          </w:rPr>
                          <w:t> </w:t>
                        </w:r>
                      </w:p>
                    </w:tc>
                  </w:tr>
                  <w:tr w14:paraId="07D6B0B5" w14:textId="77777777" w:rsidTr="00ED2F52">
                    <w:tblPrEx>
                      <w:tblW w:w="12660" w:type="dxa"/>
                      <w:tblLayout w:type="fixed"/>
                      <w:tblLook w:val="04A0"/>
                    </w:tblPrEx>
                    <w:trPr>
                      <w:trHeight w:val="5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4E16D6D9" w14:textId="77777777">
                        <w:pPr>
                          <w:rPr>
                            <w:color w:val="000000"/>
                            <w:sz w:val="20"/>
                          </w:rPr>
                        </w:pPr>
                        <w:r w:rsidRPr="00ED2F52">
                          <w:rPr>
                            <w:color w:val="000000"/>
                            <w:sz w:val="20"/>
                          </w:rPr>
                          <w:t>D. Gather Existing Information (Included in 4E)</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5D3D2DAE"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F0E46CD"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1BEF11A"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053448FE"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41E0E3E2"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6B932400"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6D8F81C" w14:textId="77777777">
                        <w:pPr>
                          <w:jc w:val="right"/>
                          <w:rPr>
                            <w:color w:val="000000"/>
                            <w:sz w:val="20"/>
                          </w:rPr>
                        </w:pPr>
                        <w:r w:rsidRPr="00ED2F52">
                          <w:rPr>
                            <w:color w:val="000000"/>
                            <w:sz w:val="20"/>
                          </w:rPr>
                          <w:t> </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4CB2F10F" w14:textId="77777777">
                        <w:pPr>
                          <w:jc w:val="right"/>
                          <w:rPr>
                            <w:color w:val="000000"/>
                            <w:sz w:val="20"/>
                          </w:rPr>
                        </w:pPr>
                        <w:r w:rsidRPr="00ED2F52">
                          <w:rPr>
                            <w:color w:val="000000"/>
                            <w:sz w:val="20"/>
                          </w:rPr>
                          <w:t> </w:t>
                        </w:r>
                      </w:p>
                    </w:tc>
                  </w:tr>
                  <w:tr w14:paraId="347AA85F" w14:textId="77777777" w:rsidTr="00ED2F52">
                    <w:tblPrEx>
                      <w:tblW w:w="12660" w:type="dxa"/>
                      <w:tblLayout w:type="fixed"/>
                      <w:tblLook w:val="04A0"/>
                    </w:tblPrEx>
                    <w:trPr>
                      <w:trHeight w:val="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5245C494" w14:textId="77777777">
                        <w:pPr>
                          <w:rPr>
                            <w:color w:val="000000"/>
                            <w:sz w:val="20"/>
                          </w:rPr>
                        </w:pPr>
                        <w:r w:rsidRPr="00ED2F52">
                          <w:rPr>
                            <w:color w:val="000000"/>
                            <w:sz w:val="20"/>
                          </w:rPr>
                          <w:t>E. Write Report</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59933DC7" w14:textId="77777777">
                        <w:pPr>
                          <w:jc w:val="right"/>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0B5D73C"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B0EC767"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61049382"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79BC669"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7E1757FF"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6097D822" w14:textId="77777777">
                        <w:pPr>
                          <w:jc w:val="right"/>
                          <w:rPr>
                            <w:color w:val="000000"/>
                            <w:sz w:val="20"/>
                          </w:rPr>
                        </w:pPr>
                        <w:r w:rsidRPr="00ED2F52">
                          <w:rPr>
                            <w:color w:val="000000"/>
                            <w:sz w:val="20"/>
                          </w:rPr>
                          <w:t> </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3C4B6BFD" w14:textId="77777777">
                        <w:pPr>
                          <w:jc w:val="right"/>
                          <w:rPr>
                            <w:color w:val="000000"/>
                            <w:sz w:val="20"/>
                          </w:rPr>
                        </w:pPr>
                        <w:r w:rsidRPr="00ED2F52">
                          <w:rPr>
                            <w:color w:val="000000"/>
                            <w:sz w:val="20"/>
                          </w:rPr>
                          <w:t> </w:t>
                        </w:r>
                      </w:p>
                    </w:tc>
                  </w:tr>
                  <w:tr w14:paraId="3018366B" w14:textId="77777777" w:rsidTr="00ED2F52">
                    <w:tblPrEx>
                      <w:tblW w:w="12660" w:type="dxa"/>
                      <w:tblLayout w:type="fixed"/>
                      <w:tblLook w:val="04A0"/>
                    </w:tblPrEx>
                    <w:trPr>
                      <w:trHeight w:val="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609A07B9" w14:textId="77777777">
                        <w:pPr>
                          <w:rPr>
                            <w:i/>
                            <w:iCs/>
                            <w:color w:val="000000"/>
                            <w:sz w:val="20"/>
                            <w:u w:val="single"/>
                          </w:rPr>
                        </w:pPr>
                        <w:r w:rsidRPr="00ED2F52">
                          <w:rPr>
                            <w:i/>
                            <w:iCs/>
                            <w:color w:val="000000"/>
                            <w:sz w:val="20"/>
                            <w:u w:val="single"/>
                          </w:rPr>
                          <w:t>New Sources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10271B6D"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4753E88F"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790D861F"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16DF3ABE"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CDD38A9"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1DD35043"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4EBADBE7" w14:textId="77777777">
                        <w:pPr>
                          <w:jc w:val="center"/>
                          <w:rPr>
                            <w:color w:val="000000"/>
                            <w:sz w:val="20"/>
                          </w:rPr>
                        </w:pPr>
                        <w:r w:rsidRPr="00ED2F52">
                          <w:rPr>
                            <w:color w:val="000000"/>
                            <w:sz w:val="20"/>
                          </w:rPr>
                          <w:t> </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71930448" w14:textId="77777777">
                        <w:pPr>
                          <w:jc w:val="right"/>
                          <w:rPr>
                            <w:color w:val="000000"/>
                            <w:sz w:val="20"/>
                          </w:rPr>
                        </w:pPr>
                        <w:r w:rsidRPr="00ED2F52">
                          <w:rPr>
                            <w:color w:val="000000"/>
                            <w:sz w:val="20"/>
                          </w:rPr>
                          <w:t> </w:t>
                        </w:r>
                      </w:p>
                    </w:tc>
                  </w:tr>
                  <w:tr w14:paraId="646A0A5A" w14:textId="77777777" w:rsidTr="00ED2F52">
                    <w:tblPrEx>
                      <w:tblW w:w="12660" w:type="dxa"/>
                      <w:tblLayout w:type="fixed"/>
                      <w:tblLook w:val="04A0"/>
                    </w:tblPrEx>
                    <w:trPr>
                      <w:trHeight w:val="5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2BEC6EE1" w14:textId="77777777">
                        <w:pPr>
                          <w:rPr>
                            <w:color w:val="000000"/>
                            <w:sz w:val="20"/>
                          </w:rPr>
                        </w:pPr>
                        <w:r w:rsidRPr="00ED2F52">
                          <w:rPr>
                            <w:color w:val="000000"/>
                            <w:sz w:val="20"/>
                          </w:rPr>
                          <w:t>Notification of Demonstration of CEMS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28667692"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7DDF87CA"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3695EE7" w14:textId="77777777">
                        <w:pPr>
                          <w:jc w:val="center"/>
                          <w:rPr>
                            <w:color w:val="000000"/>
                            <w:sz w:val="20"/>
                          </w:rPr>
                        </w:pPr>
                        <w:r w:rsidRPr="00ED2F52">
                          <w:rPr>
                            <w:color w:val="000000"/>
                            <w:sz w:val="20"/>
                          </w:rPr>
                          <w:t>2</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7C6A639C"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187C5182"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744FA930"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F1A82C9" w14:textId="77777777">
                        <w:pPr>
                          <w:jc w:val="center"/>
                          <w:rPr>
                            <w:color w:val="000000"/>
                            <w:sz w:val="20"/>
                          </w:rPr>
                        </w:pPr>
                        <w:r w:rsidRPr="00ED2F52">
                          <w:rPr>
                            <w:color w:val="000000"/>
                            <w:sz w:val="20"/>
                          </w:rPr>
                          <w:t>0</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271825AC" w14:textId="77777777">
                        <w:pPr>
                          <w:jc w:val="right"/>
                          <w:rPr>
                            <w:color w:val="000000"/>
                            <w:sz w:val="20"/>
                          </w:rPr>
                        </w:pPr>
                        <w:r w:rsidRPr="00ED2F52">
                          <w:rPr>
                            <w:color w:val="000000"/>
                            <w:sz w:val="20"/>
                          </w:rPr>
                          <w:t xml:space="preserve">$0.00 </w:t>
                        </w:r>
                      </w:p>
                    </w:tc>
                  </w:tr>
                  <w:tr w14:paraId="238D4834" w14:textId="77777777" w:rsidTr="00ED2F52">
                    <w:tblPrEx>
                      <w:tblW w:w="12660" w:type="dxa"/>
                      <w:tblLayout w:type="fixed"/>
                      <w:tblLook w:val="04A0"/>
                    </w:tblPrEx>
                    <w:trPr>
                      <w:trHeight w:val="51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531C1ADA" w14:textId="77777777">
                        <w:pPr>
                          <w:rPr>
                            <w:color w:val="000000"/>
                            <w:sz w:val="20"/>
                          </w:rPr>
                        </w:pPr>
                        <w:r w:rsidRPr="00ED2F52">
                          <w:rPr>
                            <w:color w:val="000000"/>
                            <w:sz w:val="20"/>
                          </w:rPr>
                          <w:t>Notification of Initial Performance Test</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783EF635"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2278475E"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7B569B37" w14:textId="77777777">
                        <w:pPr>
                          <w:jc w:val="center"/>
                          <w:rPr>
                            <w:color w:val="000000"/>
                            <w:sz w:val="20"/>
                          </w:rPr>
                        </w:pPr>
                        <w:r w:rsidRPr="00ED2F52">
                          <w:rPr>
                            <w:color w:val="000000"/>
                            <w:sz w:val="20"/>
                          </w:rPr>
                          <w:t>2</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448D846B"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41DC508"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051C7450"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FA6E194" w14:textId="77777777">
                        <w:pPr>
                          <w:jc w:val="center"/>
                          <w:rPr>
                            <w:color w:val="000000"/>
                            <w:sz w:val="20"/>
                          </w:rPr>
                        </w:pPr>
                        <w:r w:rsidRPr="00ED2F52">
                          <w:rPr>
                            <w:color w:val="000000"/>
                            <w:sz w:val="20"/>
                          </w:rPr>
                          <w:t>0</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3028AD4E" w14:textId="77777777">
                        <w:pPr>
                          <w:jc w:val="right"/>
                          <w:rPr>
                            <w:color w:val="000000"/>
                            <w:sz w:val="20"/>
                          </w:rPr>
                        </w:pPr>
                        <w:r w:rsidRPr="00ED2F52">
                          <w:rPr>
                            <w:color w:val="000000"/>
                            <w:sz w:val="20"/>
                          </w:rPr>
                          <w:t xml:space="preserve">$0.00 </w:t>
                        </w:r>
                      </w:p>
                    </w:tc>
                  </w:tr>
                  <w:tr w14:paraId="5A6BF229" w14:textId="77777777" w:rsidTr="00ED2F52">
                    <w:tblPrEx>
                      <w:tblW w:w="12660" w:type="dxa"/>
                      <w:tblLayout w:type="fixed"/>
                      <w:tblLook w:val="04A0"/>
                    </w:tblPrEx>
                    <w:trPr>
                      <w:trHeight w:val="78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7E17B593" w14:textId="77777777">
                        <w:pPr>
                          <w:rPr>
                            <w:color w:val="000000"/>
                            <w:sz w:val="20"/>
                          </w:rPr>
                        </w:pPr>
                        <w:r w:rsidRPr="00ED2F52">
                          <w:rPr>
                            <w:color w:val="000000"/>
                            <w:sz w:val="20"/>
                          </w:rPr>
                          <w:t>Report of Performance Tests submitted via CEDRI or analogous electronic reporting</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6E9DBB91"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34318A8F"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6B9D648A" w14:textId="77777777">
                        <w:pPr>
                          <w:jc w:val="center"/>
                          <w:rPr>
                            <w:color w:val="000000"/>
                            <w:sz w:val="20"/>
                          </w:rPr>
                        </w:pPr>
                        <w:r w:rsidRPr="00ED2F52">
                          <w:rPr>
                            <w:color w:val="000000"/>
                            <w:sz w:val="20"/>
                          </w:rPr>
                          <w:t>2</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1027051C"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43FBCA21"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D862E5A"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FAD0EC9" w14:textId="77777777">
                        <w:pPr>
                          <w:jc w:val="center"/>
                          <w:rPr>
                            <w:color w:val="000000"/>
                            <w:sz w:val="20"/>
                          </w:rPr>
                        </w:pPr>
                        <w:r w:rsidRPr="00ED2F52">
                          <w:rPr>
                            <w:color w:val="000000"/>
                            <w:sz w:val="20"/>
                          </w:rPr>
                          <w:t>0</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7D1CF18F" w14:textId="77777777">
                        <w:pPr>
                          <w:jc w:val="right"/>
                          <w:rPr>
                            <w:color w:val="000000"/>
                            <w:sz w:val="20"/>
                          </w:rPr>
                        </w:pPr>
                        <w:r w:rsidRPr="00ED2F52">
                          <w:rPr>
                            <w:color w:val="000000"/>
                            <w:sz w:val="20"/>
                          </w:rPr>
                          <w:t xml:space="preserve">$0.00 </w:t>
                        </w:r>
                      </w:p>
                    </w:tc>
                  </w:tr>
                  <w:tr w14:paraId="42F371D0" w14:textId="77777777" w:rsidTr="00ED2F52">
                    <w:tblPrEx>
                      <w:tblW w:w="12660" w:type="dxa"/>
                      <w:tblLayout w:type="fixed"/>
                      <w:tblLook w:val="04A0"/>
                    </w:tblPrEx>
                    <w:trPr>
                      <w:trHeight w:val="1003"/>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7A35E86E" w14:textId="77777777">
                        <w:pPr>
                          <w:rPr>
                            <w:color w:val="000000"/>
                            <w:sz w:val="20"/>
                          </w:rPr>
                        </w:pPr>
                        <w:r w:rsidRPr="00ED2F52">
                          <w:rPr>
                            <w:color w:val="000000"/>
                            <w:sz w:val="20"/>
                          </w:rPr>
                          <w:t>Submit Annual Electronic Reports via CEDRI or analogous electronic reporting to EPA</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0122C67D"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2E256D12"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6CD62633"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6E8475FD"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6AAF4C17"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6206FED2"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416AB0C8" w14:textId="77777777">
                        <w:pPr>
                          <w:jc w:val="center"/>
                          <w:rPr>
                            <w:color w:val="000000"/>
                            <w:sz w:val="20"/>
                          </w:rPr>
                        </w:pPr>
                        <w:r w:rsidRPr="00ED2F52">
                          <w:rPr>
                            <w:color w:val="000000"/>
                            <w:sz w:val="20"/>
                          </w:rPr>
                          <w:t> </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350CB11D" w14:textId="77777777">
                        <w:pPr>
                          <w:jc w:val="right"/>
                          <w:rPr>
                            <w:color w:val="000000"/>
                            <w:sz w:val="20"/>
                          </w:rPr>
                        </w:pPr>
                        <w:r w:rsidRPr="00ED2F52">
                          <w:rPr>
                            <w:color w:val="000000"/>
                            <w:sz w:val="20"/>
                          </w:rPr>
                          <w:t> </w:t>
                        </w:r>
                      </w:p>
                    </w:tc>
                  </w:tr>
                  <w:tr w14:paraId="7E227AD6" w14:textId="77777777" w:rsidTr="00ED2F52">
                    <w:tblPrEx>
                      <w:tblW w:w="12660" w:type="dxa"/>
                      <w:tblLayout w:type="fixed"/>
                      <w:tblLook w:val="04A0"/>
                    </w:tblPrEx>
                    <w:trPr>
                      <w:trHeight w:val="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10620EF5" w14:textId="77777777">
                        <w:pPr>
                          <w:rPr>
                            <w:i/>
                            <w:iCs/>
                            <w:color w:val="000000"/>
                            <w:sz w:val="20"/>
                            <w:u w:val="single"/>
                          </w:rPr>
                        </w:pPr>
                        <w:r w:rsidRPr="00ED2F52">
                          <w:rPr>
                            <w:i/>
                            <w:iCs/>
                            <w:color w:val="000000"/>
                            <w:sz w:val="20"/>
                            <w:u w:val="single"/>
                          </w:rPr>
                          <w:t>Existing Sources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1CE4910B" w14:textId="77777777">
                        <w:pPr>
                          <w:jc w:val="right"/>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79D03C7"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2DA6A649"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6D4612D0"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44C9CAA"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7A22FD32"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B586665" w14:textId="77777777">
                        <w:pPr>
                          <w:jc w:val="right"/>
                          <w:rPr>
                            <w:color w:val="000000"/>
                            <w:sz w:val="20"/>
                          </w:rPr>
                        </w:pPr>
                        <w:r w:rsidRPr="00ED2F52">
                          <w:rPr>
                            <w:color w:val="000000"/>
                            <w:sz w:val="20"/>
                          </w:rPr>
                          <w:t> </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795CF4A6" w14:textId="77777777">
                        <w:pPr>
                          <w:jc w:val="right"/>
                          <w:rPr>
                            <w:color w:val="000000"/>
                            <w:sz w:val="20"/>
                          </w:rPr>
                        </w:pPr>
                        <w:r w:rsidRPr="00ED2F52">
                          <w:rPr>
                            <w:color w:val="000000"/>
                            <w:sz w:val="20"/>
                          </w:rPr>
                          <w:t> </w:t>
                        </w:r>
                      </w:p>
                    </w:tc>
                  </w:tr>
                  <w:tr w14:paraId="16F7AF1E" w14:textId="77777777" w:rsidTr="00ED2F52">
                    <w:tblPrEx>
                      <w:tblW w:w="12660" w:type="dxa"/>
                      <w:tblLayout w:type="fixed"/>
                      <w:tblLook w:val="04A0"/>
                    </w:tblPrEx>
                    <w:trPr>
                      <w:trHeight w:val="5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0BCF71BC" w14:textId="77777777">
                        <w:pPr>
                          <w:rPr>
                            <w:color w:val="000000"/>
                            <w:sz w:val="20"/>
                          </w:rPr>
                        </w:pPr>
                        <w:r w:rsidRPr="00ED2F52">
                          <w:rPr>
                            <w:color w:val="000000"/>
                            <w:sz w:val="20"/>
                          </w:rPr>
                          <w:t>Notification of Demonstration of CEMS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304AF4DE" w14:textId="77777777">
                        <w:pPr>
                          <w:jc w:val="center"/>
                          <w:rPr>
                            <w:color w:val="000000"/>
                            <w:sz w:val="20"/>
                          </w:rPr>
                        </w:pPr>
                        <w:r w:rsidRPr="00ED2F52">
                          <w:rPr>
                            <w:color w:val="000000"/>
                            <w:sz w:val="20"/>
                          </w:rPr>
                          <w:t>2</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46A0ABA2" w14:textId="77777777">
                        <w:pPr>
                          <w:jc w:val="center"/>
                          <w:rPr>
                            <w:sz w:val="20"/>
                          </w:rPr>
                        </w:pPr>
                        <w:r w:rsidRPr="00ED2F52">
                          <w:rPr>
                            <w:sz w:val="20"/>
                          </w:rPr>
                          <w:t>1</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1CE54E87" w14:textId="77777777">
                        <w:pPr>
                          <w:jc w:val="center"/>
                          <w:rPr>
                            <w:color w:val="000000"/>
                            <w:sz w:val="20"/>
                          </w:rPr>
                        </w:pPr>
                        <w:r w:rsidRPr="00ED2F52">
                          <w:rPr>
                            <w:color w:val="000000"/>
                            <w:sz w:val="20"/>
                          </w:rPr>
                          <w:t>2</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2402615E" w14:textId="77777777">
                        <w:pPr>
                          <w:jc w:val="center"/>
                          <w:rPr>
                            <w:sz w:val="20"/>
                          </w:rPr>
                        </w:pPr>
                        <w:r w:rsidRPr="00ED2F52">
                          <w:rPr>
                            <w:sz w:val="20"/>
                          </w:rPr>
                          <w:t>6</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A5E2234" w14:textId="77777777">
                        <w:pPr>
                          <w:jc w:val="center"/>
                          <w:rPr>
                            <w:color w:val="000000"/>
                            <w:sz w:val="20"/>
                          </w:rPr>
                        </w:pPr>
                        <w:r w:rsidRPr="00ED2F52">
                          <w:rPr>
                            <w:color w:val="000000"/>
                            <w:sz w:val="20"/>
                          </w:rPr>
                          <w:t>12</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852CA34" w14:textId="77777777">
                        <w:pPr>
                          <w:jc w:val="center"/>
                          <w:rPr>
                            <w:color w:val="000000"/>
                            <w:sz w:val="20"/>
                          </w:rPr>
                        </w:pPr>
                        <w:r w:rsidRPr="00ED2F52">
                          <w:rPr>
                            <w:color w:val="000000"/>
                            <w:sz w:val="20"/>
                          </w:rPr>
                          <w:t>0.6</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7B241842" w14:textId="77777777">
                        <w:pPr>
                          <w:jc w:val="center"/>
                          <w:rPr>
                            <w:color w:val="000000"/>
                            <w:sz w:val="20"/>
                          </w:rPr>
                        </w:pPr>
                        <w:r w:rsidRPr="00ED2F52">
                          <w:rPr>
                            <w:color w:val="000000"/>
                            <w:sz w:val="20"/>
                          </w:rPr>
                          <w:t>1.2</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32C3A758" w14:textId="2D0FE06E">
                        <w:pPr>
                          <w:jc w:val="right"/>
                          <w:rPr>
                            <w:color w:val="000000"/>
                            <w:sz w:val="20"/>
                          </w:rPr>
                        </w:pPr>
                        <w:r w:rsidRPr="00ED2F52">
                          <w:rPr>
                            <w:color w:val="000000"/>
                            <w:sz w:val="20"/>
                          </w:rPr>
                          <w:t xml:space="preserve">$1,706 </w:t>
                        </w:r>
                      </w:p>
                    </w:tc>
                  </w:tr>
                  <w:tr w14:paraId="2A1A4308" w14:textId="77777777" w:rsidTr="00ED2F52">
                    <w:tblPrEx>
                      <w:tblW w:w="12660" w:type="dxa"/>
                      <w:tblLayout w:type="fixed"/>
                      <w:tblLook w:val="04A0"/>
                    </w:tblPrEx>
                    <w:trPr>
                      <w:trHeight w:val="5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3705C4B3" w14:textId="77777777">
                        <w:pPr>
                          <w:rPr>
                            <w:color w:val="000000"/>
                            <w:sz w:val="20"/>
                          </w:rPr>
                        </w:pPr>
                        <w:r w:rsidRPr="00ED2F52">
                          <w:rPr>
                            <w:color w:val="000000"/>
                            <w:sz w:val="20"/>
                          </w:rPr>
                          <w:t>Notification of Initial Performance Test</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7357E6B5" w14:textId="77777777">
                        <w:pPr>
                          <w:jc w:val="center"/>
                          <w:rPr>
                            <w:color w:val="000000"/>
                            <w:sz w:val="20"/>
                          </w:rPr>
                        </w:pPr>
                        <w:r w:rsidRPr="00ED2F52">
                          <w:rPr>
                            <w:color w:val="000000"/>
                            <w:sz w:val="20"/>
                          </w:rPr>
                          <w:t>2</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E3AAC3C" w14:textId="77777777">
                        <w:pPr>
                          <w:jc w:val="center"/>
                          <w:rPr>
                            <w:sz w:val="20"/>
                          </w:rPr>
                        </w:pPr>
                        <w:r w:rsidRPr="00ED2F52">
                          <w:rPr>
                            <w:sz w:val="20"/>
                          </w:rPr>
                          <w:t>1</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7BEE44A6" w14:textId="77777777">
                        <w:pPr>
                          <w:jc w:val="center"/>
                          <w:rPr>
                            <w:color w:val="000000"/>
                            <w:sz w:val="20"/>
                          </w:rPr>
                        </w:pPr>
                        <w:r w:rsidRPr="00ED2F52">
                          <w:rPr>
                            <w:color w:val="000000"/>
                            <w:sz w:val="20"/>
                          </w:rPr>
                          <w:t>2</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7ECC7FC0" w14:textId="77777777">
                        <w:pPr>
                          <w:jc w:val="center"/>
                          <w:rPr>
                            <w:sz w:val="20"/>
                          </w:rPr>
                        </w:pPr>
                        <w:r w:rsidRPr="00ED2F52">
                          <w:rPr>
                            <w:sz w:val="20"/>
                          </w:rPr>
                          <w:t>6</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64DD4E0" w14:textId="77777777">
                        <w:pPr>
                          <w:jc w:val="center"/>
                          <w:rPr>
                            <w:color w:val="000000"/>
                            <w:sz w:val="20"/>
                          </w:rPr>
                        </w:pPr>
                        <w:r w:rsidRPr="00ED2F52">
                          <w:rPr>
                            <w:color w:val="000000"/>
                            <w:sz w:val="20"/>
                          </w:rPr>
                          <w:t>12</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72EC4D0B" w14:textId="77777777">
                        <w:pPr>
                          <w:jc w:val="center"/>
                          <w:rPr>
                            <w:color w:val="000000"/>
                            <w:sz w:val="20"/>
                          </w:rPr>
                        </w:pPr>
                        <w:r w:rsidRPr="00ED2F52">
                          <w:rPr>
                            <w:color w:val="000000"/>
                            <w:sz w:val="20"/>
                          </w:rPr>
                          <w:t>0.6</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6E549D9F" w14:textId="77777777">
                        <w:pPr>
                          <w:jc w:val="center"/>
                          <w:rPr>
                            <w:color w:val="000000"/>
                            <w:sz w:val="20"/>
                          </w:rPr>
                        </w:pPr>
                        <w:r w:rsidRPr="00ED2F52">
                          <w:rPr>
                            <w:color w:val="000000"/>
                            <w:sz w:val="20"/>
                          </w:rPr>
                          <w:t>1.2</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3F2FDC11" w14:textId="6AE2A05F">
                        <w:pPr>
                          <w:jc w:val="right"/>
                          <w:rPr>
                            <w:color w:val="000000"/>
                            <w:sz w:val="20"/>
                          </w:rPr>
                        </w:pPr>
                        <w:r w:rsidRPr="00ED2F52">
                          <w:rPr>
                            <w:color w:val="000000"/>
                            <w:sz w:val="20"/>
                          </w:rPr>
                          <w:t xml:space="preserve">$1,706 </w:t>
                        </w:r>
                      </w:p>
                    </w:tc>
                  </w:tr>
                  <w:tr w14:paraId="53F17428" w14:textId="77777777" w:rsidTr="00ED2F52">
                    <w:tblPrEx>
                      <w:tblW w:w="12660" w:type="dxa"/>
                      <w:tblLayout w:type="fixed"/>
                      <w:tblLook w:val="04A0"/>
                    </w:tblPrEx>
                    <w:trPr>
                      <w:trHeight w:val="104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4C8A4EFD" w14:textId="77777777">
                        <w:pPr>
                          <w:rPr>
                            <w:color w:val="000000"/>
                            <w:sz w:val="20"/>
                          </w:rPr>
                        </w:pPr>
                        <w:r w:rsidRPr="00ED2F52">
                          <w:rPr>
                            <w:color w:val="000000"/>
                            <w:sz w:val="20"/>
                          </w:rPr>
                          <w:t>Report of Initial Performance Test Results submitted via CEDRI or analogous electronic reporting</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71052BE1" w14:textId="77777777">
                        <w:pPr>
                          <w:jc w:val="center"/>
                          <w:rPr>
                            <w:color w:val="000000"/>
                            <w:sz w:val="20"/>
                          </w:rPr>
                        </w:pPr>
                        <w:r w:rsidRPr="00ED2F52">
                          <w:rPr>
                            <w:color w:val="000000"/>
                            <w:sz w:val="20"/>
                          </w:rPr>
                          <w:t>2</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6E714D1F" w14:textId="77777777">
                        <w:pPr>
                          <w:jc w:val="center"/>
                          <w:rPr>
                            <w:sz w:val="20"/>
                          </w:rPr>
                        </w:pPr>
                        <w:r w:rsidRPr="00ED2F52">
                          <w:rPr>
                            <w:sz w:val="20"/>
                          </w:rPr>
                          <w:t>1</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BA89E2B" w14:textId="77777777">
                        <w:pPr>
                          <w:jc w:val="center"/>
                          <w:rPr>
                            <w:color w:val="000000"/>
                            <w:sz w:val="20"/>
                          </w:rPr>
                        </w:pPr>
                        <w:r w:rsidRPr="00ED2F52">
                          <w:rPr>
                            <w:color w:val="000000"/>
                            <w:sz w:val="20"/>
                          </w:rPr>
                          <w:t>2</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5EC88D7E" w14:textId="77777777">
                        <w:pPr>
                          <w:jc w:val="center"/>
                          <w:rPr>
                            <w:sz w:val="20"/>
                          </w:rPr>
                        </w:pPr>
                        <w:r w:rsidRPr="00ED2F52">
                          <w:rPr>
                            <w:sz w:val="20"/>
                          </w:rPr>
                          <w:t>6</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4EE90B9D" w14:textId="77777777">
                        <w:pPr>
                          <w:jc w:val="center"/>
                          <w:rPr>
                            <w:color w:val="000000"/>
                            <w:sz w:val="20"/>
                          </w:rPr>
                        </w:pPr>
                        <w:r w:rsidRPr="00ED2F52">
                          <w:rPr>
                            <w:color w:val="000000"/>
                            <w:sz w:val="20"/>
                          </w:rPr>
                          <w:t>12</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D6F7501" w14:textId="77777777">
                        <w:pPr>
                          <w:jc w:val="center"/>
                          <w:rPr>
                            <w:color w:val="000000"/>
                            <w:sz w:val="20"/>
                          </w:rPr>
                        </w:pPr>
                        <w:r w:rsidRPr="00ED2F52">
                          <w:rPr>
                            <w:color w:val="000000"/>
                            <w:sz w:val="20"/>
                          </w:rPr>
                          <w:t>0.6</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17E88194" w14:textId="77777777">
                        <w:pPr>
                          <w:jc w:val="center"/>
                          <w:rPr>
                            <w:color w:val="000000"/>
                            <w:sz w:val="20"/>
                          </w:rPr>
                        </w:pPr>
                        <w:r w:rsidRPr="00ED2F52">
                          <w:rPr>
                            <w:color w:val="000000"/>
                            <w:sz w:val="20"/>
                          </w:rPr>
                          <w:t>1.2</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4DBFD8EA" w14:textId="704BED1A">
                        <w:pPr>
                          <w:jc w:val="right"/>
                          <w:rPr>
                            <w:color w:val="000000"/>
                            <w:sz w:val="20"/>
                          </w:rPr>
                        </w:pPr>
                        <w:r w:rsidRPr="00ED2F52">
                          <w:rPr>
                            <w:color w:val="000000"/>
                            <w:sz w:val="20"/>
                          </w:rPr>
                          <w:t xml:space="preserve">$1,706 </w:t>
                        </w:r>
                      </w:p>
                    </w:tc>
                  </w:tr>
                  <w:tr w14:paraId="1907319E" w14:textId="77777777" w:rsidTr="00ED2F52">
                    <w:tblPrEx>
                      <w:tblW w:w="12660" w:type="dxa"/>
                      <w:tblLayout w:type="fixed"/>
                      <w:tblLook w:val="04A0"/>
                    </w:tblPrEx>
                    <w:trPr>
                      <w:trHeight w:val="110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7101F2A0" w14:textId="77777777">
                        <w:pPr>
                          <w:rPr>
                            <w:color w:val="000000"/>
                            <w:sz w:val="20"/>
                          </w:rPr>
                        </w:pPr>
                        <w:r w:rsidRPr="00ED2F52">
                          <w:rPr>
                            <w:color w:val="000000"/>
                            <w:sz w:val="20"/>
                          </w:rPr>
                          <w:t>Submit Annual Electronic Reports via CEDRI or analogous electronic reporting to EPA</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72C5EAFE"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2DD510AE" w14:textId="77777777">
                        <w:pPr>
                          <w:jc w:val="center"/>
                          <w:rPr>
                            <w:sz w:val="20"/>
                          </w:rPr>
                        </w:pPr>
                        <w:r w:rsidRPr="00ED2F52">
                          <w:rPr>
                            <w:sz w:val="20"/>
                          </w:rPr>
                          <w:t>1</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61EDA72B"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75331328"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4372CD02"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62F99B9"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B291970" w14:textId="77777777">
                        <w:pPr>
                          <w:jc w:val="center"/>
                          <w:rPr>
                            <w:color w:val="000000"/>
                            <w:sz w:val="20"/>
                          </w:rPr>
                        </w:pPr>
                        <w:r w:rsidRPr="00ED2F52">
                          <w:rPr>
                            <w:color w:val="000000"/>
                            <w:sz w:val="20"/>
                          </w:rPr>
                          <w:t> </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42C19F40" w14:textId="77777777">
                        <w:pPr>
                          <w:jc w:val="right"/>
                          <w:rPr>
                            <w:color w:val="000000"/>
                            <w:sz w:val="20"/>
                          </w:rPr>
                        </w:pPr>
                        <w:r w:rsidRPr="00ED2F52">
                          <w:rPr>
                            <w:color w:val="000000"/>
                            <w:sz w:val="20"/>
                          </w:rPr>
                          <w:t> </w:t>
                        </w:r>
                      </w:p>
                    </w:tc>
                  </w:tr>
                  <w:tr w14:paraId="36596DF6" w14:textId="77777777" w:rsidTr="00ED2F52">
                    <w:tblPrEx>
                      <w:tblW w:w="12660" w:type="dxa"/>
                      <w:tblLayout w:type="fixed"/>
                      <w:tblLook w:val="04A0"/>
                    </w:tblPrEx>
                    <w:trPr>
                      <w:trHeight w:val="47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44074C4C" w14:textId="77777777">
                        <w:pPr>
                          <w:rPr>
                            <w:b/>
                            <w:bCs/>
                            <w:i/>
                            <w:iCs/>
                            <w:color w:val="000000"/>
                            <w:sz w:val="20"/>
                          </w:rPr>
                        </w:pPr>
                        <w:r w:rsidRPr="00ED2F52">
                          <w:rPr>
                            <w:b/>
                            <w:bCs/>
                            <w:i/>
                            <w:iCs/>
                            <w:color w:val="000000"/>
                            <w:sz w:val="20"/>
                          </w:rPr>
                          <w:t>Subtotal for Reporting Requirements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6706C78A" w14:textId="77777777">
                        <w:pPr>
                          <w:jc w:val="right"/>
                          <w:rPr>
                            <w:b/>
                            <w:bCs/>
                            <w:i/>
                            <w:iCs/>
                            <w:color w:val="000000"/>
                            <w:sz w:val="20"/>
                          </w:rPr>
                        </w:pPr>
                        <w:r w:rsidRPr="00ED2F52">
                          <w:rPr>
                            <w:b/>
                            <w:bCs/>
                            <w:i/>
                            <w:i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A21E15D" w14:textId="77777777">
                        <w:pPr>
                          <w:jc w:val="right"/>
                          <w:rPr>
                            <w:b/>
                            <w:bCs/>
                            <w:i/>
                            <w:iCs/>
                            <w:sz w:val="20"/>
                          </w:rPr>
                        </w:pPr>
                        <w:r w:rsidRPr="00ED2F52">
                          <w:rPr>
                            <w:b/>
                            <w:bCs/>
                            <w:i/>
                            <w:iCs/>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0CF534C" w14:textId="77777777">
                        <w:pPr>
                          <w:jc w:val="right"/>
                          <w:rPr>
                            <w:b/>
                            <w:bCs/>
                            <w:i/>
                            <w:iCs/>
                            <w:color w:val="000000"/>
                            <w:sz w:val="20"/>
                          </w:rPr>
                        </w:pPr>
                        <w:r w:rsidRPr="00ED2F52">
                          <w:rPr>
                            <w:b/>
                            <w:bCs/>
                            <w:i/>
                            <w:iCs/>
                            <w:color w:val="000000"/>
                            <w:sz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3CBB7263" w14:textId="77777777">
                        <w:pPr>
                          <w:jc w:val="right"/>
                          <w:rPr>
                            <w:b/>
                            <w:bCs/>
                            <w:i/>
                            <w:iCs/>
                            <w:sz w:val="20"/>
                          </w:rPr>
                        </w:pPr>
                        <w:r w:rsidRPr="00ED2F52">
                          <w:rPr>
                            <w:b/>
                            <w:bCs/>
                            <w:i/>
                            <w:iCs/>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7E200964" w14:textId="77777777">
                        <w:pPr>
                          <w:jc w:val="center"/>
                          <w:rPr>
                            <w:b/>
                            <w:bCs/>
                            <w:i/>
                            <w:iCs/>
                            <w:color w:val="000000"/>
                            <w:sz w:val="20"/>
                          </w:rPr>
                        </w:pPr>
                        <w:r w:rsidRPr="00ED2F52">
                          <w:rPr>
                            <w:b/>
                            <w:bCs/>
                            <w:i/>
                            <w:iCs/>
                            <w:color w:val="000000"/>
                            <w:sz w:val="20"/>
                          </w:rPr>
                          <w:t>1,831</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E1541D5" w14:textId="77777777">
                        <w:pPr>
                          <w:jc w:val="center"/>
                          <w:rPr>
                            <w:b/>
                            <w:bCs/>
                            <w:i/>
                            <w:iCs/>
                            <w:color w:val="000000"/>
                            <w:sz w:val="20"/>
                          </w:rPr>
                        </w:pPr>
                        <w:r w:rsidRPr="00ED2F52">
                          <w:rPr>
                            <w:b/>
                            <w:bCs/>
                            <w:i/>
                            <w:iCs/>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08B4FA4" w14:textId="77777777">
                        <w:pPr>
                          <w:jc w:val="center"/>
                          <w:rPr>
                            <w:b/>
                            <w:bCs/>
                            <w:i/>
                            <w:iCs/>
                            <w:color w:val="000000"/>
                            <w:sz w:val="20"/>
                          </w:rPr>
                        </w:pPr>
                        <w:r w:rsidRPr="00ED2F52">
                          <w:rPr>
                            <w:b/>
                            <w:bCs/>
                            <w:i/>
                            <w:iCs/>
                            <w:color w:val="000000"/>
                            <w:sz w:val="20"/>
                          </w:rPr>
                          <w:t> </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7B7AF016" w14:textId="77777777">
                        <w:pPr>
                          <w:jc w:val="right"/>
                          <w:rPr>
                            <w:b/>
                            <w:bCs/>
                            <w:i/>
                            <w:iCs/>
                            <w:color w:val="000000"/>
                            <w:sz w:val="20"/>
                          </w:rPr>
                        </w:pPr>
                        <w:r w:rsidRPr="00ED2F52">
                          <w:rPr>
                            <w:b/>
                            <w:bCs/>
                            <w:i/>
                            <w:iCs/>
                            <w:color w:val="000000"/>
                            <w:sz w:val="20"/>
                          </w:rPr>
                          <w:t xml:space="preserve">$226,440 </w:t>
                        </w:r>
                      </w:p>
                    </w:tc>
                  </w:tr>
                  <w:tr w14:paraId="31E36FDE" w14:textId="77777777" w:rsidTr="00ED2F52">
                    <w:tblPrEx>
                      <w:tblW w:w="12660" w:type="dxa"/>
                      <w:tblLayout w:type="fixed"/>
                      <w:tblLook w:val="04A0"/>
                    </w:tblPrEx>
                    <w:trPr>
                      <w:trHeight w:val="5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1FDC4006" w14:textId="77777777">
                        <w:pPr>
                          <w:rPr>
                            <w:color w:val="000000"/>
                            <w:sz w:val="20"/>
                          </w:rPr>
                        </w:pPr>
                        <w:r w:rsidRPr="00ED2F52">
                          <w:rPr>
                            <w:color w:val="000000"/>
                            <w:sz w:val="20"/>
                          </w:rPr>
                          <w:t>5. RECORDKEEPING REQUIREMENTS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5F90EEDC" w14:textId="77777777">
                        <w:pPr>
                          <w:jc w:val="right"/>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56284F1A"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636F88D6"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48E16544"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9F6AE49"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788CC0F"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3609355D" w14:textId="77777777">
                        <w:pPr>
                          <w:jc w:val="right"/>
                          <w:rPr>
                            <w:color w:val="000000"/>
                            <w:sz w:val="20"/>
                          </w:rPr>
                        </w:pPr>
                        <w:r w:rsidRPr="00ED2F52">
                          <w:rPr>
                            <w:color w:val="000000"/>
                            <w:sz w:val="20"/>
                          </w:rPr>
                          <w:t> </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1A51096E" w14:textId="77777777">
                        <w:pPr>
                          <w:jc w:val="right"/>
                          <w:rPr>
                            <w:color w:val="000000"/>
                            <w:sz w:val="20"/>
                          </w:rPr>
                        </w:pPr>
                        <w:r w:rsidRPr="00ED2F52">
                          <w:rPr>
                            <w:color w:val="000000"/>
                            <w:sz w:val="20"/>
                          </w:rPr>
                          <w:t> </w:t>
                        </w:r>
                      </w:p>
                    </w:tc>
                  </w:tr>
                  <w:tr w14:paraId="2684AD4A" w14:textId="77777777" w:rsidTr="00ED2F52">
                    <w:tblPrEx>
                      <w:tblW w:w="12660" w:type="dxa"/>
                      <w:tblLayout w:type="fixed"/>
                      <w:tblLook w:val="04A0"/>
                    </w:tblPrEx>
                    <w:trPr>
                      <w:trHeight w:val="5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7D47663F" w14:textId="77777777">
                        <w:pPr>
                          <w:rPr>
                            <w:color w:val="000000"/>
                            <w:sz w:val="20"/>
                          </w:rPr>
                        </w:pPr>
                        <w:r w:rsidRPr="00ED2F52">
                          <w:rPr>
                            <w:color w:val="000000"/>
                            <w:sz w:val="20"/>
                          </w:rPr>
                          <w:t>A. Familiarize with regulatory requirement</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372A6D7B"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71B6E56B"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108C1CA1"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6A330F8C"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43E85D81"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4457EA11"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7BBB5D99" w14:textId="77777777">
                        <w:pPr>
                          <w:jc w:val="right"/>
                          <w:rPr>
                            <w:color w:val="000000"/>
                            <w:sz w:val="20"/>
                          </w:rPr>
                        </w:pPr>
                        <w:r w:rsidRPr="00ED2F52">
                          <w:rPr>
                            <w:color w:val="000000"/>
                            <w:sz w:val="20"/>
                          </w:rPr>
                          <w:t> </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5E02A51A" w14:textId="77777777">
                        <w:pPr>
                          <w:jc w:val="right"/>
                          <w:rPr>
                            <w:color w:val="000000"/>
                            <w:sz w:val="20"/>
                          </w:rPr>
                        </w:pPr>
                        <w:r w:rsidRPr="00ED2F52">
                          <w:rPr>
                            <w:color w:val="000000"/>
                            <w:sz w:val="20"/>
                          </w:rPr>
                          <w:t> </w:t>
                        </w:r>
                      </w:p>
                    </w:tc>
                  </w:tr>
                  <w:tr w14:paraId="642F123D" w14:textId="77777777" w:rsidTr="00ED2F52">
                    <w:tblPrEx>
                      <w:tblW w:w="12660" w:type="dxa"/>
                      <w:tblLayout w:type="fixed"/>
                      <w:tblLook w:val="04A0"/>
                    </w:tblPrEx>
                    <w:trPr>
                      <w:trHeight w:val="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4AF8B75D" w14:textId="77777777">
                        <w:pPr>
                          <w:rPr>
                            <w:color w:val="000000"/>
                            <w:sz w:val="20"/>
                          </w:rPr>
                        </w:pPr>
                        <w:r w:rsidRPr="00ED2F52">
                          <w:rPr>
                            <w:color w:val="000000"/>
                            <w:sz w:val="20"/>
                          </w:rPr>
                          <w:t xml:space="preserve">B. Plan Activities </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429F4F90"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74BC2CEA"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7213F288"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024C5068"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44B56924"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7E8F6F3B"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FAB2384" w14:textId="77777777">
                        <w:pPr>
                          <w:jc w:val="right"/>
                          <w:rPr>
                            <w:color w:val="000000"/>
                            <w:sz w:val="20"/>
                          </w:rPr>
                        </w:pPr>
                        <w:r w:rsidRPr="00ED2F52">
                          <w:rPr>
                            <w:color w:val="000000"/>
                            <w:sz w:val="20"/>
                          </w:rPr>
                          <w:t> </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437E6D2C" w14:textId="77777777">
                        <w:pPr>
                          <w:jc w:val="right"/>
                          <w:rPr>
                            <w:color w:val="000000"/>
                            <w:sz w:val="20"/>
                          </w:rPr>
                        </w:pPr>
                        <w:r w:rsidRPr="00ED2F52">
                          <w:rPr>
                            <w:color w:val="000000"/>
                            <w:sz w:val="20"/>
                          </w:rPr>
                          <w:t> </w:t>
                        </w:r>
                      </w:p>
                    </w:tc>
                  </w:tr>
                  <w:tr w14:paraId="0CF9475C" w14:textId="77777777" w:rsidTr="00ED2F52">
                    <w:tblPrEx>
                      <w:tblW w:w="12660" w:type="dxa"/>
                      <w:tblLayout w:type="fixed"/>
                      <w:tblLook w:val="04A0"/>
                    </w:tblPrEx>
                    <w:trPr>
                      <w:trHeight w:val="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7CDBA584" w14:textId="77777777">
                        <w:pPr>
                          <w:rPr>
                            <w:color w:val="000000"/>
                            <w:sz w:val="20"/>
                          </w:rPr>
                        </w:pPr>
                        <w:r w:rsidRPr="00ED2F52">
                          <w:rPr>
                            <w:color w:val="000000"/>
                            <w:sz w:val="20"/>
                          </w:rPr>
                          <w:t xml:space="preserve">C. Implement Activities </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1169C6B8"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21F94DCC"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742A537D"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16D1CE16"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9DBD639"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1B5ECF9"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4B50E300" w14:textId="77777777">
                        <w:pPr>
                          <w:jc w:val="right"/>
                          <w:rPr>
                            <w:color w:val="000000"/>
                            <w:sz w:val="20"/>
                          </w:rPr>
                        </w:pPr>
                        <w:r w:rsidRPr="00ED2F52">
                          <w:rPr>
                            <w:color w:val="000000"/>
                            <w:sz w:val="20"/>
                          </w:rPr>
                          <w:t> </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792148F8" w14:textId="77777777">
                        <w:pPr>
                          <w:jc w:val="right"/>
                          <w:rPr>
                            <w:color w:val="000000"/>
                            <w:sz w:val="20"/>
                          </w:rPr>
                        </w:pPr>
                        <w:r w:rsidRPr="00ED2F52">
                          <w:rPr>
                            <w:color w:val="000000"/>
                            <w:sz w:val="20"/>
                          </w:rPr>
                          <w:t> </w:t>
                        </w:r>
                      </w:p>
                    </w:tc>
                  </w:tr>
                  <w:tr w14:paraId="3FFDA37A" w14:textId="77777777" w:rsidTr="00ED2F52">
                    <w:tblPrEx>
                      <w:tblW w:w="12660" w:type="dxa"/>
                      <w:tblLayout w:type="fixed"/>
                      <w:tblLook w:val="04A0"/>
                    </w:tblPrEx>
                    <w:trPr>
                      <w:trHeight w:val="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5233523D" w14:textId="77777777">
                        <w:pPr>
                          <w:rPr>
                            <w:color w:val="000000"/>
                            <w:sz w:val="20"/>
                          </w:rPr>
                        </w:pPr>
                        <w:r w:rsidRPr="00ED2F52">
                          <w:rPr>
                            <w:color w:val="000000"/>
                            <w:sz w:val="20"/>
                          </w:rPr>
                          <w:t xml:space="preserve">D. Record Data </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15E6C262" w14:textId="77777777">
                        <w:pPr>
                          <w:jc w:val="center"/>
                          <w:rPr>
                            <w:color w:val="000000"/>
                            <w:sz w:val="20"/>
                          </w:rPr>
                        </w:pPr>
                        <w:r w:rsidRPr="00ED2F52">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50BBE35F"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30E8F13"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7093A464"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6B167E05"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8ED8305"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AC844BD" w14:textId="77777777">
                        <w:pPr>
                          <w:jc w:val="right"/>
                          <w:rPr>
                            <w:color w:val="000000"/>
                            <w:sz w:val="20"/>
                          </w:rPr>
                        </w:pPr>
                        <w:r w:rsidRPr="00ED2F52">
                          <w:rPr>
                            <w:color w:val="000000"/>
                            <w:sz w:val="20"/>
                          </w:rPr>
                          <w:t> </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6001CC0B" w14:textId="77777777">
                        <w:pPr>
                          <w:jc w:val="right"/>
                          <w:rPr>
                            <w:color w:val="000000"/>
                            <w:sz w:val="20"/>
                          </w:rPr>
                        </w:pPr>
                        <w:r w:rsidRPr="00ED2F52">
                          <w:rPr>
                            <w:color w:val="000000"/>
                            <w:sz w:val="20"/>
                          </w:rPr>
                          <w:t> </w:t>
                        </w:r>
                      </w:p>
                    </w:tc>
                  </w:tr>
                  <w:tr w14:paraId="0E8B17D5" w14:textId="77777777" w:rsidTr="00ED2F52">
                    <w:tblPrEx>
                      <w:tblW w:w="12660" w:type="dxa"/>
                      <w:tblLayout w:type="fixed"/>
                      <w:tblLook w:val="04A0"/>
                    </w:tblPrEx>
                    <w:trPr>
                      <w:trHeight w:val="5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0075653A" w14:textId="77777777">
                        <w:pPr>
                          <w:rPr>
                            <w:color w:val="000000"/>
                            <w:sz w:val="20"/>
                          </w:rPr>
                        </w:pPr>
                        <w:r w:rsidRPr="00ED2F52">
                          <w:rPr>
                            <w:color w:val="000000"/>
                            <w:sz w:val="20"/>
                          </w:rPr>
                          <w:t>E. Time to Transmit or Disclose Information</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32B916BF" w14:textId="77777777">
                        <w:pPr>
                          <w:jc w:val="right"/>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1AA6B78"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1E97D8D"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758246BA"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21E0451E"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33C84792"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56E844E" w14:textId="77777777">
                        <w:pPr>
                          <w:jc w:val="right"/>
                          <w:rPr>
                            <w:color w:val="000000"/>
                            <w:sz w:val="20"/>
                          </w:rPr>
                        </w:pPr>
                        <w:r w:rsidRPr="00ED2F52">
                          <w:rPr>
                            <w:color w:val="000000"/>
                            <w:sz w:val="20"/>
                          </w:rPr>
                          <w:t> </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1BD67D21" w14:textId="77777777">
                        <w:pPr>
                          <w:jc w:val="right"/>
                          <w:rPr>
                            <w:color w:val="000000"/>
                            <w:sz w:val="20"/>
                          </w:rPr>
                        </w:pPr>
                        <w:r w:rsidRPr="00ED2F52">
                          <w:rPr>
                            <w:color w:val="000000"/>
                            <w:sz w:val="20"/>
                          </w:rPr>
                          <w:t> </w:t>
                        </w:r>
                      </w:p>
                    </w:tc>
                  </w:tr>
                  <w:tr w14:paraId="1E21A46A" w14:textId="77777777" w:rsidTr="00ED2F52">
                    <w:tblPrEx>
                      <w:tblW w:w="12660" w:type="dxa"/>
                      <w:tblLayout w:type="fixed"/>
                      <w:tblLook w:val="04A0"/>
                    </w:tblPrEx>
                    <w:trPr>
                      <w:trHeight w:val="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091E0CBE" w14:textId="77777777">
                        <w:pPr>
                          <w:rPr>
                            <w:i/>
                            <w:iCs/>
                            <w:color w:val="000000"/>
                            <w:sz w:val="20"/>
                            <w:u w:val="single"/>
                          </w:rPr>
                        </w:pPr>
                        <w:r w:rsidRPr="00ED2F52">
                          <w:rPr>
                            <w:i/>
                            <w:iCs/>
                            <w:color w:val="000000"/>
                            <w:sz w:val="20"/>
                            <w:u w:val="single"/>
                          </w:rPr>
                          <w:t>Existing Sources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60DB77A3" w14:textId="77777777">
                        <w:pPr>
                          <w:jc w:val="right"/>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5E89A545"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619627F9"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888687A"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41CF52E"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65F6858E"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3D6E79FE" w14:textId="77777777">
                        <w:pPr>
                          <w:jc w:val="right"/>
                          <w:rPr>
                            <w:color w:val="000000"/>
                            <w:sz w:val="20"/>
                          </w:rPr>
                        </w:pPr>
                        <w:r w:rsidRPr="00ED2F52">
                          <w:rPr>
                            <w:color w:val="000000"/>
                            <w:sz w:val="20"/>
                          </w:rPr>
                          <w:t> </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524AE435" w14:textId="77777777">
                        <w:pPr>
                          <w:jc w:val="right"/>
                          <w:rPr>
                            <w:color w:val="000000"/>
                            <w:sz w:val="20"/>
                          </w:rPr>
                        </w:pPr>
                        <w:r w:rsidRPr="00ED2F52">
                          <w:rPr>
                            <w:color w:val="000000"/>
                            <w:sz w:val="20"/>
                          </w:rPr>
                          <w:t> </w:t>
                        </w:r>
                      </w:p>
                    </w:tc>
                  </w:tr>
                  <w:tr w14:paraId="1FEF031E" w14:textId="77777777" w:rsidTr="00ED2F52">
                    <w:tblPrEx>
                      <w:tblW w:w="12660" w:type="dxa"/>
                      <w:tblLayout w:type="fixed"/>
                      <w:tblLook w:val="04A0"/>
                    </w:tblPrEx>
                    <w:trPr>
                      <w:trHeight w:val="313"/>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0BAD4436" w14:textId="77777777">
                        <w:pPr>
                          <w:rPr>
                            <w:color w:val="000000"/>
                            <w:sz w:val="20"/>
                          </w:rPr>
                        </w:pPr>
                        <w:r w:rsidRPr="00ED2F52">
                          <w:rPr>
                            <w:color w:val="000000"/>
                            <w:sz w:val="20"/>
                          </w:rPr>
                          <w:t>Data Collection</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111E8CF5" w14:textId="77777777">
                        <w:pPr>
                          <w:jc w:val="center"/>
                          <w:rPr>
                            <w:color w:val="000000"/>
                            <w:sz w:val="20"/>
                          </w:rPr>
                        </w:pPr>
                        <w:r w:rsidRPr="00ED2F52">
                          <w:rPr>
                            <w:color w:val="000000"/>
                            <w:sz w:val="20"/>
                          </w:rPr>
                          <w:t>0.1</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5C125577" w14:textId="77777777">
                        <w:pPr>
                          <w:jc w:val="center"/>
                          <w:rPr>
                            <w:sz w:val="20"/>
                          </w:rPr>
                        </w:pPr>
                        <w:r w:rsidRPr="00ED2F52">
                          <w:rPr>
                            <w:sz w:val="20"/>
                          </w:rPr>
                          <w:t>1</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4665947D" w14:textId="77777777">
                        <w:pPr>
                          <w:jc w:val="center"/>
                          <w:rPr>
                            <w:color w:val="000000"/>
                            <w:sz w:val="20"/>
                          </w:rPr>
                        </w:pPr>
                        <w:r w:rsidRPr="00ED2F52">
                          <w:rPr>
                            <w:color w:val="000000"/>
                            <w:sz w:val="20"/>
                          </w:rPr>
                          <w:t>0.1</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41FE6C95" w14:textId="77777777">
                        <w:pPr>
                          <w:jc w:val="center"/>
                          <w:rPr>
                            <w:sz w:val="20"/>
                          </w:rPr>
                        </w:pPr>
                        <w:r w:rsidRPr="00ED2F52">
                          <w:rPr>
                            <w:sz w:val="20"/>
                          </w:rPr>
                          <w:t>80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8985C8E" w14:textId="77777777">
                        <w:pPr>
                          <w:jc w:val="center"/>
                          <w:rPr>
                            <w:color w:val="000000"/>
                            <w:sz w:val="20"/>
                          </w:rPr>
                        </w:pPr>
                        <w:r w:rsidRPr="00ED2F52">
                          <w:rPr>
                            <w:color w:val="000000"/>
                            <w:sz w:val="20"/>
                          </w:rPr>
                          <w:t>8</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682397EA" w14:textId="77777777">
                        <w:pPr>
                          <w:jc w:val="center"/>
                          <w:rPr>
                            <w:color w:val="000000"/>
                            <w:sz w:val="20"/>
                          </w:rPr>
                        </w:pPr>
                        <w:r w:rsidRPr="00ED2F52">
                          <w:rPr>
                            <w:color w:val="000000"/>
                            <w:sz w:val="20"/>
                          </w:rPr>
                          <w:t>0.4</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3887CE2A" w14:textId="77777777">
                        <w:pPr>
                          <w:jc w:val="center"/>
                          <w:rPr>
                            <w:color w:val="000000"/>
                            <w:sz w:val="20"/>
                          </w:rPr>
                        </w:pPr>
                        <w:r w:rsidRPr="00ED2F52">
                          <w:rPr>
                            <w:color w:val="000000"/>
                            <w:sz w:val="20"/>
                          </w:rPr>
                          <w:t>0.8</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4CFCF926" w14:textId="31AD5E68">
                        <w:pPr>
                          <w:jc w:val="right"/>
                          <w:rPr>
                            <w:color w:val="000000"/>
                            <w:sz w:val="20"/>
                          </w:rPr>
                        </w:pPr>
                        <w:r w:rsidRPr="00ED2F52">
                          <w:rPr>
                            <w:color w:val="000000"/>
                            <w:sz w:val="20"/>
                          </w:rPr>
                          <w:t xml:space="preserve">$1,137 </w:t>
                        </w:r>
                      </w:p>
                    </w:tc>
                  </w:tr>
                  <w:tr w14:paraId="35DDA6B7" w14:textId="77777777" w:rsidTr="00ED2F52">
                    <w:tblPrEx>
                      <w:tblW w:w="12660" w:type="dxa"/>
                      <w:tblLayout w:type="fixed"/>
                      <w:tblLook w:val="04A0"/>
                    </w:tblPrEx>
                    <w:trPr>
                      <w:trHeight w:val="183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2F576759" w14:textId="77777777">
                        <w:pPr>
                          <w:rPr>
                            <w:color w:val="000000"/>
                            <w:sz w:val="20"/>
                          </w:rPr>
                        </w:pPr>
                        <w:r w:rsidRPr="00ED2F52">
                          <w:rPr>
                            <w:color w:val="000000"/>
                            <w:sz w:val="20"/>
                          </w:rPr>
                          <w:t>Records of 1-hour ave. NOx emissions, 24-hour ave. NOx emissions, excluded NOx emissions data, daily drift tests, quarterly accuracy determination for CEMS, certified and trained staff records, off-site staff records.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472485D1"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5F2E7D83"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1591FB96"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1C6D59AC"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2A15ED75"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26437068"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043C0387" w14:textId="77777777">
                        <w:pPr>
                          <w:jc w:val="center"/>
                          <w:rPr>
                            <w:color w:val="000000"/>
                            <w:sz w:val="20"/>
                          </w:rPr>
                        </w:pPr>
                        <w:r w:rsidRPr="00ED2F52">
                          <w:rPr>
                            <w:color w:val="000000"/>
                            <w:sz w:val="20"/>
                          </w:rPr>
                          <w:t>0</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0D5FF8EF" w14:textId="77777777">
                        <w:pPr>
                          <w:jc w:val="right"/>
                          <w:rPr>
                            <w:color w:val="000000"/>
                            <w:sz w:val="20"/>
                          </w:rPr>
                        </w:pPr>
                        <w:r w:rsidRPr="00ED2F52">
                          <w:rPr>
                            <w:color w:val="000000"/>
                            <w:sz w:val="20"/>
                          </w:rPr>
                          <w:t xml:space="preserve">$0.00 </w:t>
                        </w:r>
                      </w:p>
                    </w:tc>
                  </w:tr>
                  <w:tr w14:paraId="717ED145" w14:textId="77777777" w:rsidTr="00ED2F52">
                    <w:tblPrEx>
                      <w:tblW w:w="12660" w:type="dxa"/>
                      <w:tblLayout w:type="fixed"/>
                      <w:tblLook w:val="04A0"/>
                    </w:tblPrEx>
                    <w:trPr>
                      <w:trHeight w:val="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135195AC" w14:textId="77777777">
                        <w:pPr>
                          <w:rPr>
                            <w:i/>
                            <w:iCs/>
                            <w:color w:val="000000"/>
                            <w:sz w:val="20"/>
                            <w:u w:val="single"/>
                          </w:rPr>
                        </w:pPr>
                        <w:r w:rsidRPr="00ED2F52">
                          <w:rPr>
                            <w:i/>
                            <w:iCs/>
                            <w:color w:val="000000"/>
                            <w:sz w:val="20"/>
                            <w:u w:val="single"/>
                          </w:rPr>
                          <w:t>New Sources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3BE79D22" w14:textId="77777777">
                        <w:pPr>
                          <w:jc w:val="center"/>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3F83FD4A"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4598D4DA"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132A884A"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61BB313C" w14:textId="77777777">
                        <w:pPr>
                          <w:jc w:val="center"/>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655CA708" w14:textId="77777777">
                        <w:pPr>
                          <w:jc w:val="center"/>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E80CEC0" w14:textId="77777777">
                        <w:pPr>
                          <w:jc w:val="center"/>
                          <w:rPr>
                            <w:color w:val="000000"/>
                            <w:sz w:val="20"/>
                          </w:rPr>
                        </w:pPr>
                        <w:r w:rsidRPr="00ED2F52">
                          <w:rPr>
                            <w:color w:val="000000"/>
                            <w:sz w:val="20"/>
                          </w:rPr>
                          <w:t> </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1E88645C" w14:textId="77777777">
                        <w:pPr>
                          <w:jc w:val="right"/>
                          <w:rPr>
                            <w:color w:val="000000"/>
                            <w:sz w:val="20"/>
                          </w:rPr>
                        </w:pPr>
                        <w:r w:rsidRPr="00ED2F52">
                          <w:rPr>
                            <w:color w:val="000000"/>
                            <w:sz w:val="20"/>
                          </w:rPr>
                          <w:t> </w:t>
                        </w:r>
                      </w:p>
                    </w:tc>
                  </w:tr>
                  <w:tr w14:paraId="18DEEE01" w14:textId="77777777" w:rsidTr="00ED2F52">
                    <w:tblPrEx>
                      <w:tblW w:w="12660" w:type="dxa"/>
                      <w:tblLayout w:type="fixed"/>
                      <w:tblLook w:val="04A0"/>
                    </w:tblPrEx>
                    <w:trPr>
                      <w:trHeight w:val="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292F3895" w14:textId="77777777">
                        <w:pPr>
                          <w:rPr>
                            <w:color w:val="000000"/>
                            <w:sz w:val="20"/>
                          </w:rPr>
                        </w:pPr>
                        <w:r w:rsidRPr="00ED2F52">
                          <w:rPr>
                            <w:color w:val="000000"/>
                            <w:sz w:val="20"/>
                          </w:rPr>
                          <w:t>Data Collection</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139A70FE"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26ED70FB"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7E140334"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60CBE0AB"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876E6DA"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482EDCB"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3DE97237" w14:textId="77777777">
                        <w:pPr>
                          <w:jc w:val="center"/>
                          <w:rPr>
                            <w:color w:val="000000"/>
                            <w:sz w:val="20"/>
                          </w:rPr>
                        </w:pPr>
                        <w:r w:rsidRPr="00ED2F52">
                          <w:rPr>
                            <w:color w:val="000000"/>
                            <w:sz w:val="20"/>
                          </w:rPr>
                          <w:t>0</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3FCF9048" w14:textId="77777777">
                        <w:pPr>
                          <w:jc w:val="right"/>
                          <w:rPr>
                            <w:color w:val="000000"/>
                            <w:sz w:val="20"/>
                          </w:rPr>
                        </w:pPr>
                        <w:r w:rsidRPr="00ED2F52">
                          <w:rPr>
                            <w:color w:val="000000"/>
                            <w:sz w:val="20"/>
                          </w:rPr>
                          <w:t xml:space="preserve">$0 </w:t>
                        </w:r>
                      </w:p>
                    </w:tc>
                  </w:tr>
                  <w:tr w14:paraId="274E49AD" w14:textId="77777777" w:rsidTr="00ED2F52">
                    <w:tblPrEx>
                      <w:tblW w:w="12660" w:type="dxa"/>
                      <w:tblLayout w:type="fixed"/>
                      <w:tblLook w:val="04A0"/>
                    </w:tblPrEx>
                    <w:trPr>
                      <w:trHeight w:val="194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3B5D59A8" w14:textId="77777777">
                        <w:pPr>
                          <w:rPr>
                            <w:color w:val="000000"/>
                            <w:sz w:val="20"/>
                          </w:rPr>
                        </w:pPr>
                        <w:r w:rsidRPr="00ED2F52">
                          <w:rPr>
                            <w:color w:val="000000"/>
                            <w:sz w:val="20"/>
                          </w:rPr>
                          <w:t>Records of 1-hour ave. NOx emissions, 24-hour ave. NOx emissions, excluded NOx emissions data, daily drift tests, quarterly accuracy determination for CEMS, certified and trained staff records, off-site staff records.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07454BD7"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87B275D"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77A1CD5C"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15503391" w14:textId="77777777">
                        <w:pPr>
                          <w:jc w:val="center"/>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40D6FFF1"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13259838"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44D63C1" w14:textId="77777777">
                        <w:pPr>
                          <w:jc w:val="center"/>
                          <w:rPr>
                            <w:color w:val="000000"/>
                            <w:sz w:val="20"/>
                          </w:rPr>
                        </w:pPr>
                        <w:r w:rsidRPr="00ED2F52">
                          <w:rPr>
                            <w:color w:val="000000"/>
                            <w:sz w:val="20"/>
                          </w:rPr>
                          <w:t>0</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47F89A8F" w14:textId="77777777">
                        <w:pPr>
                          <w:jc w:val="right"/>
                          <w:rPr>
                            <w:color w:val="000000"/>
                            <w:sz w:val="20"/>
                          </w:rPr>
                        </w:pPr>
                        <w:r w:rsidRPr="00ED2F52">
                          <w:rPr>
                            <w:color w:val="000000"/>
                            <w:sz w:val="20"/>
                          </w:rPr>
                          <w:t xml:space="preserve">$0 </w:t>
                        </w:r>
                      </w:p>
                    </w:tc>
                  </w:tr>
                  <w:tr w14:paraId="7870499E" w14:textId="77777777" w:rsidTr="00ED2F52">
                    <w:tblPrEx>
                      <w:tblW w:w="12660" w:type="dxa"/>
                      <w:tblLayout w:type="fixed"/>
                      <w:tblLook w:val="04A0"/>
                    </w:tblPrEx>
                    <w:trPr>
                      <w:trHeight w:val="41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016D30A4" w14:textId="77777777">
                        <w:pPr>
                          <w:rPr>
                            <w:color w:val="000000"/>
                            <w:sz w:val="20"/>
                          </w:rPr>
                        </w:pPr>
                        <w:r w:rsidRPr="00ED2F52">
                          <w:rPr>
                            <w:color w:val="000000"/>
                            <w:sz w:val="20"/>
                          </w:rPr>
                          <w:t>F. Time to Train Personnel</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54EFBF4C" w14:textId="77777777">
                        <w:pPr>
                          <w:jc w:val="center"/>
                          <w:rPr>
                            <w:color w:val="000000"/>
                            <w:sz w:val="20"/>
                          </w:rPr>
                        </w:pPr>
                        <w:r w:rsidRPr="00ED2F52">
                          <w:rPr>
                            <w:color w:val="000000"/>
                            <w:sz w:val="20"/>
                          </w:rPr>
                          <w:t>0</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C8A9789"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BE4284E"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3AEB0164" w14:textId="77777777">
                        <w:pPr>
                          <w:jc w:val="center"/>
                          <w:rPr>
                            <w:sz w:val="20"/>
                          </w:rPr>
                        </w:pPr>
                        <w:r w:rsidRPr="00ED2F52">
                          <w:rPr>
                            <w:sz w:val="20"/>
                          </w:rPr>
                          <w:t>0</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64A136FD" w14:textId="77777777">
                        <w:pPr>
                          <w:jc w:val="center"/>
                          <w:rPr>
                            <w:color w:val="000000"/>
                            <w:sz w:val="20"/>
                          </w:rPr>
                        </w:pPr>
                        <w:r w:rsidRPr="00ED2F52">
                          <w:rPr>
                            <w:color w:val="000000"/>
                            <w:sz w:val="20"/>
                          </w:rPr>
                          <w:t>0</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17C763B3" w14:textId="77777777">
                        <w:pPr>
                          <w:jc w:val="center"/>
                          <w:rPr>
                            <w:color w:val="000000"/>
                            <w:sz w:val="20"/>
                          </w:rPr>
                        </w:pPr>
                        <w:r w:rsidRPr="00ED2F52">
                          <w:rPr>
                            <w:color w:val="000000"/>
                            <w:sz w:val="20"/>
                          </w:rPr>
                          <w:t>0</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748910F" w14:textId="77777777">
                        <w:pPr>
                          <w:jc w:val="center"/>
                          <w:rPr>
                            <w:color w:val="000000"/>
                            <w:sz w:val="20"/>
                          </w:rPr>
                        </w:pPr>
                        <w:r w:rsidRPr="00ED2F52">
                          <w:rPr>
                            <w:color w:val="000000"/>
                            <w:sz w:val="20"/>
                          </w:rPr>
                          <w:t>0</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15F1CDC9" w14:textId="77777777">
                        <w:pPr>
                          <w:jc w:val="right"/>
                          <w:rPr>
                            <w:color w:val="000000"/>
                            <w:sz w:val="20"/>
                          </w:rPr>
                        </w:pPr>
                        <w:r w:rsidRPr="00ED2F52">
                          <w:rPr>
                            <w:color w:val="000000"/>
                            <w:sz w:val="20"/>
                          </w:rPr>
                          <w:t xml:space="preserve">$0 </w:t>
                        </w:r>
                      </w:p>
                    </w:tc>
                  </w:tr>
                  <w:tr w14:paraId="2FA6F190" w14:textId="77777777" w:rsidTr="00ED2F52">
                    <w:tblPrEx>
                      <w:tblW w:w="12660" w:type="dxa"/>
                      <w:tblLayout w:type="fixed"/>
                      <w:tblLook w:val="04A0"/>
                    </w:tblPrEx>
                    <w:trPr>
                      <w:trHeight w:val="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06C53C0C" w14:textId="77777777">
                        <w:pPr>
                          <w:rPr>
                            <w:color w:val="000000"/>
                            <w:sz w:val="20"/>
                          </w:rPr>
                        </w:pPr>
                        <w:r w:rsidRPr="00ED2F52">
                          <w:rPr>
                            <w:color w:val="000000"/>
                            <w:sz w:val="20"/>
                          </w:rPr>
                          <w:t xml:space="preserve">G. Time for Audits </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579D3F65" w14:textId="77777777">
                        <w:pPr>
                          <w:jc w:val="center"/>
                          <w:rPr>
                            <w:color w:val="000000"/>
                            <w:sz w:val="20"/>
                          </w:rPr>
                        </w:pPr>
                        <w:r w:rsidRPr="00ED2F52">
                          <w:rPr>
                            <w:color w:val="000000"/>
                            <w:sz w:val="20"/>
                          </w:rPr>
                          <w:t>NA</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4695F7E2"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2536C0D"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564E51F"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1AB6AB29"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6CD106A7"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29F92ECE" w14:textId="77777777">
                        <w:pPr>
                          <w:jc w:val="right"/>
                          <w:rPr>
                            <w:color w:val="000000"/>
                            <w:sz w:val="20"/>
                          </w:rPr>
                        </w:pPr>
                        <w:r w:rsidRPr="00ED2F52">
                          <w:rPr>
                            <w:color w:val="000000"/>
                            <w:sz w:val="20"/>
                          </w:rPr>
                          <w:t> </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57854B4F" w14:textId="77777777">
                        <w:pPr>
                          <w:jc w:val="right"/>
                          <w:rPr>
                            <w:color w:val="000000"/>
                            <w:sz w:val="20"/>
                          </w:rPr>
                        </w:pPr>
                        <w:r w:rsidRPr="00ED2F52">
                          <w:rPr>
                            <w:color w:val="000000"/>
                            <w:sz w:val="20"/>
                          </w:rPr>
                          <w:t> </w:t>
                        </w:r>
                      </w:p>
                    </w:tc>
                  </w:tr>
                  <w:tr w14:paraId="70A2716A" w14:textId="77777777" w:rsidTr="00ED2F52">
                    <w:tblPrEx>
                      <w:tblW w:w="12660" w:type="dxa"/>
                      <w:tblLayout w:type="fixed"/>
                      <w:tblLook w:val="04A0"/>
                    </w:tblPrEx>
                    <w:trPr>
                      <w:trHeight w:val="54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328DEF50" w14:textId="77777777">
                        <w:pPr>
                          <w:rPr>
                            <w:b/>
                            <w:bCs/>
                            <w:i/>
                            <w:iCs/>
                            <w:color w:val="000000"/>
                            <w:sz w:val="20"/>
                          </w:rPr>
                        </w:pPr>
                        <w:r w:rsidRPr="00ED2F52">
                          <w:rPr>
                            <w:b/>
                            <w:bCs/>
                            <w:i/>
                            <w:iCs/>
                            <w:color w:val="000000"/>
                            <w:sz w:val="20"/>
                          </w:rPr>
                          <w:t>Subtotal for Recordkeeping Requirements</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0A22AD47" w14:textId="77777777">
                        <w:pPr>
                          <w:jc w:val="right"/>
                          <w:rPr>
                            <w:b/>
                            <w:bCs/>
                            <w:i/>
                            <w:iCs/>
                            <w:color w:val="000000"/>
                            <w:sz w:val="20"/>
                          </w:rPr>
                        </w:pPr>
                        <w:r w:rsidRPr="00ED2F52">
                          <w:rPr>
                            <w:b/>
                            <w:bCs/>
                            <w:i/>
                            <w:i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6F5E2EC5" w14:textId="77777777">
                        <w:pPr>
                          <w:jc w:val="right"/>
                          <w:rPr>
                            <w:b/>
                            <w:bCs/>
                            <w:i/>
                            <w:iCs/>
                            <w:sz w:val="20"/>
                          </w:rPr>
                        </w:pPr>
                        <w:r w:rsidRPr="00ED2F52">
                          <w:rPr>
                            <w:b/>
                            <w:bCs/>
                            <w:i/>
                            <w:iCs/>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0B351B54" w14:textId="77777777">
                        <w:pPr>
                          <w:jc w:val="right"/>
                          <w:rPr>
                            <w:b/>
                            <w:bCs/>
                            <w:i/>
                            <w:iCs/>
                            <w:color w:val="000000"/>
                            <w:sz w:val="20"/>
                          </w:rPr>
                        </w:pPr>
                        <w:r w:rsidRPr="00ED2F52">
                          <w:rPr>
                            <w:b/>
                            <w:bCs/>
                            <w:i/>
                            <w:iCs/>
                            <w:color w:val="000000"/>
                            <w:sz w:val="20"/>
                          </w:rPr>
                          <w:t> </w:t>
                        </w:r>
                      </w:p>
                    </w:tc>
                    <w:tc>
                      <w:tcPr>
                        <w:tcW w:w="1280" w:type="dxa"/>
                        <w:tcBorders>
                          <w:top w:val="nil"/>
                          <w:left w:val="nil"/>
                          <w:bottom w:val="single" w:sz="4" w:space="0" w:color="auto"/>
                          <w:right w:val="single" w:sz="4" w:space="0" w:color="auto"/>
                        </w:tcBorders>
                        <w:shd w:val="clear" w:color="auto" w:fill="auto"/>
                        <w:noWrap/>
                        <w:vAlign w:val="center"/>
                        <w:hideMark/>
                      </w:tcPr>
                      <w:p w:rsidR="00ED2F52" w:rsidRPr="00ED2F52" w:rsidP="00ED2F52" w14:paraId="0F661E64" w14:textId="77777777">
                        <w:pPr>
                          <w:jc w:val="right"/>
                          <w:rPr>
                            <w:b/>
                            <w:bCs/>
                            <w:i/>
                            <w:iCs/>
                            <w:sz w:val="20"/>
                          </w:rPr>
                        </w:pPr>
                        <w:r w:rsidRPr="00ED2F52">
                          <w:rPr>
                            <w:b/>
                            <w:bCs/>
                            <w:i/>
                            <w:iCs/>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BA890A2" w14:textId="77777777">
                        <w:pPr>
                          <w:jc w:val="center"/>
                          <w:rPr>
                            <w:b/>
                            <w:bCs/>
                            <w:i/>
                            <w:iCs/>
                            <w:color w:val="000000"/>
                            <w:sz w:val="20"/>
                          </w:rPr>
                        </w:pPr>
                        <w:r w:rsidRPr="00ED2F52">
                          <w:rPr>
                            <w:b/>
                            <w:bCs/>
                            <w:i/>
                            <w:iCs/>
                            <w:color w:val="000000"/>
                            <w:sz w:val="20"/>
                          </w:rPr>
                          <w:t>9</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6CC17A6E" w14:textId="77777777">
                        <w:pPr>
                          <w:jc w:val="center"/>
                          <w:rPr>
                            <w:b/>
                            <w:bCs/>
                            <w:i/>
                            <w:iCs/>
                            <w:color w:val="000000"/>
                            <w:sz w:val="20"/>
                          </w:rPr>
                        </w:pPr>
                        <w:r w:rsidRPr="00ED2F52">
                          <w:rPr>
                            <w:b/>
                            <w:bCs/>
                            <w:i/>
                            <w:iCs/>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5582B729" w14:textId="77777777">
                        <w:pPr>
                          <w:jc w:val="center"/>
                          <w:rPr>
                            <w:b/>
                            <w:bCs/>
                            <w:i/>
                            <w:iCs/>
                            <w:color w:val="000000"/>
                            <w:sz w:val="20"/>
                          </w:rPr>
                        </w:pPr>
                        <w:r w:rsidRPr="00ED2F52">
                          <w:rPr>
                            <w:b/>
                            <w:bCs/>
                            <w:i/>
                            <w:iCs/>
                            <w:color w:val="000000"/>
                            <w:sz w:val="20"/>
                          </w:rPr>
                          <w:t> </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12B97AA3" w14:textId="77777777">
                        <w:pPr>
                          <w:jc w:val="right"/>
                          <w:rPr>
                            <w:b/>
                            <w:bCs/>
                            <w:i/>
                            <w:iCs/>
                            <w:color w:val="000000"/>
                            <w:sz w:val="20"/>
                          </w:rPr>
                        </w:pPr>
                        <w:r w:rsidRPr="00ED2F52">
                          <w:rPr>
                            <w:b/>
                            <w:bCs/>
                            <w:i/>
                            <w:iCs/>
                            <w:color w:val="000000"/>
                            <w:sz w:val="20"/>
                          </w:rPr>
                          <w:t xml:space="preserve">$1,137 </w:t>
                        </w:r>
                      </w:p>
                    </w:tc>
                  </w:tr>
                  <w:tr w14:paraId="006CBB56" w14:textId="77777777" w:rsidTr="00ED2F52">
                    <w:tblPrEx>
                      <w:tblW w:w="12660" w:type="dxa"/>
                      <w:tblLayout w:type="fixed"/>
                      <w:tblLook w:val="04A0"/>
                    </w:tblPrEx>
                    <w:trPr>
                      <w:trHeight w:val="57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22E5E42C" w14:textId="77777777">
                        <w:pPr>
                          <w:rPr>
                            <w:b/>
                            <w:bCs/>
                            <w:color w:val="000000"/>
                            <w:sz w:val="20"/>
                          </w:rPr>
                        </w:pPr>
                        <w:r w:rsidRPr="00ED2F52">
                          <w:rPr>
                            <w:b/>
                            <w:bCs/>
                            <w:color w:val="000000"/>
                            <w:sz w:val="20"/>
                          </w:rPr>
                          <w:t xml:space="preserve">Total Labor Burden and Cost (rounded) </w:t>
                        </w:r>
                        <w:r w:rsidRPr="00ED2F52">
                          <w:rPr>
                            <w:b/>
                            <w:bCs/>
                            <w:color w:val="000000"/>
                            <w:sz w:val="20"/>
                            <w:vertAlign w:val="superscript"/>
                          </w:rPr>
                          <w:t>f</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686F3EC7" w14:textId="77777777">
                        <w:pPr>
                          <w:jc w:val="right"/>
                          <w:rPr>
                            <w:b/>
                            <w:bCs/>
                            <w:color w:val="000000"/>
                            <w:sz w:val="20"/>
                          </w:rPr>
                        </w:pPr>
                        <w:r w:rsidRPr="00ED2F52">
                          <w:rPr>
                            <w:b/>
                            <w:bCs/>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0EC84D7C" w14:textId="77777777">
                        <w:pPr>
                          <w:jc w:val="center"/>
                          <w:rPr>
                            <w:b/>
                            <w:bCs/>
                            <w:sz w:val="20"/>
                          </w:rPr>
                        </w:pPr>
                        <w:r w:rsidRPr="00ED2F52">
                          <w:rPr>
                            <w:b/>
                            <w:bCs/>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55144D2" w14:textId="77777777">
                        <w:pPr>
                          <w:jc w:val="right"/>
                          <w:rPr>
                            <w:b/>
                            <w:bCs/>
                            <w:color w:val="000000"/>
                            <w:sz w:val="20"/>
                          </w:rPr>
                        </w:pPr>
                        <w:r w:rsidRPr="00ED2F52">
                          <w:rPr>
                            <w:b/>
                            <w:bCs/>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09C9FDAA" w14:textId="77777777">
                        <w:pPr>
                          <w:jc w:val="right"/>
                          <w:rPr>
                            <w:b/>
                            <w:bCs/>
                            <w:sz w:val="20"/>
                          </w:rPr>
                        </w:pPr>
                        <w:r w:rsidRPr="00ED2F52">
                          <w:rPr>
                            <w:b/>
                            <w:bCs/>
                            <w:sz w:val="20"/>
                          </w:rPr>
                          <w:t> </w:t>
                        </w:r>
                      </w:p>
                    </w:tc>
                    <w:tc>
                      <w:tcPr>
                        <w:tcW w:w="3700" w:type="dxa"/>
                        <w:gridSpan w:val="3"/>
                        <w:tcBorders>
                          <w:top w:val="single" w:sz="4" w:space="0" w:color="auto"/>
                          <w:left w:val="nil"/>
                          <w:bottom w:val="single" w:sz="4" w:space="0" w:color="auto"/>
                          <w:right w:val="single" w:sz="4" w:space="0" w:color="auto"/>
                        </w:tcBorders>
                        <w:shd w:val="clear" w:color="auto" w:fill="auto"/>
                        <w:vAlign w:val="center"/>
                        <w:hideMark/>
                      </w:tcPr>
                      <w:p w:rsidR="00ED2F52" w:rsidRPr="00ED2F52" w:rsidP="00ED2F52" w14:paraId="25152047" w14:textId="77777777">
                        <w:pPr>
                          <w:jc w:val="center"/>
                          <w:rPr>
                            <w:b/>
                            <w:bCs/>
                            <w:color w:val="000000"/>
                            <w:sz w:val="20"/>
                          </w:rPr>
                        </w:pPr>
                        <w:r w:rsidRPr="00ED2F52">
                          <w:rPr>
                            <w:b/>
                            <w:bCs/>
                            <w:color w:val="000000"/>
                            <w:sz w:val="20"/>
                          </w:rPr>
                          <w:t>1,800</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3683FC24" w14:textId="77777777">
                        <w:pPr>
                          <w:jc w:val="right"/>
                          <w:rPr>
                            <w:b/>
                            <w:bCs/>
                            <w:color w:val="000000"/>
                            <w:sz w:val="20"/>
                          </w:rPr>
                        </w:pPr>
                        <w:r w:rsidRPr="00ED2F52">
                          <w:rPr>
                            <w:b/>
                            <w:bCs/>
                            <w:color w:val="000000"/>
                            <w:sz w:val="20"/>
                          </w:rPr>
                          <w:t xml:space="preserve">$230,000 </w:t>
                        </w:r>
                      </w:p>
                    </w:tc>
                  </w:tr>
                  <w:tr w14:paraId="490D9E41" w14:textId="77777777" w:rsidTr="00ED2F52">
                    <w:tblPrEx>
                      <w:tblW w:w="12660" w:type="dxa"/>
                      <w:tblLayout w:type="fixed"/>
                      <w:tblLook w:val="04A0"/>
                    </w:tblPrEx>
                    <w:trPr>
                      <w:trHeight w:val="5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665B85F1" w14:textId="77777777">
                        <w:pPr>
                          <w:rPr>
                            <w:b/>
                            <w:bCs/>
                            <w:sz w:val="20"/>
                          </w:rPr>
                        </w:pPr>
                        <w:r w:rsidRPr="00ED2F52">
                          <w:rPr>
                            <w:b/>
                            <w:bCs/>
                            <w:sz w:val="20"/>
                          </w:rPr>
                          <w:t xml:space="preserve">Total Capital and O&amp;M Cost (rounded) </w:t>
                        </w:r>
                        <w:r w:rsidRPr="00ED2F52">
                          <w:rPr>
                            <w:b/>
                            <w:bCs/>
                            <w:sz w:val="20"/>
                            <w:vertAlign w:val="superscript"/>
                          </w:rPr>
                          <w:t>f</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602E5521" w14:textId="77777777">
                        <w:pPr>
                          <w:jc w:val="right"/>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6C84AB7A"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38B35504"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2D1514B"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43289817"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075F8F23"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7802F0F4" w14:textId="77777777">
                        <w:pPr>
                          <w:jc w:val="right"/>
                          <w:rPr>
                            <w:color w:val="000000"/>
                            <w:sz w:val="20"/>
                          </w:rPr>
                        </w:pPr>
                        <w:r w:rsidRPr="00ED2F52">
                          <w:rPr>
                            <w:color w:val="000000"/>
                            <w:sz w:val="20"/>
                          </w:rPr>
                          <w:t> </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23E2A62C" w14:textId="77777777">
                        <w:pPr>
                          <w:jc w:val="right"/>
                          <w:rPr>
                            <w:b/>
                            <w:bCs/>
                            <w:color w:val="000000"/>
                            <w:sz w:val="20"/>
                          </w:rPr>
                        </w:pPr>
                        <w:r w:rsidRPr="00ED2F52">
                          <w:rPr>
                            <w:b/>
                            <w:bCs/>
                            <w:color w:val="000000"/>
                            <w:sz w:val="20"/>
                          </w:rPr>
                          <w:t> </w:t>
                        </w:r>
                      </w:p>
                    </w:tc>
                  </w:tr>
                  <w:tr w14:paraId="00CB5E81" w14:textId="77777777" w:rsidTr="00ED2F52">
                    <w:tblPrEx>
                      <w:tblW w:w="12660" w:type="dxa"/>
                      <w:tblLayout w:type="fixed"/>
                      <w:tblLook w:val="04A0"/>
                    </w:tblPrEx>
                    <w:trPr>
                      <w:trHeight w:val="30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ED2F52" w:rsidRPr="00ED2F52" w:rsidP="00ED2F52" w14:paraId="2A7D0D44" w14:textId="77777777">
                        <w:pPr>
                          <w:rPr>
                            <w:b/>
                            <w:bCs/>
                            <w:sz w:val="20"/>
                          </w:rPr>
                        </w:pPr>
                        <w:r w:rsidRPr="00ED2F52">
                          <w:rPr>
                            <w:b/>
                            <w:bCs/>
                            <w:sz w:val="20"/>
                          </w:rPr>
                          <w:t xml:space="preserve">Grand TOTAL (rounded) </w:t>
                        </w:r>
                        <w:r w:rsidRPr="00ED2F52">
                          <w:rPr>
                            <w:b/>
                            <w:bCs/>
                            <w:sz w:val="20"/>
                            <w:vertAlign w:val="superscript"/>
                          </w:rPr>
                          <w:t>f</w:t>
                        </w:r>
                      </w:p>
                    </w:tc>
                    <w:tc>
                      <w:tcPr>
                        <w:tcW w:w="1120" w:type="dxa"/>
                        <w:tcBorders>
                          <w:top w:val="nil"/>
                          <w:left w:val="nil"/>
                          <w:bottom w:val="single" w:sz="4" w:space="0" w:color="auto"/>
                          <w:right w:val="single" w:sz="4" w:space="0" w:color="auto"/>
                        </w:tcBorders>
                        <w:shd w:val="clear" w:color="auto" w:fill="auto"/>
                        <w:vAlign w:val="center"/>
                        <w:hideMark/>
                      </w:tcPr>
                      <w:p w:rsidR="00ED2F52" w:rsidRPr="00ED2F52" w:rsidP="00ED2F52" w14:paraId="1A72A187" w14:textId="77777777">
                        <w:pPr>
                          <w:jc w:val="right"/>
                          <w:rPr>
                            <w:color w:val="000000"/>
                            <w:sz w:val="20"/>
                          </w:rPr>
                        </w:pPr>
                        <w:r w:rsidRPr="00ED2F52">
                          <w:rPr>
                            <w:color w:val="000000"/>
                            <w:sz w:val="20"/>
                          </w:rPr>
                          <w:t> </w:t>
                        </w:r>
                      </w:p>
                    </w:tc>
                    <w:tc>
                      <w:tcPr>
                        <w:tcW w:w="1320" w:type="dxa"/>
                        <w:tcBorders>
                          <w:top w:val="nil"/>
                          <w:left w:val="nil"/>
                          <w:bottom w:val="single" w:sz="4" w:space="0" w:color="auto"/>
                          <w:right w:val="single" w:sz="4" w:space="0" w:color="auto"/>
                        </w:tcBorders>
                        <w:shd w:val="clear" w:color="auto" w:fill="auto"/>
                        <w:vAlign w:val="center"/>
                        <w:hideMark/>
                      </w:tcPr>
                      <w:p w:rsidR="00ED2F52" w:rsidRPr="00ED2F52" w:rsidP="00ED2F52" w14:paraId="3AAB77E2"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5F22E9A6"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596A6942" w14:textId="77777777">
                        <w:pPr>
                          <w:jc w:val="right"/>
                          <w:rPr>
                            <w:sz w:val="20"/>
                          </w:rPr>
                        </w:pPr>
                        <w:r w:rsidRPr="00ED2F52">
                          <w:rPr>
                            <w:sz w:val="20"/>
                          </w:rPr>
                          <w:t> </w:t>
                        </w:r>
                      </w:p>
                    </w:tc>
                    <w:tc>
                      <w:tcPr>
                        <w:tcW w:w="1160" w:type="dxa"/>
                        <w:tcBorders>
                          <w:top w:val="nil"/>
                          <w:left w:val="nil"/>
                          <w:bottom w:val="single" w:sz="4" w:space="0" w:color="auto"/>
                          <w:right w:val="single" w:sz="4" w:space="0" w:color="auto"/>
                        </w:tcBorders>
                        <w:shd w:val="clear" w:color="auto" w:fill="auto"/>
                        <w:vAlign w:val="center"/>
                        <w:hideMark/>
                      </w:tcPr>
                      <w:p w:rsidR="00ED2F52" w:rsidRPr="00ED2F52" w:rsidP="00ED2F52" w14:paraId="6254EEA7" w14:textId="77777777">
                        <w:pPr>
                          <w:jc w:val="right"/>
                          <w:rPr>
                            <w:color w:val="000000"/>
                            <w:sz w:val="20"/>
                          </w:rPr>
                        </w:pPr>
                        <w:r w:rsidRPr="00ED2F52">
                          <w:rPr>
                            <w:color w:val="000000"/>
                            <w:sz w:val="20"/>
                          </w:rPr>
                          <w:t> </w:t>
                        </w:r>
                      </w:p>
                    </w:tc>
                    <w:tc>
                      <w:tcPr>
                        <w:tcW w:w="1280" w:type="dxa"/>
                        <w:tcBorders>
                          <w:top w:val="nil"/>
                          <w:left w:val="nil"/>
                          <w:bottom w:val="single" w:sz="4" w:space="0" w:color="auto"/>
                          <w:right w:val="single" w:sz="4" w:space="0" w:color="auto"/>
                        </w:tcBorders>
                        <w:shd w:val="clear" w:color="auto" w:fill="auto"/>
                        <w:vAlign w:val="center"/>
                        <w:hideMark/>
                      </w:tcPr>
                      <w:p w:rsidR="00ED2F52" w:rsidRPr="00ED2F52" w:rsidP="00ED2F52" w14:paraId="6F546929" w14:textId="77777777">
                        <w:pPr>
                          <w:jc w:val="right"/>
                          <w:rPr>
                            <w:color w:val="000000"/>
                            <w:sz w:val="20"/>
                          </w:rPr>
                        </w:pPr>
                        <w:r w:rsidRPr="00ED2F52">
                          <w:rPr>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ED2F52" w:rsidRPr="00ED2F52" w:rsidP="00ED2F52" w14:paraId="14534AB3" w14:textId="77777777">
                        <w:pPr>
                          <w:jc w:val="right"/>
                          <w:rPr>
                            <w:color w:val="000000"/>
                            <w:sz w:val="20"/>
                          </w:rPr>
                        </w:pPr>
                        <w:r w:rsidRPr="00ED2F52">
                          <w:rPr>
                            <w:color w:val="000000"/>
                            <w:sz w:val="20"/>
                          </w:rPr>
                          <w:t> </w:t>
                        </w:r>
                      </w:p>
                    </w:tc>
                    <w:tc>
                      <w:tcPr>
                        <w:tcW w:w="1460" w:type="dxa"/>
                        <w:tcBorders>
                          <w:top w:val="nil"/>
                          <w:left w:val="nil"/>
                          <w:bottom w:val="single" w:sz="4" w:space="0" w:color="auto"/>
                          <w:right w:val="single" w:sz="4" w:space="0" w:color="auto"/>
                        </w:tcBorders>
                        <w:shd w:val="clear" w:color="auto" w:fill="auto"/>
                        <w:vAlign w:val="center"/>
                        <w:hideMark/>
                      </w:tcPr>
                      <w:p w:rsidR="00ED2F52" w:rsidRPr="00ED2F52" w:rsidP="00ED2F52" w14:paraId="5A6571CB" w14:textId="77777777">
                        <w:pPr>
                          <w:jc w:val="right"/>
                          <w:rPr>
                            <w:b/>
                            <w:bCs/>
                            <w:color w:val="000000"/>
                            <w:sz w:val="20"/>
                          </w:rPr>
                        </w:pPr>
                        <w:r w:rsidRPr="00ED2F52">
                          <w:rPr>
                            <w:b/>
                            <w:bCs/>
                            <w:color w:val="000000"/>
                            <w:sz w:val="20"/>
                          </w:rPr>
                          <w:t xml:space="preserve">$200,000 </w:t>
                        </w:r>
                      </w:p>
                    </w:tc>
                  </w:tr>
                  <w:tr w14:paraId="6913E294" w14:textId="77777777" w:rsidTr="00ED2F52">
                    <w:tblPrEx>
                      <w:tblW w:w="12660" w:type="dxa"/>
                      <w:tblLayout w:type="fixed"/>
                      <w:tblLook w:val="04A0"/>
                    </w:tblPrEx>
                    <w:trPr>
                      <w:trHeight w:val="120"/>
                    </w:trPr>
                    <w:tc>
                      <w:tcPr>
                        <w:tcW w:w="2620" w:type="dxa"/>
                        <w:tcBorders>
                          <w:top w:val="nil"/>
                          <w:left w:val="nil"/>
                          <w:bottom w:val="nil"/>
                          <w:right w:val="nil"/>
                        </w:tcBorders>
                        <w:shd w:val="clear" w:color="auto" w:fill="auto"/>
                        <w:noWrap/>
                        <w:vAlign w:val="bottom"/>
                        <w:hideMark/>
                      </w:tcPr>
                      <w:p w:rsidR="00ED2F52" w:rsidRPr="00ED2F52" w:rsidP="00ED2F52" w14:paraId="14F5219B" w14:textId="77777777">
                        <w:pPr>
                          <w:jc w:val="right"/>
                          <w:rPr>
                            <w:b/>
                            <w:bCs/>
                            <w:color w:val="000000"/>
                            <w:sz w:val="20"/>
                          </w:rPr>
                        </w:pPr>
                      </w:p>
                    </w:tc>
                    <w:tc>
                      <w:tcPr>
                        <w:tcW w:w="1120" w:type="dxa"/>
                        <w:tcBorders>
                          <w:top w:val="nil"/>
                          <w:left w:val="nil"/>
                          <w:bottom w:val="nil"/>
                          <w:right w:val="nil"/>
                        </w:tcBorders>
                        <w:shd w:val="clear" w:color="auto" w:fill="auto"/>
                        <w:noWrap/>
                        <w:vAlign w:val="bottom"/>
                        <w:hideMark/>
                      </w:tcPr>
                      <w:p w:rsidR="00ED2F52" w:rsidRPr="00ED2F52" w:rsidP="00ED2F52" w14:paraId="1B16E744" w14:textId="77777777">
                        <w:pPr>
                          <w:rPr>
                            <w:sz w:val="20"/>
                          </w:rPr>
                        </w:pPr>
                      </w:p>
                    </w:tc>
                    <w:tc>
                      <w:tcPr>
                        <w:tcW w:w="1320" w:type="dxa"/>
                        <w:tcBorders>
                          <w:top w:val="nil"/>
                          <w:left w:val="nil"/>
                          <w:bottom w:val="nil"/>
                          <w:right w:val="nil"/>
                        </w:tcBorders>
                        <w:shd w:val="clear" w:color="auto" w:fill="auto"/>
                        <w:noWrap/>
                        <w:vAlign w:val="bottom"/>
                        <w:hideMark/>
                      </w:tcPr>
                      <w:p w:rsidR="00ED2F52" w:rsidRPr="00ED2F52" w:rsidP="00ED2F52" w14:paraId="58B2E445" w14:textId="77777777">
                        <w:pPr>
                          <w:rPr>
                            <w:sz w:val="20"/>
                          </w:rPr>
                        </w:pPr>
                      </w:p>
                    </w:tc>
                    <w:tc>
                      <w:tcPr>
                        <w:tcW w:w="1160" w:type="dxa"/>
                        <w:tcBorders>
                          <w:top w:val="nil"/>
                          <w:left w:val="nil"/>
                          <w:bottom w:val="nil"/>
                          <w:right w:val="nil"/>
                        </w:tcBorders>
                        <w:shd w:val="clear" w:color="auto" w:fill="auto"/>
                        <w:noWrap/>
                        <w:vAlign w:val="bottom"/>
                        <w:hideMark/>
                      </w:tcPr>
                      <w:p w:rsidR="00ED2F52" w:rsidRPr="00ED2F52" w:rsidP="00ED2F52" w14:paraId="61EC14FA" w14:textId="77777777">
                        <w:pPr>
                          <w:rPr>
                            <w:sz w:val="20"/>
                          </w:rPr>
                        </w:pPr>
                      </w:p>
                    </w:tc>
                    <w:tc>
                      <w:tcPr>
                        <w:tcW w:w="1280" w:type="dxa"/>
                        <w:tcBorders>
                          <w:top w:val="nil"/>
                          <w:left w:val="nil"/>
                          <w:bottom w:val="nil"/>
                          <w:right w:val="nil"/>
                        </w:tcBorders>
                        <w:shd w:val="clear" w:color="auto" w:fill="auto"/>
                        <w:noWrap/>
                        <w:vAlign w:val="bottom"/>
                        <w:hideMark/>
                      </w:tcPr>
                      <w:p w:rsidR="00ED2F52" w:rsidRPr="00ED2F52" w:rsidP="00ED2F52" w14:paraId="38ED9E2D" w14:textId="77777777">
                        <w:pPr>
                          <w:rPr>
                            <w:sz w:val="20"/>
                          </w:rPr>
                        </w:pPr>
                      </w:p>
                    </w:tc>
                    <w:tc>
                      <w:tcPr>
                        <w:tcW w:w="1160" w:type="dxa"/>
                        <w:tcBorders>
                          <w:top w:val="nil"/>
                          <w:left w:val="nil"/>
                          <w:bottom w:val="nil"/>
                          <w:right w:val="nil"/>
                        </w:tcBorders>
                        <w:shd w:val="clear" w:color="auto" w:fill="auto"/>
                        <w:noWrap/>
                        <w:vAlign w:val="bottom"/>
                        <w:hideMark/>
                      </w:tcPr>
                      <w:p w:rsidR="00ED2F52" w:rsidRPr="00ED2F52" w:rsidP="00ED2F52" w14:paraId="0ED9F8A5" w14:textId="77777777">
                        <w:pPr>
                          <w:rPr>
                            <w:sz w:val="20"/>
                          </w:rPr>
                        </w:pPr>
                      </w:p>
                    </w:tc>
                    <w:tc>
                      <w:tcPr>
                        <w:tcW w:w="1280" w:type="dxa"/>
                        <w:tcBorders>
                          <w:top w:val="nil"/>
                          <w:left w:val="nil"/>
                          <w:bottom w:val="nil"/>
                          <w:right w:val="nil"/>
                        </w:tcBorders>
                        <w:shd w:val="clear" w:color="auto" w:fill="auto"/>
                        <w:noWrap/>
                        <w:vAlign w:val="bottom"/>
                        <w:hideMark/>
                      </w:tcPr>
                      <w:p w:rsidR="00ED2F52" w:rsidRPr="00ED2F52" w:rsidP="00ED2F52" w14:paraId="5B2492AE" w14:textId="77777777">
                        <w:pPr>
                          <w:rPr>
                            <w:sz w:val="20"/>
                          </w:rPr>
                        </w:pPr>
                      </w:p>
                    </w:tc>
                    <w:tc>
                      <w:tcPr>
                        <w:tcW w:w="1260" w:type="dxa"/>
                        <w:tcBorders>
                          <w:top w:val="nil"/>
                          <w:left w:val="nil"/>
                          <w:bottom w:val="nil"/>
                          <w:right w:val="nil"/>
                        </w:tcBorders>
                        <w:shd w:val="clear" w:color="auto" w:fill="auto"/>
                        <w:noWrap/>
                        <w:vAlign w:val="bottom"/>
                        <w:hideMark/>
                      </w:tcPr>
                      <w:p w:rsidR="00ED2F52" w:rsidRPr="00ED2F52" w:rsidP="00ED2F52" w14:paraId="251BF4A7" w14:textId="77777777">
                        <w:pPr>
                          <w:rPr>
                            <w:sz w:val="20"/>
                          </w:rPr>
                        </w:pPr>
                      </w:p>
                    </w:tc>
                    <w:tc>
                      <w:tcPr>
                        <w:tcW w:w="1460" w:type="dxa"/>
                        <w:tcBorders>
                          <w:top w:val="nil"/>
                          <w:left w:val="nil"/>
                          <w:bottom w:val="nil"/>
                          <w:right w:val="nil"/>
                        </w:tcBorders>
                        <w:shd w:val="clear" w:color="auto" w:fill="auto"/>
                        <w:noWrap/>
                        <w:vAlign w:val="bottom"/>
                        <w:hideMark/>
                      </w:tcPr>
                      <w:p w:rsidR="00ED2F52" w:rsidRPr="00ED2F52" w:rsidP="00ED2F52" w14:paraId="3C858389" w14:textId="77777777">
                        <w:pPr>
                          <w:rPr>
                            <w:sz w:val="20"/>
                          </w:rPr>
                        </w:pPr>
                      </w:p>
                    </w:tc>
                  </w:tr>
                  <w:tr w14:paraId="78944F80" w14:textId="77777777" w:rsidTr="00ED2F52">
                    <w:tblPrEx>
                      <w:tblW w:w="12660" w:type="dxa"/>
                      <w:tblLayout w:type="fixed"/>
                      <w:tblLook w:val="04A0"/>
                    </w:tblPrEx>
                    <w:trPr>
                      <w:trHeight w:val="360"/>
                    </w:trPr>
                    <w:tc>
                      <w:tcPr>
                        <w:tcW w:w="12660" w:type="dxa"/>
                        <w:gridSpan w:val="9"/>
                        <w:tcBorders>
                          <w:top w:val="nil"/>
                          <w:left w:val="nil"/>
                          <w:bottom w:val="nil"/>
                          <w:right w:val="nil"/>
                        </w:tcBorders>
                        <w:shd w:val="clear" w:color="auto" w:fill="auto"/>
                        <w:vAlign w:val="center"/>
                        <w:hideMark/>
                      </w:tcPr>
                      <w:p w:rsidR="00ED2F52" w:rsidRPr="00ED2F52" w:rsidP="00ED2F52" w14:paraId="3AE8305E" w14:textId="77777777">
                        <w:pPr>
                          <w:rPr>
                            <w:color w:val="000000"/>
                            <w:sz w:val="20"/>
                          </w:rPr>
                        </w:pPr>
                        <w:r w:rsidRPr="00ED2F52">
                          <w:rPr>
                            <w:color w:val="000000"/>
                            <w:sz w:val="20"/>
                            <w:vertAlign w:val="superscript"/>
                          </w:rPr>
                          <w:t>a</w:t>
                        </w:r>
                        <w:r w:rsidRPr="00ED2F52">
                          <w:rPr>
                            <w:color w:val="000000"/>
                            <w:sz w:val="20"/>
                          </w:rPr>
                          <w:t xml:space="preserve">  We have assumed that there are approximately 80 affected municipal waste combustors (MWCs).</w:t>
                        </w:r>
                      </w:p>
                    </w:tc>
                  </w:tr>
                  <w:tr w14:paraId="5771B3B9" w14:textId="77777777" w:rsidTr="00ED2F52">
                    <w:tblPrEx>
                      <w:tblW w:w="12660" w:type="dxa"/>
                      <w:tblLayout w:type="fixed"/>
                      <w:tblLook w:val="04A0"/>
                    </w:tblPrEx>
                    <w:trPr>
                      <w:trHeight w:val="1453"/>
                    </w:trPr>
                    <w:tc>
                      <w:tcPr>
                        <w:tcW w:w="12660" w:type="dxa"/>
                        <w:gridSpan w:val="9"/>
                        <w:tcBorders>
                          <w:top w:val="nil"/>
                          <w:left w:val="nil"/>
                          <w:bottom w:val="nil"/>
                          <w:right w:val="nil"/>
                        </w:tcBorders>
                        <w:shd w:val="clear" w:color="auto" w:fill="auto"/>
                        <w:vAlign w:val="bottom"/>
                        <w:hideMark/>
                      </w:tcPr>
                      <w:p w:rsidR="00ED2F52" w:rsidRPr="00ED2F52" w:rsidP="00ED2F52" w14:paraId="6CBADB08" w14:textId="77777777">
                        <w:pPr>
                          <w:rPr>
                            <w:color w:val="000000"/>
                            <w:sz w:val="20"/>
                          </w:rPr>
                        </w:pPr>
                        <w:r w:rsidRPr="00ED2F52">
                          <w:rPr>
                            <w:color w:val="000000"/>
                            <w:sz w:val="20"/>
                            <w:vertAlign w:val="superscript"/>
                          </w:rPr>
                          <w:t>b</w:t>
                        </w:r>
                        <w:r w:rsidRPr="00ED2F52">
                          <w:rPr>
                            <w:color w:val="000000"/>
                            <w:sz w:val="20"/>
                          </w:rPr>
                          <w:t xml:space="preserve">  This ICR uses the following labor rates: $161.62 per hour for Executive, Administrative, and Managerial labor; $127.68 per hour for Technical labor, and $64.22 per hour for Clerical labor.  These rates are from the United States Department of Labor, Bureau of Labor Statistics, June 2022, “Table 2. Civilian Workers, by Occupational and Industry group.”  The rates are from column 1, “Total Compensation.”  The rates have been increased by 110 percent to account for the benefit packages available to those employed by private industry.  Archived report releases can be accessed from https://www.bls.gov/bls/news-release/ecec.htm#2021;  from homepage, select Economic Releases, Archived News Releases, Employer Costs for Employee Compensation, Select a past year, Select a published report.</w:t>
                        </w:r>
                      </w:p>
                    </w:tc>
                  </w:tr>
                  <w:tr w14:paraId="248C15B9" w14:textId="77777777" w:rsidTr="00ED2F52">
                    <w:tblPrEx>
                      <w:tblW w:w="12660" w:type="dxa"/>
                      <w:tblLayout w:type="fixed"/>
                      <w:tblLook w:val="04A0"/>
                    </w:tblPrEx>
                    <w:trPr>
                      <w:trHeight w:val="283"/>
                    </w:trPr>
                    <w:tc>
                      <w:tcPr>
                        <w:tcW w:w="12660" w:type="dxa"/>
                        <w:gridSpan w:val="9"/>
                        <w:tcBorders>
                          <w:top w:val="nil"/>
                          <w:left w:val="nil"/>
                          <w:bottom w:val="nil"/>
                          <w:right w:val="nil"/>
                        </w:tcBorders>
                        <w:shd w:val="clear" w:color="auto" w:fill="auto"/>
                        <w:vAlign w:val="center"/>
                        <w:hideMark/>
                      </w:tcPr>
                      <w:p w:rsidR="00ED2F52" w:rsidRPr="00ED2F52" w:rsidP="00ED2F52" w14:paraId="400896C0" w14:textId="77777777">
                        <w:pPr>
                          <w:rPr>
                            <w:color w:val="000000"/>
                            <w:sz w:val="20"/>
                          </w:rPr>
                        </w:pPr>
                        <w:r w:rsidRPr="00ED2F52">
                          <w:rPr>
                            <w:color w:val="000000"/>
                            <w:sz w:val="20"/>
                            <w:vertAlign w:val="superscript"/>
                          </w:rPr>
                          <w:t>c</w:t>
                        </w:r>
                        <w:r w:rsidRPr="00ED2F52">
                          <w:rPr>
                            <w:color w:val="000000"/>
                            <w:sz w:val="20"/>
                          </w:rPr>
                          <w:t xml:space="preserve">  New MWCs test for NOx. We have assumed that 5 percent of respondents would repeat initial performance test due to failure.</w:t>
                        </w:r>
                      </w:p>
                    </w:tc>
                  </w:tr>
                  <w:tr w14:paraId="4577D4EA" w14:textId="77777777" w:rsidTr="00ED2F52">
                    <w:tblPrEx>
                      <w:tblW w:w="12660" w:type="dxa"/>
                      <w:tblLayout w:type="fixed"/>
                      <w:tblLook w:val="04A0"/>
                    </w:tblPrEx>
                    <w:trPr>
                      <w:trHeight w:val="600"/>
                    </w:trPr>
                    <w:tc>
                      <w:tcPr>
                        <w:tcW w:w="12660" w:type="dxa"/>
                        <w:gridSpan w:val="9"/>
                        <w:tcBorders>
                          <w:top w:val="nil"/>
                          <w:left w:val="nil"/>
                          <w:bottom w:val="nil"/>
                          <w:right w:val="nil"/>
                        </w:tcBorders>
                        <w:shd w:val="clear" w:color="auto" w:fill="auto"/>
                        <w:vAlign w:val="center"/>
                        <w:hideMark/>
                      </w:tcPr>
                      <w:p w:rsidR="00ED2F52" w:rsidRPr="00ED2F52" w:rsidP="00ED2F52" w14:paraId="2D2A291C" w14:textId="77777777">
                        <w:pPr>
                          <w:rPr>
                            <w:sz w:val="20"/>
                          </w:rPr>
                        </w:pPr>
                        <w:r w:rsidRPr="00ED2F52">
                          <w:rPr>
                            <w:sz w:val="20"/>
                            <w:vertAlign w:val="superscript"/>
                          </w:rPr>
                          <w:t>d</w:t>
                        </w:r>
                        <w:r w:rsidRPr="00ED2F52">
                          <w:rPr>
                            <w:sz w:val="20"/>
                          </w:rPr>
                          <w:t xml:space="preserve">  The rule requires existing MWCs to conduct an initial compliance test within 90 days from the installation of the pollution control equipment used to comply with the NOx emission limits. We have assumed that 5 percent of respondents would repeat annual performance test due to failure.</w:t>
                        </w:r>
                      </w:p>
                    </w:tc>
                  </w:tr>
                  <w:tr w14:paraId="4507E23B" w14:textId="77777777" w:rsidTr="00ED2F52">
                    <w:tblPrEx>
                      <w:tblW w:w="12660" w:type="dxa"/>
                      <w:tblLayout w:type="fixed"/>
                      <w:tblLook w:val="04A0"/>
                    </w:tblPrEx>
                    <w:trPr>
                      <w:trHeight w:val="283"/>
                    </w:trPr>
                    <w:tc>
                      <w:tcPr>
                        <w:tcW w:w="12660" w:type="dxa"/>
                        <w:gridSpan w:val="9"/>
                        <w:tcBorders>
                          <w:top w:val="nil"/>
                          <w:left w:val="nil"/>
                          <w:bottom w:val="nil"/>
                          <w:right w:val="nil"/>
                        </w:tcBorders>
                        <w:shd w:val="clear" w:color="auto" w:fill="auto"/>
                        <w:noWrap/>
                        <w:vAlign w:val="center"/>
                        <w:hideMark/>
                      </w:tcPr>
                      <w:p w:rsidR="00ED2F52" w:rsidRPr="00ED2F52" w:rsidP="00ED2F52" w14:paraId="212FE243" w14:textId="77777777">
                        <w:pPr>
                          <w:rPr>
                            <w:color w:val="000000"/>
                            <w:sz w:val="20"/>
                          </w:rPr>
                        </w:pPr>
                        <w:r w:rsidRPr="00ED2F52">
                          <w:rPr>
                            <w:color w:val="000000"/>
                            <w:sz w:val="20"/>
                            <w:vertAlign w:val="superscript"/>
                          </w:rPr>
                          <w:t>e</w:t>
                        </w:r>
                        <w:r w:rsidRPr="00ED2F52">
                          <w:rPr>
                            <w:color w:val="000000"/>
                            <w:sz w:val="20"/>
                          </w:rPr>
                          <w:t xml:space="preserve">  Calibration drift checks on the air flow sensor on the NOx CEMS are performed daily. </w:t>
                        </w:r>
                      </w:p>
                    </w:tc>
                  </w:tr>
                  <w:tr w14:paraId="4D7CCBC6" w14:textId="77777777" w:rsidTr="00ED2F52">
                    <w:tblPrEx>
                      <w:tblW w:w="12660" w:type="dxa"/>
                      <w:tblLayout w:type="fixed"/>
                      <w:tblLook w:val="04A0"/>
                    </w:tblPrEx>
                    <w:trPr>
                      <w:trHeight w:val="290"/>
                    </w:trPr>
                    <w:tc>
                      <w:tcPr>
                        <w:tcW w:w="12660" w:type="dxa"/>
                        <w:gridSpan w:val="9"/>
                        <w:tcBorders>
                          <w:top w:val="nil"/>
                          <w:left w:val="nil"/>
                          <w:bottom w:val="nil"/>
                          <w:right w:val="nil"/>
                        </w:tcBorders>
                        <w:shd w:val="clear" w:color="auto" w:fill="auto"/>
                        <w:hideMark/>
                      </w:tcPr>
                      <w:p w:rsidR="00ED2F52" w:rsidRPr="00ED2F52" w:rsidP="00ED2F52" w14:paraId="5A7ECC9F" w14:textId="77777777">
                        <w:pPr>
                          <w:rPr>
                            <w:color w:val="000000"/>
                            <w:sz w:val="20"/>
                          </w:rPr>
                        </w:pPr>
                        <w:r w:rsidRPr="00ED2F52">
                          <w:rPr>
                            <w:color w:val="000000"/>
                            <w:sz w:val="20"/>
                            <w:vertAlign w:val="superscript"/>
                          </w:rPr>
                          <w:t>f</w:t>
                        </w:r>
                        <w:r w:rsidRPr="00ED2F52">
                          <w:rPr>
                            <w:color w:val="000000"/>
                            <w:sz w:val="20"/>
                          </w:rPr>
                          <w:t xml:space="preserve">  10 percent of respondents are assumed to submit a written request to Administrator for an alternative monitoring procedure (instead of use of CEMS).</w:t>
                        </w:r>
                      </w:p>
                    </w:tc>
                  </w:tr>
                  <w:tr w14:paraId="3785879E" w14:textId="77777777" w:rsidTr="00ED2F52">
                    <w:tblPrEx>
                      <w:tblW w:w="12660" w:type="dxa"/>
                      <w:tblLayout w:type="fixed"/>
                      <w:tblLook w:val="04A0"/>
                    </w:tblPrEx>
                    <w:trPr>
                      <w:trHeight w:val="290"/>
                    </w:trPr>
                    <w:tc>
                      <w:tcPr>
                        <w:tcW w:w="12660" w:type="dxa"/>
                        <w:gridSpan w:val="9"/>
                        <w:tcBorders>
                          <w:top w:val="nil"/>
                          <w:left w:val="nil"/>
                          <w:bottom w:val="nil"/>
                          <w:right w:val="nil"/>
                        </w:tcBorders>
                        <w:shd w:val="clear" w:color="auto" w:fill="auto"/>
                        <w:hideMark/>
                      </w:tcPr>
                      <w:p w:rsidR="00ED2F52" w:rsidRPr="00ED2F52" w:rsidP="00ED2F52" w14:paraId="47A246DE" w14:textId="77777777">
                        <w:pPr>
                          <w:rPr>
                            <w:color w:val="000000"/>
                            <w:sz w:val="20"/>
                          </w:rPr>
                        </w:pPr>
                        <w:r w:rsidRPr="00ED2F52">
                          <w:rPr>
                            <w:color w:val="000000"/>
                            <w:sz w:val="20"/>
                            <w:vertAlign w:val="superscript"/>
                          </w:rPr>
                          <w:t>g</w:t>
                        </w:r>
                        <w:r w:rsidRPr="00ED2F52">
                          <w:rPr>
                            <w:color w:val="000000"/>
                            <w:sz w:val="20"/>
                          </w:rPr>
                          <w:t xml:space="preserve">  Totals have been rounded to 3 significant figures.  Figures may not add exactly due to rounding.</w:t>
                        </w:r>
                      </w:p>
                    </w:tc>
                  </w:tr>
                  <w:tr w14:paraId="48CA4120" w14:textId="77777777" w:rsidTr="00ED2F52">
                    <w:tblPrEx>
                      <w:tblW w:w="12660" w:type="dxa"/>
                      <w:tblLayout w:type="fixed"/>
                      <w:tblLook w:val="04A0"/>
                    </w:tblPrEx>
                    <w:trPr>
                      <w:trHeight w:val="930"/>
                    </w:trPr>
                    <w:tc>
                      <w:tcPr>
                        <w:tcW w:w="12660" w:type="dxa"/>
                        <w:gridSpan w:val="9"/>
                        <w:tcBorders>
                          <w:top w:val="nil"/>
                          <w:left w:val="nil"/>
                          <w:bottom w:val="nil"/>
                          <w:right w:val="nil"/>
                        </w:tcBorders>
                        <w:shd w:val="clear" w:color="auto" w:fill="auto"/>
                        <w:hideMark/>
                      </w:tcPr>
                      <w:p w:rsidR="00ED2F52" w:rsidRPr="00ED2F52" w:rsidP="00ED2F52" w14:paraId="18B0917E" w14:textId="77777777">
                        <w:pPr>
                          <w:rPr>
                            <w:color w:val="000000"/>
                            <w:sz w:val="20"/>
                          </w:rPr>
                        </w:pPr>
                        <w:r w:rsidRPr="00ED2F52">
                          <w:rPr>
                            <w:color w:val="000000"/>
                            <w:sz w:val="20"/>
                            <w:vertAlign w:val="superscript"/>
                          </w:rPr>
                          <w:t>g</w:t>
                        </w:r>
                        <w:r w:rsidRPr="00ED2F52">
                          <w:rPr>
                            <w:color w:val="000000"/>
                            <w:sz w:val="20"/>
                          </w:rPr>
                          <w:t xml:space="preserve">  As described in EPA's final rule Non-EGU Sectors Technical Support Document, EPA conducted research on existing federal regulations, state RACTs and facility permits.  EPA research found 74 units are assumed to already be subject to NSPS (ie. NSPS subpart Eb) or state RACTs and are assumed to already have CEMS installed.  EPA research found 6 MWCs of the 80 affected units do not have existing controls.</w:t>
                        </w:r>
                      </w:p>
                    </w:tc>
                  </w:tr>
                </w:tbl>
                <w:p w:rsidR="00E0299C" w:rsidRPr="00273D70" w:rsidP="00CD3BBE" w14:paraId="78D9AF20" w14:textId="77777777">
                  <w:pPr>
                    <w:rPr>
                      <w:b/>
                      <w:bCs/>
                      <w:szCs w:val="24"/>
                    </w:rPr>
                  </w:pPr>
                </w:p>
                <w:p w:rsidR="00CD3BBE" w:rsidP="00036248" w14:paraId="59774293" w14:textId="77777777">
                  <w:pPr>
                    <w:rPr>
                      <w:color w:val="000000"/>
                      <w:sz w:val="20"/>
                    </w:rPr>
                  </w:pPr>
                </w:p>
                <w:p w:rsidR="00E0299C" w:rsidP="00036248" w14:paraId="30EE585F" w14:textId="77777777">
                  <w:pPr>
                    <w:rPr>
                      <w:color w:val="000000"/>
                      <w:sz w:val="20"/>
                    </w:rPr>
                  </w:pPr>
                </w:p>
                <w:p w:rsidR="00E0299C" w:rsidP="00036248" w14:paraId="02001381" w14:textId="77777777">
                  <w:pPr>
                    <w:rPr>
                      <w:color w:val="000000"/>
                      <w:sz w:val="20"/>
                    </w:rPr>
                  </w:pPr>
                </w:p>
                <w:p w:rsidR="00E0299C" w:rsidP="00036248" w14:paraId="01762BA4" w14:textId="77777777">
                  <w:pPr>
                    <w:rPr>
                      <w:color w:val="000000"/>
                      <w:sz w:val="20"/>
                    </w:rPr>
                  </w:pPr>
                </w:p>
                <w:p w:rsidR="00E0299C" w:rsidP="00036248" w14:paraId="78823A91" w14:textId="77777777">
                  <w:pPr>
                    <w:rPr>
                      <w:color w:val="000000"/>
                      <w:sz w:val="20"/>
                    </w:rPr>
                  </w:pPr>
                </w:p>
                <w:p w:rsidR="00E0299C" w:rsidRPr="005C2AC7" w:rsidP="00036248" w14:paraId="255A0E71" w14:textId="2D74E502">
                  <w:pPr>
                    <w:rPr>
                      <w:color w:val="000000"/>
                      <w:sz w:val="20"/>
                    </w:rPr>
                  </w:pPr>
                </w:p>
              </w:tc>
            </w:tr>
          </w:tbl>
          <w:p w:rsidR="00C4604D" w:rsidRPr="004E6FDE" w:rsidP="004E6FDE" w14:paraId="0866C0DC" w14:textId="5331AFED">
            <w:pPr>
              <w:rPr>
                <w:color w:val="000000"/>
                <w:sz w:val="20"/>
              </w:rPr>
            </w:pPr>
          </w:p>
        </w:tc>
      </w:tr>
    </w:tbl>
    <w:p w:rsidR="00D17F6A" w:rsidRPr="00C629F7" w:rsidP="008B2E8D" w14:paraId="361B2414" w14:textId="53628129">
      <w:pPr>
        <w:rPr>
          <w:color w:val="3366FF"/>
          <w:sz w:val="2"/>
          <w:szCs w:val="2"/>
        </w:rPr>
      </w:pPr>
      <w:r>
        <w:rPr>
          <w:color w:val="3366FF"/>
          <w:sz w:val="2"/>
          <w:szCs w:val="2"/>
        </w:rPr>
        <w:t xml:space="preserve"> </w:t>
      </w:r>
    </w:p>
    <w:sectPr w:rsidSect="003C2B8D">
      <w:footerReference w:type="default" r:id="rId15"/>
      <w:endnotePr>
        <w:numFmt w:val="lowerLetter"/>
      </w:endnotePr>
      <w:pgSz w:w="15840" w:h="12240" w:orient="landscape" w:code="1"/>
      <w:pgMar w:top="634" w:right="1008" w:bottom="2160" w:left="1008" w:header="864" w:footer="57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NewPSMT">
    <w:altName w:val="Courier New"/>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43AC" w:rsidP="007B52C9" w14:paraId="11408CEA"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A4325A">
      <w:rPr>
        <w:b/>
        <w:sz w:val="16"/>
        <w:szCs w:val="16"/>
      </w:rPr>
      <w:t>INFORMATION COLLECTION REQUEST FOR CHANGES TO THE 40 CFR</w:t>
    </w:r>
    <w:r>
      <w:rPr>
        <w:b/>
        <w:sz w:val="16"/>
        <w:szCs w:val="16"/>
      </w:rPr>
      <w:t xml:space="preserve"> </w:t>
    </w:r>
    <w:r w:rsidRPr="00A4325A">
      <w:rPr>
        <w:b/>
        <w:sz w:val="16"/>
        <w:szCs w:val="16"/>
      </w:rPr>
      <w:t>PARTS 51 and 52</w:t>
    </w:r>
    <w:r>
      <w:rPr>
        <w:b/>
        <w:sz w:val="16"/>
        <w:szCs w:val="16"/>
      </w:rPr>
      <w:t xml:space="preserve"> </w:t>
    </w:r>
    <w:r w:rsidRPr="00A4325A">
      <w:rPr>
        <w:b/>
        <w:sz w:val="16"/>
        <w:szCs w:val="16"/>
      </w:rPr>
      <w:t>PSD AND NONATTAINMENT NSR: DEBOTTLENECKING, AGGREGATION, AND PROJECT NETTING</w:t>
    </w:r>
  </w:p>
  <w:p w:rsidR="005343AC" w14:paraId="746A997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b/>
        <w:sz w:val="16"/>
      </w:rPr>
    </w:pPr>
  </w:p>
  <w:p w:rsidR="005343AC" w14:paraId="388D52E0" w14:textId="77777777">
    <w:pPr>
      <w:tabs>
        <w:tab w:val="center" w:pos="1800"/>
      </w:tabs>
      <w:rPr>
        <w:rFonts w:ascii="Courier" w:hAnsi="Courier"/>
      </w:rPr>
    </w:pPr>
    <w:r>
      <w:rPr>
        <w:b/>
        <w:sz w:val="16"/>
      </w:rPr>
      <w:tab/>
    </w:r>
    <w:r>
      <w:rPr>
        <w:b/>
        <w:sz w:val="16"/>
      </w:rPr>
      <w:t xml:space="preserve">Page </w:t>
    </w:r>
    <w:r>
      <w:rPr>
        <w:b/>
        <w:sz w:val="16"/>
      </w:rPr>
      <w:fldChar w:fldCharType="begin"/>
    </w:r>
    <w:r>
      <w:rPr>
        <w:b/>
        <w:sz w:val="16"/>
      </w:rPr>
      <w:instrText>PAGE</w:instrText>
    </w:r>
    <w:r>
      <w:rPr>
        <w:b/>
        <w:sz w:val="16"/>
      </w:rPr>
      <w:fldChar w:fldCharType="separate"/>
    </w:r>
    <w:r>
      <w:rPr>
        <w:b/>
        <w:sz w:val="16"/>
      </w:rPr>
      <w:t>XXX</w:t>
    </w:r>
    <w:r>
      <w:rP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43AC" w14:paraId="10642340" w14:textId="3D07B4FE">
    <w:pPr>
      <w:rPr>
        <w:sz w:val="16"/>
        <w:szCs w:val="16"/>
      </w:rPr>
    </w:pPr>
    <w:r>
      <w:rPr>
        <w:sz w:val="16"/>
        <w:szCs w:val="16"/>
      </w:rPr>
      <w:t>I</w:t>
    </w:r>
    <w:r w:rsidRPr="000F37AA">
      <w:rPr>
        <w:sz w:val="16"/>
        <w:szCs w:val="16"/>
      </w:rPr>
      <w:t>NFORMATION COLLECTION REQUEST</w:t>
    </w:r>
    <w:r>
      <w:rPr>
        <w:sz w:val="16"/>
        <w:szCs w:val="16"/>
      </w:rPr>
      <w:t xml:space="preserve"> </w:t>
    </w:r>
    <w:r w:rsidRPr="000F37AA">
      <w:rPr>
        <w:sz w:val="16"/>
        <w:szCs w:val="16"/>
      </w:rPr>
      <w:t>SUPPORTING STATEMENT FOR</w:t>
    </w:r>
    <w:r>
      <w:rPr>
        <w:sz w:val="16"/>
        <w:szCs w:val="16"/>
      </w:rPr>
      <w:t xml:space="preserve"> THE </w:t>
    </w:r>
    <w:r w:rsidR="00231F44">
      <w:rPr>
        <w:sz w:val="16"/>
        <w:szCs w:val="16"/>
      </w:rPr>
      <w:t>FINAL</w:t>
    </w:r>
    <w:r>
      <w:rPr>
        <w:sz w:val="16"/>
        <w:szCs w:val="16"/>
      </w:rPr>
      <w:t xml:space="preserve"> RULE, FEDERAL IMPLEMENTATION PLAN ADDRESSING REGIONAL OZONE TRANSPORT FOR THE 2015 PRIMARY OZONE NAAQS: NON-EGUS.</w:t>
    </w:r>
  </w:p>
  <w:p w:rsidR="005343AC" w:rsidP="00FD5710" w14:paraId="6CA90698" w14:textId="77777777">
    <w:pPr>
      <w:ind w:left="2160" w:firstLine="720"/>
    </w:pPr>
    <w:r w:rsidRPr="006525AF">
      <w:rPr>
        <w:sz w:val="16"/>
        <w:szCs w:val="16"/>
      </w:rPr>
      <w:t xml:space="preserve">Page </w:t>
    </w:r>
    <w:r w:rsidRPr="006525AF">
      <w:rPr>
        <w:sz w:val="16"/>
        <w:szCs w:val="16"/>
      </w:rPr>
      <w:fldChar w:fldCharType="begin"/>
    </w:r>
    <w:r w:rsidRPr="006525AF">
      <w:rPr>
        <w:sz w:val="16"/>
        <w:szCs w:val="16"/>
      </w:rPr>
      <w:instrText xml:space="preserve"> PAGE </w:instrText>
    </w:r>
    <w:r w:rsidRPr="006525AF">
      <w:rPr>
        <w:sz w:val="16"/>
        <w:szCs w:val="16"/>
      </w:rPr>
      <w:fldChar w:fldCharType="separate"/>
    </w:r>
    <w:r>
      <w:rPr>
        <w:noProof/>
        <w:sz w:val="16"/>
        <w:szCs w:val="16"/>
      </w:rPr>
      <w:t>25</w:t>
    </w:r>
    <w:r w:rsidRPr="006525AF">
      <w:rPr>
        <w:sz w:val="16"/>
        <w:szCs w:val="16"/>
      </w:rPr>
      <w:fldChar w:fldCharType="end"/>
    </w:r>
    <w:r w:rsidRPr="006525AF">
      <w:rPr>
        <w:sz w:val="16"/>
        <w:szCs w:val="16"/>
      </w:rPr>
      <w:t xml:space="preserve"> of </w:t>
    </w:r>
    <w:r w:rsidRPr="006525AF">
      <w:rPr>
        <w:sz w:val="16"/>
        <w:szCs w:val="16"/>
      </w:rPr>
      <w:fldChar w:fldCharType="begin"/>
    </w:r>
    <w:r w:rsidRPr="006525AF">
      <w:rPr>
        <w:sz w:val="16"/>
        <w:szCs w:val="16"/>
      </w:rPr>
      <w:instrText xml:space="preserve"> NUMPAGES  </w:instrText>
    </w:r>
    <w:r w:rsidRPr="006525AF">
      <w:rPr>
        <w:sz w:val="16"/>
        <w:szCs w:val="16"/>
      </w:rPr>
      <w:fldChar w:fldCharType="separate"/>
    </w:r>
    <w:r>
      <w:rPr>
        <w:noProof/>
        <w:sz w:val="16"/>
        <w:szCs w:val="16"/>
      </w:rPr>
      <w:t>25</w:t>
    </w:r>
    <w:r w:rsidRPr="006525AF">
      <w:rPr>
        <w:sz w:val="16"/>
        <w:szCs w:val="16"/>
      </w:rPr>
      <w:fldChar w:fldCharType="end"/>
    </w:r>
  </w:p>
  <w:p w:rsidR="005343AC" w:rsidRPr="000F37AA" w:rsidP="000F37AA" w14:paraId="2B6EE5D6" w14:textId="77777777">
    <w:pPr>
      <w:rPr>
        <w:sz w:val="16"/>
        <w:szCs w:val="16"/>
      </w:rPr>
    </w:pPr>
  </w:p>
  <w:p w:rsidR="005343AC" w14:paraId="58741C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1ED0" w14:paraId="2E9CF090" w14:textId="744D6868">
    <w:pPr>
      <w:rPr>
        <w:sz w:val="16"/>
        <w:szCs w:val="16"/>
      </w:rPr>
    </w:pPr>
    <w:r>
      <w:rPr>
        <w:sz w:val="16"/>
        <w:szCs w:val="16"/>
      </w:rPr>
      <w:t>I</w:t>
    </w:r>
    <w:r w:rsidRPr="000F37AA">
      <w:rPr>
        <w:sz w:val="16"/>
        <w:szCs w:val="16"/>
      </w:rPr>
      <w:t>NFORMATION COLLECTION REQUEST</w:t>
    </w:r>
    <w:r>
      <w:rPr>
        <w:sz w:val="16"/>
        <w:szCs w:val="16"/>
      </w:rPr>
      <w:t xml:space="preserve"> </w:t>
    </w:r>
    <w:r w:rsidRPr="000F37AA">
      <w:rPr>
        <w:sz w:val="16"/>
        <w:szCs w:val="16"/>
      </w:rPr>
      <w:t>SUPPORTING STATEMENT FOR</w:t>
    </w:r>
    <w:r>
      <w:rPr>
        <w:sz w:val="16"/>
        <w:szCs w:val="16"/>
      </w:rPr>
      <w:t xml:space="preserve"> THE </w:t>
    </w:r>
    <w:r w:rsidR="00231F44">
      <w:rPr>
        <w:sz w:val="16"/>
        <w:szCs w:val="16"/>
      </w:rPr>
      <w:t>FINAL</w:t>
    </w:r>
    <w:r>
      <w:rPr>
        <w:sz w:val="16"/>
        <w:szCs w:val="16"/>
      </w:rPr>
      <w:t xml:space="preserve"> RULE, FEDERAL IMPLEMENTATION PLAN ADDRESSING REGIONAL OZONE TRANSPORT FOR THE 2015 PRIMARY OZONE NAAQS: NON-EGUS.</w:t>
    </w:r>
  </w:p>
  <w:p w:rsidR="00D11ED0" w:rsidP="00D11ED0" w14:paraId="55C5A2A5" w14:textId="77777777">
    <w:pPr>
      <w:ind w:left="4320" w:firstLine="1980"/>
    </w:pPr>
    <w:r w:rsidRPr="006525AF">
      <w:rPr>
        <w:sz w:val="16"/>
        <w:szCs w:val="16"/>
      </w:rPr>
      <w:t xml:space="preserve">Page </w:t>
    </w:r>
    <w:r w:rsidRPr="006525AF">
      <w:rPr>
        <w:sz w:val="16"/>
        <w:szCs w:val="16"/>
      </w:rPr>
      <w:fldChar w:fldCharType="begin"/>
    </w:r>
    <w:r w:rsidRPr="006525AF">
      <w:rPr>
        <w:sz w:val="16"/>
        <w:szCs w:val="16"/>
      </w:rPr>
      <w:instrText xml:space="preserve"> PAGE </w:instrText>
    </w:r>
    <w:r w:rsidRPr="006525AF">
      <w:rPr>
        <w:sz w:val="16"/>
        <w:szCs w:val="16"/>
      </w:rPr>
      <w:fldChar w:fldCharType="separate"/>
    </w:r>
    <w:r>
      <w:rPr>
        <w:noProof/>
        <w:sz w:val="16"/>
        <w:szCs w:val="16"/>
      </w:rPr>
      <w:t>25</w:t>
    </w:r>
    <w:r w:rsidRPr="006525AF">
      <w:rPr>
        <w:sz w:val="16"/>
        <w:szCs w:val="16"/>
      </w:rPr>
      <w:fldChar w:fldCharType="end"/>
    </w:r>
    <w:r w:rsidRPr="006525AF">
      <w:rPr>
        <w:sz w:val="16"/>
        <w:szCs w:val="16"/>
      </w:rPr>
      <w:t xml:space="preserve"> of </w:t>
    </w:r>
    <w:r w:rsidRPr="006525AF">
      <w:rPr>
        <w:sz w:val="16"/>
        <w:szCs w:val="16"/>
      </w:rPr>
      <w:fldChar w:fldCharType="begin"/>
    </w:r>
    <w:r w:rsidRPr="006525AF">
      <w:rPr>
        <w:sz w:val="16"/>
        <w:szCs w:val="16"/>
      </w:rPr>
      <w:instrText xml:space="preserve"> NUMPAGES  </w:instrText>
    </w:r>
    <w:r w:rsidRPr="006525AF">
      <w:rPr>
        <w:sz w:val="16"/>
        <w:szCs w:val="16"/>
      </w:rPr>
      <w:fldChar w:fldCharType="separate"/>
    </w:r>
    <w:r>
      <w:rPr>
        <w:noProof/>
        <w:sz w:val="16"/>
        <w:szCs w:val="16"/>
      </w:rPr>
      <w:t>25</w:t>
    </w:r>
    <w:r w:rsidRPr="006525AF">
      <w:rPr>
        <w:sz w:val="16"/>
        <w:szCs w:val="16"/>
      </w:rPr>
      <w:fldChar w:fldCharType="end"/>
    </w:r>
  </w:p>
  <w:p w:rsidR="00D11ED0" w:rsidRPr="000F37AA" w:rsidP="000F37AA" w14:paraId="19FD8815" w14:textId="77777777">
    <w:pPr>
      <w:rPr>
        <w:sz w:val="16"/>
        <w:szCs w:val="16"/>
      </w:rPr>
    </w:pPr>
  </w:p>
  <w:p w:rsidR="00D11ED0" w14:paraId="2E5A55F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C36FA" w14:paraId="5C7A79DC" w14:textId="77777777">
      <w:r>
        <w:separator/>
      </w:r>
    </w:p>
  </w:footnote>
  <w:footnote w:type="continuationSeparator" w:id="1">
    <w:p w:rsidR="00FC36FA" w14:paraId="164D38C6" w14:textId="77777777">
      <w:r>
        <w:continuationSeparator/>
      </w:r>
    </w:p>
  </w:footnote>
  <w:footnote w:type="continuationNotice" w:id="2">
    <w:p w:rsidR="00FC36FA" w14:paraId="11BED502" w14:textId="77777777"/>
  </w:footnote>
  <w:footnote w:id="3">
    <w:p w:rsidR="00937C74" w14:paraId="6F6C4F67" w14:textId="7E36D505">
      <w:pPr>
        <w:pStyle w:val="FootnoteText"/>
      </w:pPr>
      <w:r>
        <w:rPr>
          <w:rStyle w:val="FootnoteReference"/>
        </w:rPr>
        <w:footnoteRef/>
      </w:r>
      <w:r>
        <w:t xml:space="preserve"> </w:t>
      </w:r>
      <w:r w:rsidRPr="00937C74">
        <w:t>The Non-EGU Screening Assessment is available in the docket here: https://www.regulations.gov/document/EPA-HQ-OAR-2021-0668-0150.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43AC" w14:paraId="26AE1CB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43AC" w14:paraId="13DF476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
    <w:nsid w:val="00000002"/>
    <w:multiLevelType w:val="multilevel"/>
    <w:tmpl w:val="00000002"/>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2">
    <w:nsid w:val="00000003"/>
    <w:multiLevelType w:val="multilevel"/>
    <w:tmpl w:val="00000003"/>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3">
    <w:nsid w:val="00000004"/>
    <w:multiLevelType w:val="multilevel"/>
    <w:tmpl w:val="00000004"/>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4">
    <w:nsid w:val="00C82EB5"/>
    <w:multiLevelType w:val="hybridMultilevel"/>
    <w:tmpl w:val="D85E41A0"/>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88F5173"/>
    <w:multiLevelType w:val="hybridMultilevel"/>
    <w:tmpl w:val="E31057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A915105"/>
    <w:multiLevelType w:val="hybridMultilevel"/>
    <w:tmpl w:val="DAE638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322D1F"/>
    <w:multiLevelType w:val="hybridMultilevel"/>
    <w:tmpl w:val="66A8B0D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0323C3C"/>
    <w:multiLevelType w:val="hybridMultilevel"/>
    <w:tmpl w:val="54D26E6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B5C7F42"/>
    <w:multiLevelType w:val="hybridMultilevel"/>
    <w:tmpl w:val="FB4C54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2B85160"/>
    <w:multiLevelType w:val="hybridMultilevel"/>
    <w:tmpl w:val="523ADED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5E7639F"/>
    <w:multiLevelType w:val="hybridMultilevel"/>
    <w:tmpl w:val="3C6C8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6032F2B"/>
    <w:multiLevelType w:val="hybridMultilevel"/>
    <w:tmpl w:val="A6269F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A0A29A1"/>
    <w:multiLevelType w:val="hybridMultilevel"/>
    <w:tmpl w:val="7A963D7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BC17E6C"/>
    <w:multiLevelType w:val="hybridMultilevel"/>
    <w:tmpl w:val="760C12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094005"/>
    <w:multiLevelType w:val="hybridMultilevel"/>
    <w:tmpl w:val="A5C2A0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B45EA3"/>
    <w:multiLevelType w:val="hybridMultilevel"/>
    <w:tmpl w:val="DFB6FF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E316B0D"/>
    <w:multiLevelType w:val="multilevel"/>
    <w:tmpl w:val="9F4835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4127587"/>
    <w:multiLevelType w:val="hybridMultilevel"/>
    <w:tmpl w:val="F9D620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55D15F5"/>
    <w:multiLevelType w:val="hybridMultilevel"/>
    <w:tmpl w:val="25D256C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2977C18"/>
    <w:multiLevelType w:val="hybridMultilevel"/>
    <w:tmpl w:val="3634C772"/>
    <w:lvl w:ilvl="0">
      <w:start w:val="1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57E5234"/>
    <w:multiLevelType w:val="hybridMultilevel"/>
    <w:tmpl w:val="9F4835B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65C1631E"/>
    <w:multiLevelType w:val="hybridMultilevel"/>
    <w:tmpl w:val="7B0266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CF4261C"/>
    <w:multiLevelType w:val="hybridMultilevel"/>
    <w:tmpl w:val="55EA862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789422D6"/>
    <w:multiLevelType w:val="hybridMultilevel"/>
    <w:tmpl w:val="589812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B970FF5"/>
    <w:multiLevelType w:val="hybridMultilevel"/>
    <w:tmpl w:val="D09A2D70"/>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684867646">
    <w:abstractNumId w:val="0"/>
  </w:num>
  <w:num w:numId="2" w16cid:durableId="930550390">
    <w:abstractNumId w:val="1"/>
  </w:num>
  <w:num w:numId="3" w16cid:durableId="731850884">
    <w:abstractNumId w:val="2"/>
  </w:num>
  <w:num w:numId="4" w16cid:durableId="665549356">
    <w:abstractNumId w:val="3"/>
  </w:num>
  <w:num w:numId="5" w16cid:durableId="914242424">
    <w:abstractNumId w:val="7"/>
  </w:num>
  <w:num w:numId="6" w16cid:durableId="1314527394">
    <w:abstractNumId w:val="18"/>
  </w:num>
  <w:num w:numId="7" w16cid:durableId="2121682016">
    <w:abstractNumId w:val="25"/>
  </w:num>
  <w:num w:numId="8" w16cid:durableId="428965734">
    <w:abstractNumId w:val="19"/>
  </w:num>
  <w:num w:numId="9" w16cid:durableId="1828545246">
    <w:abstractNumId w:val="4"/>
  </w:num>
  <w:num w:numId="10" w16cid:durableId="312414698">
    <w:abstractNumId w:val="21"/>
  </w:num>
  <w:num w:numId="11" w16cid:durableId="1751385341">
    <w:abstractNumId w:val="23"/>
  </w:num>
  <w:num w:numId="12" w16cid:durableId="832181258">
    <w:abstractNumId w:val="13"/>
  </w:num>
  <w:num w:numId="13" w16cid:durableId="1636835598">
    <w:abstractNumId w:val="22"/>
  </w:num>
  <w:num w:numId="14" w16cid:durableId="1159082382">
    <w:abstractNumId w:val="17"/>
  </w:num>
  <w:num w:numId="15" w16cid:durableId="49119227">
    <w:abstractNumId w:val="5"/>
  </w:num>
  <w:num w:numId="16" w16cid:durableId="1648436429">
    <w:abstractNumId w:val="10"/>
  </w:num>
  <w:num w:numId="17" w16cid:durableId="1811359054">
    <w:abstractNumId w:val="8"/>
  </w:num>
  <w:num w:numId="18" w16cid:durableId="510724272">
    <w:abstractNumId w:val="14"/>
  </w:num>
  <w:num w:numId="19" w16cid:durableId="450785268">
    <w:abstractNumId w:val="20"/>
  </w:num>
  <w:num w:numId="20" w16cid:durableId="1835336305">
    <w:abstractNumId w:val="24"/>
  </w:num>
  <w:num w:numId="21" w16cid:durableId="68843123">
    <w:abstractNumId w:val="11"/>
  </w:num>
  <w:num w:numId="22" w16cid:durableId="880945692">
    <w:abstractNumId w:val="9"/>
  </w:num>
  <w:num w:numId="23" w16cid:durableId="486626482">
    <w:abstractNumId w:val="6"/>
  </w:num>
  <w:num w:numId="24" w16cid:durableId="1562713868">
    <w:abstractNumId w:val="12"/>
  </w:num>
  <w:num w:numId="25" w16cid:durableId="1539127639">
    <w:abstractNumId w:val="16"/>
  </w:num>
  <w:num w:numId="26" w16cid:durableId="20104766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bordersDoNotSurroundHeader/>
  <w:bordersDoNotSurroundFooter/>
  <w:proofState w:spelling="clean" w:grammar="clean"/>
  <w:stylePaneFormatFilter w:val="3001" w:allStyles="1" w:alternateStyleNames="0" w:clearFormatting="1" w:customStyles="0" w:directFormattingOnNumbering="0" w:directFormattingOnParagraphs="0" w:directFormattingOnRuns="0" w:directFormattingOnTables="0" w:headingStyles="0" w:latentStyles="0" w:numberingStyles="0" w:stylesInUse="0" w:tableStyles="0" w:top3HeadingStyles="1" w:visibleStyles="0"/>
  <w:doNotTrackFormatting/>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796"/>
    <w:rsid w:val="00001815"/>
    <w:rsid w:val="000019CD"/>
    <w:rsid w:val="00002550"/>
    <w:rsid w:val="000042BF"/>
    <w:rsid w:val="00004AD2"/>
    <w:rsid w:val="0000528F"/>
    <w:rsid w:val="000054B4"/>
    <w:rsid w:val="00005F60"/>
    <w:rsid w:val="00006C3E"/>
    <w:rsid w:val="00007811"/>
    <w:rsid w:val="00007FB0"/>
    <w:rsid w:val="00010350"/>
    <w:rsid w:val="000112FA"/>
    <w:rsid w:val="00012359"/>
    <w:rsid w:val="000143E8"/>
    <w:rsid w:val="00014847"/>
    <w:rsid w:val="000148FB"/>
    <w:rsid w:val="00014ABB"/>
    <w:rsid w:val="00014D06"/>
    <w:rsid w:val="00017AE7"/>
    <w:rsid w:val="000221C9"/>
    <w:rsid w:val="00022302"/>
    <w:rsid w:val="00026C3C"/>
    <w:rsid w:val="000274F9"/>
    <w:rsid w:val="000277AE"/>
    <w:rsid w:val="00031E29"/>
    <w:rsid w:val="00032DA7"/>
    <w:rsid w:val="00032F41"/>
    <w:rsid w:val="0003339E"/>
    <w:rsid w:val="00036248"/>
    <w:rsid w:val="000364F2"/>
    <w:rsid w:val="00037456"/>
    <w:rsid w:val="000405A7"/>
    <w:rsid w:val="00044C4B"/>
    <w:rsid w:val="000464CD"/>
    <w:rsid w:val="00046C19"/>
    <w:rsid w:val="000470DB"/>
    <w:rsid w:val="00047C22"/>
    <w:rsid w:val="00050DC6"/>
    <w:rsid w:val="00051891"/>
    <w:rsid w:val="00052835"/>
    <w:rsid w:val="00055FE4"/>
    <w:rsid w:val="000611C5"/>
    <w:rsid w:val="000615B3"/>
    <w:rsid w:val="00061EB8"/>
    <w:rsid w:val="000624D9"/>
    <w:rsid w:val="000636F7"/>
    <w:rsid w:val="0006493F"/>
    <w:rsid w:val="00065D05"/>
    <w:rsid w:val="000677EC"/>
    <w:rsid w:val="000735B0"/>
    <w:rsid w:val="00073648"/>
    <w:rsid w:val="000737D7"/>
    <w:rsid w:val="000749D9"/>
    <w:rsid w:val="000750F5"/>
    <w:rsid w:val="000768E8"/>
    <w:rsid w:val="00076CC0"/>
    <w:rsid w:val="00077923"/>
    <w:rsid w:val="00077957"/>
    <w:rsid w:val="0008212E"/>
    <w:rsid w:val="0008298C"/>
    <w:rsid w:val="000834D0"/>
    <w:rsid w:val="00083582"/>
    <w:rsid w:val="000837C3"/>
    <w:rsid w:val="000848DD"/>
    <w:rsid w:val="0008653D"/>
    <w:rsid w:val="00087AC9"/>
    <w:rsid w:val="00090111"/>
    <w:rsid w:val="00090513"/>
    <w:rsid w:val="00091805"/>
    <w:rsid w:val="00092FB1"/>
    <w:rsid w:val="000946B1"/>
    <w:rsid w:val="000A02EE"/>
    <w:rsid w:val="000A1A69"/>
    <w:rsid w:val="000A2BEC"/>
    <w:rsid w:val="000A34B1"/>
    <w:rsid w:val="000A387E"/>
    <w:rsid w:val="000A3A1A"/>
    <w:rsid w:val="000A7EB4"/>
    <w:rsid w:val="000B0867"/>
    <w:rsid w:val="000B08A1"/>
    <w:rsid w:val="000B11C7"/>
    <w:rsid w:val="000B1406"/>
    <w:rsid w:val="000B48D4"/>
    <w:rsid w:val="000B5DE7"/>
    <w:rsid w:val="000C0888"/>
    <w:rsid w:val="000C1EE9"/>
    <w:rsid w:val="000C222A"/>
    <w:rsid w:val="000C24D4"/>
    <w:rsid w:val="000C337E"/>
    <w:rsid w:val="000C3BE9"/>
    <w:rsid w:val="000C40A9"/>
    <w:rsid w:val="000C7495"/>
    <w:rsid w:val="000D023E"/>
    <w:rsid w:val="000D0C41"/>
    <w:rsid w:val="000D154C"/>
    <w:rsid w:val="000D1AED"/>
    <w:rsid w:val="000D229D"/>
    <w:rsid w:val="000D42A9"/>
    <w:rsid w:val="000D450D"/>
    <w:rsid w:val="000D57FC"/>
    <w:rsid w:val="000D5D0B"/>
    <w:rsid w:val="000E0649"/>
    <w:rsid w:val="000E232E"/>
    <w:rsid w:val="000E2466"/>
    <w:rsid w:val="000E3F20"/>
    <w:rsid w:val="000E5CBB"/>
    <w:rsid w:val="000E6E88"/>
    <w:rsid w:val="000E6EE7"/>
    <w:rsid w:val="000E726D"/>
    <w:rsid w:val="000F1130"/>
    <w:rsid w:val="000F11F5"/>
    <w:rsid w:val="000F19FB"/>
    <w:rsid w:val="000F1FAA"/>
    <w:rsid w:val="000F22F7"/>
    <w:rsid w:val="000F29FE"/>
    <w:rsid w:val="000F31D5"/>
    <w:rsid w:val="000F37AA"/>
    <w:rsid w:val="000F38EE"/>
    <w:rsid w:val="000F4356"/>
    <w:rsid w:val="000F43D7"/>
    <w:rsid w:val="000F55DE"/>
    <w:rsid w:val="000F669F"/>
    <w:rsid w:val="001023E3"/>
    <w:rsid w:val="001028B1"/>
    <w:rsid w:val="00104297"/>
    <w:rsid w:val="001048AF"/>
    <w:rsid w:val="00105605"/>
    <w:rsid w:val="00112415"/>
    <w:rsid w:val="00114C13"/>
    <w:rsid w:val="00114F93"/>
    <w:rsid w:val="00115C21"/>
    <w:rsid w:val="00116BAE"/>
    <w:rsid w:val="0012115E"/>
    <w:rsid w:val="0012328B"/>
    <w:rsid w:val="0012398E"/>
    <w:rsid w:val="00123CA7"/>
    <w:rsid w:val="00123F63"/>
    <w:rsid w:val="001259BF"/>
    <w:rsid w:val="00126318"/>
    <w:rsid w:val="0012793C"/>
    <w:rsid w:val="00127E2E"/>
    <w:rsid w:val="00130242"/>
    <w:rsid w:val="0013179B"/>
    <w:rsid w:val="001325F3"/>
    <w:rsid w:val="0013310A"/>
    <w:rsid w:val="0013341C"/>
    <w:rsid w:val="00135523"/>
    <w:rsid w:val="0013684A"/>
    <w:rsid w:val="00137841"/>
    <w:rsid w:val="00140762"/>
    <w:rsid w:val="00140792"/>
    <w:rsid w:val="00141A71"/>
    <w:rsid w:val="00143276"/>
    <w:rsid w:val="001454D3"/>
    <w:rsid w:val="0014578A"/>
    <w:rsid w:val="00150A97"/>
    <w:rsid w:val="00150E92"/>
    <w:rsid w:val="0015227F"/>
    <w:rsid w:val="001537AD"/>
    <w:rsid w:val="001552B7"/>
    <w:rsid w:val="00155320"/>
    <w:rsid w:val="00155B4A"/>
    <w:rsid w:val="001613CD"/>
    <w:rsid w:val="001636E9"/>
    <w:rsid w:val="00164BEB"/>
    <w:rsid w:val="0016678E"/>
    <w:rsid w:val="0016736B"/>
    <w:rsid w:val="00170E3F"/>
    <w:rsid w:val="00171514"/>
    <w:rsid w:val="001716DE"/>
    <w:rsid w:val="00171EC4"/>
    <w:rsid w:val="001730BF"/>
    <w:rsid w:val="00173332"/>
    <w:rsid w:val="00174B38"/>
    <w:rsid w:val="00174E5E"/>
    <w:rsid w:val="00175C85"/>
    <w:rsid w:val="0017642D"/>
    <w:rsid w:val="00176B48"/>
    <w:rsid w:val="00177193"/>
    <w:rsid w:val="00177485"/>
    <w:rsid w:val="0017769C"/>
    <w:rsid w:val="00181F4C"/>
    <w:rsid w:val="001820A7"/>
    <w:rsid w:val="00182AF7"/>
    <w:rsid w:val="00183243"/>
    <w:rsid w:val="001863C6"/>
    <w:rsid w:val="00186F78"/>
    <w:rsid w:val="00186FF3"/>
    <w:rsid w:val="0019097C"/>
    <w:rsid w:val="00190A3B"/>
    <w:rsid w:val="00190EBF"/>
    <w:rsid w:val="00191344"/>
    <w:rsid w:val="00192038"/>
    <w:rsid w:val="00192373"/>
    <w:rsid w:val="001A1839"/>
    <w:rsid w:val="001A27CC"/>
    <w:rsid w:val="001A436B"/>
    <w:rsid w:val="001A4BB1"/>
    <w:rsid w:val="001A6D38"/>
    <w:rsid w:val="001B13CA"/>
    <w:rsid w:val="001B2882"/>
    <w:rsid w:val="001B6240"/>
    <w:rsid w:val="001B685E"/>
    <w:rsid w:val="001C0090"/>
    <w:rsid w:val="001C26AF"/>
    <w:rsid w:val="001C33CF"/>
    <w:rsid w:val="001C3C8A"/>
    <w:rsid w:val="001C4236"/>
    <w:rsid w:val="001C56F4"/>
    <w:rsid w:val="001D0264"/>
    <w:rsid w:val="001D0FB2"/>
    <w:rsid w:val="001D2FB5"/>
    <w:rsid w:val="001D4636"/>
    <w:rsid w:val="001D4818"/>
    <w:rsid w:val="001D4992"/>
    <w:rsid w:val="001D4B66"/>
    <w:rsid w:val="001D4D24"/>
    <w:rsid w:val="001D6116"/>
    <w:rsid w:val="001D6E6E"/>
    <w:rsid w:val="001D729F"/>
    <w:rsid w:val="001D799E"/>
    <w:rsid w:val="001D7F78"/>
    <w:rsid w:val="001E115D"/>
    <w:rsid w:val="001E214E"/>
    <w:rsid w:val="001E4F8F"/>
    <w:rsid w:val="001E51F9"/>
    <w:rsid w:val="001E5486"/>
    <w:rsid w:val="001E5581"/>
    <w:rsid w:val="001E59F2"/>
    <w:rsid w:val="001E5DEF"/>
    <w:rsid w:val="001E627B"/>
    <w:rsid w:val="001E6620"/>
    <w:rsid w:val="001E7824"/>
    <w:rsid w:val="001E7E73"/>
    <w:rsid w:val="001F1C55"/>
    <w:rsid w:val="001F2685"/>
    <w:rsid w:val="001F380E"/>
    <w:rsid w:val="001F3CA2"/>
    <w:rsid w:val="001F60E2"/>
    <w:rsid w:val="001F6337"/>
    <w:rsid w:val="0020098E"/>
    <w:rsid w:val="0020124C"/>
    <w:rsid w:val="002017F3"/>
    <w:rsid w:val="00201E37"/>
    <w:rsid w:val="00202ECE"/>
    <w:rsid w:val="00203E1B"/>
    <w:rsid w:val="00205813"/>
    <w:rsid w:val="002061BE"/>
    <w:rsid w:val="0020664F"/>
    <w:rsid w:val="00206862"/>
    <w:rsid w:val="00206892"/>
    <w:rsid w:val="00206979"/>
    <w:rsid w:val="00206FC8"/>
    <w:rsid w:val="0020700A"/>
    <w:rsid w:val="0020792E"/>
    <w:rsid w:val="00210085"/>
    <w:rsid w:val="002106D6"/>
    <w:rsid w:val="0021166C"/>
    <w:rsid w:val="00211788"/>
    <w:rsid w:val="002123DD"/>
    <w:rsid w:val="00212C31"/>
    <w:rsid w:val="002157EF"/>
    <w:rsid w:val="0021615B"/>
    <w:rsid w:val="002163F5"/>
    <w:rsid w:val="0022090D"/>
    <w:rsid w:val="00220C26"/>
    <w:rsid w:val="00220F61"/>
    <w:rsid w:val="00220FDF"/>
    <w:rsid w:val="00223F87"/>
    <w:rsid w:val="00224C7E"/>
    <w:rsid w:val="002252C8"/>
    <w:rsid w:val="00225D83"/>
    <w:rsid w:val="00227A9F"/>
    <w:rsid w:val="0023156C"/>
    <w:rsid w:val="00231EF2"/>
    <w:rsid w:val="00231F44"/>
    <w:rsid w:val="00232770"/>
    <w:rsid w:val="00232955"/>
    <w:rsid w:val="00233D0A"/>
    <w:rsid w:val="0023547B"/>
    <w:rsid w:val="002355BB"/>
    <w:rsid w:val="002358BB"/>
    <w:rsid w:val="0024003E"/>
    <w:rsid w:val="002412B5"/>
    <w:rsid w:val="002418A2"/>
    <w:rsid w:val="002442C5"/>
    <w:rsid w:val="00244FA1"/>
    <w:rsid w:val="002468C9"/>
    <w:rsid w:val="00247A8B"/>
    <w:rsid w:val="00247B8B"/>
    <w:rsid w:val="0025074F"/>
    <w:rsid w:val="00251518"/>
    <w:rsid w:val="002515AD"/>
    <w:rsid w:val="0025549B"/>
    <w:rsid w:val="002561FA"/>
    <w:rsid w:val="00256F48"/>
    <w:rsid w:val="002603EE"/>
    <w:rsid w:val="00260A04"/>
    <w:rsid w:val="00260B50"/>
    <w:rsid w:val="002619D7"/>
    <w:rsid w:val="0026278C"/>
    <w:rsid w:val="00262973"/>
    <w:rsid w:val="00263AC0"/>
    <w:rsid w:val="00264836"/>
    <w:rsid w:val="002656CA"/>
    <w:rsid w:val="002657A3"/>
    <w:rsid w:val="0027169B"/>
    <w:rsid w:val="00272454"/>
    <w:rsid w:val="00272515"/>
    <w:rsid w:val="0027317A"/>
    <w:rsid w:val="00273C74"/>
    <w:rsid w:val="00273D70"/>
    <w:rsid w:val="00274082"/>
    <w:rsid w:val="0027496D"/>
    <w:rsid w:val="002752E3"/>
    <w:rsid w:val="00276614"/>
    <w:rsid w:val="00276C8F"/>
    <w:rsid w:val="002773B6"/>
    <w:rsid w:val="0027749D"/>
    <w:rsid w:val="002775B1"/>
    <w:rsid w:val="0028045F"/>
    <w:rsid w:val="0028081E"/>
    <w:rsid w:val="00287629"/>
    <w:rsid w:val="00287D37"/>
    <w:rsid w:val="002902A4"/>
    <w:rsid w:val="00290370"/>
    <w:rsid w:val="00293796"/>
    <w:rsid w:val="002940A8"/>
    <w:rsid w:val="00297593"/>
    <w:rsid w:val="002976E2"/>
    <w:rsid w:val="002A12A7"/>
    <w:rsid w:val="002A2796"/>
    <w:rsid w:val="002A570D"/>
    <w:rsid w:val="002A679D"/>
    <w:rsid w:val="002A7618"/>
    <w:rsid w:val="002B2205"/>
    <w:rsid w:val="002B25E2"/>
    <w:rsid w:val="002B58D4"/>
    <w:rsid w:val="002B60B7"/>
    <w:rsid w:val="002B6B1E"/>
    <w:rsid w:val="002B71F6"/>
    <w:rsid w:val="002C031E"/>
    <w:rsid w:val="002C2F63"/>
    <w:rsid w:val="002C46C6"/>
    <w:rsid w:val="002C5AB1"/>
    <w:rsid w:val="002D06BB"/>
    <w:rsid w:val="002D0999"/>
    <w:rsid w:val="002D345E"/>
    <w:rsid w:val="002D3F84"/>
    <w:rsid w:val="002D4681"/>
    <w:rsid w:val="002D4C11"/>
    <w:rsid w:val="002D4C3C"/>
    <w:rsid w:val="002D72D8"/>
    <w:rsid w:val="002D74A6"/>
    <w:rsid w:val="002D75C5"/>
    <w:rsid w:val="002E0183"/>
    <w:rsid w:val="002E0ABB"/>
    <w:rsid w:val="002E0EE5"/>
    <w:rsid w:val="002E1A53"/>
    <w:rsid w:val="002E1D28"/>
    <w:rsid w:val="002E3CD7"/>
    <w:rsid w:val="002E5793"/>
    <w:rsid w:val="002E60A6"/>
    <w:rsid w:val="002E66D1"/>
    <w:rsid w:val="002E7E2C"/>
    <w:rsid w:val="002F07A8"/>
    <w:rsid w:val="002F1697"/>
    <w:rsid w:val="002F27EE"/>
    <w:rsid w:val="002F2C31"/>
    <w:rsid w:val="002F3AEB"/>
    <w:rsid w:val="002F47C3"/>
    <w:rsid w:val="00301278"/>
    <w:rsid w:val="003015ED"/>
    <w:rsid w:val="00302A82"/>
    <w:rsid w:val="00302F63"/>
    <w:rsid w:val="003036FA"/>
    <w:rsid w:val="003047F9"/>
    <w:rsid w:val="0030484A"/>
    <w:rsid w:val="00305651"/>
    <w:rsid w:val="00306D13"/>
    <w:rsid w:val="00307666"/>
    <w:rsid w:val="003104EA"/>
    <w:rsid w:val="00310B90"/>
    <w:rsid w:val="00311055"/>
    <w:rsid w:val="00311C2B"/>
    <w:rsid w:val="00312389"/>
    <w:rsid w:val="00312E49"/>
    <w:rsid w:val="00313695"/>
    <w:rsid w:val="003142EA"/>
    <w:rsid w:val="003160A3"/>
    <w:rsid w:val="00317404"/>
    <w:rsid w:val="00317E05"/>
    <w:rsid w:val="00320712"/>
    <w:rsid w:val="003233E0"/>
    <w:rsid w:val="00323CA9"/>
    <w:rsid w:val="003262A9"/>
    <w:rsid w:val="00326534"/>
    <w:rsid w:val="003271EC"/>
    <w:rsid w:val="00327EF0"/>
    <w:rsid w:val="003301D1"/>
    <w:rsid w:val="003302EE"/>
    <w:rsid w:val="003306B7"/>
    <w:rsid w:val="00331714"/>
    <w:rsid w:val="00332864"/>
    <w:rsid w:val="00335406"/>
    <w:rsid w:val="003356B5"/>
    <w:rsid w:val="00336365"/>
    <w:rsid w:val="00336B6C"/>
    <w:rsid w:val="003378E5"/>
    <w:rsid w:val="003379CD"/>
    <w:rsid w:val="003406DD"/>
    <w:rsid w:val="00341D60"/>
    <w:rsid w:val="00342286"/>
    <w:rsid w:val="00343B14"/>
    <w:rsid w:val="00344514"/>
    <w:rsid w:val="00344573"/>
    <w:rsid w:val="00344BF5"/>
    <w:rsid w:val="00347EC0"/>
    <w:rsid w:val="00350919"/>
    <w:rsid w:val="00350D55"/>
    <w:rsid w:val="003511BB"/>
    <w:rsid w:val="00351807"/>
    <w:rsid w:val="00351965"/>
    <w:rsid w:val="00352237"/>
    <w:rsid w:val="00352B41"/>
    <w:rsid w:val="00352F45"/>
    <w:rsid w:val="00353086"/>
    <w:rsid w:val="0035349A"/>
    <w:rsid w:val="00355042"/>
    <w:rsid w:val="003553E9"/>
    <w:rsid w:val="00355629"/>
    <w:rsid w:val="00355B9E"/>
    <w:rsid w:val="00356B92"/>
    <w:rsid w:val="003574AF"/>
    <w:rsid w:val="00360AA8"/>
    <w:rsid w:val="0036147D"/>
    <w:rsid w:val="00363F25"/>
    <w:rsid w:val="00364BDA"/>
    <w:rsid w:val="003671D8"/>
    <w:rsid w:val="00367440"/>
    <w:rsid w:val="00367AF9"/>
    <w:rsid w:val="00370022"/>
    <w:rsid w:val="0037311A"/>
    <w:rsid w:val="003732AC"/>
    <w:rsid w:val="00373C12"/>
    <w:rsid w:val="003746A7"/>
    <w:rsid w:val="003749B4"/>
    <w:rsid w:val="003761FA"/>
    <w:rsid w:val="0037661F"/>
    <w:rsid w:val="00376678"/>
    <w:rsid w:val="00377197"/>
    <w:rsid w:val="003812E9"/>
    <w:rsid w:val="003813EE"/>
    <w:rsid w:val="0038689F"/>
    <w:rsid w:val="00387E24"/>
    <w:rsid w:val="003908F0"/>
    <w:rsid w:val="00391332"/>
    <w:rsid w:val="00393282"/>
    <w:rsid w:val="003951A3"/>
    <w:rsid w:val="003964AA"/>
    <w:rsid w:val="00396DCC"/>
    <w:rsid w:val="003A0E90"/>
    <w:rsid w:val="003A1A41"/>
    <w:rsid w:val="003A1F78"/>
    <w:rsid w:val="003A4A45"/>
    <w:rsid w:val="003A5D7B"/>
    <w:rsid w:val="003A73F6"/>
    <w:rsid w:val="003A7769"/>
    <w:rsid w:val="003B1AC9"/>
    <w:rsid w:val="003B1D1D"/>
    <w:rsid w:val="003B31B5"/>
    <w:rsid w:val="003B37CD"/>
    <w:rsid w:val="003B46B0"/>
    <w:rsid w:val="003B63D8"/>
    <w:rsid w:val="003B793B"/>
    <w:rsid w:val="003B7DB3"/>
    <w:rsid w:val="003C1708"/>
    <w:rsid w:val="003C1F61"/>
    <w:rsid w:val="003C24C9"/>
    <w:rsid w:val="003C273C"/>
    <w:rsid w:val="003C2A2E"/>
    <w:rsid w:val="003C2B8D"/>
    <w:rsid w:val="003C381A"/>
    <w:rsid w:val="003C3AFC"/>
    <w:rsid w:val="003C42B3"/>
    <w:rsid w:val="003C44E8"/>
    <w:rsid w:val="003C60E3"/>
    <w:rsid w:val="003C6554"/>
    <w:rsid w:val="003C6B8D"/>
    <w:rsid w:val="003C71F3"/>
    <w:rsid w:val="003C73BE"/>
    <w:rsid w:val="003C7F27"/>
    <w:rsid w:val="003D0221"/>
    <w:rsid w:val="003D30E3"/>
    <w:rsid w:val="003D329C"/>
    <w:rsid w:val="003D395C"/>
    <w:rsid w:val="003D52A6"/>
    <w:rsid w:val="003D6430"/>
    <w:rsid w:val="003D6B44"/>
    <w:rsid w:val="003E0437"/>
    <w:rsid w:val="003E0FA2"/>
    <w:rsid w:val="003E10E2"/>
    <w:rsid w:val="003E1135"/>
    <w:rsid w:val="003E1B07"/>
    <w:rsid w:val="003E20FC"/>
    <w:rsid w:val="003E2B6C"/>
    <w:rsid w:val="003E35CB"/>
    <w:rsid w:val="003E4019"/>
    <w:rsid w:val="003E479C"/>
    <w:rsid w:val="003E5AD5"/>
    <w:rsid w:val="003F11B5"/>
    <w:rsid w:val="003F43F8"/>
    <w:rsid w:val="003F4830"/>
    <w:rsid w:val="003F4916"/>
    <w:rsid w:val="003F5A6F"/>
    <w:rsid w:val="003F6CBC"/>
    <w:rsid w:val="00401A59"/>
    <w:rsid w:val="00404810"/>
    <w:rsid w:val="00405469"/>
    <w:rsid w:val="004073C2"/>
    <w:rsid w:val="00407434"/>
    <w:rsid w:val="00407959"/>
    <w:rsid w:val="00407971"/>
    <w:rsid w:val="004079BE"/>
    <w:rsid w:val="00407B91"/>
    <w:rsid w:val="00407DF0"/>
    <w:rsid w:val="0041026E"/>
    <w:rsid w:val="004109E3"/>
    <w:rsid w:val="00414AD1"/>
    <w:rsid w:val="00415613"/>
    <w:rsid w:val="00416036"/>
    <w:rsid w:val="00416F9F"/>
    <w:rsid w:val="00417F09"/>
    <w:rsid w:val="0042048B"/>
    <w:rsid w:val="00420C16"/>
    <w:rsid w:val="00422058"/>
    <w:rsid w:val="004225AF"/>
    <w:rsid w:val="004252BC"/>
    <w:rsid w:val="00425395"/>
    <w:rsid w:val="00426403"/>
    <w:rsid w:val="00426EBF"/>
    <w:rsid w:val="00427E00"/>
    <w:rsid w:val="00432560"/>
    <w:rsid w:val="00432AFB"/>
    <w:rsid w:val="0043339F"/>
    <w:rsid w:val="00433435"/>
    <w:rsid w:val="00434165"/>
    <w:rsid w:val="004351F4"/>
    <w:rsid w:val="00437F52"/>
    <w:rsid w:val="00440C98"/>
    <w:rsid w:val="00441091"/>
    <w:rsid w:val="00441616"/>
    <w:rsid w:val="00441815"/>
    <w:rsid w:val="0044205D"/>
    <w:rsid w:val="00442693"/>
    <w:rsid w:val="00442D7A"/>
    <w:rsid w:val="00443CF7"/>
    <w:rsid w:val="0044411E"/>
    <w:rsid w:val="004449D5"/>
    <w:rsid w:val="004451BC"/>
    <w:rsid w:val="004456D6"/>
    <w:rsid w:val="004459EE"/>
    <w:rsid w:val="00446E07"/>
    <w:rsid w:val="0044734B"/>
    <w:rsid w:val="00447668"/>
    <w:rsid w:val="00450698"/>
    <w:rsid w:val="004506A7"/>
    <w:rsid w:val="004517B0"/>
    <w:rsid w:val="004528B0"/>
    <w:rsid w:val="00453945"/>
    <w:rsid w:val="00453D99"/>
    <w:rsid w:val="00453FE9"/>
    <w:rsid w:val="00454BDB"/>
    <w:rsid w:val="00454FCD"/>
    <w:rsid w:val="0045584B"/>
    <w:rsid w:val="0045792D"/>
    <w:rsid w:val="004608D0"/>
    <w:rsid w:val="004625D4"/>
    <w:rsid w:val="004644F8"/>
    <w:rsid w:val="00464D0E"/>
    <w:rsid w:val="004654F1"/>
    <w:rsid w:val="004669DD"/>
    <w:rsid w:val="00467CE6"/>
    <w:rsid w:val="004701E5"/>
    <w:rsid w:val="00472165"/>
    <w:rsid w:val="00472958"/>
    <w:rsid w:val="00475FF6"/>
    <w:rsid w:val="00476689"/>
    <w:rsid w:val="00477049"/>
    <w:rsid w:val="00477B03"/>
    <w:rsid w:val="004800AC"/>
    <w:rsid w:val="0048126E"/>
    <w:rsid w:val="00481616"/>
    <w:rsid w:val="004817C3"/>
    <w:rsid w:val="004819E3"/>
    <w:rsid w:val="00481F83"/>
    <w:rsid w:val="004830E4"/>
    <w:rsid w:val="004831BF"/>
    <w:rsid w:val="004845B9"/>
    <w:rsid w:val="004857BB"/>
    <w:rsid w:val="0049325E"/>
    <w:rsid w:val="00494162"/>
    <w:rsid w:val="00495455"/>
    <w:rsid w:val="0049578A"/>
    <w:rsid w:val="00497077"/>
    <w:rsid w:val="004A1BD4"/>
    <w:rsid w:val="004A1C87"/>
    <w:rsid w:val="004A2A80"/>
    <w:rsid w:val="004A3002"/>
    <w:rsid w:val="004A3369"/>
    <w:rsid w:val="004A4170"/>
    <w:rsid w:val="004A53A6"/>
    <w:rsid w:val="004A6D0D"/>
    <w:rsid w:val="004A78B8"/>
    <w:rsid w:val="004B5672"/>
    <w:rsid w:val="004B68E8"/>
    <w:rsid w:val="004B7FCD"/>
    <w:rsid w:val="004C1010"/>
    <w:rsid w:val="004C13CE"/>
    <w:rsid w:val="004C25EE"/>
    <w:rsid w:val="004C2FEC"/>
    <w:rsid w:val="004C3A31"/>
    <w:rsid w:val="004C57E3"/>
    <w:rsid w:val="004C6E1E"/>
    <w:rsid w:val="004C7698"/>
    <w:rsid w:val="004C7737"/>
    <w:rsid w:val="004C7B76"/>
    <w:rsid w:val="004C7DAC"/>
    <w:rsid w:val="004D0A80"/>
    <w:rsid w:val="004D1513"/>
    <w:rsid w:val="004D1D3E"/>
    <w:rsid w:val="004D24D2"/>
    <w:rsid w:val="004D45E6"/>
    <w:rsid w:val="004D4CB8"/>
    <w:rsid w:val="004D5A4B"/>
    <w:rsid w:val="004E0A20"/>
    <w:rsid w:val="004E155A"/>
    <w:rsid w:val="004E1A9B"/>
    <w:rsid w:val="004E2C4B"/>
    <w:rsid w:val="004E39BD"/>
    <w:rsid w:val="004E3B36"/>
    <w:rsid w:val="004E6B3D"/>
    <w:rsid w:val="004E6FDE"/>
    <w:rsid w:val="004F0252"/>
    <w:rsid w:val="004F376B"/>
    <w:rsid w:val="004F45BA"/>
    <w:rsid w:val="004F50BF"/>
    <w:rsid w:val="004F6DE3"/>
    <w:rsid w:val="00500242"/>
    <w:rsid w:val="00500D1D"/>
    <w:rsid w:val="00502BCA"/>
    <w:rsid w:val="00503BCC"/>
    <w:rsid w:val="00504564"/>
    <w:rsid w:val="00505326"/>
    <w:rsid w:val="00506123"/>
    <w:rsid w:val="0050637A"/>
    <w:rsid w:val="00507FEB"/>
    <w:rsid w:val="005101F6"/>
    <w:rsid w:val="00513074"/>
    <w:rsid w:val="00513389"/>
    <w:rsid w:val="005166BE"/>
    <w:rsid w:val="00516CCF"/>
    <w:rsid w:val="00516D81"/>
    <w:rsid w:val="00520555"/>
    <w:rsid w:val="00522335"/>
    <w:rsid w:val="005239C3"/>
    <w:rsid w:val="005262CA"/>
    <w:rsid w:val="005302D3"/>
    <w:rsid w:val="0053034F"/>
    <w:rsid w:val="00531EE1"/>
    <w:rsid w:val="00532317"/>
    <w:rsid w:val="00533871"/>
    <w:rsid w:val="005343AC"/>
    <w:rsid w:val="0053775E"/>
    <w:rsid w:val="00541C10"/>
    <w:rsid w:val="00542B4B"/>
    <w:rsid w:val="005450E7"/>
    <w:rsid w:val="00545E04"/>
    <w:rsid w:val="005461B7"/>
    <w:rsid w:val="005529CF"/>
    <w:rsid w:val="00554513"/>
    <w:rsid w:val="00555B04"/>
    <w:rsid w:val="00557087"/>
    <w:rsid w:val="00557371"/>
    <w:rsid w:val="00560DAD"/>
    <w:rsid w:val="005617FD"/>
    <w:rsid w:val="0056398A"/>
    <w:rsid w:val="00564CDD"/>
    <w:rsid w:val="005653E0"/>
    <w:rsid w:val="00566AB7"/>
    <w:rsid w:val="00566F46"/>
    <w:rsid w:val="00566F8F"/>
    <w:rsid w:val="00567493"/>
    <w:rsid w:val="005717B3"/>
    <w:rsid w:val="00572BDB"/>
    <w:rsid w:val="005732CF"/>
    <w:rsid w:val="00577D19"/>
    <w:rsid w:val="0058067D"/>
    <w:rsid w:val="00580B2C"/>
    <w:rsid w:val="00581561"/>
    <w:rsid w:val="00583EFF"/>
    <w:rsid w:val="00583FB1"/>
    <w:rsid w:val="0058437E"/>
    <w:rsid w:val="00585824"/>
    <w:rsid w:val="00590C1C"/>
    <w:rsid w:val="00592F59"/>
    <w:rsid w:val="005935D9"/>
    <w:rsid w:val="005936C6"/>
    <w:rsid w:val="00594F77"/>
    <w:rsid w:val="00595354"/>
    <w:rsid w:val="00597F45"/>
    <w:rsid w:val="005A049F"/>
    <w:rsid w:val="005A0A3A"/>
    <w:rsid w:val="005A3639"/>
    <w:rsid w:val="005A437B"/>
    <w:rsid w:val="005A47E5"/>
    <w:rsid w:val="005A51D7"/>
    <w:rsid w:val="005A7470"/>
    <w:rsid w:val="005B0A2B"/>
    <w:rsid w:val="005B113C"/>
    <w:rsid w:val="005B1DDF"/>
    <w:rsid w:val="005B2CB8"/>
    <w:rsid w:val="005B3106"/>
    <w:rsid w:val="005B3815"/>
    <w:rsid w:val="005B439A"/>
    <w:rsid w:val="005B55A7"/>
    <w:rsid w:val="005C2AC7"/>
    <w:rsid w:val="005C30CE"/>
    <w:rsid w:val="005C4C6F"/>
    <w:rsid w:val="005C60E1"/>
    <w:rsid w:val="005C65BC"/>
    <w:rsid w:val="005C6CA0"/>
    <w:rsid w:val="005C78BA"/>
    <w:rsid w:val="005D0947"/>
    <w:rsid w:val="005D191F"/>
    <w:rsid w:val="005D242D"/>
    <w:rsid w:val="005D29C8"/>
    <w:rsid w:val="005D4729"/>
    <w:rsid w:val="005D50AA"/>
    <w:rsid w:val="005D5542"/>
    <w:rsid w:val="005D771B"/>
    <w:rsid w:val="005D7919"/>
    <w:rsid w:val="005E1AF3"/>
    <w:rsid w:val="005E1BE2"/>
    <w:rsid w:val="005E1EDB"/>
    <w:rsid w:val="005E22AA"/>
    <w:rsid w:val="005E3923"/>
    <w:rsid w:val="005E5402"/>
    <w:rsid w:val="005E6163"/>
    <w:rsid w:val="005E7C97"/>
    <w:rsid w:val="005F02FC"/>
    <w:rsid w:val="005F0D78"/>
    <w:rsid w:val="005F2A8A"/>
    <w:rsid w:val="005F34E8"/>
    <w:rsid w:val="005F3645"/>
    <w:rsid w:val="005F4787"/>
    <w:rsid w:val="005F49B6"/>
    <w:rsid w:val="005F52C2"/>
    <w:rsid w:val="005F63C6"/>
    <w:rsid w:val="005F6A2A"/>
    <w:rsid w:val="005F7239"/>
    <w:rsid w:val="00600004"/>
    <w:rsid w:val="00605713"/>
    <w:rsid w:val="00605A90"/>
    <w:rsid w:val="00606C94"/>
    <w:rsid w:val="00610007"/>
    <w:rsid w:val="00610D30"/>
    <w:rsid w:val="00612014"/>
    <w:rsid w:val="006128B5"/>
    <w:rsid w:val="006128DA"/>
    <w:rsid w:val="006160C4"/>
    <w:rsid w:val="00617DE5"/>
    <w:rsid w:val="0062001A"/>
    <w:rsid w:val="006200BD"/>
    <w:rsid w:val="00620764"/>
    <w:rsid w:val="006237A1"/>
    <w:rsid w:val="00624CBC"/>
    <w:rsid w:val="00625D0C"/>
    <w:rsid w:val="00626519"/>
    <w:rsid w:val="0062660C"/>
    <w:rsid w:val="00626995"/>
    <w:rsid w:val="00627315"/>
    <w:rsid w:val="00632AB8"/>
    <w:rsid w:val="006341AF"/>
    <w:rsid w:val="00634EE1"/>
    <w:rsid w:val="006350B8"/>
    <w:rsid w:val="00635B8D"/>
    <w:rsid w:val="00635DBE"/>
    <w:rsid w:val="0063664F"/>
    <w:rsid w:val="00637487"/>
    <w:rsid w:val="006375CA"/>
    <w:rsid w:val="00637D23"/>
    <w:rsid w:val="00640907"/>
    <w:rsid w:val="006412D8"/>
    <w:rsid w:val="0064171E"/>
    <w:rsid w:val="0064257F"/>
    <w:rsid w:val="00642925"/>
    <w:rsid w:val="00642FC6"/>
    <w:rsid w:val="00644EB3"/>
    <w:rsid w:val="006470E7"/>
    <w:rsid w:val="0064772A"/>
    <w:rsid w:val="006479A0"/>
    <w:rsid w:val="00650764"/>
    <w:rsid w:val="006510F8"/>
    <w:rsid w:val="006525AF"/>
    <w:rsid w:val="0065266A"/>
    <w:rsid w:val="00652971"/>
    <w:rsid w:val="00653B65"/>
    <w:rsid w:val="00655D13"/>
    <w:rsid w:val="006569E6"/>
    <w:rsid w:val="006572CE"/>
    <w:rsid w:val="006575AC"/>
    <w:rsid w:val="006601C4"/>
    <w:rsid w:val="00660C91"/>
    <w:rsid w:val="00660F45"/>
    <w:rsid w:val="00661754"/>
    <w:rsid w:val="0066371B"/>
    <w:rsid w:val="00663F71"/>
    <w:rsid w:val="00664B14"/>
    <w:rsid w:val="006652DF"/>
    <w:rsid w:val="006667A2"/>
    <w:rsid w:val="00666AED"/>
    <w:rsid w:val="00666FFC"/>
    <w:rsid w:val="00670443"/>
    <w:rsid w:val="00671642"/>
    <w:rsid w:val="00671E50"/>
    <w:rsid w:val="00672AE7"/>
    <w:rsid w:val="00673671"/>
    <w:rsid w:val="0067517B"/>
    <w:rsid w:val="0067569C"/>
    <w:rsid w:val="006758B9"/>
    <w:rsid w:val="006761C8"/>
    <w:rsid w:val="00676BEC"/>
    <w:rsid w:val="0067730E"/>
    <w:rsid w:val="00677901"/>
    <w:rsid w:val="00680B23"/>
    <w:rsid w:val="00682F7D"/>
    <w:rsid w:val="00683191"/>
    <w:rsid w:val="00684874"/>
    <w:rsid w:val="00684F1A"/>
    <w:rsid w:val="00686E9B"/>
    <w:rsid w:val="006879F4"/>
    <w:rsid w:val="00693AA5"/>
    <w:rsid w:val="00693BAC"/>
    <w:rsid w:val="006947AF"/>
    <w:rsid w:val="0069511B"/>
    <w:rsid w:val="0069701B"/>
    <w:rsid w:val="006A13E5"/>
    <w:rsid w:val="006A49E7"/>
    <w:rsid w:val="006A50DE"/>
    <w:rsid w:val="006A6008"/>
    <w:rsid w:val="006A62C2"/>
    <w:rsid w:val="006A7DE2"/>
    <w:rsid w:val="006B0309"/>
    <w:rsid w:val="006B2174"/>
    <w:rsid w:val="006B360F"/>
    <w:rsid w:val="006B4F9A"/>
    <w:rsid w:val="006B69AE"/>
    <w:rsid w:val="006B7FF2"/>
    <w:rsid w:val="006C1B54"/>
    <w:rsid w:val="006C210C"/>
    <w:rsid w:val="006C32DD"/>
    <w:rsid w:val="006C6555"/>
    <w:rsid w:val="006C71A6"/>
    <w:rsid w:val="006C79B2"/>
    <w:rsid w:val="006D0DCE"/>
    <w:rsid w:val="006D1363"/>
    <w:rsid w:val="006D2E16"/>
    <w:rsid w:val="006D448E"/>
    <w:rsid w:val="006D4ACD"/>
    <w:rsid w:val="006D5844"/>
    <w:rsid w:val="006E0FCB"/>
    <w:rsid w:val="006E10DF"/>
    <w:rsid w:val="006E3421"/>
    <w:rsid w:val="006E3DED"/>
    <w:rsid w:val="006E4D8B"/>
    <w:rsid w:val="006E4F4E"/>
    <w:rsid w:val="006E60AA"/>
    <w:rsid w:val="006E6109"/>
    <w:rsid w:val="006E68B2"/>
    <w:rsid w:val="006E695B"/>
    <w:rsid w:val="006F131E"/>
    <w:rsid w:val="006F1924"/>
    <w:rsid w:val="006F3878"/>
    <w:rsid w:val="006F38DA"/>
    <w:rsid w:val="006F42E4"/>
    <w:rsid w:val="006F444F"/>
    <w:rsid w:val="006F4F55"/>
    <w:rsid w:val="006F6A55"/>
    <w:rsid w:val="006F6B3C"/>
    <w:rsid w:val="00700441"/>
    <w:rsid w:val="00702104"/>
    <w:rsid w:val="00703363"/>
    <w:rsid w:val="00705F36"/>
    <w:rsid w:val="00707162"/>
    <w:rsid w:val="00707637"/>
    <w:rsid w:val="0071021A"/>
    <w:rsid w:val="0071060D"/>
    <w:rsid w:val="007117B1"/>
    <w:rsid w:val="00713390"/>
    <w:rsid w:val="00715B86"/>
    <w:rsid w:val="00715E61"/>
    <w:rsid w:val="0071695B"/>
    <w:rsid w:val="00720481"/>
    <w:rsid w:val="007206B9"/>
    <w:rsid w:val="007225F9"/>
    <w:rsid w:val="0072371E"/>
    <w:rsid w:val="0072384D"/>
    <w:rsid w:val="007244F7"/>
    <w:rsid w:val="00724BCD"/>
    <w:rsid w:val="00726B7E"/>
    <w:rsid w:val="00726FD7"/>
    <w:rsid w:val="0072715D"/>
    <w:rsid w:val="00727838"/>
    <w:rsid w:val="007311BB"/>
    <w:rsid w:val="007318BD"/>
    <w:rsid w:val="00732320"/>
    <w:rsid w:val="00732877"/>
    <w:rsid w:val="00732E97"/>
    <w:rsid w:val="00735E71"/>
    <w:rsid w:val="00736382"/>
    <w:rsid w:val="00736515"/>
    <w:rsid w:val="00737073"/>
    <w:rsid w:val="007374F1"/>
    <w:rsid w:val="007431E6"/>
    <w:rsid w:val="00743A3D"/>
    <w:rsid w:val="00745CF7"/>
    <w:rsid w:val="0075122F"/>
    <w:rsid w:val="0075250D"/>
    <w:rsid w:val="00752969"/>
    <w:rsid w:val="00753307"/>
    <w:rsid w:val="00755C6B"/>
    <w:rsid w:val="00757FC4"/>
    <w:rsid w:val="0076047E"/>
    <w:rsid w:val="0076055F"/>
    <w:rsid w:val="0076089B"/>
    <w:rsid w:val="007623CD"/>
    <w:rsid w:val="00764777"/>
    <w:rsid w:val="00765044"/>
    <w:rsid w:val="007665F0"/>
    <w:rsid w:val="00770EFC"/>
    <w:rsid w:val="00772E99"/>
    <w:rsid w:val="00774584"/>
    <w:rsid w:val="0077471F"/>
    <w:rsid w:val="00774797"/>
    <w:rsid w:val="00776463"/>
    <w:rsid w:val="00776B32"/>
    <w:rsid w:val="007771DB"/>
    <w:rsid w:val="007803CE"/>
    <w:rsid w:val="00781848"/>
    <w:rsid w:val="00781EBD"/>
    <w:rsid w:val="0078232F"/>
    <w:rsid w:val="00783904"/>
    <w:rsid w:val="00783AB1"/>
    <w:rsid w:val="007843EB"/>
    <w:rsid w:val="007844BC"/>
    <w:rsid w:val="0078495A"/>
    <w:rsid w:val="00784B6D"/>
    <w:rsid w:val="00785D49"/>
    <w:rsid w:val="00787368"/>
    <w:rsid w:val="00787E77"/>
    <w:rsid w:val="0079033F"/>
    <w:rsid w:val="00790777"/>
    <w:rsid w:val="00790B8B"/>
    <w:rsid w:val="00791CCA"/>
    <w:rsid w:val="00792D9D"/>
    <w:rsid w:val="007931E3"/>
    <w:rsid w:val="007937C9"/>
    <w:rsid w:val="00794845"/>
    <w:rsid w:val="007950E1"/>
    <w:rsid w:val="00795215"/>
    <w:rsid w:val="00795D34"/>
    <w:rsid w:val="00795F61"/>
    <w:rsid w:val="0079693A"/>
    <w:rsid w:val="00796D45"/>
    <w:rsid w:val="0079767A"/>
    <w:rsid w:val="00797D38"/>
    <w:rsid w:val="007A2824"/>
    <w:rsid w:val="007A48D3"/>
    <w:rsid w:val="007A54E4"/>
    <w:rsid w:val="007A582C"/>
    <w:rsid w:val="007A5A52"/>
    <w:rsid w:val="007A6508"/>
    <w:rsid w:val="007A65BA"/>
    <w:rsid w:val="007B03B9"/>
    <w:rsid w:val="007B1809"/>
    <w:rsid w:val="007B29CA"/>
    <w:rsid w:val="007B52C9"/>
    <w:rsid w:val="007B531C"/>
    <w:rsid w:val="007B54BD"/>
    <w:rsid w:val="007B6EAF"/>
    <w:rsid w:val="007C1FB9"/>
    <w:rsid w:val="007C254B"/>
    <w:rsid w:val="007C29DE"/>
    <w:rsid w:val="007C376F"/>
    <w:rsid w:val="007C4490"/>
    <w:rsid w:val="007C692D"/>
    <w:rsid w:val="007C6FF8"/>
    <w:rsid w:val="007C7DBC"/>
    <w:rsid w:val="007D2769"/>
    <w:rsid w:val="007D2A41"/>
    <w:rsid w:val="007D34BD"/>
    <w:rsid w:val="007D4D5B"/>
    <w:rsid w:val="007E064D"/>
    <w:rsid w:val="007E30C1"/>
    <w:rsid w:val="007E3FAB"/>
    <w:rsid w:val="007E63DF"/>
    <w:rsid w:val="007E69A4"/>
    <w:rsid w:val="007E6A52"/>
    <w:rsid w:val="007F09C9"/>
    <w:rsid w:val="007F2C0C"/>
    <w:rsid w:val="007F3497"/>
    <w:rsid w:val="007F3B36"/>
    <w:rsid w:val="007F4647"/>
    <w:rsid w:val="007F607F"/>
    <w:rsid w:val="007F6B5A"/>
    <w:rsid w:val="0080050D"/>
    <w:rsid w:val="00801F0C"/>
    <w:rsid w:val="00803A9F"/>
    <w:rsid w:val="00803DBE"/>
    <w:rsid w:val="008063E2"/>
    <w:rsid w:val="008065F9"/>
    <w:rsid w:val="008076C6"/>
    <w:rsid w:val="00814C49"/>
    <w:rsid w:val="0081663A"/>
    <w:rsid w:val="00820E03"/>
    <w:rsid w:val="00821A94"/>
    <w:rsid w:val="008225FB"/>
    <w:rsid w:val="008236AC"/>
    <w:rsid w:val="008239EE"/>
    <w:rsid w:val="008244D8"/>
    <w:rsid w:val="0082693D"/>
    <w:rsid w:val="00831096"/>
    <w:rsid w:val="0083279B"/>
    <w:rsid w:val="008333AD"/>
    <w:rsid w:val="00833D11"/>
    <w:rsid w:val="00835517"/>
    <w:rsid w:val="00840894"/>
    <w:rsid w:val="008416B8"/>
    <w:rsid w:val="008445CF"/>
    <w:rsid w:val="00846013"/>
    <w:rsid w:val="00850378"/>
    <w:rsid w:val="00851815"/>
    <w:rsid w:val="008519A9"/>
    <w:rsid w:val="00851FDB"/>
    <w:rsid w:val="00853C11"/>
    <w:rsid w:val="00856647"/>
    <w:rsid w:val="008568F1"/>
    <w:rsid w:val="00857EE2"/>
    <w:rsid w:val="00857F02"/>
    <w:rsid w:val="00860D7C"/>
    <w:rsid w:val="00861BE5"/>
    <w:rsid w:val="00861CE6"/>
    <w:rsid w:val="0086258F"/>
    <w:rsid w:val="008627EC"/>
    <w:rsid w:val="0086335D"/>
    <w:rsid w:val="008635AA"/>
    <w:rsid w:val="00864638"/>
    <w:rsid w:val="008654AE"/>
    <w:rsid w:val="00865747"/>
    <w:rsid w:val="008711CC"/>
    <w:rsid w:val="00874EF8"/>
    <w:rsid w:val="008756E3"/>
    <w:rsid w:val="00876BFD"/>
    <w:rsid w:val="00876D0A"/>
    <w:rsid w:val="0088263E"/>
    <w:rsid w:val="00882B39"/>
    <w:rsid w:val="00884101"/>
    <w:rsid w:val="00884BC9"/>
    <w:rsid w:val="008869EA"/>
    <w:rsid w:val="00886A04"/>
    <w:rsid w:val="00887180"/>
    <w:rsid w:val="00887A63"/>
    <w:rsid w:val="00887D2E"/>
    <w:rsid w:val="0089132D"/>
    <w:rsid w:val="00891344"/>
    <w:rsid w:val="00891BBE"/>
    <w:rsid w:val="00891D92"/>
    <w:rsid w:val="00892D86"/>
    <w:rsid w:val="00893928"/>
    <w:rsid w:val="0089548A"/>
    <w:rsid w:val="00895A03"/>
    <w:rsid w:val="00896BF4"/>
    <w:rsid w:val="008A1788"/>
    <w:rsid w:val="008A43FE"/>
    <w:rsid w:val="008A6869"/>
    <w:rsid w:val="008A6E92"/>
    <w:rsid w:val="008A7B46"/>
    <w:rsid w:val="008B111A"/>
    <w:rsid w:val="008B19A4"/>
    <w:rsid w:val="008B29D5"/>
    <w:rsid w:val="008B2E8D"/>
    <w:rsid w:val="008B2ED2"/>
    <w:rsid w:val="008B319C"/>
    <w:rsid w:val="008B472B"/>
    <w:rsid w:val="008B536D"/>
    <w:rsid w:val="008B6D41"/>
    <w:rsid w:val="008B6E97"/>
    <w:rsid w:val="008C1D1D"/>
    <w:rsid w:val="008C3196"/>
    <w:rsid w:val="008C6205"/>
    <w:rsid w:val="008C64BD"/>
    <w:rsid w:val="008C64C9"/>
    <w:rsid w:val="008C66ED"/>
    <w:rsid w:val="008D077B"/>
    <w:rsid w:val="008D227E"/>
    <w:rsid w:val="008D3237"/>
    <w:rsid w:val="008D5C41"/>
    <w:rsid w:val="008D6258"/>
    <w:rsid w:val="008D6530"/>
    <w:rsid w:val="008D65AA"/>
    <w:rsid w:val="008D7AAA"/>
    <w:rsid w:val="008D7CA3"/>
    <w:rsid w:val="008D7E0A"/>
    <w:rsid w:val="008D7F86"/>
    <w:rsid w:val="008E0BF3"/>
    <w:rsid w:val="008E0EDC"/>
    <w:rsid w:val="008E1383"/>
    <w:rsid w:val="008E13F6"/>
    <w:rsid w:val="008E19C1"/>
    <w:rsid w:val="008E1BEC"/>
    <w:rsid w:val="008E1CEA"/>
    <w:rsid w:val="008E1E36"/>
    <w:rsid w:val="008E2059"/>
    <w:rsid w:val="008E3AA2"/>
    <w:rsid w:val="008E40DE"/>
    <w:rsid w:val="008E4167"/>
    <w:rsid w:val="008E4219"/>
    <w:rsid w:val="008E548F"/>
    <w:rsid w:val="008E6980"/>
    <w:rsid w:val="008F0296"/>
    <w:rsid w:val="008F1161"/>
    <w:rsid w:val="008F24B2"/>
    <w:rsid w:val="008F7BAF"/>
    <w:rsid w:val="00900496"/>
    <w:rsid w:val="0090178D"/>
    <w:rsid w:val="00903D5E"/>
    <w:rsid w:val="00904942"/>
    <w:rsid w:val="00904C25"/>
    <w:rsid w:val="009068EA"/>
    <w:rsid w:val="00906B63"/>
    <w:rsid w:val="00910723"/>
    <w:rsid w:val="00910948"/>
    <w:rsid w:val="009128D6"/>
    <w:rsid w:val="009134D6"/>
    <w:rsid w:val="00913A32"/>
    <w:rsid w:val="00913C20"/>
    <w:rsid w:val="009157E7"/>
    <w:rsid w:val="00915DB0"/>
    <w:rsid w:val="009162E5"/>
    <w:rsid w:val="00917671"/>
    <w:rsid w:val="00917C21"/>
    <w:rsid w:val="00917DFE"/>
    <w:rsid w:val="00920CCC"/>
    <w:rsid w:val="009220B0"/>
    <w:rsid w:val="00922414"/>
    <w:rsid w:val="00922698"/>
    <w:rsid w:val="00923316"/>
    <w:rsid w:val="00924CD7"/>
    <w:rsid w:val="00924F92"/>
    <w:rsid w:val="009266BA"/>
    <w:rsid w:val="00927621"/>
    <w:rsid w:val="00927873"/>
    <w:rsid w:val="009311A6"/>
    <w:rsid w:val="00933070"/>
    <w:rsid w:val="00933F78"/>
    <w:rsid w:val="00937C74"/>
    <w:rsid w:val="00940481"/>
    <w:rsid w:val="00940E29"/>
    <w:rsid w:val="0094304C"/>
    <w:rsid w:val="00943823"/>
    <w:rsid w:val="00944C96"/>
    <w:rsid w:val="009461DE"/>
    <w:rsid w:val="00946F14"/>
    <w:rsid w:val="00950BE7"/>
    <w:rsid w:val="00952246"/>
    <w:rsid w:val="0095459D"/>
    <w:rsid w:val="009572F3"/>
    <w:rsid w:val="009606E2"/>
    <w:rsid w:val="00960B5E"/>
    <w:rsid w:val="009632B3"/>
    <w:rsid w:val="009651B7"/>
    <w:rsid w:val="00965A1B"/>
    <w:rsid w:val="00967095"/>
    <w:rsid w:val="0097236E"/>
    <w:rsid w:val="00972383"/>
    <w:rsid w:val="00973AC7"/>
    <w:rsid w:val="00974139"/>
    <w:rsid w:val="0097566A"/>
    <w:rsid w:val="0097759F"/>
    <w:rsid w:val="009800C7"/>
    <w:rsid w:val="009804F0"/>
    <w:rsid w:val="00981AD0"/>
    <w:rsid w:val="00982372"/>
    <w:rsid w:val="00983A0F"/>
    <w:rsid w:val="00984EA9"/>
    <w:rsid w:val="009855D9"/>
    <w:rsid w:val="00985A3A"/>
    <w:rsid w:val="009864D6"/>
    <w:rsid w:val="00986B37"/>
    <w:rsid w:val="00986D9A"/>
    <w:rsid w:val="0098715D"/>
    <w:rsid w:val="0098767A"/>
    <w:rsid w:val="009913F4"/>
    <w:rsid w:val="0099274D"/>
    <w:rsid w:val="009942C3"/>
    <w:rsid w:val="00994BA5"/>
    <w:rsid w:val="00996B2D"/>
    <w:rsid w:val="00996F5D"/>
    <w:rsid w:val="009A1792"/>
    <w:rsid w:val="009A2337"/>
    <w:rsid w:val="009A3A83"/>
    <w:rsid w:val="009A40AE"/>
    <w:rsid w:val="009A43C9"/>
    <w:rsid w:val="009A498C"/>
    <w:rsid w:val="009A6412"/>
    <w:rsid w:val="009A69B0"/>
    <w:rsid w:val="009A7A4F"/>
    <w:rsid w:val="009B0609"/>
    <w:rsid w:val="009B06B6"/>
    <w:rsid w:val="009B0792"/>
    <w:rsid w:val="009B13E0"/>
    <w:rsid w:val="009B3ABB"/>
    <w:rsid w:val="009B4422"/>
    <w:rsid w:val="009B454E"/>
    <w:rsid w:val="009B479A"/>
    <w:rsid w:val="009B5917"/>
    <w:rsid w:val="009B74D1"/>
    <w:rsid w:val="009C06CD"/>
    <w:rsid w:val="009C0B7E"/>
    <w:rsid w:val="009C1599"/>
    <w:rsid w:val="009C2D91"/>
    <w:rsid w:val="009C51B5"/>
    <w:rsid w:val="009C7A9C"/>
    <w:rsid w:val="009D051D"/>
    <w:rsid w:val="009D05A7"/>
    <w:rsid w:val="009D0D18"/>
    <w:rsid w:val="009D1098"/>
    <w:rsid w:val="009D29A6"/>
    <w:rsid w:val="009D38A2"/>
    <w:rsid w:val="009D7610"/>
    <w:rsid w:val="009D7B45"/>
    <w:rsid w:val="009E09CF"/>
    <w:rsid w:val="009E0AFB"/>
    <w:rsid w:val="009E18F8"/>
    <w:rsid w:val="009E26F5"/>
    <w:rsid w:val="009E286E"/>
    <w:rsid w:val="009E28EC"/>
    <w:rsid w:val="009E560E"/>
    <w:rsid w:val="009E5CE9"/>
    <w:rsid w:val="009E64DD"/>
    <w:rsid w:val="009E6645"/>
    <w:rsid w:val="009E6F6E"/>
    <w:rsid w:val="009F0194"/>
    <w:rsid w:val="009F0AE8"/>
    <w:rsid w:val="009F1001"/>
    <w:rsid w:val="009F1245"/>
    <w:rsid w:val="009F1D8C"/>
    <w:rsid w:val="009F1FF1"/>
    <w:rsid w:val="009F2159"/>
    <w:rsid w:val="009F3B2A"/>
    <w:rsid w:val="009F3EF2"/>
    <w:rsid w:val="009F496A"/>
    <w:rsid w:val="009F7C2A"/>
    <w:rsid w:val="00A00AD8"/>
    <w:rsid w:val="00A015B6"/>
    <w:rsid w:val="00A02941"/>
    <w:rsid w:val="00A02AFB"/>
    <w:rsid w:val="00A038B0"/>
    <w:rsid w:val="00A0544B"/>
    <w:rsid w:val="00A05A2A"/>
    <w:rsid w:val="00A074EE"/>
    <w:rsid w:val="00A10381"/>
    <w:rsid w:val="00A1358A"/>
    <w:rsid w:val="00A14845"/>
    <w:rsid w:val="00A16881"/>
    <w:rsid w:val="00A17FE2"/>
    <w:rsid w:val="00A201A3"/>
    <w:rsid w:val="00A25B23"/>
    <w:rsid w:val="00A27339"/>
    <w:rsid w:val="00A305A0"/>
    <w:rsid w:val="00A309B3"/>
    <w:rsid w:val="00A30DEC"/>
    <w:rsid w:val="00A32690"/>
    <w:rsid w:val="00A32B32"/>
    <w:rsid w:val="00A333D4"/>
    <w:rsid w:val="00A339B3"/>
    <w:rsid w:val="00A36F47"/>
    <w:rsid w:val="00A40417"/>
    <w:rsid w:val="00A4148E"/>
    <w:rsid w:val="00A41526"/>
    <w:rsid w:val="00A420C3"/>
    <w:rsid w:val="00A431AC"/>
    <w:rsid w:val="00A4325A"/>
    <w:rsid w:val="00A433B9"/>
    <w:rsid w:val="00A447C7"/>
    <w:rsid w:val="00A4616E"/>
    <w:rsid w:val="00A51BAF"/>
    <w:rsid w:val="00A548F2"/>
    <w:rsid w:val="00A5496B"/>
    <w:rsid w:val="00A56D1A"/>
    <w:rsid w:val="00A60416"/>
    <w:rsid w:val="00A61A15"/>
    <w:rsid w:val="00A61B28"/>
    <w:rsid w:val="00A6215A"/>
    <w:rsid w:val="00A62A4B"/>
    <w:rsid w:val="00A63EA1"/>
    <w:rsid w:val="00A642DB"/>
    <w:rsid w:val="00A645E4"/>
    <w:rsid w:val="00A648F3"/>
    <w:rsid w:val="00A64E81"/>
    <w:rsid w:val="00A650A4"/>
    <w:rsid w:val="00A67029"/>
    <w:rsid w:val="00A67586"/>
    <w:rsid w:val="00A67ABB"/>
    <w:rsid w:val="00A67BFF"/>
    <w:rsid w:val="00A67DE8"/>
    <w:rsid w:val="00A7178C"/>
    <w:rsid w:val="00A717B4"/>
    <w:rsid w:val="00A725F9"/>
    <w:rsid w:val="00A7472B"/>
    <w:rsid w:val="00A74FAF"/>
    <w:rsid w:val="00A75549"/>
    <w:rsid w:val="00A75A9C"/>
    <w:rsid w:val="00A766CE"/>
    <w:rsid w:val="00A775CB"/>
    <w:rsid w:val="00A778D5"/>
    <w:rsid w:val="00A80712"/>
    <w:rsid w:val="00A80719"/>
    <w:rsid w:val="00A83512"/>
    <w:rsid w:val="00A83CDC"/>
    <w:rsid w:val="00A83DDD"/>
    <w:rsid w:val="00A8530B"/>
    <w:rsid w:val="00A87EC8"/>
    <w:rsid w:val="00A90F81"/>
    <w:rsid w:val="00A90FFB"/>
    <w:rsid w:val="00A913E9"/>
    <w:rsid w:val="00A9193C"/>
    <w:rsid w:val="00A9246E"/>
    <w:rsid w:val="00A950BA"/>
    <w:rsid w:val="00A95943"/>
    <w:rsid w:val="00A95C4F"/>
    <w:rsid w:val="00AA1837"/>
    <w:rsid w:val="00AA1A66"/>
    <w:rsid w:val="00AA30E0"/>
    <w:rsid w:val="00AA476C"/>
    <w:rsid w:val="00AA5C52"/>
    <w:rsid w:val="00AA63F1"/>
    <w:rsid w:val="00AA7CB3"/>
    <w:rsid w:val="00AB0BE1"/>
    <w:rsid w:val="00AB1682"/>
    <w:rsid w:val="00AB48F8"/>
    <w:rsid w:val="00AB4C5B"/>
    <w:rsid w:val="00AB7CF4"/>
    <w:rsid w:val="00AB7F91"/>
    <w:rsid w:val="00AC0C2C"/>
    <w:rsid w:val="00AC246B"/>
    <w:rsid w:val="00AC2B07"/>
    <w:rsid w:val="00AC2D35"/>
    <w:rsid w:val="00AC40FB"/>
    <w:rsid w:val="00AC4859"/>
    <w:rsid w:val="00AC4B28"/>
    <w:rsid w:val="00AC4E8C"/>
    <w:rsid w:val="00AC6679"/>
    <w:rsid w:val="00AC6997"/>
    <w:rsid w:val="00AC7F1F"/>
    <w:rsid w:val="00AC7FD6"/>
    <w:rsid w:val="00AD098E"/>
    <w:rsid w:val="00AD310E"/>
    <w:rsid w:val="00AD422D"/>
    <w:rsid w:val="00AD5F7F"/>
    <w:rsid w:val="00AD6BF8"/>
    <w:rsid w:val="00AD7280"/>
    <w:rsid w:val="00AE01D9"/>
    <w:rsid w:val="00AE0AC1"/>
    <w:rsid w:val="00AE1621"/>
    <w:rsid w:val="00AE1D9A"/>
    <w:rsid w:val="00AE1E29"/>
    <w:rsid w:val="00AE43CF"/>
    <w:rsid w:val="00AE5F9B"/>
    <w:rsid w:val="00AE6333"/>
    <w:rsid w:val="00AF0112"/>
    <w:rsid w:val="00AF04D8"/>
    <w:rsid w:val="00AF17EF"/>
    <w:rsid w:val="00AF1C3A"/>
    <w:rsid w:val="00AF2588"/>
    <w:rsid w:val="00AF3F69"/>
    <w:rsid w:val="00AF4545"/>
    <w:rsid w:val="00AF4D60"/>
    <w:rsid w:val="00AF60F5"/>
    <w:rsid w:val="00AF690E"/>
    <w:rsid w:val="00AF75F2"/>
    <w:rsid w:val="00B003BD"/>
    <w:rsid w:val="00B02134"/>
    <w:rsid w:val="00B0226F"/>
    <w:rsid w:val="00B02631"/>
    <w:rsid w:val="00B03C79"/>
    <w:rsid w:val="00B04188"/>
    <w:rsid w:val="00B05188"/>
    <w:rsid w:val="00B05269"/>
    <w:rsid w:val="00B103FA"/>
    <w:rsid w:val="00B1229D"/>
    <w:rsid w:val="00B1300C"/>
    <w:rsid w:val="00B143B9"/>
    <w:rsid w:val="00B15322"/>
    <w:rsid w:val="00B15BB9"/>
    <w:rsid w:val="00B15DEB"/>
    <w:rsid w:val="00B17066"/>
    <w:rsid w:val="00B215F7"/>
    <w:rsid w:val="00B218B7"/>
    <w:rsid w:val="00B2355F"/>
    <w:rsid w:val="00B24666"/>
    <w:rsid w:val="00B24DA0"/>
    <w:rsid w:val="00B26CA6"/>
    <w:rsid w:val="00B33845"/>
    <w:rsid w:val="00B3445B"/>
    <w:rsid w:val="00B34596"/>
    <w:rsid w:val="00B35A8F"/>
    <w:rsid w:val="00B36D85"/>
    <w:rsid w:val="00B402AD"/>
    <w:rsid w:val="00B40A20"/>
    <w:rsid w:val="00B4211E"/>
    <w:rsid w:val="00B42A3E"/>
    <w:rsid w:val="00B47070"/>
    <w:rsid w:val="00B513BF"/>
    <w:rsid w:val="00B545EC"/>
    <w:rsid w:val="00B56202"/>
    <w:rsid w:val="00B57040"/>
    <w:rsid w:val="00B57F96"/>
    <w:rsid w:val="00B630EC"/>
    <w:rsid w:val="00B63CBC"/>
    <w:rsid w:val="00B65D6D"/>
    <w:rsid w:val="00B67995"/>
    <w:rsid w:val="00B70B70"/>
    <w:rsid w:val="00B7190F"/>
    <w:rsid w:val="00B72A78"/>
    <w:rsid w:val="00B72F3D"/>
    <w:rsid w:val="00B73F78"/>
    <w:rsid w:val="00B7474C"/>
    <w:rsid w:val="00B74CD5"/>
    <w:rsid w:val="00B74DCC"/>
    <w:rsid w:val="00B74DEB"/>
    <w:rsid w:val="00B75BC3"/>
    <w:rsid w:val="00B75ED6"/>
    <w:rsid w:val="00B76124"/>
    <w:rsid w:val="00B773E4"/>
    <w:rsid w:val="00B77F67"/>
    <w:rsid w:val="00B806A6"/>
    <w:rsid w:val="00B8080D"/>
    <w:rsid w:val="00B80856"/>
    <w:rsid w:val="00B811C0"/>
    <w:rsid w:val="00B81864"/>
    <w:rsid w:val="00B81EAB"/>
    <w:rsid w:val="00B826EF"/>
    <w:rsid w:val="00B82783"/>
    <w:rsid w:val="00B82EED"/>
    <w:rsid w:val="00B83CE8"/>
    <w:rsid w:val="00B8523E"/>
    <w:rsid w:val="00B86040"/>
    <w:rsid w:val="00B86C48"/>
    <w:rsid w:val="00B87B76"/>
    <w:rsid w:val="00B87CF0"/>
    <w:rsid w:val="00B91A89"/>
    <w:rsid w:val="00B91C01"/>
    <w:rsid w:val="00B92480"/>
    <w:rsid w:val="00B94529"/>
    <w:rsid w:val="00B945B1"/>
    <w:rsid w:val="00B974F1"/>
    <w:rsid w:val="00B97C08"/>
    <w:rsid w:val="00B97E44"/>
    <w:rsid w:val="00BA1F6F"/>
    <w:rsid w:val="00BA4A60"/>
    <w:rsid w:val="00BA508B"/>
    <w:rsid w:val="00BA5890"/>
    <w:rsid w:val="00BA65D2"/>
    <w:rsid w:val="00BA70B6"/>
    <w:rsid w:val="00BA72F4"/>
    <w:rsid w:val="00BA73DB"/>
    <w:rsid w:val="00BB1810"/>
    <w:rsid w:val="00BB23E8"/>
    <w:rsid w:val="00BB4E9E"/>
    <w:rsid w:val="00BB69A7"/>
    <w:rsid w:val="00BB7A59"/>
    <w:rsid w:val="00BB7D16"/>
    <w:rsid w:val="00BC1A06"/>
    <w:rsid w:val="00BC1F34"/>
    <w:rsid w:val="00BC27EC"/>
    <w:rsid w:val="00BC288C"/>
    <w:rsid w:val="00BC2DF4"/>
    <w:rsid w:val="00BC3AC7"/>
    <w:rsid w:val="00BC3F9B"/>
    <w:rsid w:val="00BC771F"/>
    <w:rsid w:val="00BC7F1A"/>
    <w:rsid w:val="00BD149D"/>
    <w:rsid w:val="00BD1C59"/>
    <w:rsid w:val="00BD2885"/>
    <w:rsid w:val="00BD2BA8"/>
    <w:rsid w:val="00BD3D71"/>
    <w:rsid w:val="00BD6051"/>
    <w:rsid w:val="00BD63E2"/>
    <w:rsid w:val="00BD733D"/>
    <w:rsid w:val="00BE0216"/>
    <w:rsid w:val="00BE321F"/>
    <w:rsid w:val="00BE6C80"/>
    <w:rsid w:val="00BE6E7A"/>
    <w:rsid w:val="00BE7429"/>
    <w:rsid w:val="00BE793D"/>
    <w:rsid w:val="00BE7FDB"/>
    <w:rsid w:val="00BF0836"/>
    <w:rsid w:val="00BF2CB4"/>
    <w:rsid w:val="00BF3AA9"/>
    <w:rsid w:val="00BF3DE7"/>
    <w:rsid w:val="00BF45C7"/>
    <w:rsid w:val="00BF4CDF"/>
    <w:rsid w:val="00BF58B3"/>
    <w:rsid w:val="00BF5C61"/>
    <w:rsid w:val="00C0239F"/>
    <w:rsid w:val="00C03717"/>
    <w:rsid w:val="00C0383B"/>
    <w:rsid w:val="00C039F9"/>
    <w:rsid w:val="00C0480A"/>
    <w:rsid w:val="00C055BC"/>
    <w:rsid w:val="00C115D1"/>
    <w:rsid w:val="00C1372E"/>
    <w:rsid w:val="00C156EB"/>
    <w:rsid w:val="00C15A7A"/>
    <w:rsid w:val="00C15B4A"/>
    <w:rsid w:val="00C171D2"/>
    <w:rsid w:val="00C17CE6"/>
    <w:rsid w:val="00C21ACE"/>
    <w:rsid w:val="00C2251C"/>
    <w:rsid w:val="00C226C6"/>
    <w:rsid w:val="00C22CE7"/>
    <w:rsid w:val="00C23BB8"/>
    <w:rsid w:val="00C2484C"/>
    <w:rsid w:val="00C24C81"/>
    <w:rsid w:val="00C25E6F"/>
    <w:rsid w:val="00C26F37"/>
    <w:rsid w:val="00C27818"/>
    <w:rsid w:val="00C30A8D"/>
    <w:rsid w:val="00C32210"/>
    <w:rsid w:val="00C327D4"/>
    <w:rsid w:val="00C33743"/>
    <w:rsid w:val="00C353E4"/>
    <w:rsid w:val="00C357C5"/>
    <w:rsid w:val="00C35E61"/>
    <w:rsid w:val="00C41FE6"/>
    <w:rsid w:val="00C428F2"/>
    <w:rsid w:val="00C429B1"/>
    <w:rsid w:val="00C45190"/>
    <w:rsid w:val="00C45A86"/>
    <w:rsid w:val="00C4604D"/>
    <w:rsid w:val="00C46D96"/>
    <w:rsid w:val="00C510A9"/>
    <w:rsid w:val="00C519D5"/>
    <w:rsid w:val="00C51C98"/>
    <w:rsid w:val="00C52589"/>
    <w:rsid w:val="00C5454C"/>
    <w:rsid w:val="00C55936"/>
    <w:rsid w:val="00C562FF"/>
    <w:rsid w:val="00C56E79"/>
    <w:rsid w:val="00C60CC7"/>
    <w:rsid w:val="00C60FBD"/>
    <w:rsid w:val="00C61288"/>
    <w:rsid w:val="00C61996"/>
    <w:rsid w:val="00C629F7"/>
    <w:rsid w:val="00C647EB"/>
    <w:rsid w:val="00C70EAC"/>
    <w:rsid w:val="00C71EE8"/>
    <w:rsid w:val="00C725CE"/>
    <w:rsid w:val="00C72ABB"/>
    <w:rsid w:val="00C74030"/>
    <w:rsid w:val="00C746FE"/>
    <w:rsid w:val="00C75EBA"/>
    <w:rsid w:val="00C81331"/>
    <w:rsid w:val="00C81A82"/>
    <w:rsid w:val="00C86899"/>
    <w:rsid w:val="00C87742"/>
    <w:rsid w:val="00C8779B"/>
    <w:rsid w:val="00C87F1C"/>
    <w:rsid w:val="00C90388"/>
    <w:rsid w:val="00C908BB"/>
    <w:rsid w:val="00C94B69"/>
    <w:rsid w:val="00C963B9"/>
    <w:rsid w:val="00C9689C"/>
    <w:rsid w:val="00C976DF"/>
    <w:rsid w:val="00C978F6"/>
    <w:rsid w:val="00CA0DBD"/>
    <w:rsid w:val="00CA137C"/>
    <w:rsid w:val="00CA1BA5"/>
    <w:rsid w:val="00CA4890"/>
    <w:rsid w:val="00CA6139"/>
    <w:rsid w:val="00CA75D3"/>
    <w:rsid w:val="00CA7E3E"/>
    <w:rsid w:val="00CB1F06"/>
    <w:rsid w:val="00CB2563"/>
    <w:rsid w:val="00CB4140"/>
    <w:rsid w:val="00CB5A33"/>
    <w:rsid w:val="00CB6B03"/>
    <w:rsid w:val="00CC002C"/>
    <w:rsid w:val="00CC278C"/>
    <w:rsid w:val="00CC2EA0"/>
    <w:rsid w:val="00CC3041"/>
    <w:rsid w:val="00CC39DA"/>
    <w:rsid w:val="00CC3A14"/>
    <w:rsid w:val="00CC3C51"/>
    <w:rsid w:val="00CC4524"/>
    <w:rsid w:val="00CC5D9C"/>
    <w:rsid w:val="00CC7864"/>
    <w:rsid w:val="00CD2C8B"/>
    <w:rsid w:val="00CD313E"/>
    <w:rsid w:val="00CD3669"/>
    <w:rsid w:val="00CD3BBE"/>
    <w:rsid w:val="00CD416D"/>
    <w:rsid w:val="00CD47C0"/>
    <w:rsid w:val="00CD57D1"/>
    <w:rsid w:val="00CD5B33"/>
    <w:rsid w:val="00CD641D"/>
    <w:rsid w:val="00CD76C3"/>
    <w:rsid w:val="00CD7EF6"/>
    <w:rsid w:val="00CE477E"/>
    <w:rsid w:val="00CE4BE6"/>
    <w:rsid w:val="00CE7357"/>
    <w:rsid w:val="00CE7492"/>
    <w:rsid w:val="00CF0CB7"/>
    <w:rsid w:val="00CF14D0"/>
    <w:rsid w:val="00CF1C39"/>
    <w:rsid w:val="00CF28E4"/>
    <w:rsid w:val="00CF7257"/>
    <w:rsid w:val="00D035F7"/>
    <w:rsid w:val="00D03BE8"/>
    <w:rsid w:val="00D05782"/>
    <w:rsid w:val="00D06881"/>
    <w:rsid w:val="00D079F0"/>
    <w:rsid w:val="00D10AB0"/>
    <w:rsid w:val="00D11ED0"/>
    <w:rsid w:val="00D126F7"/>
    <w:rsid w:val="00D13238"/>
    <w:rsid w:val="00D13CD1"/>
    <w:rsid w:val="00D15597"/>
    <w:rsid w:val="00D166ED"/>
    <w:rsid w:val="00D17F6A"/>
    <w:rsid w:val="00D20B10"/>
    <w:rsid w:val="00D21822"/>
    <w:rsid w:val="00D224DB"/>
    <w:rsid w:val="00D2255A"/>
    <w:rsid w:val="00D2328F"/>
    <w:rsid w:val="00D24B29"/>
    <w:rsid w:val="00D26E2D"/>
    <w:rsid w:val="00D27881"/>
    <w:rsid w:val="00D304E5"/>
    <w:rsid w:val="00D32038"/>
    <w:rsid w:val="00D33228"/>
    <w:rsid w:val="00D36253"/>
    <w:rsid w:val="00D3751D"/>
    <w:rsid w:val="00D37738"/>
    <w:rsid w:val="00D41E39"/>
    <w:rsid w:val="00D41F09"/>
    <w:rsid w:val="00D43970"/>
    <w:rsid w:val="00D43D6E"/>
    <w:rsid w:val="00D44773"/>
    <w:rsid w:val="00D46625"/>
    <w:rsid w:val="00D468F6"/>
    <w:rsid w:val="00D501F1"/>
    <w:rsid w:val="00D51556"/>
    <w:rsid w:val="00D517F2"/>
    <w:rsid w:val="00D54D65"/>
    <w:rsid w:val="00D54ED8"/>
    <w:rsid w:val="00D55A98"/>
    <w:rsid w:val="00D608C4"/>
    <w:rsid w:val="00D60A7B"/>
    <w:rsid w:val="00D61130"/>
    <w:rsid w:val="00D61F46"/>
    <w:rsid w:val="00D631B2"/>
    <w:rsid w:val="00D63F22"/>
    <w:rsid w:val="00D63FC5"/>
    <w:rsid w:val="00D649A7"/>
    <w:rsid w:val="00D65DAA"/>
    <w:rsid w:val="00D6721E"/>
    <w:rsid w:val="00D67FA7"/>
    <w:rsid w:val="00D72B8A"/>
    <w:rsid w:val="00D7406E"/>
    <w:rsid w:val="00D76385"/>
    <w:rsid w:val="00D7754D"/>
    <w:rsid w:val="00D77DD5"/>
    <w:rsid w:val="00D8018D"/>
    <w:rsid w:val="00D8071D"/>
    <w:rsid w:val="00D80A7A"/>
    <w:rsid w:val="00D83924"/>
    <w:rsid w:val="00D84E55"/>
    <w:rsid w:val="00D850AD"/>
    <w:rsid w:val="00D87DF9"/>
    <w:rsid w:val="00D90C1F"/>
    <w:rsid w:val="00D9140D"/>
    <w:rsid w:val="00D92580"/>
    <w:rsid w:val="00D95C9B"/>
    <w:rsid w:val="00D96172"/>
    <w:rsid w:val="00D9763C"/>
    <w:rsid w:val="00D978CB"/>
    <w:rsid w:val="00D97A42"/>
    <w:rsid w:val="00DA0451"/>
    <w:rsid w:val="00DA0BDE"/>
    <w:rsid w:val="00DA33BA"/>
    <w:rsid w:val="00DA349F"/>
    <w:rsid w:val="00DA5D28"/>
    <w:rsid w:val="00DA70A2"/>
    <w:rsid w:val="00DB0270"/>
    <w:rsid w:val="00DB03D6"/>
    <w:rsid w:val="00DB2F52"/>
    <w:rsid w:val="00DB34E2"/>
    <w:rsid w:val="00DB468A"/>
    <w:rsid w:val="00DB7371"/>
    <w:rsid w:val="00DC0DBC"/>
    <w:rsid w:val="00DC0ED4"/>
    <w:rsid w:val="00DC1B0C"/>
    <w:rsid w:val="00DC3064"/>
    <w:rsid w:val="00DC4668"/>
    <w:rsid w:val="00DC4A25"/>
    <w:rsid w:val="00DC5153"/>
    <w:rsid w:val="00DC635A"/>
    <w:rsid w:val="00DC68F3"/>
    <w:rsid w:val="00DC6FBB"/>
    <w:rsid w:val="00DD0F2E"/>
    <w:rsid w:val="00DD182E"/>
    <w:rsid w:val="00DD21CF"/>
    <w:rsid w:val="00DD3EB8"/>
    <w:rsid w:val="00DD3F36"/>
    <w:rsid w:val="00DD4414"/>
    <w:rsid w:val="00DD46ED"/>
    <w:rsid w:val="00DD47EF"/>
    <w:rsid w:val="00DD4928"/>
    <w:rsid w:val="00DD5155"/>
    <w:rsid w:val="00DD58AE"/>
    <w:rsid w:val="00DE09EE"/>
    <w:rsid w:val="00DE1262"/>
    <w:rsid w:val="00DE1C07"/>
    <w:rsid w:val="00DE2737"/>
    <w:rsid w:val="00DE6C9C"/>
    <w:rsid w:val="00DF2605"/>
    <w:rsid w:val="00DF4A2E"/>
    <w:rsid w:val="00DF4F37"/>
    <w:rsid w:val="00DF5D07"/>
    <w:rsid w:val="00DF63C7"/>
    <w:rsid w:val="00E01CC5"/>
    <w:rsid w:val="00E0299C"/>
    <w:rsid w:val="00E03F10"/>
    <w:rsid w:val="00E0444A"/>
    <w:rsid w:val="00E044F5"/>
    <w:rsid w:val="00E0655B"/>
    <w:rsid w:val="00E06B9C"/>
    <w:rsid w:val="00E070E0"/>
    <w:rsid w:val="00E07686"/>
    <w:rsid w:val="00E07B04"/>
    <w:rsid w:val="00E10B56"/>
    <w:rsid w:val="00E10F27"/>
    <w:rsid w:val="00E113CA"/>
    <w:rsid w:val="00E11C01"/>
    <w:rsid w:val="00E11F1E"/>
    <w:rsid w:val="00E12BE3"/>
    <w:rsid w:val="00E13B72"/>
    <w:rsid w:val="00E16693"/>
    <w:rsid w:val="00E17515"/>
    <w:rsid w:val="00E20CF8"/>
    <w:rsid w:val="00E218EB"/>
    <w:rsid w:val="00E22997"/>
    <w:rsid w:val="00E23394"/>
    <w:rsid w:val="00E2394A"/>
    <w:rsid w:val="00E244AB"/>
    <w:rsid w:val="00E310F5"/>
    <w:rsid w:val="00E31BC2"/>
    <w:rsid w:val="00E32CC0"/>
    <w:rsid w:val="00E34EBE"/>
    <w:rsid w:val="00E35136"/>
    <w:rsid w:val="00E3516E"/>
    <w:rsid w:val="00E35D18"/>
    <w:rsid w:val="00E37360"/>
    <w:rsid w:val="00E37B8B"/>
    <w:rsid w:val="00E37E89"/>
    <w:rsid w:val="00E41C2E"/>
    <w:rsid w:val="00E44218"/>
    <w:rsid w:val="00E444A7"/>
    <w:rsid w:val="00E45EDD"/>
    <w:rsid w:val="00E46CDA"/>
    <w:rsid w:val="00E473F6"/>
    <w:rsid w:val="00E5072C"/>
    <w:rsid w:val="00E50ABF"/>
    <w:rsid w:val="00E50F5D"/>
    <w:rsid w:val="00E52917"/>
    <w:rsid w:val="00E54007"/>
    <w:rsid w:val="00E5419F"/>
    <w:rsid w:val="00E54EE2"/>
    <w:rsid w:val="00E5737D"/>
    <w:rsid w:val="00E6046B"/>
    <w:rsid w:val="00E61128"/>
    <w:rsid w:val="00E63103"/>
    <w:rsid w:val="00E6529C"/>
    <w:rsid w:val="00E65B0A"/>
    <w:rsid w:val="00E65D93"/>
    <w:rsid w:val="00E72494"/>
    <w:rsid w:val="00E74013"/>
    <w:rsid w:val="00E743DB"/>
    <w:rsid w:val="00E7500E"/>
    <w:rsid w:val="00E75D96"/>
    <w:rsid w:val="00E76CC4"/>
    <w:rsid w:val="00E813E6"/>
    <w:rsid w:val="00E82522"/>
    <w:rsid w:val="00E82F08"/>
    <w:rsid w:val="00E8363F"/>
    <w:rsid w:val="00E83A67"/>
    <w:rsid w:val="00E83DC2"/>
    <w:rsid w:val="00E84C29"/>
    <w:rsid w:val="00E87D9B"/>
    <w:rsid w:val="00E9042B"/>
    <w:rsid w:val="00E93B60"/>
    <w:rsid w:val="00E94650"/>
    <w:rsid w:val="00E94EB8"/>
    <w:rsid w:val="00EA03B5"/>
    <w:rsid w:val="00EA0CDA"/>
    <w:rsid w:val="00EA12C1"/>
    <w:rsid w:val="00EA277D"/>
    <w:rsid w:val="00EA27C4"/>
    <w:rsid w:val="00EA28DD"/>
    <w:rsid w:val="00EA2C9B"/>
    <w:rsid w:val="00EA35E4"/>
    <w:rsid w:val="00EA3A2E"/>
    <w:rsid w:val="00EA3E64"/>
    <w:rsid w:val="00EA5CCE"/>
    <w:rsid w:val="00EA66E3"/>
    <w:rsid w:val="00EA6895"/>
    <w:rsid w:val="00EA7436"/>
    <w:rsid w:val="00EB1660"/>
    <w:rsid w:val="00EB2783"/>
    <w:rsid w:val="00EB4568"/>
    <w:rsid w:val="00EB55C2"/>
    <w:rsid w:val="00EB715D"/>
    <w:rsid w:val="00EC0F2C"/>
    <w:rsid w:val="00EC1CF0"/>
    <w:rsid w:val="00EC2134"/>
    <w:rsid w:val="00EC33E8"/>
    <w:rsid w:val="00EC55BE"/>
    <w:rsid w:val="00EC5D44"/>
    <w:rsid w:val="00EC72FA"/>
    <w:rsid w:val="00ED0526"/>
    <w:rsid w:val="00ED127E"/>
    <w:rsid w:val="00ED1916"/>
    <w:rsid w:val="00ED25AB"/>
    <w:rsid w:val="00ED2CEA"/>
    <w:rsid w:val="00ED2F52"/>
    <w:rsid w:val="00ED36A3"/>
    <w:rsid w:val="00ED5196"/>
    <w:rsid w:val="00ED57E0"/>
    <w:rsid w:val="00ED665D"/>
    <w:rsid w:val="00ED6F95"/>
    <w:rsid w:val="00ED75DE"/>
    <w:rsid w:val="00ED7EDB"/>
    <w:rsid w:val="00EE2EE9"/>
    <w:rsid w:val="00EE3930"/>
    <w:rsid w:val="00EF05E1"/>
    <w:rsid w:val="00EF41FE"/>
    <w:rsid w:val="00EF4563"/>
    <w:rsid w:val="00EF4F02"/>
    <w:rsid w:val="00EF54E1"/>
    <w:rsid w:val="00EF741D"/>
    <w:rsid w:val="00EF76B9"/>
    <w:rsid w:val="00F0162C"/>
    <w:rsid w:val="00F0326B"/>
    <w:rsid w:val="00F034F3"/>
    <w:rsid w:val="00F03AA8"/>
    <w:rsid w:val="00F0401C"/>
    <w:rsid w:val="00F0451B"/>
    <w:rsid w:val="00F074DF"/>
    <w:rsid w:val="00F108BF"/>
    <w:rsid w:val="00F114AB"/>
    <w:rsid w:val="00F12753"/>
    <w:rsid w:val="00F20B77"/>
    <w:rsid w:val="00F23143"/>
    <w:rsid w:val="00F24E8F"/>
    <w:rsid w:val="00F27E18"/>
    <w:rsid w:val="00F302FC"/>
    <w:rsid w:val="00F32546"/>
    <w:rsid w:val="00F33916"/>
    <w:rsid w:val="00F33B06"/>
    <w:rsid w:val="00F40E4C"/>
    <w:rsid w:val="00F410DE"/>
    <w:rsid w:val="00F42980"/>
    <w:rsid w:val="00F42AB1"/>
    <w:rsid w:val="00F42F84"/>
    <w:rsid w:val="00F43435"/>
    <w:rsid w:val="00F46143"/>
    <w:rsid w:val="00F47E87"/>
    <w:rsid w:val="00F500FC"/>
    <w:rsid w:val="00F50358"/>
    <w:rsid w:val="00F513ED"/>
    <w:rsid w:val="00F53935"/>
    <w:rsid w:val="00F53D72"/>
    <w:rsid w:val="00F56694"/>
    <w:rsid w:val="00F56E42"/>
    <w:rsid w:val="00F574F7"/>
    <w:rsid w:val="00F57509"/>
    <w:rsid w:val="00F62150"/>
    <w:rsid w:val="00F62419"/>
    <w:rsid w:val="00F63104"/>
    <w:rsid w:val="00F6341B"/>
    <w:rsid w:val="00F63C4B"/>
    <w:rsid w:val="00F63FDF"/>
    <w:rsid w:val="00F664EB"/>
    <w:rsid w:val="00F67398"/>
    <w:rsid w:val="00F725B1"/>
    <w:rsid w:val="00F73024"/>
    <w:rsid w:val="00F732E6"/>
    <w:rsid w:val="00F75E39"/>
    <w:rsid w:val="00F768D4"/>
    <w:rsid w:val="00F77970"/>
    <w:rsid w:val="00F80D97"/>
    <w:rsid w:val="00F839C7"/>
    <w:rsid w:val="00F84221"/>
    <w:rsid w:val="00F8425D"/>
    <w:rsid w:val="00F86F56"/>
    <w:rsid w:val="00F8736C"/>
    <w:rsid w:val="00F876E4"/>
    <w:rsid w:val="00F907B2"/>
    <w:rsid w:val="00F90CCD"/>
    <w:rsid w:val="00F9534B"/>
    <w:rsid w:val="00F95985"/>
    <w:rsid w:val="00F966BA"/>
    <w:rsid w:val="00FA0886"/>
    <w:rsid w:val="00FA11D2"/>
    <w:rsid w:val="00FA21CB"/>
    <w:rsid w:val="00FA507F"/>
    <w:rsid w:val="00FA6367"/>
    <w:rsid w:val="00FA641C"/>
    <w:rsid w:val="00FA65CA"/>
    <w:rsid w:val="00FA6FFB"/>
    <w:rsid w:val="00FA77AD"/>
    <w:rsid w:val="00FA7FC7"/>
    <w:rsid w:val="00FB0487"/>
    <w:rsid w:val="00FB0989"/>
    <w:rsid w:val="00FB1253"/>
    <w:rsid w:val="00FB1EB6"/>
    <w:rsid w:val="00FB38F6"/>
    <w:rsid w:val="00FB3A66"/>
    <w:rsid w:val="00FB5357"/>
    <w:rsid w:val="00FB5590"/>
    <w:rsid w:val="00FB57EA"/>
    <w:rsid w:val="00FB7BB6"/>
    <w:rsid w:val="00FC36FA"/>
    <w:rsid w:val="00FC3B39"/>
    <w:rsid w:val="00FC3C1F"/>
    <w:rsid w:val="00FC43E6"/>
    <w:rsid w:val="00FC45B5"/>
    <w:rsid w:val="00FC55AA"/>
    <w:rsid w:val="00FC6A97"/>
    <w:rsid w:val="00FC6B26"/>
    <w:rsid w:val="00FC78CE"/>
    <w:rsid w:val="00FD0744"/>
    <w:rsid w:val="00FD2A72"/>
    <w:rsid w:val="00FD5635"/>
    <w:rsid w:val="00FD5710"/>
    <w:rsid w:val="00FD6341"/>
    <w:rsid w:val="00FE017A"/>
    <w:rsid w:val="00FE21B4"/>
    <w:rsid w:val="00FE2D07"/>
    <w:rsid w:val="00FF02DA"/>
    <w:rsid w:val="00FF12EC"/>
    <w:rsid w:val="00FF2AAE"/>
    <w:rsid w:val="00FF41AD"/>
    <w:rsid w:val="00FF554F"/>
    <w:rsid w:val="00FF649C"/>
    <w:rsid w:val="04359400"/>
    <w:rsid w:val="04DE6E74"/>
    <w:rsid w:val="058C2E43"/>
    <w:rsid w:val="06541792"/>
    <w:rsid w:val="07B7FB59"/>
    <w:rsid w:val="0895AA45"/>
    <w:rsid w:val="08C57544"/>
    <w:rsid w:val="0AF69A6D"/>
    <w:rsid w:val="0DD458C9"/>
    <w:rsid w:val="0FBFE2BC"/>
    <w:rsid w:val="0FE4BCBE"/>
    <w:rsid w:val="12ED05EB"/>
    <w:rsid w:val="19578919"/>
    <w:rsid w:val="1A873655"/>
    <w:rsid w:val="1DB40C18"/>
    <w:rsid w:val="21453334"/>
    <w:rsid w:val="268BACEA"/>
    <w:rsid w:val="26EA5AFB"/>
    <w:rsid w:val="29156CC6"/>
    <w:rsid w:val="29871E85"/>
    <w:rsid w:val="2C4B0B88"/>
    <w:rsid w:val="2DC21654"/>
    <w:rsid w:val="2E6F3988"/>
    <w:rsid w:val="2FA2BBF9"/>
    <w:rsid w:val="30504B00"/>
    <w:rsid w:val="31180266"/>
    <w:rsid w:val="32B39D78"/>
    <w:rsid w:val="3516EBCE"/>
    <w:rsid w:val="395D1934"/>
    <w:rsid w:val="3B57D609"/>
    <w:rsid w:val="3BA35E17"/>
    <w:rsid w:val="3C605A30"/>
    <w:rsid w:val="3CF1A874"/>
    <w:rsid w:val="3DFAD0DD"/>
    <w:rsid w:val="3FBF9DDC"/>
    <w:rsid w:val="414EC5B1"/>
    <w:rsid w:val="43D5EBEE"/>
    <w:rsid w:val="43FF5FB7"/>
    <w:rsid w:val="45DCF38B"/>
    <w:rsid w:val="46E34106"/>
    <w:rsid w:val="485E9E24"/>
    <w:rsid w:val="48BFEDC9"/>
    <w:rsid w:val="49A66D93"/>
    <w:rsid w:val="49EA1EB4"/>
    <w:rsid w:val="4A4408C7"/>
    <w:rsid w:val="4C4AD4CF"/>
    <w:rsid w:val="4D0A55B6"/>
    <w:rsid w:val="50CC9E10"/>
    <w:rsid w:val="50F6B78A"/>
    <w:rsid w:val="5587ECA0"/>
    <w:rsid w:val="579CA1D5"/>
    <w:rsid w:val="5A8C0B12"/>
    <w:rsid w:val="5C93F76E"/>
    <w:rsid w:val="5C98B210"/>
    <w:rsid w:val="5D63E772"/>
    <w:rsid w:val="5DF4E0C1"/>
    <w:rsid w:val="5E0E2F16"/>
    <w:rsid w:val="5E39CDD9"/>
    <w:rsid w:val="6077CCF2"/>
    <w:rsid w:val="608B8269"/>
    <w:rsid w:val="62C16F1F"/>
    <w:rsid w:val="63BFD9F8"/>
    <w:rsid w:val="6450B842"/>
    <w:rsid w:val="64D8156F"/>
    <w:rsid w:val="65C0F4DE"/>
    <w:rsid w:val="6964FEC2"/>
    <w:rsid w:val="6B5FE550"/>
    <w:rsid w:val="6BEDF519"/>
    <w:rsid w:val="6D2D42C7"/>
    <w:rsid w:val="6D596A05"/>
    <w:rsid w:val="70A1B4BE"/>
    <w:rsid w:val="732CC164"/>
    <w:rsid w:val="74B8B7B4"/>
    <w:rsid w:val="74D74361"/>
    <w:rsid w:val="7554E0A5"/>
    <w:rsid w:val="7C3AA604"/>
    <w:rsid w:val="7E65A41D"/>
    <w:rsid w:val="7E906F97"/>
    <w:rsid w:val="7EAB037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126B19D"/>
  <w15:docId w15:val="{000406D5-0D66-452D-B1BB-B18EF424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5C4F"/>
    <w:rPr>
      <w:sz w:val="24"/>
    </w:rPr>
  </w:style>
  <w:style w:type="paragraph" w:styleId="Heading1">
    <w:name w:val="heading 1"/>
    <w:basedOn w:val="Normal"/>
    <w:next w:val="Normal"/>
    <w:link w:val="Heading1Char"/>
    <w:qFormat/>
    <w:rsid w:val="009A641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4654F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38A2"/>
    <w:pPr>
      <w:tabs>
        <w:tab w:val="center" w:pos="4320"/>
        <w:tab w:val="right" w:pos="8640"/>
      </w:tabs>
    </w:pPr>
  </w:style>
  <w:style w:type="paragraph" w:customStyle="1" w:styleId="Level1">
    <w:name w:val="Level 1"/>
    <w:basedOn w:val="Normal"/>
    <w:rsid w:val="00FD5635"/>
    <w:pPr>
      <w:widowControl w:val="0"/>
    </w:pPr>
  </w:style>
  <w:style w:type="paragraph" w:customStyle="1" w:styleId="Level2">
    <w:name w:val="Level 2"/>
    <w:basedOn w:val="Normal"/>
    <w:rsid w:val="00FD5635"/>
    <w:pPr>
      <w:widowControl w:val="0"/>
    </w:pPr>
  </w:style>
  <w:style w:type="paragraph" w:customStyle="1" w:styleId="Level3">
    <w:name w:val="Level 3"/>
    <w:basedOn w:val="Normal"/>
    <w:rsid w:val="00FD5635"/>
    <w:pPr>
      <w:widowControl w:val="0"/>
    </w:pPr>
  </w:style>
  <w:style w:type="paragraph" w:customStyle="1" w:styleId="Level4">
    <w:name w:val="Level 4"/>
    <w:basedOn w:val="Normal"/>
    <w:rsid w:val="00FD5635"/>
    <w:pPr>
      <w:widowControl w:val="0"/>
    </w:pPr>
  </w:style>
  <w:style w:type="paragraph" w:customStyle="1" w:styleId="Level5">
    <w:name w:val="Level 5"/>
    <w:basedOn w:val="Normal"/>
    <w:rsid w:val="00FD5635"/>
    <w:pPr>
      <w:widowControl w:val="0"/>
    </w:pPr>
  </w:style>
  <w:style w:type="paragraph" w:customStyle="1" w:styleId="Level6">
    <w:name w:val="Level 6"/>
    <w:basedOn w:val="Normal"/>
    <w:rsid w:val="00FD5635"/>
    <w:pPr>
      <w:widowControl w:val="0"/>
    </w:pPr>
  </w:style>
  <w:style w:type="paragraph" w:customStyle="1" w:styleId="Level7">
    <w:name w:val="Level 7"/>
    <w:basedOn w:val="Normal"/>
    <w:rsid w:val="00FD5635"/>
    <w:pPr>
      <w:widowControl w:val="0"/>
    </w:pPr>
  </w:style>
  <w:style w:type="paragraph" w:customStyle="1" w:styleId="Level8">
    <w:name w:val="Level 8"/>
    <w:basedOn w:val="Normal"/>
    <w:rsid w:val="00FD5635"/>
    <w:pPr>
      <w:widowControl w:val="0"/>
    </w:pPr>
  </w:style>
  <w:style w:type="paragraph" w:customStyle="1" w:styleId="Level9">
    <w:name w:val="Level 9"/>
    <w:basedOn w:val="Normal"/>
    <w:rsid w:val="00FD5635"/>
    <w:pPr>
      <w:widowControl w:val="0"/>
    </w:pPr>
  </w:style>
  <w:style w:type="character" w:customStyle="1" w:styleId="Normal1">
    <w:name w:val="Normal1"/>
    <w:basedOn w:val="DefaultParagraphFont"/>
    <w:rsid w:val="00FD5635"/>
    <w:rPr>
      <w:rFonts w:ascii="Courier" w:hAnsi="Courier"/>
      <w:sz w:val="22"/>
    </w:rPr>
  </w:style>
  <w:style w:type="paragraph" w:customStyle="1" w:styleId="a">
    <w:name w:val="آ"/>
    <w:basedOn w:val="Normal"/>
    <w:rsid w:val="00FD5635"/>
    <w:pPr>
      <w:widowControl w:val="0"/>
    </w:pPr>
  </w:style>
  <w:style w:type="paragraph" w:customStyle="1" w:styleId="level10">
    <w:name w:val="_level1"/>
    <w:basedOn w:val="Normal"/>
    <w:rsid w:val="00FD56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el20">
    <w:name w:val="_level2"/>
    <w:basedOn w:val="Normal"/>
    <w:rsid w:val="00FD56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el30">
    <w:name w:val="_level3"/>
    <w:basedOn w:val="Normal"/>
    <w:rsid w:val="00FD563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el40">
    <w:name w:val="_level4"/>
    <w:basedOn w:val="Normal"/>
    <w:rsid w:val="00FD5635"/>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el50">
    <w:name w:val="_level5"/>
    <w:basedOn w:val="Normal"/>
    <w:rsid w:val="00FD5635"/>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el60">
    <w:name w:val="_level6"/>
    <w:basedOn w:val="Normal"/>
    <w:rsid w:val="00FD5635"/>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el70">
    <w:name w:val="_level7"/>
    <w:basedOn w:val="Normal"/>
    <w:rsid w:val="00FD5635"/>
    <w:pPr>
      <w:widowControl w:val="0"/>
      <w:tabs>
        <w:tab w:val="left" w:pos="5040"/>
        <w:tab w:val="left" w:pos="5760"/>
        <w:tab w:val="left" w:pos="6480"/>
        <w:tab w:val="left" w:pos="7200"/>
        <w:tab w:val="left" w:pos="7920"/>
        <w:tab w:val="left" w:pos="8640"/>
      </w:tabs>
      <w:ind w:left="5040" w:hanging="720"/>
    </w:pPr>
  </w:style>
  <w:style w:type="paragraph" w:customStyle="1" w:styleId="level80">
    <w:name w:val="_level8"/>
    <w:basedOn w:val="Normal"/>
    <w:rsid w:val="00FD5635"/>
    <w:pPr>
      <w:widowControl w:val="0"/>
      <w:tabs>
        <w:tab w:val="left" w:pos="5760"/>
        <w:tab w:val="left" w:pos="6480"/>
        <w:tab w:val="left" w:pos="7200"/>
        <w:tab w:val="left" w:pos="7920"/>
        <w:tab w:val="left" w:pos="8640"/>
      </w:tabs>
      <w:ind w:left="5760" w:hanging="720"/>
    </w:pPr>
  </w:style>
  <w:style w:type="paragraph" w:customStyle="1" w:styleId="level90">
    <w:name w:val="_level9"/>
    <w:basedOn w:val="Normal"/>
    <w:rsid w:val="00FD5635"/>
    <w:pPr>
      <w:widowControl w:val="0"/>
      <w:tabs>
        <w:tab w:val="left" w:pos="6480"/>
        <w:tab w:val="left" w:pos="7200"/>
        <w:tab w:val="left" w:pos="7920"/>
        <w:tab w:val="left" w:pos="8640"/>
      </w:tabs>
      <w:ind w:left="6480" w:hanging="720"/>
    </w:pPr>
  </w:style>
  <w:style w:type="paragraph" w:customStyle="1" w:styleId="levsl1">
    <w:name w:val="_levsl1"/>
    <w:basedOn w:val="Normal"/>
    <w:rsid w:val="00FD56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sl2">
    <w:name w:val="_levsl2"/>
    <w:basedOn w:val="Normal"/>
    <w:rsid w:val="00FD56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sl3">
    <w:name w:val="_levsl3"/>
    <w:basedOn w:val="Normal"/>
    <w:rsid w:val="00FD563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sl4">
    <w:name w:val="_levsl4"/>
    <w:basedOn w:val="Normal"/>
    <w:rsid w:val="00FD5635"/>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sl5">
    <w:name w:val="_levsl5"/>
    <w:basedOn w:val="Normal"/>
    <w:rsid w:val="00FD5635"/>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sl6">
    <w:name w:val="_levsl6"/>
    <w:basedOn w:val="Normal"/>
    <w:rsid w:val="00FD5635"/>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sl7">
    <w:name w:val="_levsl7"/>
    <w:basedOn w:val="Normal"/>
    <w:rsid w:val="00FD5635"/>
    <w:pPr>
      <w:widowControl w:val="0"/>
      <w:tabs>
        <w:tab w:val="left" w:pos="5040"/>
        <w:tab w:val="left" w:pos="5760"/>
        <w:tab w:val="left" w:pos="6480"/>
        <w:tab w:val="left" w:pos="7200"/>
        <w:tab w:val="left" w:pos="7920"/>
        <w:tab w:val="left" w:pos="8640"/>
      </w:tabs>
      <w:ind w:left="5040" w:hanging="720"/>
    </w:pPr>
  </w:style>
  <w:style w:type="paragraph" w:customStyle="1" w:styleId="levsl8">
    <w:name w:val="_levsl8"/>
    <w:basedOn w:val="Normal"/>
    <w:rsid w:val="00FD5635"/>
    <w:pPr>
      <w:widowControl w:val="0"/>
      <w:tabs>
        <w:tab w:val="left" w:pos="5760"/>
        <w:tab w:val="left" w:pos="6480"/>
        <w:tab w:val="left" w:pos="7200"/>
        <w:tab w:val="left" w:pos="7920"/>
        <w:tab w:val="left" w:pos="8640"/>
      </w:tabs>
      <w:ind w:left="5760" w:hanging="720"/>
    </w:pPr>
  </w:style>
  <w:style w:type="paragraph" w:customStyle="1" w:styleId="levsl9">
    <w:name w:val="_levsl9"/>
    <w:basedOn w:val="Normal"/>
    <w:rsid w:val="00FD5635"/>
    <w:pPr>
      <w:widowControl w:val="0"/>
      <w:tabs>
        <w:tab w:val="left" w:pos="6480"/>
        <w:tab w:val="left" w:pos="7200"/>
        <w:tab w:val="left" w:pos="7920"/>
        <w:tab w:val="left" w:pos="8640"/>
      </w:tabs>
      <w:ind w:left="6480" w:hanging="720"/>
    </w:pPr>
  </w:style>
  <w:style w:type="paragraph" w:customStyle="1" w:styleId="levnl1">
    <w:name w:val="_levnl1"/>
    <w:basedOn w:val="Normal"/>
    <w:rsid w:val="00FD56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nl2">
    <w:name w:val="_levnl2"/>
    <w:basedOn w:val="Normal"/>
    <w:rsid w:val="00FD56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nl3">
    <w:name w:val="_levnl3"/>
    <w:basedOn w:val="Normal"/>
    <w:rsid w:val="00FD563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nl4">
    <w:name w:val="_levnl4"/>
    <w:basedOn w:val="Normal"/>
    <w:rsid w:val="00FD5635"/>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nl5">
    <w:name w:val="_levnl5"/>
    <w:basedOn w:val="Normal"/>
    <w:rsid w:val="00FD5635"/>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nl6">
    <w:name w:val="_levnl6"/>
    <w:basedOn w:val="Normal"/>
    <w:rsid w:val="00FD5635"/>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nl7">
    <w:name w:val="_levnl7"/>
    <w:basedOn w:val="Normal"/>
    <w:rsid w:val="00FD5635"/>
    <w:pPr>
      <w:widowControl w:val="0"/>
      <w:tabs>
        <w:tab w:val="left" w:pos="5040"/>
        <w:tab w:val="left" w:pos="5760"/>
        <w:tab w:val="left" w:pos="6480"/>
        <w:tab w:val="left" w:pos="7200"/>
        <w:tab w:val="left" w:pos="7920"/>
        <w:tab w:val="left" w:pos="8640"/>
      </w:tabs>
      <w:ind w:left="5040" w:hanging="720"/>
    </w:pPr>
  </w:style>
  <w:style w:type="paragraph" w:customStyle="1" w:styleId="levnl8">
    <w:name w:val="_levnl8"/>
    <w:basedOn w:val="Normal"/>
    <w:rsid w:val="00FD5635"/>
    <w:pPr>
      <w:widowControl w:val="0"/>
      <w:tabs>
        <w:tab w:val="left" w:pos="5760"/>
        <w:tab w:val="left" w:pos="6480"/>
        <w:tab w:val="left" w:pos="7200"/>
        <w:tab w:val="left" w:pos="7920"/>
        <w:tab w:val="left" w:pos="8640"/>
      </w:tabs>
      <w:ind w:left="5760" w:hanging="720"/>
    </w:pPr>
  </w:style>
  <w:style w:type="paragraph" w:customStyle="1" w:styleId="levnl9">
    <w:name w:val="_levnl9"/>
    <w:basedOn w:val="Normal"/>
    <w:rsid w:val="00FD5635"/>
    <w:pPr>
      <w:widowControl w:val="0"/>
      <w:tabs>
        <w:tab w:val="left" w:pos="6480"/>
        <w:tab w:val="left" w:pos="7200"/>
        <w:tab w:val="left" w:pos="7920"/>
        <w:tab w:val="left" w:pos="8640"/>
      </w:tabs>
      <w:ind w:left="6480" w:hanging="720"/>
    </w:pPr>
  </w:style>
  <w:style w:type="character" w:customStyle="1" w:styleId="SYSHYPERTEXT">
    <w:name w:val="SYS_HYPERTEXT"/>
    <w:basedOn w:val="DefaultParagraphFont"/>
    <w:rsid w:val="00FD5635"/>
    <w:rPr>
      <w:color w:val="0000FF"/>
      <w:u w:val="single"/>
    </w:rPr>
  </w:style>
  <w:style w:type="paragraph" w:styleId="Footer">
    <w:name w:val="footer"/>
    <w:basedOn w:val="Normal"/>
    <w:link w:val="FooterChar"/>
    <w:uiPriority w:val="99"/>
    <w:rsid w:val="009D38A2"/>
    <w:pPr>
      <w:tabs>
        <w:tab w:val="center" w:pos="4320"/>
        <w:tab w:val="right" w:pos="8640"/>
      </w:tabs>
    </w:pPr>
  </w:style>
  <w:style w:type="paragraph" w:styleId="FootnoteText">
    <w:name w:val="footnote text"/>
    <w:aliases w:val=" Char,ALTS FOOTNOTE,C,Char,Char2,Char3,Char4,Footnote Text - Preamble,Footnote Text - Preamble1,Footnote Text Char Char,Footnote Text Char Char Char Char,Footnote Text Char Char1,Footnote Text Char1 Char Char,Preamble Footnote Text,f,fn,ft"/>
    <w:basedOn w:val="Normal"/>
    <w:link w:val="FootnoteTextChar"/>
    <w:uiPriority w:val="99"/>
    <w:qFormat/>
    <w:rsid w:val="0071060D"/>
    <w:rPr>
      <w:sz w:val="20"/>
    </w:rPr>
  </w:style>
  <w:style w:type="character" w:styleId="FootnoteReference">
    <w:name w:val="footnote reference"/>
    <w:aliases w:val="(NECG) Footnote Reference,16 Point,FR,IEE Footnote,Styl,Style 12,Style 13,Style 15,Style 17,Style 18,Style 19,Style 20,Style 28,Style 7,Style 8,Style 9,Superscript 6 Point,fr,fr1,fr2,fr3,o,o1,o2,o3"/>
    <w:basedOn w:val="DefaultParagraphFont"/>
    <w:uiPriority w:val="99"/>
    <w:qFormat/>
    <w:rsid w:val="0071060D"/>
    <w:rPr>
      <w:vertAlign w:val="superscript"/>
    </w:rPr>
  </w:style>
  <w:style w:type="character" w:styleId="PageNumber">
    <w:name w:val="page number"/>
    <w:basedOn w:val="DefaultParagraphFont"/>
    <w:rsid w:val="00341D60"/>
  </w:style>
  <w:style w:type="paragraph" w:styleId="BalloonText">
    <w:name w:val="Balloon Text"/>
    <w:basedOn w:val="Normal"/>
    <w:semiHidden/>
    <w:rsid w:val="0030484A"/>
    <w:rPr>
      <w:rFonts w:ascii="Tahoma" w:hAnsi="Tahoma" w:cs="Tahoma"/>
      <w:sz w:val="16"/>
      <w:szCs w:val="16"/>
    </w:rPr>
  </w:style>
  <w:style w:type="paragraph" w:styleId="DocumentMap">
    <w:name w:val="Document Map"/>
    <w:basedOn w:val="Normal"/>
    <w:semiHidden/>
    <w:rsid w:val="00F84221"/>
    <w:pPr>
      <w:shd w:val="clear" w:color="auto" w:fill="000080"/>
    </w:pPr>
    <w:rPr>
      <w:rFonts w:ascii="Tahoma" w:hAnsi="Tahoma" w:cs="Tahoma"/>
      <w:sz w:val="20"/>
    </w:rPr>
  </w:style>
  <w:style w:type="character" w:styleId="Hyperlink">
    <w:name w:val="Hyperlink"/>
    <w:basedOn w:val="DefaultParagraphFont"/>
    <w:rsid w:val="00244FA1"/>
    <w:rPr>
      <w:color w:val="0000FF"/>
      <w:u w:val="single"/>
    </w:rPr>
  </w:style>
  <w:style w:type="table" w:styleId="TableGrid">
    <w:name w:val="Table Grid"/>
    <w:basedOn w:val="TableNormal"/>
    <w:rsid w:val="00BD2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A6412"/>
    <w:rPr>
      <w:rFonts w:ascii="Arial" w:hAnsi="Arial" w:cs="Arial"/>
      <w:b/>
      <w:bCs/>
      <w:kern w:val="32"/>
      <w:sz w:val="32"/>
      <w:szCs w:val="32"/>
      <w:lang w:val="en-US" w:eastAsia="en-US" w:bidi="ar-SA"/>
    </w:rPr>
  </w:style>
  <w:style w:type="paragraph" w:styleId="TOC1">
    <w:name w:val="toc 1"/>
    <w:basedOn w:val="Normal"/>
    <w:next w:val="Normal"/>
    <w:autoRedefine/>
    <w:semiHidden/>
    <w:rsid w:val="009A6412"/>
    <w:rPr>
      <w:rFonts w:ascii="Arial" w:hAnsi="Arial"/>
      <w:b/>
    </w:rPr>
  </w:style>
  <w:style w:type="character" w:styleId="FollowedHyperlink">
    <w:name w:val="FollowedHyperlink"/>
    <w:basedOn w:val="DefaultParagraphFont"/>
    <w:rsid w:val="003A73F6"/>
    <w:rPr>
      <w:color w:val="800080"/>
      <w:u w:val="single"/>
    </w:rPr>
  </w:style>
  <w:style w:type="paragraph" w:styleId="TOC2">
    <w:name w:val="toc 2"/>
    <w:basedOn w:val="Normal"/>
    <w:next w:val="Normal"/>
    <w:autoRedefine/>
    <w:semiHidden/>
    <w:rsid w:val="009A6412"/>
    <w:pPr>
      <w:ind w:left="240"/>
    </w:pPr>
    <w:rPr>
      <w:rFonts w:ascii="Arial" w:hAnsi="Arial"/>
      <w:b/>
    </w:rPr>
  </w:style>
  <w:style w:type="paragraph" w:styleId="TOC3">
    <w:name w:val="toc 3"/>
    <w:basedOn w:val="Normal"/>
    <w:next w:val="Normal"/>
    <w:autoRedefine/>
    <w:semiHidden/>
    <w:rsid w:val="009A6412"/>
    <w:pPr>
      <w:ind w:left="480"/>
    </w:pPr>
    <w:rPr>
      <w:rFonts w:ascii="Arial" w:hAnsi="Arial"/>
      <w:b/>
    </w:rPr>
  </w:style>
  <w:style w:type="paragraph" w:styleId="Index1">
    <w:name w:val="index 1"/>
    <w:basedOn w:val="Normal"/>
    <w:next w:val="Normal"/>
    <w:autoRedefine/>
    <w:semiHidden/>
    <w:rsid w:val="004644F8"/>
    <w:pPr>
      <w:ind w:left="240" w:hanging="240"/>
    </w:pPr>
    <w:rPr>
      <w:rFonts w:ascii="Arial" w:hAnsi="Arial"/>
      <w:b/>
    </w:rPr>
  </w:style>
  <w:style w:type="paragraph" w:styleId="Index2">
    <w:name w:val="index 2"/>
    <w:basedOn w:val="Normal"/>
    <w:next w:val="Normal"/>
    <w:autoRedefine/>
    <w:semiHidden/>
    <w:rsid w:val="004644F8"/>
    <w:pPr>
      <w:ind w:left="480" w:hanging="240"/>
    </w:pPr>
    <w:rPr>
      <w:rFonts w:ascii="Arial" w:hAnsi="Arial"/>
      <w:b/>
    </w:rPr>
  </w:style>
  <w:style w:type="paragraph" w:styleId="Index3">
    <w:name w:val="index 3"/>
    <w:basedOn w:val="Normal"/>
    <w:next w:val="Normal"/>
    <w:autoRedefine/>
    <w:semiHidden/>
    <w:rsid w:val="004644F8"/>
    <w:pPr>
      <w:ind w:left="720" w:hanging="240"/>
    </w:pPr>
    <w:rPr>
      <w:rFonts w:ascii="Arial" w:hAnsi="Arial"/>
      <w:b/>
    </w:rPr>
  </w:style>
  <w:style w:type="character" w:styleId="CommentReference">
    <w:name w:val="annotation reference"/>
    <w:basedOn w:val="DefaultParagraphFont"/>
    <w:rsid w:val="00313695"/>
    <w:rPr>
      <w:sz w:val="16"/>
      <w:szCs w:val="16"/>
    </w:rPr>
  </w:style>
  <w:style w:type="paragraph" w:styleId="CommentText">
    <w:name w:val="annotation text"/>
    <w:basedOn w:val="Normal"/>
    <w:link w:val="CommentTextChar"/>
    <w:rsid w:val="00313695"/>
    <w:rPr>
      <w:sz w:val="20"/>
    </w:rPr>
  </w:style>
  <w:style w:type="character" w:customStyle="1" w:styleId="CommentTextChar">
    <w:name w:val="Comment Text Char"/>
    <w:basedOn w:val="DefaultParagraphFont"/>
    <w:link w:val="CommentText"/>
    <w:rsid w:val="00313695"/>
  </w:style>
  <w:style w:type="paragraph" w:styleId="CommentSubject">
    <w:name w:val="annotation subject"/>
    <w:basedOn w:val="CommentText"/>
    <w:next w:val="CommentText"/>
    <w:link w:val="CommentSubjectChar"/>
    <w:rsid w:val="00313695"/>
    <w:rPr>
      <w:b/>
      <w:bCs/>
    </w:rPr>
  </w:style>
  <w:style w:type="character" w:customStyle="1" w:styleId="CommentSubjectChar">
    <w:name w:val="Comment Subject Char"/>
    <w:basedOn w:val="CommentTextChar"/>
    <w:link w:val="CommentSubject"/>
    <w:rsid w:val="00313695"/>
    <w:rPr>
      <w:b/>
      <w:bCs/>
    </w:rPr>
  </w:style>
  <w:style w:type="character" w:customStyle="1" w:styleId="FooterChar">
    <w:name w:val="Footer Char"/>
    <w:basedOn w:val="DefaultParagraphFont"/>
    <w:link w:val="Footer"/>
    <w:uiPriority w:val="99"/>
    <w:rsid w:val="00440C98"/>
    <w:rPr>
      <w:sz w:val="24"/>
    </w:rPr>
  </w:style>
  <w:style w:type="character" w:customStyle="1" w:styleId="FootnoteTextChar">
    <w:name w:val="Footnote Text Char"/>
    <w:aliases w:val="ALTS FOOTNOTE Char,Char Char,Char2 Char,Char3 Char,Char4 Char,Footnote Text Char Char Char,Footnote Text Char Char Char Char Char,Footnote Text Char Char1 Char,Footnote Text Char1 Char Char Char,Preamble Footnote Text Char,fn Char"/>
    <w:basedOn w:val="DefaultParagraphFont"/>
    <w:link w:val="FootnoteText"/>
    <w:uiPriority w:val="99"/>
    <w:locked/>
    <w:rsid w:val="00640907"/>
  </w:style>
  <w:style w:type="paragraph" w:styleId="Revision">
    <w:name w:val="Revision"/>
    <w:hidden/>
    <w:uiPriority w:val="99"/>
    <w:semiHidden/>
    <w:rsid w:val="00913C20"/>
    <w:rPr>
      <w:sz w:val="24"/>
    </w:rPr>
  </w:style>
  <w:style w:type="paragraph" w:styleId="ListParagraph">
    <w:name w:val="List Paragraph"/>
    <w:basedOn w:val="Normal"/>
    <w:uiPriority w:val="34"/>
    <w:qFormat/>
    <w:rsid w:val="00F56E42"/>
    <w:pPr>
      <w:ind w:left="720"/>
      <w:contextualSpacing/>
    </w:pPr>
  </w:style>
  <w:style w:type="character" w:styleId="UnresolvedMention">
    <w:name w:val="Unresolved Mention"/>
    <w:basedOn w:val="DefaultParagraphFont"/>
    <w:uiPriority w:val="99"/>
    <w:unhideWhenUsed/>
    <w:rsid w:val="00E11F1E"/>
    <w:rPr>
      <w:color w:val="605E5C"/>
      <w:shd w:val="clear" w:color="auto" w:fill="E1DFDD"/>
    </w:rPr>
  </w:style>
  <w:style w:type="paragraph" w:customStyle="1" w:styleId="Default">
    <w:name w:val="Default"/>
    <w:rsid w:val="004C13CE"/>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semiHidden/>
    <w:rsid w:val="004654F1"/>
    <w:rPr>
      <w:rFonts w:asciiTheme="majorHAnsi" w:eastAsiaTheme="majorEastAsia" w:hAnsiTheme="majorHAnsi" w:cstheme="majorBidi"/>
      <w:color w:val="365F91" w:themeColor="accent1" w:themeShade="BF"/>
      <w:sz w:val="26"/>
      <w:szCs w:val="26"/>
    </w:rPr>
  </w:style>
  <w:style w:type="character" w:styleId="Mention">
    <w:name w:val="Mention"/>
    <w:basedOn w:val="DefaultParagraphFont"/>
    <w:uiPriority w:val="99"/>
    <w:unhideWhenUsed/>
    <w:rsid w:val="005E1ED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wmf"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B3E1D90CD87B499809509BB7768083" ma:contentTypeVersion="16" ma:contentTypeDescription="Create a new document." ma:contentTypeScope="" ma:versionID="cf86c8762df2c40032d7b28fbf7ea82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f18460c-2240-46e5-ba3d-eef37852eef2" xmlns:ns6="7de3dc8c-1afc-4bef-a91f-3b271714f862" targetNamespace="http://schemas.microsoft.com/office/2006/metadata/properties" ma:root="true" ma:fieldsID="47fe69cd27464baeeff120c8ed1a4ccd" ns1:_="" ns2:_="" ns3:_="" ns4:_="" ns5:_="" ns6:_="">
    <xsd:import namespace="http://schemas.microsoft.com/sharepoint/v3"/>
    <xsd:import namespace="4ffa91fb-a0ff-4ac5-b2db-65c790d184a4"/>
    <xsd:import namespace="http://schemas.microsoft.com/sharepoint.v3"/>
    <xsd:import namespace="http://schemas.microsoft.com/sharepoint/v3/fields"/>
    <xsd:import namespace="ef18460c-2240-46e5-ba3d-eef37852eef2"/>
    <xsd:import namespace="7de3dc8c-1afc-4bef-a91f-3b271714f86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LengthInSeconds" minOccurs="0"/>
                <xsd:element ref="ns5:lcf76f155ced4ddcb4097134ff3c332f"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d809c9e0-8779-4aac-a518-0f06a83c84d1}" ma:internalName="TaxCatchAllLabel" ma:readOnly="true" ma:showField="CatchAllDataLabel" ma:web="7de3dc8c-1afc-4bef-a91f-3b271714f8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d809c9e0-8779-4aac-a518-0f06a83c84d1}" ma:internalName="TaxCatchAll" ma:showField="CatchAllData" ma:web="7de3dc8c-1afc-4bef-a91f-3b271714f8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18460c-2240-46e5-ba3d-eef37852eef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e3dc8c-1afc-4bef-a91f-3b271714f86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2019-08-28T13:52:58+00:00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lcf76f155ced4ddcb4097134ff3c332f xmlns="ef18460c-2240-46e5-ba3d-eef37852eef2">
      <Terms xmlns="http://schemas.microsoft.com/office/infopath/2007/PartnerControls"/>
    </lcf76f155ced4ddcb4097134ff3c332f>
    <_ip_UnifiedCompliancePolicyProperties xmlns="http://schemas.microsoft.com/sharepoint/v3" xsi:nil="true"/>
    <SharedWithUsers xmlns="7de3dc8c-1afc-4bef-a91f-3b271714f862">
      <UserInfo>
        <DisplayName>Mataway-Novak, Dylan</DisplayName>
        <AccountId>131</AccountId>
        <AccountType/>
      </UserInfo>
      <UserInfo>
        <DisplayName>Mahler, Matthew</DisplayName>
        <AccountId>119</AccountId>
        <AccountType/>
      </UserInfo>
      <UserInfo>
        <DisplayName>Langdon, Robin</DisplayName>
        <AccountId>33</AccountId>
        <AccountType/>
      </UserInfo>
      <UserInfo>
        <DisplayName>Hong, Jeanhee</DisplayName>
        <AccountId>103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BC5465A5-FFD6-4E37-BEA6-BAF26B29D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f18460c-2240-46e5-ba3d-eef37852eef2"/>
    <ds:schemaRef ds:uri="7de3dc8c-1afc-4bef-a91f-3b271714f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DA9D8-2B11-4569-8AE0-515D1FB3364C}">
  <ds:schemaRefs>
    <ds:schemaRef ds:uri="http://schemas.openxmlformats.org/officeDocument/2006/bibliography"/>
  </ds:schemaRefs>
</ds:datastoreItem>
</file>

<file path=customXml/itemProps3.xml><?xml version="1.0" encoding="utf-8"?>
<ds:datastoreItem xmlns:ds="http://schemas.openxmlformats.org/officeDocument/2006/customXml" ds:itemID="{EC9FD992-CFE0-4A9A-A70D-98C0432D0D46}">
  <ds:schemaRefs>
    <ds:schemaRef ds:uri="http://schemas.microsoft.com/office/2006/documentManagement/types"/>
    <ds:schemaRef ds:uri="http://schemas.openxmlformats.org/package/2006/metadata/core-properties"/>
    <ds:schemaRef ds:uri="http://schemas.microsoft.com/sharepoint/v3/fields"/>
    <ds:schemaRef ds:uri="http://schemas.microsoft.com/office/infopath/2007/PartnerControls"/>
    <ds:schemaRef ds:uri="http://schemas.microsoft.com/office/2006/metadata/properties"/>
    <ds:schemaRef ds:uri="7de3dc8c-1afc-4bef-a91f-3b271714f862"/>
    <ds:schemaRef ds:uri="http://purl.org/dc/dcmitype/"/>
    <ds:schemaRef ds:uri="ef18460c-2240-46e5-ba3d-eef37852eef2"/>
    <ds:schemaRef ds:uri="http://purl.org/dc/terms/"/>
    <ds:schemaRef ds:uri="4ffa91fb-a0ff-4ac5-b2db-65c790d184a4"/>
    <ds:schemaRef ds:uri="http://schemas.microsoft.com/sharepoint/v3"/>
    <ds:schemaRef ds:uri="http://schemas.microsoft.com/sharepoint.v3"/>
    <ds:schemaRef ds:uri="http://www.w3.org/XML/1998/namespace"/>
    <ds:schemaRef ds:uri="http://purl.org/dc/elements/1.1/"/>
  </ds:schemaRefs>
</ds:datastoreItem>
</file>

<file path=customXml/itemProps4.xml><?xml version="1.0" encoding="utf-8"?>
<ds:datastoreItem xmlns:ds="http://schemas.openxmlformats.org/officeDocument/2006/customXml" ds:itemID="{E30E8B4E-36B7-4AB7-826E-F6F1A08C7A52}">
  <ds:schemaRefs>
    <ds:schemaRef ds:uri="http://schemas.microsoft.com/sharepoint/v3/contenttype/forms"/>
  </ds:schemaRefs>
</ds:datastoreItem>
</file>

<file path=customXml/itemProps5.xml><?xml version="1.0" encoding="utf-8"?>
<ds:datastoreItem xmlns:ds="http://schemas.openxmlformats.org/officeDocument/2006/customXml" ds:itemID="{C01F0748-D5D0-4CB5-A47D-3485BA0C27B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1952</TotalTime>
  <Pages>95</Pages>
  <Words>21900</Words>
  <Characters>120875</Characters>
  <Application>Microsoft Office Word</Application>
  <DocSecurity>0</DocSecurity>
  <Lines>1007</Lines>
  <Paragraphs>284</Paragraphs>
  <ScaleCrop>false</ScaleCrop>
  <HeadingPairs>
    <vt:vector size="2" baseType="variant">
      <vt:variant>
        <vt:lpstr>Title</vt:lpstr>
      </vt:variant>
      <vt:variant>
        <vt:i4>1</vt:i4>
      </vt:variant>
    </vt:vector>
  </HeadingPairs>
  <TitlesOfParts>
    <vt:vector size="1" baseType="lpstr">
      <vt:lpstr>United States Environmental Protection Agency</vt:lpstr>
    </vt:vector>
  </TitlesOfParts>
  <Company>EC/R</Company>
  <LinksUpToDate>false</LinksUpToDate>
  <CharactersWithSpaces>142491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Environmental Protection Agency</dc:title>
  <dc:creator>Robin Barrows</dc:creator>
  <cp:lastModifiedBy>Mahler, Matthew</cp:lastModifiedBy>
  <cp:revision>104</cp:revision>
  <cp:lastPrinted>2023-01-25T13:12:00Z</cp:lastPrinted>
  <dcterms:created xsi:type="dcterms:W3CDTF">2023-02-14T00:54:00Z</dcterms:created>
  <dcterms:modified xsi:type="dcterms:W3CDTF">2023-02-28T01:37:00Z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0x010100B3B3E1D90CD87B499809509BB7768083</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MediaServiceImageTags">
    <vt:lpwstr/>
  </property>
  <property fmtid="{D5CDD505-2E9C-101B-9397-08002B2CF9AE}" pid="8" name="TaxKeyword">
    <vt:lpwstr/>
  </property>
</Properties>
</file>