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5B8" w:rsidRPr="00C12EA2" w:rsidP="007A01E7" w14:paraId="6D881B66" w14:textId="645396D7">
      <w:pPr>
        <w:pStyle w:val="Title"/>
      </w:pPr>
      <w:bookmarkStart w:id="0" w:name="_Toc49148152"/>
      <w:r w:rsidRPr="00C12EA2">
        <w:t>Supporting Statement for a</w:t>
      </w:r>
      <w:r w:rsidR="009505AD">
        <w:t>n</w:t>
      </w:r>
      <w:r w:rsidRPr="00C12EA2">
        <w:t xml:space="preserve"> Information Collection Request (ICR) </w:t>
      </w:r>
    </w:p>
    <w:p w:rsidR="005645B8" w:rsidP="007A01E7" w14:paraId="19900C7F" w14:textId="48571761">
      <w:pPr>
        <w:pStyle w:val="Title"/>
      </w:pPr>
      <w:r w:rsidRPr="00C12EA2">
        <w:t>Under the Paperwork Reduction Act (PRA)</w:t>
      </w:r>
    </w:p>
    <w:p w:rsidR="005645B8" w:rsidRPr="00534AA1" w:rsidP="007A01E7" w14:paraId="0BF5219B" w14:textId="77777777">
      <w:pPr>
        <w:pStyle w:val="Heading1"/>
      </w:pPr>
      <w:r w:rsidRPr="00534AA1">
        <w:t>EXECUTIVE SUMMARY</w:t>
      </w:r>
      <w:bookmarkEnd w:id="0"/>
    </w:p>
    <w:p w:rsidR="005645B8" w:rsidRPr="002059F4" w:rsidP="002059F4" w14:paraId="5616E8D6" w14:textId="03BDFD68">
      <w:pPr>
        <w:pStyle w:val="Heading3"/>
        <w:numPr>
          <w:ilvl w:val="0"/>
          <w:numId w:val="0"/>
        </w:numPr>
      </w:pPr>
      <w:bookmarkStart w:id="1" w:name="_Toc49148153"/>
      <w:r w:rsidRPr="002059F4">
        <w:t>Identification of the Information Collection – Title and Numbers</w:t>
      </w:r>
      <w:bookmarkEnd w:id="1"/>
    </w:p>
    <w:p w:rsidR="005645B8" w:rsidRPr="00E84AAF" w:rsidP="00374F1F" w14:paraId="47EF360E" w14:textId="090D2848">
      <w:pPr>
        <w:numPr>
          <w:ilvl w:val="12"/>
          <w:numId w:val="0"/>
        </w:numPr>
        <w:rPr>
          <w:rFonts w:cs="Arial"/>
          <w:szCs w:val="24"/>
        </w:rPr>
      </w:pPr>
      <w:r>
        <w:rPr>
          <w:rFonts w:cs="Arial"/>
          <w:szCs w:val="24"/>
        </w:rPr>
        <w:tab/>
      </w:r>
      <w:r>
        <w:rPr>
          <w:rFonts w:cs="Arial"/>
          <w:b/>
          <w:szCs w:val="24"/>
        </w:rPr>
        <w:t xml:space="preserve">Title: </w:t>
      </w:r>
      <w:bookmarkStart w:id="2" w:name="_Hlk90551635"/>
      <w:r w:rsidRPr="006F15AE" w:rsidR="006F15AE">
        <w:rPr>
          <w:rFonts w:cs="Arial"/>
          <w:b/>
          <w:bCs/>
          <w:szCs w:val="24"/>
        </w:rPr>
        <w:t xml:space="preserve">Confidential </w:t>
      </w:r>
      <w:r w:rsidR="00E84AAF">
        <w:rPr>
          <w:rFonts w:cs="Arial"/>
          <w:b/>
          <w:bCs/>
          <w:szCs w:val="24"/>
        </w:rPr>
        <w:t>B</w:t>
      </w:r>
      <w:r w:rsidRPr="006F15AE" w:rsidR="006F15AE">
        <w:rPr>
          <w:rFonts w:cs="Arial"/>
          <w:b/>
          <w:bCs/>
          <w:szCs w:val="24"/>
        </w:rPr>
        <w:t xml:space="preserve">usiness </w:t>
      </w:r>
      <w:r w:rsidRPr="006F15AE" w:rsidR="00E84AAF">
        <w:rPr>
          <w:rFonts w:cs="Arial"/>
          <w:b/>
          <w:bCs/>
          <w:szCs w:val="24"/>
        </w:rPr>
        <w:t>Information</w:t>
      </w:r>
      <w:r w:rsidRPr="006B3C71" w:rsidR="00E84AAF">
        <w:rPr>
          <w:rFonts w:cs="Arial"/>
          <w:b/>
          <w:bCs/>
          <w:szCs w:val="24"/>
        </w:rPr>
        <w:t xml:space="preserve"> Claims </w:t>
      </w:r>
      <w:r w:rsidRPr="006B3C71" w:rsidR="00374F1F">
        <w:rPr>
          <w:rFonts w:cs="Arial"/>
          <w:b/>
          <w:bCs/>
          <w:szCs w:val="24"/>
        </w:rPr>
        <w:t>under the Toxic Substances Control Act (TSCA)</w:t>
      </w:r>
      <w:r w:rsidR="001F7900">
        <w:rPr>
          <w:rFonts w:cs="Arial"/>
          <w:b/>
          <w:bCs/>
          <w:szCs w:val="24"/>
        </w:rPr>
        <w:t xml:space="preserve">; </w:t>
      </w:r>
      <w:r w:rsidR="00E92A66">
        <w:rPr>
          <w:rFonts w:cs="Arial"/>
          <w:b/>
          <w:bCs/>
          <w:szCs w:val="24"/>
        </w:rPr>
        <w:t>Final</w:t>
      </w:r>
      <w:r w:rsidR="00E84AAF">
        <w:rPr>
          <w:rFonts w:cs="Arial"/>
          <w:b/>
          <w:bCs/>
          <w:szCs w:val="24"/>
        </w:rPr>
        <w:t xml:space="preserve"> Rule (RIN 2070-</w:t>
      </w:r>
      <w:r w:rsidRPr="00E84AAF" w:rsidR="00E84AAF">
        <w:rPr>
          <w:rFonts w:cs="Arial"/>
          <w:b/>
          <w:bCs/>
          <w:szCs w:val="24"/>
        </w:rPr>
        <w:t>AK68)</w:t>
      </w:r>
      <w:bookmarkEnd w:id="2"/>
    </w:p>
    <w:p w:rsidR="009505AD" w:rsidRPr="00E84AAF" w:rsidP="005645B8" w14:paraId="1968D082" w14:textId="526BF329">
      <w:pPr>
        <w:pStyle w:val="NoSpacing"/>
        <w:spacing w:after="120"/>
        <w:rPr>
          <w:rFonts w:ascii="Arial" w:hAnsi="Arial" w:cs="Arial"/>
          <w:sz w:val="24"/>
          <w:szCs w:val="24"/>
        </w:rPr>
      </w:pPr>
      <w:r w:rsidRPr="00E84AAF">
        <w:rPr>
          <w:rFonts w:ascii="Arial" w:hAnsi="Arial" w:cs="Arial"/>
          <w:sz w:val="24"/>
          <w:szCs w:val="24"/>
        </w:rPr>
        <w:tab/>
      </w:r>
      <w:bookmarkStart w:id="3" w:name="_Hlk90551695"/>
      <w:r w:rsidRPr="00E84AAF">
        <w:rPr>
          <w:rFonts w:ascii="Arial" w:hAnsi="Arial" w:cs="Arial"/>
          <w:b/>
          <w:bCs/>
          <w:sz w:val="24"/>
          <w:szCs w:val="24"/>
        </w:rPr>
        <w:t>EPA ICR No.:</w:t>
      </w:r>
      <w:r w:rsidRPr="00E84AAF">
        <w:rPr>
          <w:rFonts w:ascii="Arial" w:hAnsi="Arial" w:cs="Arial"/>
          <w:b/>
          <w:sz w:val="24"/>
          <w:szCs w:val="24"/>
        </w:rPr>
        <w:t xml:space="preserve"> </w:t>
      </w:r>
      <w:r w:rsidRPr="00E84AAF" w:rsidR="001A0481">
        <w:rPr>
          <w:rFonts w:ascii="Arial" w:hAnsi="Arial" w:cs="Arial"/>
          <w:sz w:val="24"/>
          <w:szCs w:val="24"/>
        </w:rPr>
        <w:t>2706.0</w:t>
      </w:r>
      <w:r w:rsidR="00171AD2">
        <w:rPr>
          <w:rFonts w:ascii="Arial" w:hAnsi="Arial" w:cs="Arial"/>
          <w:sz w:val="24"/>
          <w:szCs w:val="24"/>
        </w:rPr>
        <w:t>2</w:t>
      </w:r>
    </w:p>
    <w:p w:rsidR="005645B8" w:rsidP="005645B8" w14:paraId="3EF98889" w14:textId="2E7EEEF0">
      <w:pPr>
        <w:pStyle w:val="NoSpacing"/>
        <w:spacing w:after="120"/>
        <w:rPr>
          <w:rFonts w:ascii="Arial" w:hAnsi="Arial" w:cs="Arial"/>
          <w:sz w:val="24"/>
          <w:szCs w:val="24"/>
        </w:rPr>
      </w:pPr>
      <w:r>
        <w:rPr>
          <w:rFonts w:ascii="Arial" w:hAnsi="Arial" w:cs="Arial"/>
          <w:sz w:val="24"/>
          <w:szCs w:val="24"/>
        </w:rPr>
        <w:tab/>
      </w:r>
      <w:r w:rsidRPr="009505AD">
        <w:rPr>
          <w:rFonts w:ascii="Arial" w:hAnsi="Arial" w:cs="Arial"/>
          <w:b/>
          <w:bCs/>
          <w:sz w:val="24"/>
          <w:szCs w:val="24"/>
        </w:rPr>
        <w:t>OMB Control No.:</w:t>
      </w:r>
      <w:r>
        <w:rPr>
          <w:rFonts w:ascii="Arial" w:hAnsi="Arial" w:cs="Arial"/>
          <w:sz w:val="24"/>
          <w:szCs w:val="24"/>
        </w:rPr>
        <w:t xml:space="preserve"> </w:t>
      </w:r>
      <w:r w:rsidR="006B3C71">
        <w:rPr>
          <w:rFonts w:ascii="Arial" w:hAnsi="Arial" w:cs="Arial"/>
          <w:sz w:val="24"/>
          <w:szCs w:val="24"/>
        </w:rPr>
        <w:t>2070</w:t>
      </w:r>
      <w:r w:rsidR="003E2F88">
        <w:rPr>
          <w:rFonts w:ascii="Arial" w:hAnsi="Arial" w:cs="Arial"/>
          <w:sz w:val="24"/>
          <w:szCs w:val="24"/>
        </w:rPr>
        <w:t>-</w:t>
      </w:r>
      <w:r w:rsidR="00171AD2">
        <w:rPr>
          <w:rFonts w:ascii="Arial" w:hAnsi="Arial" w:cs="Arial"/>
          <w:sz w:val="24"/>
          <w:szCs w:val="24"/>
        </w:rPr>
        <w:t>02</w:t>
      </w:r>
      <w:r w:rsidR="00884BB8">
        <w:rPr>
          <w:rFonts w:ascii="Arial" w:hAnsi="Arial" w:cs="Arial"/>
          <w:sz w:val="24"/>
          <w:szCs w:val="24"/>
        </w:rPr>
        <w:t>23</w:t>
      </w:r>
    </w:p>
    <w:bookmarkEnd w:id="3"/>
    <w:p w:rsidR="005645B8" w:rsidRPr="00C12EA2" w:rsidP="005645B8" w14:paraId="05F7B442" w14:textId="14A708E2">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w:t>
      </w:r>
      <w:r w:rsidR="00374F1F">
        <w:rPr>
          <w:rFonts w:ascii="Arial" w:hAnsi="Arial" w:cs="Arial"/>
          <w:sz w:val="24"/>
          <w:szCs w:val="24"/>
        </w:rPr>
        <w:t>OPPT-202</w:t>
      </w:r>
      <w:r w:rsidR="00456853">
        <w:rPr>
          <w:rFonts w:ascii="Arial" w:hAnsi="Arial" w:cs="Arial"/>
          <w:sz w:val="24"/>
          <w:szCs w:val="24"/>
        </w:rPr>
        <w:t>1-0419</w:t>
      </w:r>
    </w:p>
    <w:p w:rsidR="005645B8" w:rsidP="002059F4" w14:paraId="6A1E128E" w14:textId="63484549">
      <w:pPr>
        <w:pStyle w:val="Heading3"/>
        <w:numPr>
          <w:ilvl w:val="0"/>
          <w:numId w:val="0"/>
        </w:numPr>
      </w:pPr>
      <w:bookmarkStart w:id="4" w:name="_Toc49148156"/>
      <w:r w:rsidRPr="00483711">
        <w:t>Abstract</w:t>
      </w:r>
      <w:bookmarkEnd w:id="4"/>
    </w:p>
    <w:p w:rsidR="007E5C80" w:rsidRPr="00F12CC9" w:rsidP="00F12CC9" w14:paraId="753CA257" w14:textId="79B8754C">
      <w:r w:rsidRPr="00F12CC9">
        <w:t xml:space="preserve">EPA </w:t>
      </w:r>
      <w:r w:rsidRPr="00F12CC9" w:rsidR="00263F84">
        <w:t xml:space="preserve">is </w:t>
      </w:r>
      <w:r w:rsidRPr="00F12CC9" w:rsidR="00171AD2">
        <w:t>finalizing</w:t>
      </w:r>
      <w:r w:rsidRPr="00F12CC9">
        <w:t xml:space="preserve"> new and amended requirements concerning the assertion and maintenance of claims of business confidentiality (also known as Confidential Business Information or “CBI”) under the Toxic Substances Control Act (TSCA), 15 U.S.C. §2601, et seq. The Frank R. Lau</w:t>
      </w:r>
      <w:r w:rsidRPr="00F12CC9">
        <w:t xml:space="preserve">tenberg Chemical Safety for the 21st Century Act, Pub. L. 114–182 referred to in this Notice as “Lautenberg”), made significant amendments to TSCA including new provisions governing the assertion of CBI claims and requirements concerning Agency review and </w:t>
      </w:r>
      <w:r w:rsidRPr="00F12CC9">
        <w:t xml:space="preserve">treatment of confidentiality claims. This </w:t>
      </w:r>
      <w:r w:rsidRPr="00F12CC9" w:rsidR="001B27EF">
        <w:t xml:space="preserve">final </w:t>
      </w:r>
      <w:r w:rsidRPr="00F12CC9">
        <w:t>rule specifies procedures for submitting and supporting CBI claims in TSCA submissions, including substantiation requirements applicable at the time of submission, exemptions from the requirement to substanti</w:t>
      </w:r>
      <w:r w:rsidRPr="00F12CC9">
        <w:t>ate, electronic reporting enhancements (which include new electronic reporting requirements, as well as integration of TSCA requirements to provide certain certification statements, substantiation, and generic names when making confidentiality claims), and</w:t>
      </w:r>
      <w:r w:rsidRPr="00F12CC9">
        <w:t xml:space="preserve"> maintenance or withdrawal of confidentiality claims. The </w:t>
      </w:r>
      <w:r w:rsidRPr="00F12CC9" w:rsidR="001B27EF">
        <w:t>final</w:t>
      </w:r>
      <w:r w:rsidRPr="00F12CC9" w:rsidR="00263F84">
        <w:t xml:space="preserve"> </w:t>
      </w:r>
      <w:r w:rsidRPr="00F12CC9">
        <w:t xml:space="preserve">rule also specifies Agency procedures for reviewing and communicating with TSCA submitters about confidentiality claims, including requirements for submitters to maintain contact information, </w:t>
      </w:r>
      <w:r w:rsidRPr="00F12CC9">
        <w:t>procedures EPA will use to provide notices to submitters concerning their claims, and the manner in which EPA will notify submitters concerning the impending expiration of certain claims.</w:t>
      </w:r>
    </w:p>
    <w:p w:rsidR="00E276A3" w:rsidRPr="00F12CC9" w:rsidP="00F12CC9" w14:paraId="3189B00F" w14:textId="76CE2CB7">
      <w:r w:rsidRPr="00F12CC9">
        <w:t xml:space="preserve">The </w:t>
      </w:r>
      <w:r w:rsidRPr="00F12CC9" w:rsidR="00171AD2">
        <w:t>final</w:t>
      </w:r>
      <w:r w:rsidRPr="00F12CC9" w:rsidR="00263F84">
        <w:t xml:space="preserve"> </w:t>
      </w:r>
      <w:r w:rsidRPr="00F12CC9">
        <w:t>rule includes new provisions, as well as amending and</w:t>
      </w:r>
      <w:r w:rsidRPr="00F12CC9" w:rsidR="00263F84">
        <w:t xml:space="preserve"> r</w:t>
      </w:r>
      <w:r w:rsidRPr="00F12CC9">
        <w:t>eor</w:t>
      </w:r>
      <w:r w:rsidRPr="00F12CC9">
        <w:t xml:space="preserve">ganizing existing provisions concerning assertion of confidentiality claims in order to conform to new requirements in Lautenberg. Most procedural requirements for asserting and maintaining a confidentiality claim are organized into a new part of the CFR, </w:t>
      </w:r>
      <w:r w:rsidRPr="00F12CC9">
        <w:t xml:space="preserve">which would apply to any TSCA submission, except as modified by or elaborated on elsewhere in parts 704, 707, 716, 717, 720, 721, 723, 725, </w:t>
      </w:r>
      <w:r w:rsidRPr="00F12CC9" w:rsidR="000372EB">
        <w:t xml:space="preserve">770, </w:t>
      </w:r>
      <w:r w:rsidRPr="00F12CC9">
        <w:t>or 790. The following submissions under TSCA will now have new or amended procedures for substantiated claims o</w:t>
      </w:r>
      <w:r w:rsidRPr="00F12CC9">
        <w:t>f confidentiality:</w:t>
      </w:r>
    </w:p>
    <w:p w:rsidR="00D61693" w:rsidRPr="00D61693" w:rsidP="00E276A3" w14:paraId="26727746" w14:textId="4A71187E">
      <w:pPr>
        <w:pStyle w:val="ListParagraph"/>
        <w:numPr>
          <w:ilvl w:val="0"/>
          <w:numId w:val="21"/>
        </w:numPr>
        <w:rPr>
          <w:rFonts w:cs="Arial"/>
          <w:szCs w:val="24"/>
        </w:rPr>
      </w:pPr>
      <w:r>
        <w:rPr>
          <w:rFonts w:cs="Arial"/>
          <w:szCs w:val="24"/>
        </w:rPr>
        <w:t>TSCA Section 8(a); 40 CFR 704</w:t>
      </w:r>
    </w:p>
    <w:p w:rsidR="00E276A3" w:rsidRPr="00E276A3" w:rsidP="00E276A3" w14:paraId="4AB3501C" w14:textId="54218EDC">
      <w:pPr>
        <w:pStyle w:val="ListParagraph"/>
        <w:numPr>
          <w:ilvl w:val="0"/>
          <w:numId w:val="21"/>
        </w:numPr>
        <w:rPr>
          <w:rFonts w:cs="Arial"/>
          <w:szCs w:val="24"/>
        </w:rPr>
      </w:pPr>
      <w:r>
        <w:t xml:space="preserve">TSCA Section 12(b) Notification of Export; </w:t>
      </w:r>
      <w:r>
        <w:rPr>
          <w:rFonts w:cs="Arial"/>
          <w:color w:val="000000"/>
          <w:shd w:val="clear" w:color="auto" w:fill="FFFFFF"/>
        </w:rPr>
        <w:t>40 CFR 707.75(d)</w:t>
      </w:r>
    </w:p>
    <w:p w:rsidR="00E276A3" w:rsidRPr="00E276A3" w:rsidP="00E276A3" w14:paraId="0F742F7C" w14:textId="77589E78">
      <w:pPr>
        <w:pStyle w:val="ListParagraph"/>
        <w:numPr>
          <w:ilvl w:val="0"/>
          <w:numId w:val="21"/>
        </w:numPr>
        <w:rPr>
          <w:rFonts w:cs="Arial"/>
          <w:szCs w:val="24"/>
        </w:rPr>
      </w:pPr>
      <w:r>
        <w:t>TSCA Section 8(d) Health and Safety Studies; 40 CFR 716.55(a) and (c)</w:t>
      </w:r>
    </w:p>
    <w:p w:rsidR="00E276A3" w:rsidRPr="00E276A3" w:rsidP="00E276A3" w14:paraId="1DC450A4" w14:textId="0EF05230">
      <w:pPr>
        <w:pStyle w:val="ListParagraph"/>
        <w:numPr>
          <w:ilvl w:val="0"/>
          <w:numId w:val="21"/>
        </w:numPr>
        <w:rPr>
          <w:rFonts w:cs="Arial"/>
          <w:szCs w:val="24"/>
        </w:rPr>
      </w:pPr>
      <w:r>
        <w:t>TSCA Section 8</w:t>
      </w:r>
      <w:r w:rsidR="00E644F5">
        <w:t xml:space="preserve">(c) </w:t>
      </w:r>
      <w:r>
        <w:t>Allegations of Adverse Effects; 40 CFR 717.19</w:t>
      </w:r>
    </w:p>
    <w:p w:rsidR="00E276A3" w:rsidRPr="008D3C69" w:rsidP="00E276A3" w14:paraId="61EF576F" w14:textId="35B99E79">
      <w:pPr>
        <w:pStyle w:val="ListParagraph"/>
        <w:numPr>
          <w:ilvl w:val="0"/>
          <w:numId w:val="21"/>
        </w:numPr>
        <w:rPr>
          <w:rFonts w:cs="Arial"/>
          <w:szCs w:val="24"/>
        </w:rPr>
      </w:pPr>
      <w:r>
        <w:t xml:space="preserve">TSCA Section </w:t>
      </w:r>
      <w:r>
        <w:t>5 P</w:t>
      </w:r>
      <w:r w:rsidR="008806B3">
        <w:t>remanufacture Notices (P</w:t>
      </w:r>
      <w:r>
        <w:t>MNs</w:t>
      </w:r>
      <w:r w:rsidR="008806B3">
        <w:t>)</w:t>
      </w:r>
      <w:r>
        <w:t>; 40 CFR 720.85 and 720.90 and 720 Subpart F</w:t>
      </w:r>
    </w:p>
    <w:p w:rsidR="00E276A3" w:rsidRPr="005F68B5" w:rsidP="005F68B5" w14:paraId="7D2226D9" w14:textId="2140F5C7">
      <w:pPr>
        <w:pStyle w:val="ListParagraph"/>
        <w:numPr>
          <w:ilvl w:val="0"/>
          <w:numId w:val="21"/>
        </w:numPr>
        <w:rPr>
          <w:rFonts w:cs="Arial"/>
          <w:szCs w:val="24"/>
        </w:rPr>
      </w:pPr>
      <w:r>
        <w:t xml:space="preserve">TSCA Section </w:t>
      </w:r>
      <w:r w:rsidR="00D61693">
        <w:t xml:space="preserve">5 </w:t>
      </w:r>
      <w:r>
        <w:t>40 CFR 721</w:t>
      </w:r>
      <w:r w:rsidR="005F68B5">
        <w:t xml:space="preserve"> </w:t>
      </w:r>
      <w:r w:rsidR="00391C7B">
        <w:t xml:space="preserve">Significant New Use Rules (SNURs) </w:t>
      </w:r>
    </w:p>
    <w:p w:rsidR="00E276A3" w:rsidRPr="00E276A3" w:rsidP="00E276A3" w14:paraId="60C5DFC2" w14:textId="59DDEDB0">
      <w:pPr>
        <w:pStyle w:val="ListParagraph"/>
        <w:numPr>
          <w:ilvl w:val="0"/>
          <w:numId w:val="21"/>
        </w:numPr>
        <w:rPr>
          <w:rFonts w:cs="Arial"/>
          <w:szCs w:val="24"/>
        </w:rPr>
      </w:pPr>
      <w:r>
        <w:t>TSCA Section 5 Polymer Exemption; 40 CFR 723.250(f)</w:t>
      </w:r>
      <w:r w:rsidR="00F3615D">
        <w:t xml:space="preserve">; </w:t>
      </w:r>
      <w:r w:rsidR="005F68B5">
        <w:t>and L</w:t>
      </w:r>
      <w:r w:rsidR="00F3615D">
        <w:t xml:space="preserve">ow </w:t>
      </w:r>
      <w:r w:rsidR="005F68B5">
        <w:t>V</w:t>
      </w:r>
      <w:r w:rsidR="00F3615D">
        <w:t xml:space="preserve">olume </w:t>
      </w:r>
      <w:r w:rsidR="005F68B5">
        <w:t>E</w:t>
      </w:r>
      <w:r w:rsidR="00F3615D">
        <w:t>xemptions 40 CFR 723.</w:t>
      </w:r>
      <w:r w:rsidR="009B4E79">
        <w:t>50</w:t>
      </w:r>
      <w:r w:rsidR="00F3615D">
        <w:t xml:space="preserve"> </w:t>
      </w:r>
    </w:p>
    <w:p w:rsidR="00E276A3" w:rsidRPr="000647C9" w:rsidP="00E276A3" w14:paraId="560AF9E7" w14:textId="0482D0CD">
      <w:pPr>
        <w:pStyle w:val="ListParagraph"/>
        <w:numPr>
          <w:ilvl w:val="0"/>
          <w:numId w:val="21"/>
        </w:numPr>
        <w:rPr>
          <w:rFonts w:cs="Arial"/>
          <w:szCs w:val="24"/>
          <w:lang w:val="fr-FR"/>
        </w:rPr>
      </w:pPr>
      <w:r w:rsidRPr="000647C9">
        <w:rPr>
          <w:lang w:val="fr-FR"/>
        </w:rPr>
        <w:t>TSCA Section 5 microorganisms; 40 CFR 725 Subpart C</w:t>
      </w:r>
    </w:p>
    <w:p w:rsidR="000372EB" w:rsidRPr="000372EB" w:rsidP="000372EB" w14:paraId="417CEDA6" w14:textId="4E76D64A">
      <w:pPr>
        <w:pStyle w:val="ListParagraph"/>
        <w:numPr>
          <w:ilvl w:val="0"/>
          <w:numId w:val="21"/>
        </w:numPr>
        <w:rPr>
          <w:rFonts w:cs="Arial"/>
          <w:szCs w:val="24"/>
        </w:rPr>
      </w:pPr>
      <w:r>
        <w:t xml:space="preserve">TSCA Title VI Formaldehyde Emissions Standards for Composite Wood; 40 CFR 770 </w:t>
      </w:r>
    </w:p>
    <w:p w:rsidR="00E276A3" w:rsidRPr="00BC687D" w:rsidP="00374F1F" w14:paraId="43F600AB" w14:textId="77137BAF">
      <w:pPr>
        <w:pStyle w:val="ListParagraph"/>
        <w:numPr>
          <w:ilvl w:val="0"/>
          <w:numId w:val="21"/>
        </w:numPr>
        <w:rPr>
          <w:rFonts w:cs="Arial"/>
          <w:szCs w:val="24"/>
        </w:rPr>
      </w:pPr>
      <w:r>
        <w:t>TSCA Section 4 Test Orders; 40 CFR 790</w:t>
      </w:r>
    </w:p>
    <w:p w:rsidR="00374A8F" w:rsidRPr="00374A8F" w:rsidP="00374A8F" w14:paraId="168CFD98" w14:textId="4B0AD5A6">
      <w:pPr>
        <w:rPr>
          <w:b/>
          <w:bCs/>
        </w:rPr>
      </w:pPr>
      <w:r w:rsidRPr="008806B3">
        <w:rPr>
          <w:b/>
          <w:bCs/>
        </w:rPr>
        <w:t xml:space="preserve">Summary </w:t>
      </w:r>
      <w:r w:rsidR="00F12CC9">
        <w:rPr>
          <w:b/>
          <w:bCs/>
        </w:rPr>
        <w:t xml:space="preserve">Annual </w:t>
      </w:r>
      <w:r w:rsidRPr="008806B3">
        <w:rPr>
          <w:b/>
          <w:bCs/>
        </w:rPr>
        <w:t>Total Burden and Costs</w:t>
      </w:r>
    </w:p>
    <w:tbl>
      <w:tblPr>
        <w:tblStyle w:val="TableGrid"/>
        <w:tblW w:w="0" w:type="auto"/>
        <w:tblLook w:val="04A0"/>
      </w:tblPr>
      <w:tblGrid>
        <w:gridCol w:w="3414"/>
        <w:gridCol w:w="1990"/>
        <w:gridCol w:w="1991"/>
        <w:gridCol w:w="1955"/>
      </w:tblGrid>
      <w:tr w14:paraId="49079EA3" w14:textId="77777777" w:rsidTr="632416FA">
        <w:tblPrEx>
          <w:tblW w:w="0" w:type="auto"/>
          <w:tblLook w:val="04A0"/>
        </w:tblPrEx>
        <w:tc>
          <w:tcPr>
            <w:tcW w:w="0" w:type="auto"/>
            <w:vAlign w:val="center"/>
          </w:tcPr>
          <w:p w:rsidR="00CF074F" w:rsidP="00FB4638" w14:paraId="39E96305" w14:textId="64FF3919">
            <w:r>
              <w:t xml:space="preserve">Information Collection </w:t>
            </w:r>
          </w:p>
        </w:tc>
        <w:tc>
          <w:tcPr>
            <w:tcW w:w="0" w:type="auto"/>
            <w:vAlign w:val="center"/>
          </w:tcPr>
          <w:p w:rsidR="00CF074F" w:rsidP="00FB4638" w14:paraId="49889680" w14:textId="76122062">
            <w:pPr>
              <w:jc w:val="center"/>
            </w:pPr>
            <w:r>
              <w:t>Average Annual Responses</w:t>
            </w:r>
            <w:r w:rsidR="00E2464B">
              <w:t xml:space="preserve"> </w:t>
            </w:r>
          </w:p>
        </w:tc>
        <w:tc>
          <w:tcPr>
            <w:tcW w:w="0" w:type="auto"/>
            <w:vAlign w:val="center"/>
          </w:tcPr>
          <w:p w:rsidR="00CF074F" w:rsidP="00FB4638" w14:paraId="33A66C41" w14:textId="3822D799">
            <w:pPr>
              <w:jc w:val="center"/>
            </w:pPr>
            <w:r>
              <w:t>Average Annual Burden Hours</w:t>
            </w:r>
          </w:p>
        </w:tc>
        <w:tc>
          <w:tcPr>
            <w:tcW w:w="0" w:type="auto"/>
            <w:vAlign w:val="center"/>
          </w:tcPr>
          <w:p w:rsidR="00CF074F" w:rsidP="00FB4638" w14:paraId="1293BEB3" w14:textId="0289B7B4">
            <w:pPr>
              <w:jc w:val="center"/>
            </w:pPr>
            <w:r>
              <w:t>A</w:t>
            </w:r>
            <w:r w:rsidR="00534E85">
              <w:t>verage A</w:t>
            </w:r>
            <w:r>
              <w:t>nnual Costs (</w:t>
            </w:r>
            <w:r w:rsidR="000647C9">
              <w:t>2022</w:t>
            </w:r>
            <w:r>
              <w:t>$)</w:t>
            </w:r>
          </w:p>
        </w:tc>
      </w:tr>
      <w:tr w14:paraId="2B7A4A38" w14:textId="77777777" w:rsidTr="632416FA">
        <w:tblPrEx>
          <w:tblW w:w="0" w:type="auto"/>
          <w:tblLook w:val="04A0"/>
        </w:tblPrEx>
        <w:tc>
          <w:tcPr>
            <w:tcW w:w="0" w:type="auto"/>
            <w:vAlign w:val="center"/>
          </w:tcPr>
          <w:p w:rsidR="00CF074F" w:rsidP="00FB4638" w14:paraId="18CE2085" w14:textId="394B49D2">
            <w:r>
              <w:t xml:space="preserve">Rule Familiarization </w:t>
            </w:r>
          </w:p>
        </w:tc>
        <w:tc>
          <w:tcPr>
            <w:tcW w:w="0" w:type="auto"/>
            <w:vAlign w:val="center"/>
          </w:tcPr>
          <w:p w:rsidR="00CF074F" w:rsidP="00CF074F" w14:paraId="36C25D5E" w14:textId="2A456370">
            <w:pPr>
              <w:jc w:val="center"/>
            </w:pPr>
            <w:r>
              <w:t>403</w:t>
            </w:r>
          </w:p>
        </w:tc>
        <w:tc>
          <w:tcPr>
            <w:tcW w:w="0" w:type="auto"/>
            <w:vAlign w:val="center"/>
          </w:tcPr>
          <w:p w:rsidR="00CF074F" w:rsidP="00CF074F" w14:paraId="519A4C06" w14:textId="78DF8277">
            <w:pPr>
              <w:jc w:val="center"/>
            </w:pPr>
            <w:r>
              <w:t>80</w:t>
            </w:r>
            <w:r w:rsidR="00E2464B">
              <w:t>8</w:t>
            </w:r>
          </w:p>
        </w:tc>
        <w:tc>
          <w:tcPr>
            <w:tcW w:w="0" w:type="auto"/>
            <w:vAlign w:val="center"/>
          </w:tcPr>
          <w:p w:rsidR="00CF074F" w:rsidP="00CF074F" w14:paraId="2763672F" w14:textId="3FFEB25C">
            <w:pPr>
              <w:jc w:val="center"/>
            </w:pPr>
            <w:r>
              <w:t>$</w:t>
            </w:r>
            <w:r w:rsidR="00534E85">
              <w:t>76,423</w:t>
            </w:r>
          </w:p>
        </w:tc>
      </w:tr>
      <w:tr w14:paraId="7204FA0E" w14:textId="77777777" w:rsidTr="632416FA">
        <w:tblPrEx>
          <w:tblW w:w="0" w:type="auto"/>
          <w:tblLook w:val="04A0"/>
        </w:tblPrEx>
        <w:tc>
          <w:tcPr>
            <w:tcW w:w="0" w:type="auto"/>
            <w:vAlign w:val="center"/>
          </w:tcPr>
          <w:p w:rsidR="00CF074F" w:rsidP="00FB4638" w14:paraId="3E1BEA5C" w14:textId="659567E9">
            <w:r>
              <w:t xml:space="preserve">CDX Registration </w:t>
            </w:r>
          </w:p>
        </w:tc>
        <w:tc>
          <w:tcPr>
            <w:tcW w:w="0" w:type="auto"/>
            <w:vAlign w:val="center"/>
          </w:tcPr>
          <w:p w:rsidR="00CF074F" w:rsidP="00CF074F" w14:paraId="4FFA9B72" w14:textId="5182C17F">
            <w:pPr>
              <w:jc w:val="center"/>
            </w:pPr>
            <w:r>
              <w:t>92</w:t>
            </w:r>
          </w:p>
        </w:tc>
        <w:tc>
          <w:tcPr>
            <w:tcW w:w="0" w:type="auto"/>
            <w:vAlign w:val="center"/>
          </w:tcPr>
          <w:p w:rsidR="00534E85" w:rsidP="00534E85" w14:paraId="5B9795CD" w14:textId="2A376FC9">
            <w:pPr>
              <w:jc w:val="center"/>
            </w:pPr>
            <w:r>
              <w:t>245</w:t>
            </w:r>
          </w:p>
        </w:tc>
        <w:tc>
          <w:tcPr>
            <w:tcW w:w="0" w:type="auto"/>
            <w:vAlign w:val="center"/>
          </w:tcPr>
          <w:p w:rsidR="00CF074F" w:rsidP="00CF074F" w14:paraId="615AC358" w14:textId="28CDE728">
            <w:pPr>
              <w:jc w:val="center"/>
            </w:pPr>
            <w:r>
              <w:t>$</w:t>
            </w:r>
            <w:r w:rsidR="00534E85">
              <w:t>21,631</w:t>
            </w:r>
          </w:p>
        </w:tc>
      </w:tr>
      <w:tr w14:paraId="3647D6AA" w14:textId="77777777" w:rsidTr="632416FA">
        <w:tblPrEx>
          <w:tblW w:w="0" w:type="auto"/>
          <w:tblLook w:val="04A0"/>
        </w:tblPrEx>
        <w:tc>
          <w:tcPr>
            <w:tcW w:w="0" w:type="auto"/>
            <w:vAlign w:val="center"/>
          </w:tcPr>
          <w:p w:rsidR="00CF074F" w:rsidP="00FB4638" w14:paraId="1171F7E2" w14:textId="2E2F90CF">
            <w:r>
              <w:t xml:space="preserve">Maintaining Company Contact Information </w:t>
            </w:r>
          </w:p>
        </w:tc>
        <w:tc>
          <w:tcPr>
            <w:tcW w:w="0" w:type="auto"/>
            <w:vAlign w:val="center"/>
          </w:tcPr>
          <w:p w:rsidR="00CF074F" w:rsidP="00CF074F" w14:paraId="5C3F6561" w14:textId="59979B54">
            <w:pPr>
              <w:jc w:val="center"/>
            </w:pPr>
            <w:r>
              <w:t>1</w:t>
            </w:r>
            <w:r w:rsidR="00534E85">
              <w:t>,1</w:t>
            </w:r>
            <w:r>
              <w:t>55</w:t>
            </w:r>
          </w:p>
        </w:tc>
        <w:tc>
          <w:tcPr>
            <w:tcW w:w="0" w:type="auto"/>
            <w:vAlign w:val="center"/>
          </w:tcPr>
          <w:p w:rsidR="00CF074F" w:rsidP="00CF074F" w14:paraId="1A87DAE4" w14:textId="2BC8421F">
            <w:pPr>
              <w:jc w:val="center"/>
            </w:pPr>
            <w:r>
              <w:t>17</w:t>
            </w:r>
          </w:p>
        </w:tc>
        <w:tc>
          <w:tcPr>
            <w:tcW w:w="0" w:type="auto"/>
            <w:vAlign w:val="center"/>
          </w:tcPr>
          <w:p w:rsidR="00CF074F" w:rsidP="00CF074F" w14:paraId="68E50D9B" w14:textId="7633431E">
            <w:pPr>
              <w:jc w:val="center"/>
            </w:pPr>
            <w:r>
              <w:t>$</w:t>
            </w:r>
            <w:r w:rsidR="00534E85">
              <w:t>1,436</w:t>
            </w:r>
          </w:p>
        </w:tc>
      </w:tr>
      <w:tr w14:paraId="4FBE7037" w14:textId="77777777" w:rsidTr="632416FA">
        <w:tblPrEx>
          <w:tblW w:w="0" w:type="auto"/>
          <w:tblLook w:val="04A0"/>
        </w:tblPrEx>
        <w:tc>
          <w:tcPr>
            <w:tcW w:w="0" w:type="auto"/>
            <w:vAlign w:val="center"/>
          </w:tcPr>
          <w:p w:rsidR="00CF074F" w:rsidP="00FB4638" w14:paraId="29D78E56" w14:textId="25A1CA5F">
            <w:r w:rsidRPr="003A7F8C">
              <w:t xml:space="preserve">Withdrawing </w:t>
            </w:r>
            <w:r w:rsidRPr="003A7F8C">
              <w:t>Confidentiality Claims and Amending Public Copy</w:t>
            </w:r>
          </w:p>
        </w:tc>
        <w:tc>
          <w:tcPr>
            <w:tcW w:w="0" w:type="auto"/>
            <w:vAlign w:val="center"/>
          </w:tcPr>
          <w:p w:rsidR="00CF074F" w:rsidP="00CF074F" w14:paraId="4D7C3EDA" w14:textId="3C32520A">
            <w:pPr>
              <w:jc w:val="center"/>
            </w:pPr>
            <w:r>
              <w:t>139</w:t>
            </w:r>
          </w:p>
        </w:tc>
        <w:tc>
          <w:tcPr>
            <w:tcW w:w="0" w:type="auto"/>
            <w:vAlign w:val="center"/>
          </w:tcPr>
          <w:p w:rsidR="00CF074F" w:rsidP="00CF074F" w14:paraId="0D2F9AE3" w14:textId="7B7BC2D2">
            <w:pPr>
              <w:jc w:val="center"/>
            </w:pPr>
            <w:r>
              <w:t>1</w:t>
            </w:r>
            <w:r w:rsidR="00534E85">
              <w:t>8</w:t>
            </w:r>
          </w:p>
        </w:tc>
        <w:tc>
          <w:tcPr>
            <w:tcW w:w="0" w:type="auto"/>
            <w:vAlign w:val="center"/>
          </w:tcPr>
          <w:p w:rsidR="00CF074F" w:rsidP="00CF074F" w14:paraId="7655AC43" w14:textId="536A1ADB">
            <w:pPr>
              <w:jc w:val="center"/>
            </w:pPr>
            <w:r>
              <w:t>$</w:t>
            </w:r>
            <w:r w:rsidR="000647C9">
              <w:t>1</w:t>
            </w:r>
            <w:r w:rsidR="00534E85">
              <w:t>,487</w:t>
            </w:r>
          </w:p>
        </w:tc>
      </w:tr>
      <w:tr w14:paraId="40D2671B" w14:textId="77777777" w:rsidTr="632416FA">
        <w:tblPrEx>
          <w:tblW w:w="0" w:type="auto"/>
          <w:tblLook w:val="04A0"/>
        </w:tblPrEx>
        <w:tc>
          <w:tcPr>
            <w:tcW w:w="0" w:type="auto"/>
            <w:vAlign w:val="center"/>
          </w:tcPr>
          <w:p w:rsidR="00CF074F" w:rsidP="00FB4638" w14:paraId="6F34B0B2" w14:textId="36891EE0">
            <w:r>
              <w:t xml:space="preserve">Reporting Health and Safety Data Using Templates </w:t>
            </w:r>
          </w:p>
        </w:tc>
        <w:tc>
          <w:tcPr>
            <w:tcW w:w="0" w:type="auto"/>
            <w:vAlign w:val="center"/>
          </w:tcPr>
          <w:p w:rsidR="00CF074F" w:rsidP="00CF074F" w14:paraId="536B90E1" w14:textId="3BD46D74">
            <w:pPr>
              <w:jc w:val="center"/>
            </w:pPr>
            <w:r>
              <w:t>350</w:t>
            </w:r>
          </w:p>
        </w:tc>
        <w:tc>
          <w:tcPr>
            <w:tcW w:w="0" w:type="auto"/>
            <w:vAlign w:val="center"/>
          </w:tcPr>
          <w:p w:rsidR="00CF074F" w:rsidP="00CF074F" w14:paraId="3BC54E8B" w14:textId="64F3E11D">
            <w:pPr>
              <w:jc w:val="center"/>
            </w:pPr>
            <w:r>
              <w:t>245</w:t>
            </w:r>
          </w:p>
        </w:tc>
        <w:tc>
          <w:tcPr>
            <w:tcW w:w="0" w:type="auto"/>
            <w:vAlign w:val="center"/>
          </w:tcPr>
          <w:p w:rsidR="00CF074F" w:rsidP="00CF074F" w14:paraId="1B630563" w14:textId="37361D52">
            <w:pPr>
              <w:jc w:val="center"/>
            </w:pPr>
            <w:r>
              <w:t>$</w:t>
            </w:r>
            <w:r w:rsidR="000647C9">
              <w:t>20,369</w:t>
            </w:r>
          </w:p>
        </w:tc>
      </w:tr>
      <w:tr w14:paraId="145B363A" w14:textId="77777777" w:rsidTr="632416FA">
        <w:tblPrEx>
          <w:tblW w:w="0" w:type="auto"/>
          <w:tblLook w:val="04A0"/>
        </w:tblPrEx>
        <w:tc>
          <w:tcPr>
            <w:tcW w:w="0" w:type="auto"/>
            <w:vAlign w:val="center"/>
          </w:tcPr>
          <w:p w:rsidR="00CF074F" w:rsidRPr="003A7F8C" w:rsidP="00FB4638" w14:paraId="445DA33D" w14:textId="180B622D">
            <w:pPr>
              <w:rPr>
                <w:b/>
                <w:bCs/>
              </w:rPr>
            </w:pPr>
            <w:r w:rsidRPr="003A7F8C">
              <w:rPr>
                <w:b/>
                <w:bCs/>
              </w:rPr>
              <w:t xml:space="preserve">Respondent Total </w:t>
            </w:r>
          </w:p>
        </w:tc>
        <w:tc>
          <w:tcPr>
            <w:tcW w:w="0" w:type="auto"/>
            <w:vAlign w:val="center"/>
          </w:tcPr>
          <w:p w:rsidR="00CF074F" w:rsidP="00CF074F" w14:paraId="574C34B3" w14:textId="2ACDA1E3">
            <w:pPr>
              <w:jc w:val="center"/>
            </w:pPr>
            <w:r>
              <w:t>2,1</w:t>
            </w:r>
            <w:r w:rsidR="00E2464B">
              <w:t>39</w:t>
            </w:r>
          </w:p>
        </w:tc>
        <w:tc>
          <w:tcPr>
            <w:tcW w:w="0" w:type="auto"/>
            <w:vAlign w:val="center"/>
          </w:tcPr>
          <w:p w:rsidR="00CF074F" w:rsidP="00CF074F" w14:paraId="75B1824F" w14:textId="6E77A8E6">
            <w:pPr>
              <w:jc w:val="center"/>
            </w:pPr>
            <w:r>
              <w:t>1,33</w:t>
            </w:r>
            <w:r w:rsidR="00E2464B">
              <w:t>2</w:t>
            </w:r>
          </w:p>
        </w:tc>
        <w:tc>
          <w:tcPr>
            <w:tcW w:w="0" w:type="auto"/>
            <w:vAlign w:val="center"/>
          </w:tcPr>
          <w:p w:rsidR="00CF074F" w:rsidP="00CF074F" w14:paraId="35E103CA" w14:textId="7CC137FC">
            <w:pPr>
              <w:jc w:val="center"/>
            </w:pPr>
            <w:r w:rsidRPr="632416FA">
              <w:rPr>
                <w:rFonts w:eastAsia="Calibri"/>
              </w:rPr>
              <w:t>$</w:t>
            </w:r>
            <w:r w:rsidR="000E4CE8">
              <w:rPr>
                <w:rFonts w:eastAsia="Calibri"/>
              </w:rPr>
              <w:t>121,328</w:t>
            </w:r>
          </w:p>
        </w:tc>
      </w:tr>
      <w:tr w14:paraId="5C66A3D0" w14:textId="77777777" w:rsidTr="632416FA">
        <w:tblPrEx>
          <w:tblW w:w="0" w:type="auto"/>
          <w:tblLook w:val="04A0"/>
        </w:tblPrEx>
        <w:tc>
          <w:tcPr>
            <w:tcW w:w="0" w:type="auto"/>
            <w:vAlign w:val="center"/>
          </w:tcPr>
          <w:p w:rsidR="00CF074F" w:rsidRPr="003A7F8C" w:rsidP="00FB4638" w14:paraId="0A3BFA62" w14:textId="05B04EAC">
            <w:pPr>
              <w:rPr>
                <w:b/>
                <w:bCs/>
              </w:rPr>
            </w:pPr>
            <w:r w:rsidRPr="003A7F8C">
              <w:rPr>
                <w:b/>
                <w:bCs/>
              </w:rPr>
              <w:t xml:space="preserve">Agency Total </w:t>
            </w:r>
          </w:p>
        </w:tc>
        <w:tc>
          <w:tcPr>
            <w:tcW w:w="0" w:type="auto"/>
            <w:vAlign w:val="center"/>
          </w:tcPr>
          <w:p w:rsidR="00CF074F" w:rsidP="00CF074F" w14:paraId="3A0134A1" w14:textId="59403E32">
            <w:pPr>
              <w:jc w:val="center"/>
            </w:pPr>
            <w:r>
              <w:t>-</w:t>
            </w:r>
          </w:p>
        </w:tc>
        <w:tc>
          <w:tcPr>
            <w:tcW w:w="0" w:type="auto"/>
            <w:vAlign w:val="center"/>
          </w:tcPr>
          <w:p w:rsidR="00CF074F" w:rsidP="00CF074F" w14:paraId="2D3C823C" w14:textId="77777777">
            <w:pPr>
              <w:jc w:val="center"/>
            </w:pPr>
            <w:r>
              <w:t>-</w:t>
            </w:r>
            <w:r w:rsidRPr="00B25143">
              <w:t>518</w:t>
            </w:r>
            <w:r>
              <w:t xml:space="preserve"> (burden reduction)</w:t>
            </w:r>
          </w:p>
        </w:tc>
        <w:tc>
          <w:tcPr>
            <w:tcW w:w="0" w:type="auto"/>
            <w:vAlign w:val="center"/>
          </w:tcPr>
          <w:p w:rsidR="00CF074F" w:rsidP="00CF074F" w14:paraId="055D03C7" w14:textId="77488684">
            <w:pPr>
              <w:jc w:val="center"/>
            </w:pPr>
            <w:r>
              <w:t>-$</w:t>
            </w:r>
            <w:r w:rsidR="000647C9">
              <w:t>75,710</w:t>
            </w:r>
            <w:r w:rsidR="00681B6A">
              <w:t xml:space="preserve"> </w:t>
            </w:r>
            <w:r>
              <w:t>(cost savings)</w:t>
            </w:r>
          </w:p>
        </w:tc>
      </w:tr>
    </w:tbl>
    <w:p w:rsidR="00374A8F" w:rsidRPr="00006A5D" w:rsidP="00374A8F" w14:paraId="68A73714" w14:textId="4903D630">
      <w:pPr>
        <w:pStyle w:val="NoSpacing"/>
        <w:rPr>
          <w:sz w:val="16"/>
          <w:szCs w:val="16"/>
        </w:rPr>
      </w:pPr>
      <w:r>
        <w:rPr>
          <w:sz w:val="16"/>
          <w:szCs w:val="16"/>
        </w:rPr>
        <w:t xml:space="preserve">Note: Burden and cost </w:t>
      </w:r>
      <w:r>
        <w:rPr>
          <w:sz w:val="16"/>
          <w:szCs w:val="16"/>
        </w:rPr>
        <w:t>estimates are rounded to the nearest hour and dollar, respectively.</w:t>
      </w:r>
      <w:r w:rsidRPr="00C347DE" w:rsidR="00C347DE">
        <w:rPr>
          <w:sz w:val="16"/>
          <w:szCs w:val="16"/>
        </w:rPr>
        <w:t xml:space="preserve"> </w:t>
      </w:r>
      <w:r w:rsidR="00C347DE">
        <w:rPr>
          <w:sz w:val="16"/>
          <w:szCs w:val="16"/>
        </w:rPr>
        <w:t>Negative values correspond to burden reductions and cost savings.</w:t>
      </w:r>
    </w:p>
    <w:p w:rsidR="00374A8F" w:rsidRPr="00006A5D" w:rsidP="00374A8F" w14:paraId="3BD1089B" w14:textId="0B6946DC">
      <w:pPr>
        <w:pStyle w:val="NoSpacing"/>
        <w:rPr>
          <w:sz w:val="16"/>
          <w:szCs w:val="16"/>
        </w:rPr>
      </w:pPr>
      <w:r w:rsidRPr="303E88F0">
        <w:rPr>
          <w:sz w:val="16"/>
          <w:szCs w:val="16"/>
          <w:vertAlign w:val="superscript"/>
        </w:rPr>
        <w:t>a</w:t>
      </w:r>
      <w:r w:rsidR="00D81736">
        <w:t xml:space="preserve"> </w:t>
      </w:r>
      <w:r w:rsidRPr="000E304B" w:rsidR="00D81736">
        <w:rPr>
          <w:sz w:val="16"/>
          <w:szCs w:val="16"/>
        </w:rPr>
        <w:t xml:space="preserve">It is expected that some activities listed under the </w:t>
      </w:r>
      <w:r w:rsidR="001B27EF">
        <w:rPr>
          <w:sz w:val="16"/>
          <w:szCs w:val="16"/>
        </w:rPr>
        <w:t>final</w:t>
      </w:r>
      <w:r w:rsidRPr="000E304B" w:rsidR="00D81736">
        <w:rPr>
          <w:sz w:val="16"/>
          <w:szCs w:val="16"/>
        </w:rPr>
        <w:t xml:space="preserve"> rule will be u</w:t>
      </w:r>
      <w:r w:rsidRPr="303E88F0" w:rsidR="285F2C3D">
        <w:rPr>
          <w:sz w:val="16"/>
          <w:szCs w:val="16"/>
        </w:rPr>
        <w:t>ndertaken by all respondents</w:t>
      </w:r>
      <w:r w:rsidRPr="000E304B" w:rsidR="00D81736">
        <w:rPr>
          <w:sz w:val="16"/>
          <w:szCs w:val="16"/>
        </w:rPr>
        <w:t xml:space="preserve"> and that other activities will only be undertaken in specific cases.</w:t>
      </w:r>
    </w:p>
    <w:p w:rsidR="00B262D4" w:rsidP="001D639D" w14:paraId="526A56DE" w14:textId="4ADD5A01">
      <w:pPr>
        <w:pStyle w:val="Heading1"/>
      </w:pPr>
      <w:r w:rsidRPr="00A640A9">
        <w:t>Supporting Statement</w:t>
      </w:r>
    </w:p>
    <w:p w:rsidR="00897D7E" w:rsidP="00945215" w14:paraId="163FE936" w14:textId="2A31E466">
      <w:pPr>
        <w:pStyle w:val="Heading2"/>
        <w:ind w:left="360"/>
      </w:pPr>
      <w:bookmarkStart w:id="5" w:name="_Toc49148160"/>
      <w:r w:rsidRPr="00E00E93">
        <w:t>Explain the circumstances that make the collection of information necessary. Identify any legal or administrative requirements that necessitate the collection. Attac</w:t>
      </w:r>
      <w:r w:rsidRPr="00E00E93">
        <w:t>h a copy of the appropriate section of each statute and regulation mandating or authorizing the collection of information.</w:t>
      </w:r>
    </w:p>
    <w:p w:rsidR="6EF98C62" w14:paraId="22CCCCD1" w14:textId="4D554F08">
      <w:pPr>
        <w:rPr>
          <w:rFonts w:eastAsia="Calibri" w:cs="Arial"/>
          <w:color w:val="000000" w:themeColor="text1"/>
          <w:szCs w:val="24"/>
        </w:rPr>
      </w:pPr>
      <w:r>
        <w:t>Lautenberg included several significant amendments to the provisions on CBI included in Section 14 of the TSCA. These included new re</w:t>
      </w:r>
      <w:r>
        <w:t xml:space="preserve">quirements that persons submitting information under TSCA must substantiate most confidentiality claims at the time of submission, as well as additional certification and generic name requirements. In order to maintain most claims beyond a 10-year period, </w:t>
      </w:r>
      <w:r>
        <w:t>submitters will also be required to reassert and substantiate those claims. Several new requirements also apply to EPA, including requirements to review and approve or deny all chemical identity claims asserted concerning substances that are offered for co</w:t>
      </w:r>
      <w:r>
        <w:t>mmercial distribution, as well a subset of all other confidentiality claims, within 90 days of the claim being asserted. Further requirements that EPA review all confidentiality claims concerning substances listed as active on the TSCA Inventory, a require</w:t>
      </w:r>
      <w:r>
        <w:t xml:space="preserve">ment to assign and apply unique identifiers (UIDs) to substances with approved confidentiality claims for chemical identity, as well as new provisions providing expanded access to TSCA Confidential Business Information (CBI), </w:t>
      </w:r>
      <w:r w:rsidRPr="001D639D" w:rsidR="50C2567A">
        <w:rPr>
          <w:rFonts w:eastAsia="Arial" w:cs="Arial"/>
          <w:color w:val="000000" w:themeColor="text1"/>
          <w:szCs w:val="24"/>
        </w:rPr>
        <w:t>have been discussed in previous Federal Register Documents. 85 FR 13062 (March 06, 2020; review plan rule); 83 FR 30168 (June 27, 2018; UIDs); 83 FR 30171 (June 27, 2018; expanded access to CBI). Additionally, TSCA rules promulgated or amended since the Lautenberg amendments have included confidentiality provisions conforming to the amendments (</w:t>
      </w:r>
      <w:r w:rsidRPr="000E304B" w:rsidR="50C2567A">
        <w:rPr>
          <w:rFonts w:eastAsia="Arial" w:cs="Arial"/>
          <w:szCs w:val="24"/>
        </w:rPr>
        <w:t>e.g.,</w:t>
      </w:r>
      <w:r w:rsidRPr="00094F2F" w:rsidR="50C2567A">
        <w:rPr>
          <w:rFonts w:eastAsia="Arial" w:cs="Arial"/>
          <w:szCs w:val="24"/>
        </w:rPr>
        <w:t xml:space="preserve"> </w:t>
      </w:r>
      <w:r w:rsidRPr="001D639D" w:rsidR="50C2567A">
        <w:rPr>
          <w:rFonts w:eastAsia="Arial" w:cs="Arial"/>
          <w:color w:val="000000" w:themeColor="text1"/>
          <w:szCs w:val="24"/>
        </w:rPr>
        <w:t>40 CFR 711.30 and 710.37).</w:t>
      </w:r>
    </w:p>
    <w:p w:rsidR="007E1376" w:rsidRPr="007E1376" w14:paraId="4DCA7457" w14:textId="7F584138">
      <w:pPr>
        <w:rPr>
          <w:rFonts w:cs="Arial"/>
          <w:szCs w:val="24"/>
        </w:rPr>
      </w:pPr>
      <w:r>
        <w:rPr>
          <w:rFonts w:cs="Arial"/>
          <w:szCs w:val="24"/>
        </w:rPr>
        <w:t>R</w:t>
      </w:r>
      <w:r w:rsidRPr="007E1376">
        <w:rPr>
          <w:rFonts w:cs="Arial"/>
          <w:szCs w:val="24"/>
        </w:rPr>
        <w:t xml:space="preserve">egulations implementing the statutory mandate in TSCA section </w:t>
      </w:r>
      <w:r>
        <w:rPr>
          <w:rFonts w:cs="Arial"/>
          <w:szCs w:val="24"/>
        </w:rPr>
        <w:t>14</w:t>
      </w:r>
      <w:r w:rsidRPr="007E1376">
        <w:rPr>
          <w:rFonts w:cs="Arial"/>
          <w:szCs w:val="24"/>
        </w:rPr>
        <w:t xml:space="preserve"> </w:t>
      </w:r>
      <w:r>
        <w:rPr>
          <w:rFonts w:cs="Arial"/>
          <w:szCs w:val="24"/>
        </w:rPr>
        <w:t xml:space="preserve">will be under </w:t>
      </w:r>
      <w:r w:rsidRPr="007E1376">
        <w:rPr>
          <w:rFonts w:cs="Arial"/>
          <w:szCs w:val="24"/>
        </w:rPr>
        <w:t>40 CFR 7</w:t>
      </w:r>
      <w:r>
        <w:rPr>
          <w:rFonts w:cs="Arial"/>
          <w:szCs w:val="24"/>
        </w:rPr>
        <w:t>03</w:t>
      </w:r>
      <w:r w:rsidRPr="007E1376">
        <w:rPr>
          <w:rFonts w:cs="Arial"/>
          <w:szCs w:val="24"/>
        </w:rPr>
        <w:t xml:space="preserve">, and include the following provisions: </w:t>
      </w:r>
    </w:p>
    <w:p w:rsidR="000173B9" w:rsidRPr="007A23B4" w:rsidP="000E304B" w14:paraId="5BC19D7D" w14:textId="30003EFB">
      <w:pPr>
        <w:pStyle w:val="ListParagraph"/>
        <w:numPr>
          <w:ilvl w:val="0"/>
          <w:numId w:val="29"/>
        </w:numPr>
        <w:rPr>
          <w:szCs w:val="24"/>
        </w:rPr>
      </w:pPr>
      <w:r w:rsidRPr="000173B9">
        <w:rPr>
          <w:szCs w:val="24"/>
        </w:rPr>
        <w:t xml:space="preserve">40 CFR </w:t>
      </w:r>
      <w:r w:rsidR="00263F84">
        <w:rPr>
          <w:szCs w:val="24"/>
        </w:rPr>
        <w:t xml:space="preserve"> </w:t>
      </w:r>
      <w:r w:rsidRPr="000173B9">
        <w:rPr>
          <w:szCs w:val="24"/>
        </w:rPr>
        <w:t>704.7, the confidential</w:t>
      </w:r>
      <w:r w:rsidRPr="000173B9">
        <w:rPr>
          <w:szCs w:val="24"/>
        </w:rPr>
        <w:t>ity provision for section 8(a) rules;</w:t>
      </w:r>
      <w:r w:rsidRPr="00655EA0">
        <w:rPr>
          <w:szCs w:val="24"/>
        </w:rPr>
        <w:t xml:space="preserve"> </w:t>
      </w:r>
    </w:p>
    <w:p w:rsidR="000173B9" w:rsidRPr="00B31BD4" w:rsidP="000E304B" w14:paraId="2DC3BDF2" w14:textId="147CE08E">
      <w:pPr>
        <w:pStyle w:val="ListParagraph"/>
        <w:widowControl w:val="0"/>
        <w:numPr>
          <w:ilvl w:val="0"/>
          <w:numId w:val="28"/>
        </w:numPr>
        <w:autoSpaceDE w:val="0"/>
        <w:autoSpaceDN w:val="0"/>
        <w:adjustRightInd w:val="0"/>
        <w:rPr>
          <w:szCs w:val="24"/>
        </w:rPr>
      </w:pPr>
      <w:r w:rsidRPr="4063E3F1">
        <w:rPr>
          <w:szCs w:val="24"/>
        </w:rPr>
        <w:t xml:space="preserve">40 CFR 707.75(d), the confidentiality provision of rules concerning section 12(b) notices of export; </w:t>
      </w:r>
    </w:p>
    <w:p w:rsidR="000173B9" w:rsidRPr="00B31BD4" w:rsidP="000E304B" w14:paraId="495AB837" w14:textId="15BF6900">
      <w:pPr>
        <w:pStyle w:val="ListParagraph"/>
        <w:widowControl w:val="0"/>
        <w:numPr>
          <w:ilvl w:val="0"/>
          <w:numId w:val="28"/>
        </w:numPr>
        <w:autoSpaceDE w:val="0"/>
        <w:autoSpaceDN w:val="0"/>
        <w:adjustRightInd w:val="0"/>
        <w:rPr>
          <w:szCs w:val="24"/>
        </w:rPr>
      </w:pPr>
      <w:r w:rsidRPr="794B7027">
        <w:rPr>
          <w:szCs w:val="24"/>
        </w:rPr>
        <w:t xml:space="preserve">40 CFR 716.55, the confidentiality provisions for section 8(d) reporting rules; </w:t>
      </w:r>
    </w:p>
    <w:p w:rsidR="000173B9" w:rsidRPr="00B31BD4" w:rsidP="000E304B" w14:paraId="385A04E0" w14:textId="6B2BEE6D">
      <w:pPr>
        <w:pStyle w:val="ListParagraph"/>
        <w:widowControl w:val="0"/>
        <w:numPr>
          <w:ilvl w:val="0"/>
          <w:numId w:val="28"/>
        </w:numPr>
        <w:autoSpaceDE w:val="0"/>
        <w:autoSpaceDN w:val="0"/>
        <w:adjustRightInd w:val="0"/>
        <w:rPr>
          <w:szCs w:val="24"/>
        </w:rPr>
      </w:pPr>
      <w:r w:rsidRPr="794B7027">
        <w:rPr>
          <w:szCs w:val="24"/>
        </w:rPr>
        <w:t xml:space="preserve">40 CFR 717.19, the confidentiality provision for section 8(c) recordkeeping and reporting rules; </w:t>
      </w:r>
    </w:p>
    <w:p w:rsidR="00BC687D" w:rsidP="000E304B" w14:paraId="52397C31" w14:textId="77777777">
      <w:pPr>
        <w:pStyle w:val="ListParagraph"/>
        <w:widowControl w:val="0"/>
        <w:numPr>
          <w:ilvl w:val="0"/>
          <w:numId w:val="28"/>
        </w:numPr>
        <w:autoSpaceDE w:val="0"/>
        <w:autoSpaceDN w:val="0"/>
        <w:adjustRightInd w:val="0"/>
        <w:rPr>
          <w:szCs w:val="24"/>
        </w:rPr>
      </w:pPr>
      <w:r w:rsidRPr="794B7027">
        <w:rPr>
          <w:szCs w:val="24"/>
        </w:rPr>
        <w:t>40 CFR 723.50(l) and 723.250 (f), the confidentiality provision for certain exemption requests under section 5 (low volume exemption and</w:t>
      </w:r>
      <w:r w:rsidR="00263F84">
        <w:rPr>
          <w:szCs w:val="24"/>
        </w:rPr>
        <w:t xml:space="preserve"> </w:t>
      </w:r>
      <w:r w:rsidRPr="794B7027">
        <w:rPr>
          <w:szCs w:val="24"/>
        </w:rPr>
        <w:t xml:space="preserve">low releases and low </w:t>
      </w:r>
      <w:r w:rsidRPr="794B7027">
        <w:rPr>
          <w:szCs w:val="24"/>
        </w:rPr>
        <w:t xml:space="preserve">exposures exemption); </w:t>
      </w:r>
    </w:p>
    <w:p w:rsidR="000173B9" w:rsidRPr="00B31BD4" w:rsidP="000E304B" w14:paraId="7079D89E" w14:textId="5CD70C2E">
      <w:pPr>
        <w:pStyle w:val="ListParagraph"/>
        <w:widowControl w:val="0"/>
        <w:numPr>
          <w:ilvl w:val="0"/>
          <w:numId w:val="28"/>
        </w:numPr>
        <w:autoSpaceDE w:val="0"/>
        <w:autoSpaceDN w:val="0"/>
        <w:adjustRightInd w:val="0"/>
        <w:rPr>
          <w:szCs w:val="24"/>
        </w:rPr>
      </w:pPr>
      <w:r>
        <w:rPr>
          <w:szCs w:val="24"/>
        </w:rPr>
        <w:t xml:space="preserve">40 CFR 770 the confidentiality provisions for reporting formaldehyde emissions; </w:t>
      </w:r>
      <w:r w:rsidRPr="794B7027">
        <w:rPr>
          <w:szCs w:val="24"/>
        </w:rPr>
        <w:t xml:space="preserve">and </w:t>
      </w:r>
    </w:p>
    <w:p w:rsidR="000173B9" w:rsidRPr="00B31BD4" w:rsidP="000E304B" w14:paraId="0D781E09" w14:textId="2B466332">
      <w:pPr>
        <w:pStyle w:val="ListParagraph"/>
        <w:widowControl w:val="0"/>
        <w:numPr>
          <w:ilvl w:val="0"/>
          <w:numId w:val="28"/>
        </w:numPr>
        <w:autoSpaceDE w:val="0"/>
        <w:autoSpaceDN w:val="0"/>
        <w:adjustRightInd w:val="0"/>
        <w:rPr>
          <w:szCs w:val="24"/>
        </w:rPr>
      </w:pPr>
      <w:r w:rsidRPr="4B1BC37D">
        <w:rPr>
          <w:szCs w:val="24"/>
        </w:rPr>
        <w:t xml:space="preserve">40 CFR 790, the confidentiality provision of rules concerning </w:t>
      </w:r>
      <w:r>
        <w:rPr>
          <w:szCs w:val="24"/>
        </w:rPr>
        <w:t>section</w:t>
      </w:r>
      <w:r w:rsidRPr="4B1BC37D">
        <w:rPr>
          <w:szCs w:val="24"/>
        </w:rPr>
        <w:t xml:space="preserve"> 4 test rules, orders, and agreements.</w:t>
      </w:r>
    </w:p>
    <w:p w:rsidR="007E1376" w:rsidRPr="002C15B1" w14:paraId="370A4507" w14:textId="3224BA7E">
      <w:pPr>
        <w:rPr>
          <w:rFonts w:cs="Arial"/>
        </w:rPr>
      </w:pPr>
      <w:r w:rsidRPr="7A77DD14">
        <w:rPr>
          <w:rFonts w:cs="Arial"/>
        </w:rPr>
        <w:t xml:space="preserve">The full text of </w:t>
      </w:r>
      <w:r w:rsidR="008817D2">
        <w:rPr>
          <w:rFonts w:cs="Arial"/>
        </w:rPr>
        <w:t>the</w:t>
      </w:r>
      <w:r w:rsidRPr="7A77DD14" w:rsidR="12784327">
        <w:rPr>
          <w:rFonts w:cs="Arial"/>
        </w:rPr>
        <w:t xml:space="preserve"> regulations</w:t>
      </w:r>
      <w:r w:rsidRPr="7A77DD14" w:rsidR="7D28B0F4">
        <w:rPr>
          <w:rFonts w:cs="Arial"/>
        </w:rPr>
        <w:t xml:space="preserve"> are</w:t>
      </w:r>
      <w:r w:rsidRPr="7A77DD14">
        <w:rPr>
          <w:rFonts w:cs="Arial"/>
        </w:rPr>
        <w:t xml:space="preserve"> pro</w:t>
      </w:r>
      <w:r w:rsidRPr="7A77DD14">
        <w:rPr>
          <w:rFonts w:cs="Arial"/>
        </w:rPr>
        <w:t xml:space="preserve">vided in </w:t>
      </w:r>
      <w:r w:rsidRPr="000E304B">
        <w:rPr>
          <w:rFonts w:cs="Arial"/>
        </w:rPr>
        <w:t xml:space="preserve">Attachment </w:t>
      </w:r>
      <w:r w:rsidRPr="000E304B" w:rsidR="12784327">
        <w:rPr>
          <w:rFonts w:cs="Arial"/>
        </w:rPr>
        <w:t>1</w:t>
      </w:r>
      <w:r w:rsidRPr="7A77DD14">
        <w:rPr>
          <w:rFonts w:cs="Arial"/>
        </w:rPr>
        <w:t>.</w:t>
      </w:r>
    </w:p>
    <w:p w:rsidR="000D5E31" w:rsidP="002059F4" w14:paraId="36FA8BB3" w14:textId="6F2DD02D">
      <w:pPr>
        <w:pStyle w:val="Heading2"/>
        <w:ind w:left="360"/>
      </w:pPr>
      <w:r w:rsidRPr="00E00E93">
        <w:t>Indicate how, by whom, and for what purpose the information is to be used.  Except for a new collection, indicate the actual use the Agency has made of the information received from the current collection</w:t>
      </w:r>
      <w:bookmarkEnd w:id="5"/>
      <w:r w:rsidR="00945215">
        <w:t xml:space="preserve">. </w:t>
      </w:r>
    </w:p>
    <w:p w:rsidR="00945215" w:rsidRPr="00945215" w:rsidP="000173B9" w14:paraId="4B984BDA" w14:textId="3902AA33">
      <w:r w:rsidRPr="67298E06">
        <w:t>The rule</w:t>
      </w:r>
      <w:r w:rsidR="0063003D">
        <w:t xml:space="preserve"> applies </w:t>
      </w:r>
      <w:r w:rsidRPr="67298E06">
        <w:t xml:space="preserve">broadly to any </w:t>
      </w:r>
      <w:r>
        <w:t xml:space="preserve">information </w:t>
      </w:r>
      <w:r w:rsidRPr="002A688D">
        <w:t xml:space="preserve">that is reported to, or otherwise obtained by, the </w:t>
      </w:r>
      <w:r>
        <w:t>Agency under</w:t>
      </w:r>
      <w:r w:rsidRPr="002A688D">
        <w:t xml:space="preserve"> </w:t>
      </w:r>
      <w:r w:rsidRPr="67298E06">
        <w:t>TSCA. This includes</w:t>
      </w:r>
      <w:r>
        <w:t>, for example,</w:t>
      </w:r>
      <w:r w:rsidRPr="67298E06">
        <w:t xml:space="preserve"> information that is submitted pursuant to a requirement of TSCA or its implementing regulations (e.g., a section 5 Premanufacture N</w:t>
      </w:r>
      <w:r w:rsidRPr="67298E06">
        <w:t>otificatio</w:t>
      </w:r>
      <w:r w:rsidR="002F4E42">
        <w:t>n</w:t>
      </w:r>
      <w:r w:rsidRPr="67298E06">
        <w:t xml:space="preserve"> (PMN) or a section 8(e) notice of substantial risk), information that is collected in the course of a TSCA inspection or other TSCA enforcement-related activity, materials that are subpoenaed pursuant to TSCA, and any other information submitte</w:t>
      </w:r>
      <w:r w:rsidRPr="67298E06">
        <w:t>d to or obtained by EPA that is used to satisfy a TSCA obligation, or used by EPA to carry out its responsibilities under TSCA.</w:t>
      </w:r>
    </w:p>
    <w:p w:rsidR="000D5E31" w:rsidP="002059F4" w14:paraId="44CE1C5B" w14:textId="40B1619A">
      <w:pPr>
        <w:pStyle w:val="Heading2"/>
        <w:ind w:left="360"/>
      </w:pPr>
      <w:r w:rsidRPr="00E00E93">
        <w:t>Describe whether, and to what extent, the collection of information involves the use of automated, electronic, mechanical, or ot</w:t>
      </w:r>
      <w:r w:rsidRPr="00E00E93">
        <w: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002C15B1" w:rsidRPr="00685364" w14:paraId="7B62FE7A" w14:textId="409234AF">
      <w:pPr>
        <w:rPr>
          <w:rFonts w:cs="Arial"/>
          <w:szCs w:val="24"/>
        </w:rPr>
      </w:pPr>
      <w:r w:rsidRPr="00685364">
        <w:rPr>
          <w:rFonts w:cs="Arial"/>
          <w:szCs w:val="24"/>
        </w:rPr>
        <w:t>This</w:t>
      </w:r>
      <w:r w:rsidR="00263F84">
        <w:rPr>
          <w:rFonts w:cs="Arial"/>
          <w:szCs w:val="24"/>
        </w:rPr>
        <w:t xml:space="preserve"> </w:t>
      </w:r>
      <w:r w:rsidRPr="00685364">
        <w:rPr>
          <w:rFonts w:cs="Arial"/>
          <w:szCs w:val="24"/>
        </w:rPr>
        <w:t xml:space="preserve">rule </w:t>
      </w:r>
      <w:r w:rsidR="00263F84">
        <w:rPr>
          <w:rFonts w:cs="Arial"/>
          <w:szCs w:val="24"/>
        </w:rPr>
        <w:t>requir</w:t>
      </w:r>
      <w:r w:rsidR="008817D2">
        <w:rPr>
          <w:rFonts w:cs="Arial"/>
          <w:szCs w:val="24"/>
        </w:rPr>
        <w:t>es</w:t>
      </w:r>
      <w:r w:rsidRPr="00685364">
        <w:rPr>
          <w:rFonts w:cs="Arial"/>
          <w:szCs w:val="24"/>
        </w:rPr>
        <w:t xml:space="preserve"> electronic reporting for substantiation claims for the following provisions: </w:t>
      </w:r>
    </w:p>
    <w:p w:rsidR="00685364" w:rsidRPr="000173B9" w:rsidP="000E304B" w14:paraId="21337F4B" w14:textId="5D7980DE">
      <w:pPr>
        <w:pStyle w:val="NormalWeb"/>
        <w:numPr>
          <w:ilvl w:val="0"/>
          <w:numId w:val="24"/>
        </w:numPr>
        <w:shd w:val="clear" w:color="auto" w:fill="FFFFFF"/>
        <w:rPr>
          <w:rFonts w:ascii="Arial" w:eastAsia="Times New Roman" w:hAnsi="Arial" w:cs="Arial"/>
          <w:color w:val="212121"/>
        </w:rPr>
      </w:pPr>
      <w:r w:rsidRPr="000173B9">
        <w:rPr>
          <w:rFonts w:ascii="Arial" w:hAnsi="Arial" w:cs="Arial"/>
        </w:rPr>
        <w:t xml:space="preserve">TSCA section 4 </w:t>
      </w:r>
      <w:r w:rsidRPr="00655EA0">
        <w:rPr>
          <w:rFonts w:ascii="Arial" w:hAnsi="Arial" w:cs="Arial"/>
        </w:rPr>
        <w:t>allow</w:t>
      </w:r>
      <w:r w:rsidR="004F05FB">
        <w:rPr>
          <w:rFonts w:ascii="Arial" w:hAnsi="Arial" w:cs="Arial"/>
        </w:rPr>
        <w:t>s</w:t>
      </w:r>
      <w:r w:rsidRPr="00655EA0">
        <w:rPr>
          <w:rFonts w:ascii="Arial" w:hAnsi="Arial" w:cs="Arial"/>
        </w:rPr>
        <w:t xml:space="preserve"> the Agency to </w:t>
      </w:r>
      <w:r w:rsidRPr="007A23B4">
        <w:rPr>
          <w:rFonts w:ascii="Arial" w:eastAsia="Times New Roman" w:hAnsi="Arial" w:cs="Arial"/>
          <w:color w:val="212121"/>
        </w:rPr>
        <w:t>issue a</w:t>
      </w:r>
      <w:r w:rsidR="004F05FB">
        <w:rPr>
          <w:rFonts w:ascii="Arial" w:eastAsia="Times New Roman" w:hAnsi="Arial" w:cs="Arial"/>
          <w:color w:val="212121"/>
        </w:rPr>
        <w:t xml:space="preserve"> rule or</w:t>
      </w:r>
      <w:r w:rsidRPr="007A23B4">
        <w:rPr>
          <w:rFonts w:ascii="Arial" w:eastAsia="Times New Roman" w:hAnsi="Arial" w:cs="Arial"/>
          <w:color w:val="212121"/>
        </w:rPr>
        <w:t xml:space="preserve"> order requiring the development of information on a chemical if EPA finds that the chemical may present an unreasonable risk of injury to health or the environment and such information is needed to determine whether the chemical presents such an unreasona</w:t>
      </w:r>
      <w:r w:rsidRPr="000173B9">
        <w:rPr>
          <w:rFonts w:eastAsia="Times New Roman" w:cs="Arial"/>
          <w:color w:val="212121"/>
        </w:rPr>
        <w:t>ble risk.  </w:t>
      </w:r>
      <w:r w:rsidRPr="000173B9">
        <w:rPr>
          <w:rFonts w:ascii="Arial" w:eastAsia="Times New Roman" w:hAnsi="Arial" w:cs="Arial"/>
          <w:color w:val="212121"/>
        </w:rPr>
        <w:t>EPA may also issue a</w:t>
      </w:r>
      <w:r w:rsidR="004F05FB">
        <w:rPr>
          <w:rFonts w:ascii="Arial" w:eastAsia="Times New Roman" w:hAnsi="Arial" w:cs="Arial"/>
          <w:color w:val="212121"/>
        </w:rPr>
        <w:t xml:space="preserve"> rule or </w:t>
      </w:r>
      <w:r w:rsidRPr="000173B9">
        <w:rPr>
          <w:rFonts w:ascii="Arial" w:eastAsia="Times New Roman" w:hAnsi="Arial" w:cs="Arial"/>
          <w:color w:val="212121"/>
        </w:rPr>
        <w:t>order under section 4(a)(2) requiring the development of information: </w:t>
      </w:r>
    </w:p>
    <w:p w:rsidR="00685364" w:rsidRPr="00685364" w:rsidP="000E304B" w14:paraId="199D2408" w14:textId="77777777">
      <w:pPr>
        <w:pStyle w:val="NormalWeb"/>
        <w:numPr>
          <w:ilvl w:val="1"/>
          <w:numId w:val="24"/>
        </w:numPr>
        <w:shd w:val="clear" w:color="auto" w:fill="FFFFFF"/>
        <w:rPr>
          <w:rFonts w:ascii="Arial" w:eastAsia="Times New Roman" w:hAnsi="Arial" w:cs="Arial"/>
          <w:color w:val="212121"/>
        </w:rPr>
      </w:pPr>
      <w:r w:rsidRPr="00685364">
        <w:rPr>
          <w:rFonts w:ascii="Arial" w:eastAsia="Times New Roman" w:hAnsi="Arial" w:cs="Arial"/>
          <w:color w:val="212121"/>
        </w:rPr>
        <w:t>to review a notice submitted under TSCA section 5 or to perform a risk evaluation under TSCA section 6(b); </w:t>
      </w:r>
    </w:p>
    <w:p w:rsidR="00685364" w:rsidRPr="00685364" w:rsidP="000E304B" w14:paraId="62A84C41" w14:textId="77777777">
      <w:pPr>
        <w:pStyle w:val="NormalWeb"/>
        <w:numPr>
          <w:ilvl w:val="1"/>
          <w:numId w:val="24"/>
        </w:numPr>
        <w:shd w:val="clear" w:color="auto" w:fill="FFFFFF"/>
        <w:rPr>
          <w:rFonts w:ascii="Arial" w:eastAsia="Times New Roman" w:hAnsi="Arial" w:cs="Arial"/>
          <w:color w:val="212121"/>
        </w:rPr>
      </w:pPr>
      <w:r w:rsidRPr="00685364">
        <w:rPr>
          <w:rFonts w:ascii="Arial" w:eastAsia="Times New Roman" w:hAnsi="Arial" w:cs="Arial"/>
          <w:color w:val="212121"/>
        </w:rPr>
        <w:t>to implement a requirement imposed in</w:t>
      </w:r>
      <w:r w:rsidRPr="00685364">
        <w:rPr>
          <w:rFonts w:ascii="Arial" w:eastAsia="Times New Roman" w:hAnsi="Arial" w:cs="Arial"/>
          <w:color w:val="212121"/>
        </w:rPr>
        <w:t xml:space="preserve"> a rule, order, or consent agreement under TSCA section 5(e) or (f), or in a rule promulgated under section 6(a); </w:t>
      </w:r>
    </w:p>
    <w:p w:rsidR="00685364" w:rsidRPr="00685364" w:rsidP="000E304B" w14:paraId="52A7555E" w14:textId="77777777">
      <w:pPr>
        <w:pStyle w:val="NormalWeb"/>
        <w:numPr>
          <w:ilvl w:val="1"/>
          <w:numId w:val="24"/>
        </w:numPr>
        <w:shd w:val="clear" w:color="auto" w:fill="FFFFFF"/>
        <w:rPr>
          <w:rFonts w:ascii="Arial" w:eastAsia="Times New Roman" w:hAnsi="Arial" w:cs="Arial"/>
          <w:color w:val="212121"/>
        </w:rPr>
      </w:pPr>
      <w:r w:rsidRPr="00685364">
        <w:rPr>
          <w:rFonts w:ascii="Arial" w:eastAsia="Times New Roman" w:hAnsi="Arial" w:cs="Arial"/>
          <w:color w:val="212121"/>
        </w:rPr>
        <w:t>at the request of a Federal implementing authority under another Federal law, to meet the regulatory testing needs of that authority with reg</w:t>
      </w:r>
      <w:r w:rsidRPr="00685364">
        <w:rPr>
          <w:rFonts w:ascii="Arial" w:eastAsia="Times New Roman" w:hAnsi="Arial" w:cs="Arial"/>
          <w:color w:val="212121"/>
        </w:rPr>
        <w:t>ard to toxicity and exposure; </w:t>
      </w:r>
    </w:p>
    <w:p w:rsidR="00685364" w:rsidRPr="00685364" w:rsidP="000E304B" w14:paraId="575911B5" w14:textId="77777777">
      <w:pPr>
        <w:pStyle w:val="NormalWeb"/>
        <w:numPr>
          <w:ilvl w:val="1"/>
          <w:numId w:val="24"/>
        </w:numPr>
        <w:shd w:val="clear" w:color="auto" w:fill="FFFFFF"/>
        <w:rPr>
          <w:rFonts w:ascii="Arial" w:eastAsia="Times New Roman" w:hAnsi="Arial" w:cs="Arial"/>
          <w:color w:val="212121"/>
        </w:rPr>
      </w:pPr>
      <w:r w:rsidRPr="00685364">
        <w:rPr>
          <w:rFonts w:ascii="Arial" w:eastAsia="Times New Roman" w:hAnsi="Arial" w:cs="Arial"/>
          <w:color w:val="212121"/>
        </w:rPr>
        <w:t xml:space="preserve">to determine if a chemical substance or mixture manufactured, processed, or distributed in commerce solely for export presents an unreasonable risk of injury to health or the environment in the U.S., pursuant to TSCA section </w:t>
      </w:r>
      <w:r w:rsidRPr="00685364">
        <w:rPr>
          <w:rFonts w:ascii="Arial" w:eastAsia="Times New Roman" w:hAnsi="Arial" w:cs="Arial"/>
          <w:color w:val="212121"/>
        </w:rPr>
        <w:t>12(a)(2); and </w:t>
      </w:r>
    </w:p>
    <w:p w:rsidR="002C15B1" w:rsidRPr="00E644F5" w:rsidP="000E304B" w14:paraId="4B1464C9" w14:textId="1B61E1DC">
      <w:pPr>
        <w:pStyle w:val="NormalWeb"/>
        <w:numPr>
          <w:ilvl w:val="1"/>
          <w:numId w:val="24"/>
        </w:numPr>
        <w:shd w:val="clear" w:color="auto" w:fill="FFFFFF"/>
        <w:rPr>
          <w:rFonts w:ascii="Arial" w:eastAsia="Times New Roman" w:hAnsi="Arial" w:cs="Arial"/>
          <w:color w:val="212121"/>
        </w:rPr>
      </w:pPr>
      <w:r w:rsidRPr="00685364">
        <w:rPr>
          <w:rFonts w:ascii="Arial" w:eastAsia="Times New Roman" w:hAnsi="Arial" w:cs="Arial"/>
          <w:color w:val="212121"/>
        </w:rPr>
        <w:t>to prioritize a chemical substance under TSCA section 6(b) (subject to certain limitations). </w:t>
      </w:r>
    </w:p>
    <w:p w:rsidR="00685364" w:rsidP="0059573C" w14:paraId="2BCA8279" w14:textId="2C7B7E70">
      <w:pPr>
        <w:pStyle w:val="ListParagraph"/>
        <w:numPr>
          <w:ilvl w:val="0"/>
          <w:numId w:val="8"/>
        </w:numPr>
        <w:rPr>
          <w:rFonts w:cs="Arial"/>
          <w:szCs w:val="24"/>
        </w:rPr>
      </w:pPr>
      <w:r w:rsidRPr="00685364">
        <w:rPr>
          <w:rFonts w:cs="Arial"/>
          <w:szCs w:val="24"/>
        </w:rPr>
        <w:t>TSCA section 5 – Premanufacture Notices</w:t>
      </w:r>
      <w:r w:rsidRPr="00685364" w:rsidR="00A07A9B">
        <w:rPr>
          <w:rFonts w:cs="Arial"/>
          <w:szCs w:val="24"/>
        </w:rPr>
        <w:t xml:space="preserve">, </w:t>
      </w:r>
      <w:r w:rsidR="00E644F5">
        <w:rPr>
          <w:rFonts w:cs="Arial"/>
          <w:szCs w:val="24"/>
        </w:rPr>
        <w:t xml:space="preserve">Notices of </w:t>
      </w:r>
      <w:r w:rsidR="00391C7B">
        <w:rPr>
          <w:rFonts w:cs="Arial"/>
          <w:szCs w:val="24"/>
        </w:rPr>
        <w:t>Commencement of Manufacturer or Import</w:t>
      </w:r>
      <w:r w:rsidR="00E644F5">
        <w:rPr>
          <w:rFonts w:cs="Arial"/>
          <w:szCs w:val="24"/>
        </w:rPr>
        <w:t xml:space="preserve">, </w:t>
      </w:r>
      <w:r w:rsidRPr="00685364">
        <w:rPr>
          <w:rFonts w:cs="Arial"/>
          <w:szCs w:val="24"/>
        </w:rPr>
        <w:t>Polymer Exemptions</w:t>
      </w:r>
      <w:r w:rsidRPr="00685364" w:rsidR="00A605F5">
        <w:rPr>
          <w:rFonts w:cs="Arial"/>
          <w:szCs w:val="24"/>
        </w:rPr>
        <w:t xml:space="preserve">, Low Volume Exemptions, and </w:t>
      </w:r>
      <w:r w:rsidRPr="00685364">
        <w:rPr>
          <w:rFonts w:cs="Arial"/>
          <w:szCs w:val="24"/>
        </w:rPr>
        <w:t>Low Release and Low Exposure</w:t>
      </w:r>
      <w:r w:rsidR="00391C7B">
        <w:rPr>
          <w:rFonts w:cs="Arial"/>
          <w:szCs w:val="24"/>
        </w:rPr>
        <w:t>, and microorganisms</w:t>
      </w:r>
      <w:r>
        <w:rPr>
          <w:rFonts w:cs="Arial"/>
          <w:szCs w:val="24"/>
        </w:rPr>
        <w:t>:</w:t>
      </w:r>
      <w:r w:rsidRPr="00685364">
        <w:rPr>
          <w:rFonts w:cs="Arial"/>
          <w:szCs w:val="24"/>
        </w:rPr>
        <w:t xml:space="preserve"> </w:t>
      </w:r>
    </w:p>
    <w:p w:rsidR="0059573C" w:rsidP="000E304B" w14:paraId="18AE65E8" w14:textId="77777777">
      <w:pPr>
        <w:pStyle w:val="ListParagraph"/>
        <w:rPr>
          <w:rFonts w:cs="Arial"/>
          <w:szCs w:val="24"/>
        </w:rPr>
      </w:pPr>
    </w:p>
    <w:p w:rsidR="00391C7B" w:rsidRPr="00391C7B" w:rsidP="000E304B" w14:paraId="48EE049D" w14:textId="1951A4B6">
      <w:pPr>
        <w:pStyle w:val="ListParagraph"/>
        <w:numPr>
          <w:ilvl w:val="1"/>
          <w:numId w:val="8"/>
        </w:numPr>
        <w:rPr>
          <w:rFonts w:cs="Arial"/>
          <w:szCs w:val="24"/>
        </w:rPr>
      </w:pPr>
      <w:r w:rsidRPr="00685364">
        <w:rPr>
          <w:rFonts w:cs="Arial"/>
        </w:rPr>
        <w:t xml:space="preserve">TSCA section 5(a) (15 U.S.C. 2604(a)(1)(B)(i)), requires manufacturers (which includes importers) of new chemical substances to submit to </w:t>
      </w:r>
      <w:r w:rsidR="002E1ED1">
        <w:rPr>
          <w:rFonts w:cs="Arial"/>
        </w:rPr>
        <w:t xml:space="preserve">EPA </w:t>
      </w:r>
      <w:r w:rsidR="00B253ED">
        <w:rPr>
          <w:rFonts w:cs="Arial"/>
        </w:rPr>
        <w:t>notice</w:t>
      </w:r>
      <w:r w:rsidRPr="00685364">
        <w:rPr>
          <w:rFonts w:cs="Arial"/>
        </w:rPr>
        <w:t xml:space="preserve"> of intent to manufacture a</w:t>
      </w:r>
      <w:r w:rsidRPr="00685364">
        <w:rPr>
          <w:rFonts w:cs="Arial"/>
        </w:rPr>
        <w:t xml:space="preserve"> new chemical substance at least 90 days before manufacture begins. TSCA section 5(a)(1) also requires notification from any person who proposes to manufacture or process a chemical substance for a use that EPA has by rule determined to be a significant ne</w:t>
      </w:r>
      <w:r w:rsidRPr="00685364">
        <w:rPr>
          <w:rFonts w:cs="Arial"/>
        </w:rPr>
        <w:t xml:space="preserve">w use. The notice must include, insofar as known or reasonably ascertainable by the submitter, information described in TSCA section 8(a)(2) (e.g., chemical identity, use and exposure information), plus test </w:t>
      </w:r>
      <w:r w:rsidRPr="00391C7B">
        <w:rPr>
          <w:rFonts w:cs="Arial"/>
          <w:szCs w:val="24"/>
        </w:rPr>
        <w:t>information and descriptions of other informatio</w:t>
      </w:r>
      <w:r w:rsidRPr="00391C7B">
        <w:rPr>
          <w:rFonts w:cs="Arial"/>
          <w:szCs w:val="24"/>
        </w:rPr>
        <w:t>n related to the effects on health and the environment of the manufacture, processing, use, distribution in commerce and disposal of the new chemical substance.</w:t>
      </w:r>
    </w:p>
    <w:p w:rsidR="0059573C" w:rsidRPr="000E304B" w:rsidP="000E304B" w14:paraId="22944082" w14:textId="77777777">
      <w:pPr>
        <w:pStyle w:val="ListParagraph"/>
        <w:ind w:left="1440"/>
        <w:rPr>
          <w:rFonts w:cs="Arial"/>
          <w:szCs w:val="24"/>
        </w:rPr>
      </w:pPr>
    </w:p>
    <w:p w:rsidR="00E644F5" w:rsidRPr="00391C7B" w:rsidP="000E304B" w14:paraId="4743B9E1" w14:textId="42E33C7C">
      <w:pPr>
        <w:pStyle w:val="ListParagraph"/>
        <w:numPr>
          <w:ilvl w:val="1"/>
          <w:numId w:val="8"/>
        </w:numPr>
        <w:rPr>
          <w:rFonts w:cs="Arial"/>
          <w:szCs w:val="24"/>
        </w:rPr>
      </w:pPr>
      <w:r w:rsidRPr="00391C7B">
        <w:rPr>
          <w:rFonts w:eastAsia="Times New Roman" w:cs="Arial"/>
          <w:color w:val="212121"/>
          <w:szCs w:val="24"/>
        </w:rPr>
        <w:t xml:space="preserve">After PMN review has been completed, the company that submitted the PMN must provide a Notice </w:t>
      </w:r>
      <w:r w:rsidRPr="00391C7B">
        <w:rPr>
          <w:rFonts w:eastAsia="Times New Roman" w:cs="Arial"/>
          <w:color w:val="212121"/>
          <w:szCs w:val="24"/>
        </w:rPr>
        <w:t xml:space="preserve">of Commencement of Manufacture or Import (NOC) to EPA within 30 calendar days of the date the substance is first manufactured or imported for nonexempt commercial purposes. Once a complete NOC is received by EPA, the reported substance is considered to be </w:t>
      </w:r>
      <w:r w:rsidRPr="00391C7B">
        <w:rPr>
          <w:rFonts w:eastAsia="Times New Roman" w:cs="Arial"/>
          <w:color w:val="212121"/>
          <w:szCs w:val="24"/>
        </w:rPr>
        <w:t>on the Inventory and becomes an “existing chemical.” </w:t>
      </w:r>
    </w:p>
    <w:p w:rsidR="006B3C71" w:rsidRPr="00685364" w:rsidP="000E304B" w14:paraId="2400037C" w14:textId="3E9C3FDE">
      <w:pPr>
        <w:pStyle w:val="ListBullet"/>
        <w:numPr>
          <w:ilvl w:val="1"/>
          <w:numId w:val="8"/>
        </w:numPr>
        <w:spacing w:after="200" w:line="276" w:lineRule="auto"/>
        <w:rPr>
          <w:rFonts w:ascii="Arial" w:hAnsi="Arial" w:cs="Arial"/>
        </w:rPr>
      </w:pPr>
      <w:r w:rsidRPr="00391C7B">
        <w:rPr>
          <w:rFonts w:ascii="Arial" w:hAnsi="Arial" w:cs="Arial"/>
        </w:rPr>
        <w:t>Polymer Exemption</w:t>
      </w:r>
      <w:r w:rsidRPr="00391C7B" w:rsidR="00685364">
        <w:rPr>
          <w:rFonts w:ascii="Arial" w:hAnsi="Arial" w:cs="Arial"/>
        </w:rPr>
        <w:t xml:space="preserve"> </w:t>
      </w:r>
      <w:r w:rsidRPr="00391C7B">
        <w:rPr>
          <w:rFonts w:ascii="Arial" w:hAnsi="Arial" w:cs="Arial"/>
        </w:rPr>
        <w:t>applies to polymers that comply with certain chemical characterizations and that therefore will not present an unreasonable</w:t>
      </w:r>
      <w:r w:rsidRPr="00685364">
        <w:rPr>
          <w:rFonts w:ascii="Arial" w:hAnsi="Arial" w:cs="Arial"/>
        </w:rPr>
        <w:t xml:space="preserve"> risk of injury to health or the environment. See 40 CFR 723.250.  </w:t>
      </w:r>
    </w:p>
    <w:p w:rsidR="00391C7B" w:rsidRPr="00391C7B" w:rsidP="000E304B" w14:paraId="395DF64D" w14:textId="77777777">
      <w:pPr>
        <w:pStyle w:val="ListBullet"/>
        <w:numPr>
          <w:ilvl w:val="1"/>
          <w:numId w:val="8"/>
        </w:numPr>
        <w:spacing w:after="200" w:line="276" w:lineRule="auto"/>
        <w:rPr>
          <w:rFonts w:ascii="Arial" w:hAnsi="Arial" w:cs="Arial"/>
        </w:rPr>
      </w:pPr>
      <w:r w:rsidRPr="00391C7B">
        <w:rPr>
          <w:rFonts w:ascii="Arial" w:hAnsi="Arial" w:cs="Arial"/>
        </w:rPr>
        <w:t xml:space="preserve">Low volume exemptions </w:t>
      </w:r>
      <w:r w:rsidRPr="00391C7B" w:rsidR="00853D25">
        <w:rPr>
          <w:rFonts w:ascii="Arial" w:hAnsi="Arial" w:cs="Arial"/>
        </w:rPr>
        <w:t xml:space="preserve">(LVEs) </w:t>
      </w:r>
      <w:r w:rsidRPr="00391C7B">
        <w:rPr>
          <w:rFonts w:ascii="Arial" w:hAnsi="Arial" w:cs="Arial"/>
        </w:rPr>
        <w:t xml:space="preserve">and </w:t>
      </w:r>
      <w:r w:rsidRPr="00391C7B" w:rsidR="00853D25">
        <w:rPr>
          <w:rFonts w:ascii="Arial" w:hAnsi="Arial" w:cs="Arial"/>
        </w:rPr>
        <w:t>low release and low exposures (LoREXs)</w:t>
      </w:r>
      <w:r w:rsidRPr="00391C7B" w:rsidR="00685364">
        <w:rPr>
          <w:rFonts w:ascii="Arial" w:hAnsi="Arial" w:cs="Arial"/>
        </w:rPr>
        <w:t xml:space="preserve"> applies to c</w:t>
      </w:r>
      <w:r w:rsidRPr="00391C7B" w:rsidR="00853D25">
        <w:rPr>
          <w:rFonts w:ascii="Arial" w:hAnsi="Arial" w:cs="Arial"/>
          <w:color w:val="212121"/>
          <w:shd w:val="clear" w:color="auto" w:fill="FFFFFF"/>
        </w:rPr>
        <w:t>ertain categories of new low-volume chemical substances are exempt from full PMN review, i.e., chemicals manufactured at 10,000 kg/year or less. LVE substances undergo a 30-day review. Pursuant to section 5(h)(4) and section 26 of the Toxic Substances Control Act (TSCA), EPA established an exemption category for certain new chemical substances with low environmental releases and human exposures.</w:t>
      </w:r>
    </w:p>
    <w:p w:rsidR="00E644F5" w:rsidRPr="00391C7B" w:rsidP="000E304B" w14:paraId="587CABCC" w14:textId="5F76CF30">
      <w:pPr>
        <w:pStyle w:val="ListBullet"/>
        <w:numPr>
          <w:ilvl w:val="1"/>
          <w:numId w:val="8"/>
        </w:numPr>
        <w:spacing w:after="200" w:line="276" w:lineRule="auto"/>
        <w:rPr>
          <w:rFonts w:ascii="Arial" w:hAnsi="Arial" w:cs="Arial"/>
        </w:rPr>
      </w:pPr>
      <w:r w:rsidRPr="00391C7B">
        <w:rPr>
          <w:rFonts w:ascii="Arial" w:hAnsi="Arial" w:cs="Arial"/>
          <w:color w:val="212121"/>
          <w:shd w:val="clear" w:color="auto" w:fill="FFFFFF"/>
        </w:rPr>
        <w:t>Micro</w:t>
      </w:r>
      <w:r w:rsidRPr="00391C7B" w:rsidR="00391C7B">
        <w:rPr>
          <w:rFonts w:ascii="Arial" w:hAnsi="Arial" w:cs="Arial"/>
          <w:color w:val="212121"/>
          <w:shd w:val="clear" w:color="auto" w:fill="FFFFFF"/>
        </w:rPr>
        <w:t>o</w:t>
      </w:r>
      <w:r w:rsidRPr="00391C7B">
        <w:rPr>
          <w:rFonts w:ascii="Arial" w:hAnsi="Arial" w:cs="Arial"/>
          <w:color w:val="212121"/>
          <w:shd w:val="clear" w:color="auto" w:fill="FFFFFF"/>
        </w:rPr>
        <w:t xml:space="preserve">rganisms </w:t>
      </w:r>
      <w:r w:rsidRPr="00391C7B" w:rsidR="00391C7B">
        <w:rPr>
          <w:rFonts w:ascii="Arial" w:hAnsi="Arial" w:cs="Arial"/>
          <w:color w:val="212121"/>
          <w:shd w:val="clear" w:color="auto" w:fill="FFFFFF"/>
        </w:rPr>
        <w:t>applies to EPA’s premanufacture screening program for new microorganisms under section 5 of TSCA.  EPA considers intergeneric microorganisms to be those formed from organisms in different genera or those formed with synthetic DNA not from the same genus.</w:t>
      </w:r>
    </w:p>
    <w:p w:rsidR="008A237D" w:rsidP="00BA527C" w14:paraId="2BDBA234" w14:textId="5E8B1CAF">
      <w:pPr>
        <w:pStyle w:val="ListParagraph"/>
        <w:numPr>
          <w:ilvl w:val="0"/>
          <w:numId w:val="8"/>
        </w:numPr>
        <w:rPr>
          <w:rFonts w:cs="Arial"/>
          <w:szCs w:val="24"/>
        </w:rPr>
      </w:pPr>
      <w:r w:rsidRPr="00685364">
        <w:rPr>
          <w:rFonts w:cs="Arial"/>
          <w:szCs w:val="24"/>
        </w:rPr>
        <w:t>TSCA section 8(</w:t>
      </w:r>
      <w:r>
        <w:rPr>
          <w:rFonts w:cs="Arial"/>
          <w:szCs w:val="24"/>
        </w:rPr>
        <w:t>a</w:t>
      </w:r>
      <w:r w:rsidRPr="00685364">
        <w:rPr>
          <w:rFonts w:cs="Arial"/>
          <w:szCs w:val="24"/>
        </w:rPr>
        <w:t xml:space="preserve">) </w:t>
      </w:r>
      <w:r>
        <w:rPr>
          <w:rFonts w:cs="Arial"/>
          <w:szCs w:val="24"/>
        </w:rPr>
        <w:t>authorizes rules</w:t>
      </w:r>
      <w:r w:rsidRPr="00685364">
        <w:rPr>
          <w:rFonts w:cs="Arial"/>
          <w:szCs w:val="24"/>
        </w:rPr>
        <w:t xml:space="preserve"> requir</w:t>
      </w:r>
      <w:r>
        <w:rPr>
          <w:rFonts w:cs="Arial"/>
          <w:szCs w:val="24"/>
        </w:rPr>
        <w:t>ing</w:t>
      </w:r>
      <w:r w:rsidRPr="00685364">
        <w:rPr>
          <w:rFonts w:cs="Arial"/>
          <w:szCs w:val="24"/>
        </w:rPr>
        <w:t xml:space="preserve"> industry to provide EPA with documentation regarding chemical production, manufacture, distribution, use, disposal, import, and export.</w:t>
      </w:r>
    </w:p>
    <w:p w:rsidR="008817D2" w:rsidP="008817D2" w14:paraId="3AE20037" w14:textId="77777777">
      <w:pPr>
        <w:pStyle w:val="ListParagraph"/>
        <w:rPr>
          <w:rFonts w:cs="Arial"/>
          <w:szCs w:val="24"/>
        </w:rPr>
      </w:pPr>
    </w:p>
    <w:p w:rsidR="00E644F5" w:rsidRPr="00E644F5" w:rsidP="000E304B" w14:paraId="5F223D69" w14:textId="7F10999C">
      <w:pPr>
        <w:pStyle w:val="ListParagraph"/>
        <w:numPr>
          <w:ilvl w:val="0"/>
          <w:numId w:val="8"/>
        </w:numPr>
        <w:rPr>
          <w:rFonts w:cs="Arial"/>
          <w:szCs w:val="24"/>
        </w:rPr>
      </w:pPr>
      <w:r>
        <w:rPr>
          <w:rFonts w:cs="Arial"/>
          <w:szCs w:val="24"/>
        </w:rPr>
        <w:t xml:space="preserve">A </w:t>
      </w:r>
      <w:r w:rsidRPr="00391C7B">
        <w:rPr>
          <w:rFonts w:cs="Arial"/>
          <w:szCs w:val="24"/>
        </w:rPr>
        <w:t xml:space="preserve">TSCA section 8(c) </w:t>
      </w:r>
      <w:r w:rsidRPr="00391C7B">
        <w:rPr>
          <w:rFonts w:cs="Arial"/>
          <w:color w:val="212121"/>
          <w:szCs w:val="24"/>
          <w:shd w:val="clear" w:color="auto" w:fill="FFFFFF"/>
        </w:rPr>
        <w:t>rule requires</w:t>
      </w:r>
      <w:r w:rsidRPr="00E644F5">
        <w:rPr>
          <w:rFonts w:cs="Arial"/>
          <w:color w:val="212121"/>
          <w:szCs w:val="24"/>
          <w:shd w:val="clear" w:color="auto" w:fill="FFFFFF"/>
        </w:rPr>
        <w:t xml:space="preserve"> producers, importers, and certain processors of chemical substances and mixtures to keep records concerning significant adverse reaction allegations and report those records to EPA upon notice in the </w:t>
      </w:r>
      <w:r w:rsidRPr="00E644F5">
        <w:rPr>
          <w:rStyle w:val="Strong"/>
          <w:rFonts w:cs="Arial"/>
          <w:b w:val="0"/>
          <w:bCs w:val="0"/>
          <w:color w:val="212121"/>
          <w:szCs w:val="24"/>
          <w:shd w:val="clear" w:color="auto" w:fill="FFFFFF"/>
        </w:rPr>
        <w:t>Federal Register</w:t>
      </w:r>
      <w:r w:rsidRPr="00E644F5">
        <w:rPr>
          <w:rFonts w:cs="Arial"/>
          <w:color w:val="212121"/>
          <w:szCs w:val="24"/>
          <w:shd w:val="clear" w:color="auto" w:fill="FFFFFF"/>
        </w:rPr>
        <w:t> or upon notice by letter.</w:t>
      </w:r>
    </w:p>
    <w:p w:rsidR="0059573C" w:rsidP="000E304B" w14:paraId="0608CFB3" w14:textId="77777777">
      <w:pPr>
        <w:pStyle w:val="ListParagraph"/>
        <w:rPr>
          <w:rFonts w:cs="Arial"/>
          <w:szCs w:val="24"/>
        </w:rPr>
      </w:pPr>
    </w:p>
    <w:p w:rsidR="00685364" w:rsidRPr="00685364" w14:paraId="79C2B19A" w14:textId="0F00D161">
      <w:pPr>
        <w:pStyle w:val="ListParagraph"/>
        <w:numPr>
          <w:ilvl w:val="0"/>
          <w:numId w:val="8"/>
        </w:numPr>
        <w:rPr>
          <w:rFonts w:cs="Arial"/>
          <w:szCs w:val="24"/>
        </w:rPr>
      </w:pPr>
      <w:r w:rsidRPr="00685364">
        <w:rPr>
          <w:rFonts w:cs="Arial"/>
          <w:szCs w:val="24"/>
        </w:rPr>
        <w:t>TSCA sectio</w:t>
      </w:r>
      <w:r w:rsidRPr="00685364">
        <w:rPr>
          <w:rFonts w:cs="Arial"/>
          <w:szCs w:val="24"/>
        </w:rPr>
        <w:t>n 8(d)</w:t>
      </w:r>
      <w:r w:rsidRPr="00685364" w:rsidR="00A07A9B">
        <w:rPr>
          <w:rFonts w:cs="Arial"/>
          <w:szCs w:val="24"/>
        </w:rPr>
        <w:t xml:space="preserve"> </w:t>
      </w:r>
      <w:r w:rsidR="00246C9D">
        <w:rPr>
          <w:rFonts w:cs="Arial"/>
          <w:szCs w:val="24"/>
        </w:rPr>
        <w:t>authorizes rules</w:t>
      </w:r>
      <w:r w:rsidRPr="00685364" w:rsidR="00246C9D">
        <w:rPr>
          <w:rFonts w:cs="Arial"/>
          <w:szCs w:val="24"/>
        </w:rPr>
        <w:t xml:space="preserve"> requir</w:t>
      </w:r>
      <w:r w:rsidR="00246C9D">
        <w:rPr>
          <w:rFonts w:cs="Arial"/>
          <w:szCs w:val="24"/>
        </w:rPr>
        <w:t>ing</w:t>
      </w:r>
      <w:r w:rsidRPr="00685364" w:rsidR="00246C9D">
        <w:rPr>
          <w:rFonts w:cs="Arial"/>
          <w:szCs w:val="24"/>
        </w:rPr>
        <w:t xml:space="preserve"> </w:t>
      </w:r>
      <w:r w:rsidRPr="00685364" w:rsidR="00853D25">
        <w:rPr>
          <w:rFonts w:cs="Arial"/>
          <w:szCs w:val="24"/>
        </w:rPr>
        <w:t xml:space="preserve">industry to provide EPA with </w:t>
      </w:r>
      <w:r w:rsidR="00034709">
        <w:rPr>
          <w:rFonts w:cs="Arial"/>
          <w:szCs w:val="24"/>
        </w:rPr>
        <w:t>health and safety studies know</w:t>
      </w:r>
      <w:r w:rsidR="00246C9D">
        <w:rPr>
          <w:rFonts w:cs="Arial"/>
          <w:szCs w:val="24"/>
        </w:rPr>
        <w:t>n</w:t>
      </w:r>
      <w:r w:rsidR="00034709">
        <w:rPr>
          <w:rFonts w:cs="Arial"/>
          <w:szCs w:val="24"/>
        </w:rPr>
        <w:t xml:space="preserve"> to or reasonably</w:t>
      </w:r>
      <w:r w:rsidR="00246C9D">
        <w:rPr>
          <w:rFonts w:cs="Arial"/>
          <w:szCs w:val="24"/>
        </w:rPr>
        <w:t xml:space="preserve"> ascertainable to those companies</w:t>
      </w:r>
      <w:r w:rsidR="000A76D7">
        <w:rPr>
          <w:rFonts w:cs="Arial"/>
          <w:szCs w:val="24"/>
        </w:rPr>
        <w:t>, or lists of such studies</w:t>
      </w:r>
      <w:r w:rsidRPr="00685364" w:rsidR="00853D25">
        <w:rPr>
          <w:rFonts w:cs="Arial"/>
          <w:szCs w:val="24"/>
        </w:rPr>
        <w:t>.</w:t>
      </w:r>
    </w:p>
    <w:p w:rsidR="0059573C" w:rsidP="000E304B" w14:paraId="07F48438" w14:textId="77777777">
      <w:pPr>
        <w:pStyle w:val="ListParagraph"/>
        <w:rPr>
          <w:rFonts w:cs="Arial"/>
          <w:szCs w:val="24"/>
        </w:rPr>
      </w:pPr>
    </w:p>
    <w:p w:rsidR="0059573C" w:rsidRPr="000372EB" w:rsidP="000372EB" w14:paraId="54A67DD7" w14:textId="58EFF391">
      <w:pPr>
        <w:pStyle w:val="ListParagraph"/>
        <w:numPr>
          <w:ilvl w:val="0"/>
          <w:numId w:val="8"/>
        </w:numPr>
        <w:rPr>
          <w:rFonts w:cs="Arial"/>
          <w:szCs w:val="24"/>
        </w:rPr>
      </w:pPr>
      <w:r w:rsidRPr="00685364">
        <w:rPr>
          <w:rFonts w:cs="Arial"/>
          <w:szCs w:val="24"/>
        </w:rPr>
        <w:t>TSCA section 8(e)</w:t>
      </w:r>
      <w:r w:rsidRPr="00685364" w:rsidR="00A07A9B">
        <w:rPr>
          <w:rFonts w:cs="Arial"/>
          <w:szCs w:val="24"/>
        </w:rPr>
        <w:t xml:space="preserve"> Notices of Substantial Risks</w:t>
      </w:r>
      <w:r w:rsidR="00391C7B">
        <w:rPr>
          <w:rFonts w:cs="Arial"/>
          <w:szCs w:val="24"/>
        </w:rPr>
        <w:t xml:space="preserve"> requires </w:t>
      </w:r>
      <w:r w:rsidRPr="00685364" w:rsidR="0063003D">
        <w:rPr>
          <w:rFonts w:cs="Arial"/>
          <w:szCs w:val="24"/>
        </w:rPr>
        <w:t>“any person who manufactures, [imports,] processes, or distributes in commerce a chemical substance or mixture and who obtains information which reasonably supports the conclusion that such substance or mixture presents a substantial risk of injury to health or the environment shall immediately inform the [EPA] Administrator of such information unless such person has actual knowledge that the Administrator has been adequately informed of such information</w:t>
      </w:r>
      <w:r w:rsidRPr="00685364" w:rsidR="00685364">
        <w:rPr>
          <w:rFonts w:cs="Arial"/>
          <w:szCs w:val="24"/>
        </w:rPr>
        <w:t>.</w:t>
      </w:r>
      <w:r w:rsidRPr="00685364" w:rsidR="0063003D">
        <w:rPr>
          <w:rFonts w:cs="Arial"/>
          <w:szCs w:val="24"/>
        </w:rPr>
        <w:t xml:space="preserve">” </w:t>
      </w:r>
    </w:p>
    <w:p w:rsidR="00BC687D" w:rsidRPr="00BC687D" w:rsidP="00BC687D" w14:paraId="79A8158C" w14:textId="3C607686">
      <w:pPr>
        <w:pStyle w:val="paragraph"/>
        <w:numPr>
          <w:ilvl w:val="0"/>
          <w:numId w:val="8"/>
        </w:numPr>
        <w:spacing w:before="0" w:beforeAutospacing="0" w:after="200" w:afterAutospacing="0" w:line="276" w:lineRule="auto"/>
        <w:textAlignment w:val="baseline"/>
        <w:rPr>
          <w:rFonts w:ascii="Arial" w:hAnsi="Arial" w:cs="Arial"/>
          <w:sz w:val="18"/>
          <w:szCs w:val="18"/>
        </w:rPr>
      </w:pPr>
      <w:r w:rsidRPr="000E304B">
        <w:rPr>
          <w:rFonts w:ascii="Arial" w:hAnsi="Arial" w:cs="Arial"/>
        </w:rPr>
        <w:t>TSCA section 12(b)</w:t>
      </w:r>
      <w:r w:rsidRPr="000E304B" w:rsidR="00A07A9B">
        <w:rPr>
          <w:rFonts w:ascii="Arial" w:hAnsi="Arial" w:cs="Arial"/>
        </w:rPr>
        <w:t xml:space="preserve"> Export Notification </w:t>
      </w:r>
      <w:r w:rsidRPr="000E304B" w:rsidR="00685364">
        <w:rPr>
          <w:rFonts w:ascii="Arial" w:hAnsi="Arial" w:cs="Arial"/>
          <w:color w:val="212121"/>
          <w:shd w:val="clear" w:color="auto" w:fill="FFFFFF"/>
        </w:rPr>
        <w:t>requires any person who exports or intends to export a chemical substance or mixture to notify the EPA of such exportation if actions have been taken under TSCA with respect to that chemical substance or mixture.</w:t>
      </w:r>
      <w:r w:rsidRPr="000E304B" w:rsidR="008527EA">
        <w:rPr>
          <w:rFonts w:ascii="Arial" w:hAnsi="Arial" w:cs="Arial"/>
        </w:rPr>
        <w:t xml:space="preserve"> </w:t>
      </w:r>
      <w:r w:rsidRPr="000E304B" w:rsidR="008527EA">
        <w:rPr>
          <w:rStyle w:val="normaltextrun"/>
          <w:rFonts w:ascii="Arial" w:hAnsi="Arial" w:cs="Arial"/>
        </w:rPr>
        <w:t xml:space="preserve">TSCA section 12(b) requires exporters to submit a notice to EPA for each country to which a chemical subject to TSCA section 12(b) requirements is exported. Specifically, TSCA section 12(b) states, in part, that any person who exports or intends to export to a foreign country a chemical substance or mixture for which submission of information is required under TSCA section 4 or 5(b), or for which a rule, action or order has been </w:t>
      </w:r>
      <w:r w:rsidR="001B27EF">
        <w:rPr>
          <w:rStyle w:val="normaltextrun"/>
          <w:rFonts w:ascii="Arial" w:hAnsi="Arial" w:cs="Arial"/>
        </w:rPr>
        <w:t>proposed</w:t>
      </w:r>
      <w:r w:rsidRPr="000E304B" w:rsidR="008527EA">
        <w:rPr>
          <w:rStyle w:val="normaltextrun"/>
          <w:rFonts w:ascii="Arial" w:hAnsi="Arial" w:cs="Arial"/>
        </w:rPr>
        <w:t xml:space="preserve"> or promulgated under TSCA section 5, 6, or 7, shall notify the EPA Administrator of such export or intent to export. The Administrator in turn will notify the government of the importing country of the notice and of EPA’s regulatory action with respect to the substance. </w:t>
      </w:r>
      <w:r w:rsidRPr="000E304B" w:rsidR="008527EA">
        <w:rPr>
          <w:rStyle w:val="eop"/>
          <w:rFonts w:ascii="Arial" w:hAnsi="Arial" w:cs="Arial"/>
        </w:rPr>
        <w:t> </w:t>
      </w:r>
      <w:r w:rsidRPr="000E304B" w:rsidR="008527EA">
        <w:rPr>
          <w:rStyle w:val="normaltextrun"/>
          <w:rFonts w:ascii="Arial" w:hAnsi="Arial" w:cs="Arial"/>
        </w:rPr>
        <w:t xml:space="preserve">This </w:t>
      </w:r>
      <w:r w:rsidR="001B27EF">
        <w:rPr>
          <w:rStyle w:val="normaltextrun"/>
          <w:rFonts w:ascii="Arial" w:hAnsi="Arial" w:cs="Arial"/>
        </w:rPr>
        <w:t>final</w:t>
      </w:r>
      <w:r w:rsidRPr="000E304B" w:rsidR="008527EA">
        <w:rPr>
          <w:rStyle w:val="normaltextrun"/>
          <w:rFonts w:ascii="Arial" w:hAnsi="Arial" w:cs="Arial"/>
        </w:rPr>
        <w:t xml:space="preserve"> rule will require 12(b) export notifications to be submitted electronically. </w:t>
      </w:r>
      <w:r w:rsidRPr="000E304B" w:rsidR="008527EA">
        <w:rPr>
          <w:rStyle w:val="eop"/>
          <w:rFonts w:ascii="Arial" w:hAnsi="Arial" w:cs="Arial"/>
        </w:rPr>
        <w:t> </w:t>
      </w:r>
    </w:p>
    <w:p w:rsidR="00BC687D" w:rsidRPr="00BC687D" w:rsidP="00BC687D" w14:paraId="3C99F711" w14:textId="6B3FE409">
      <w:pPr>
        <w:pStyle w:val="paragraph"/>
        <w:numPr>
          <w:ilvl w:val="0"/>
          <w:numId w:val="8"/>
        </w:numPr>
        <w:spacing w:before="0" w:beforeAutospacing="0" w:after="200" w:afterAutospacing="0" w:line="276" w:lineRule="auto"/>
        <w:textAlignment w:val="baseline"/>
        <w:rPr>
          <w:rFonts w:cs="Arial"/>
          <w:sz w:val="18"/>
          <w:szCs w:val="18"/>
        </w:rPr>
      </w:pPr>
      <w:r w:rsidRPr="00AE1E93">
        <w:rPr>
          <w:rFonts w:ascii="Arial" w:hAnsi="Arial" w:cs="Arial"/>
        </w:rPr>
        <w:t>TSCA Title VI directs EPA to promulgate re</w:t>
      </w:r>
      <w:r w:rsidRPr="00AE1E93">
        <w:rPr>
          <w:rFonts w:ascii="Arial" w:hAnsi="Arial" w:cs="Arial"/>
        </w:rPr>
        <w:t>gulations to ensure compliance with the emissions standards, including provisions on testing requirements, laminated products, products made with no-added formaldehyde (NAF)-based resins or ultra low-emitting formaldehyde (ULEF) resins, product labeling re</w:t>
      </w:r>
      <w:r w:rsidRPr="00AE1E93">
        <w:rPr>
          <w:rFonts w:ascii="Arial" w:hAnsi="Arial" w:cs="Arial"/>
        </w:rPr>
        <w:t>quirements, chain of custody for product compliance documentation, recordkeeping, product inventory sell-through dates, a product stockpiling prohibition, and product certification by a TPC. The reported information allows EPA to ensure compliance with the</w:t>
      </w:r>
      <w:r w:rsidRPr="00AE1E93">
        <w:rPr>
          <w:rFonts w:ascii="Arial" w:hAnsi="Arial" w:cs="Arial"/>
        </w:rPr>
        <w:t xml:space="preserve"> emissions standards; moreover, a reasonable amount of reporting encourages regulated entities to fulfill their obligations under the statute and regulations. Th</w:t>
      </w:r>
      <w:r>
        <w:rPr>
          <w:rFonts w:ascii="Arial" w:hAnsi="Arial" w:cs="Arial"/>
        </w:rPr>
        <w:t xml:space="preserve">e provisions under 40 CFR 770 </w:t>
      </w:r>
      <w:r w:rsidRPr="00AE1E93">
        <w:rPr>
          <w:rFonts w:ascii="Arial" w:hAnsi="Arial" w:cs="Arial"/>
        </w:rPr>
        <w:t>require emission standard</w:t>
      </w:r>
      <w:r>
        <w:rPr>
          <w:rFonts w:ascii="Arial" w:hAnsi="Arial" w:cs="Arial"/>
        </w:rPr>
        <w:t xml:space="preserve"> reporting </w:t>
      </w:r>
      <w:r w:rsidR="000372EB">
        <w:rPr>
          <w:rFonts w:ascii="Arial" w:hAnsi="Arial" w:cs="Arial"/>
        </w:rPr>
        <w:t>electronically</w:t>
      </w:r>
      <w:r>
        <w:rPr>
          <w:rFonts w:ascii="Arial" w:hAnsi="Arial" w:cs="Arial"/>
        </w:rPr>
        <w:t>.</w:t>
      </w:r>
      <w:r w:rsidRPr="00AE1E93">
        <w:rPr>
          <w:rFonts w:ascii="Arial" w:hAnsi="Arial" w:cs="Arial"/>
        </w:rPr>
        <w:t xml:space="preserve"> Regulated ent</w:t>
      </w:r>
      <w:r w:rsidRPr="00AE1E93">
        <w:rPr>
          <w:rFonts w:ascii="Arial" w:hAnsi="Arial" w:cs="Arial"/>
        </w:rPr>
        <w:t>ities may claim some of the information given to EPA as CBI. Much of the information requested in the reporting requirements of these collections is not of a confidential nature. For example, information on the names and contact information for TPCs and AB</w:t>
      </w:r>
      <w:r w:rsidRPr="00AE1E93">
        <w:rPr>
          <w:rFonts w:ascii="Arial" w:hAnsi="Arial" w:cs="Arial"/>
        </w:rPr>
        <w:t>s is publicly available. Likewise</w:t>
      </w:r>
      <w:r w:rsidR="00582155">
        <w:rPr>
          <w:rFonts w:ascii="Arial" w:hAnsi="Arial" w:cs="Arial"/>
        </w:rPr>
        <w:t>,</w:t>
      </w:r>
      <w:r w:rsidRPr="00AE1E93">
        <w:rPr>
          <w:rFonts w:ascii="Arial" w:hAnsi="Arial" w:cs="Arial"/>
        </w:rPr>
        <w:t xml:space="preserve"> the address of their domestic agents, and their status as participants in the program. EPA will nonetheless allow this information to be substantiated contemporaneously. A panel producer’s quarterly test results are not e</w:t>
      </w:r>
      <w:r w:rsidRPr="00AE1E93">
        <w:rPr>
          <w:rFonts w:ascii="Arial" w:hAnsi="Arial" w:cs="Arial"/>
        </w:rPr>
        <w:t xml:space="preserve">ligible for treatment as CBI. </w:t>
      </w:r>
      <w:r>
        <w:rPr>
          <w:rFonts w:ascii="Arial" w:hAnsi="Arial" w:cs="Arial"/>
        </w:rPr>
        <w:t>If a claim of confidential</w:t>
      </w:r>
      <w:r w:rsidR="00582155">
        <w:rPr>
          <w:rFonts w:ascii="Arial" w:hAnsi="Arial" w:cs="Arial"/>
        </w:rPr>
        <w:t>ity</w:t>
      </w:r>
      <w:r>
        <w:rPr>
          <w:rFonts w:ascii="Arial" w:hAnsi="Arial" w:cs="Arial"/>
        </w:rPr>
        <w:t xml:space="preserve"> is made this final rule requires they are submitted electronically. </w:t>
      </w:r>
    </w:p>
    <w:p w:rsidR="002C15B1" w14:paraId="6A18E7EB" w14:textId="2D6D2BF7">
      <w:pPr>
        <w:rPr>
          <w:rFonts w:cs="Arial"/>
          <w:szCs w:val="24"/>
        </w:rPr>
      </w:pPr>
      <w:r w:rsidRPr="00B50BAB">
        <w:rPr>
          <w:rFonts w:cs="Arial"/>
          <w:szCs w:val="24"/>
          <w:lang w:val="en"/>
        </w:rPr>
        <w:t xml:space="preserve">The modernization of TSCA </w:t>
      </w:r>
      <w:r w:rsidR="008B4A1D">
        <w:rPr>
          <w:rFonts w:cs="Arial"/>
          <w:szCs w:val="24"/>
          <w:lang w:val="en"/>
        </w:rPr>
        <w:t xml:space="preserve">CBI claim assertion procedures </w:t>
      </w:r>
      <w:r w:rsidRPr="00B50BAB">
        <w:rPr>
          <w:rFonts w:cs="Arial"/>
          <w:szCs w:val="24"/>
          <w:lang w:val="en"/>
        </w:rPr>
        <w:t>enables</w:t>
      </w:r>
      <w:r w:rsidRPr="00B50BAB">
        <w:rPr>
          <w:rFonts w:cs="Arial"/>
          <w:szCs w:val="24"/>
        </w:rPr>
        <w:t xml:space="preserve"> electronic reporting for both incoming and outgoing information, which greatly reduces the burden on industry to submit the paper </w:t>
      </w:r>
      <w:r>
        <w:rPr>
          <w:rFonts w:cs="Arial"/>
          <w:szCs w:val="24"/>
        </w:rPr>
        <w:t xml:space="preserve">substantiations </w:t>
      </w:r>
      <w:r w:rsidRPr="00B50BAB">
        <w:rPr>
          <w:rFonts w:cs="Arial"/>
          <w:szCs w:val="24"/>
        </w:rPr>
        <w:t xml:space="preserve">and on OPPT in the processing of paper submissions.  </w:t>
      </w:r>
    </w:p>
    <w:p w:rsidR="002C15B1" w14:paraId="58861E3A" w14:textId="1D7B5325">
      <w:pPr>
        <w:rPr>
          <w:rFonts w:cs="Arial"/>
          <w:color w:val="000000"/>
          <w:szCs w:val="24"/>
          <w:lang w:val="en"/>
        </w:rPr>
      </w:pPr>
      <w:r w:rsidRPr="00B50BAB">
        <w:rPr>
          <w:rFonts w:cs="Arial"/>
          <w:szCs w:val="24"/>
        </w:rPr>
        <w:t xml:space="preserve">The modernization of the </w:t>
      </w:r>
      <w:r w:rsidR="004F05FB">
        <w:rPr>
          <w:rFonts w:cs="Arial"/>
          <w:szCs w:val="24"/>
        </w:rPr>
        <w:t xml:space="preserve">submission process for </w:t>
      </w:r>
      <w:r>
        <w:rPr>
          <w:rFonts w:cs="Arial"/>
          <w:szCs w:val="24"/>
        </w:rPr>
        <w:t>substan</w:t>
      </w:r>
      <w:r>
        <w:rPr>
          <w:rFonts w:cs="Arial"/>
          <w:szCs w:val="24"/>
        </w:rPr>
        <w:t xml:space="preserve">tiation </w:t>
      </w:r>
      <w:r w:rsidR="004F05FB">
        <w:rPr>
          <w:rFonts w:cs="Arial"/>
          <w:szCs w:val="24"/>
        </w:rPr>
        <w:t xml:space="preserve">of </w:t>
      </w:r>
      <w:r>
        <w:rPr>
          <w:rFonts w:cs="Arial"/>
          <w:szCs w:val="24"/>
        </w:rPr>
        <w:t>claims would</w:t>
      </w:r>
      <w:r w:rsidRPr="00B50BAB">
        <w:rPr>
          <w:rFonts w:cs="Arial"/>
          <w:szCs w:val="24"/>
        </w:rPr>
        <w:t xml:space="preserve"> allow users to prepare and submit their notifications to the Agency electronically using a web-based application. </w:t>
      </w:r>
      <w:r w:rsidRPr="00B50BAB">
        <w:rPr>
          <w:rFonts w:cs="Arial"/>
          <w:color w:val="000000"/>
          <w:szCs w:val="24"/>
          <w:lang w:val="en"/>
        </w:rPr>
        <w:t>To file electronically, submitters must use the EPA provided application.</w:t>
      </w:r>
      <w:r w:rsidR="001300B1">
        <w:rPr>
          <w:rFonts w:cs="Arial"/>
          <w:color w:val="000000"/>
          <w:szCs w:val="24"/>
          <w:lang w:val="en"/>
        </w:rPr>
        <w:t xml:space="preserve"> All persons asserting CBI claims under TSCA, including those not previously submitted to EPA in elect</w:t>
      </w:r>
      <w:r w:rsidR="00F17A59">
        <w:rPr>
          <w:rFonts w:cs="Arial"/>
          <w:color w:val="000000"/>
          <w:szCs w:val="24"/>
          <w:lang w:val="en"/>
        </w:rPr>
        <w:t>ronic form, would be required to use this application.</w:t>
      </w:r>
      <w:r w:rsidRPr="00B50BAB">
        <w:rPr>
          <w:rFonts w:cs="Arial"/>
          <w:color w:val="000000"/>
          <w:szCs w:val="24"/>
          <w:lang w:val="en"/>
        </w:rPr>
        <w:t xml:space="preserve"> To access the application, users must register with EPA’s Central Data Exchange (CDX). CDX is the Agency’s portal for submitting information to </w:t>
      </w:r>
      <w:r w:rsidRPr="00B50BAB">
        <w:rPr>
          <w:rFonts w:cs="Arial"/>
          <w:color w:val="000000"/>
          <w:szCs w:val="24"/>
          <w:lang w:val="en"/>
        </w:rPr>
        <w:t xml:space="preserve">EPA in a secure manner. When registering, a user will need to ensure they are registering for the Chemical Safety and Pesticide Programs (CSPP) data flow which will provide them access to the Chemical Information Submission System (CISS) where the </w:t>
      </w:r>
      <w:r>
        <w:rPr>
          <w:rFonts w:cs="Arial"/>
          <w:color w:val="000000"/>
          <w:szCs w:val="24"/>
          <w:lang w:val="en"/>
        </w:rPr>
        <w:t>submissi</w:t>
      </w:r>
      <w:r>
        <w:rPr>
          <w:rFonts w:cs="Arial"/>
          <w:color w:val="000000"/>
          <w:szCs w:val="24"/>
          <w:lang w:val="en"/>
        </w:rPr>
        <w:t xml:space="preserve">ons </w:t>
      </w:r>
      <w:r w:rsidRPr="00B50BAB">
        <w:rPr>
          <w:rFonts w:cs="Arial"/>
          <w:color w:val="000000"/>
          <w:szCs w:val="24"/>
          <w:lang w:val="en"/>
        </w:rPr>
        <w:t>can be accessed. (Note: Users who have previously registered with CDX are able to add "Submission for Chemical Safety and Pesticide Program (CSPP)" to their current registration.) This reporting tool is compatible with Windows, Mac, Linux, and UNIX bas</w:t>
      </w:r>
      <w:r w:rsidRPr="00B50BAB">
        <w:rPr>
          <w:rFonts w:cs="Arial"/>
          <w:color w:val="000000"/>
          <w:szCs w:val="24"/>
          <w:lang w:val="en"/>
        </w:rPr>
        <w:t xml:space="preserve">ed computers, and uses "Extensible Markup Language" (XML) specifications for efficient data transmission across the Internet. </w:t>
      </w:r>
    </w:p>
    <w:p w:rsidR="003C53C0" w:rsidRPr="00380237" w14:paraId="2107DEFF" w14:textId="62993AD9">
      <w:r w:rsidRPr="00380237">
        <w:t>Any information being sent via CDX is transmitted using secure technologies to protect CBI</w:t>
      </w:r>
      <w:r>
        <w:t xml:space="preserve">. </w:t>
      </w:r>
      <w:r w:rsidRPr="00380237">
        <w:t xml:space="preserve">The software encrypts </w:t>
      </w:r>
      <w:r>
        <w:t>s</w:t>
      </w:r>
      <w:r w:rsidRPr="00380237">
        <w:t>ubmissions usi</w:t>
      </w:r>
      <w:r w:rsidRPr="00380237">
        <w:t>ng a Federal Information Processing Standards (FIPS)</w:t>
      </w:r>
      <w:r>
        <w:t>-</w:t>
      </w:r>
      <w:r w:rsidRPr="00380237">
        <w:t>compliant encryption module. The encryption module employs a public key algorithm which converts readable text into encrypted text. This public key is downloaded from CDX, and the corresponding private k</w:t>
      </w:r>
      <w:r w:rsidRPr="00380237">
        <w:t>ey is sent to EPA</w:t>
      </w:r>
      <w:r>
        <w:t xml:space="preserve">. </w:t>
      </w:r>
      <w:r w:rsidRPr="00380237">
        <w:t xml:space="preserve">The encryption remains while the submission is transmitted via CDX. The file can be decrypted only with </w:t>
      </w:r>
      <w:r>
        <w:t xml:space="preserve">a </w:t>
      </w:r>
      <w:r w:rsidRPr="00380237">
        <w:t>private key when it has reached its final destination. The NCS is the only party that possesses the private key, which converts the</w:t>
      </w:r>
      <w:r w:rsidRPr="00380237">
        <w:t xml:space="preserve"> encrypted text back into readable text.</w:t>
      </w:r>
    </w:p>
    <w:p w:rsidR="003C53C0" w:rsidRPr="003C53C0" w14:paraId="7101B63A" w14:textId="4B698C3D">
      <w:r w:rsidRPr="00380237">
        <w:t>The same thing will occur for all correspondence going back to the submitter</w:t>
      </w:r>
      <w:r>
        <w:t>. S</w:t>
      </w:r>
      <w:r w:rsidRPr="00380237">
        <w:t>oftware are also provided with a set of public and private keys, so that correspondence containing any potential confidential business i</w:t>
      </w:r>
      <w:r w:rsidRPr="00380237">
        <w:t>nformation will remain encrypted during transmission via CDX</w:t>
      </w:r>
      <w:r w:rsidRPr="00380237">
        <w:rPr>
          <w:color w:val="FF0000"/>
        </w:rPr>
        <w:t xml:space="preserve"> </w:t>
      </w:r>
      <w:r w:rsidRPr="00380237">
        <w:t>and can be opened only by the submitter within the software.</w:t>
      </w:r>
      <w:r w:rsidR="00BC370A">
        <w:t xml:space="preserve"> This rule also enhances communication through CDX. </w:t>
      </w:r>
      <w:r w:rsidR="00BC370A">
        <w:rPr>
          <w:rStyle w:val="normaltextrun"/>
          <w:rFonts w:cs="Arial"/>
          <w:color w:val="000000"/>
          <w:shd w:val="clear" w:color="auto" w:fill="FFFFFF"/>
        </w:rPr>
        <w:t>EPA can more readily assure that a communication is available to a company or particular submitter by using CDX to communicate, rather than certified mail or a courier.  In CDX, EPA is able to verify that a particular communication is available to the submitter of a particular submission and is able to track the date the communication was sent.  EPA believes that these facts satisfy statutory requirements that certain notifications be sent by means that “allows verification of the fact and date of receipt.”</w:t>
      </w:r>
      <w:r w:rsidR="0059573C">
        <w:rPr>
          <w:rStyle w:val="normaltextrun"/>
          <w:rFonts w:cs="Arial"/>
          <w:color w:val="000000"/>
          <w:shd w:val="clear" w:color="auto" w:fill="FFFFFF"/>
        </w:rPr>
        <w:t xml:space="preserve"> See </w:t>
      </w:r>
      <w:r w:rsidRPr="000E304B" w:rsidR="0059573C">
        <w:rPr>
          <w:rStyle w:val="normaltextrun"/>
          <w:rFonts w:cs="Arial"/>
          <w:shd w:val="clear" w:color="auto" w:fill="FFFFFF"/>
        </w:rPr>
        <w:t>Attachment 2</w:t>
      </w:r>
      <w:r w:rsidR="0059573C">
        <w:rPr>
          <w:rStyle w:val="normaltextrun"/>
          <w:rFonts w:cs="Arial"/>
          <w:b/>
          <w:bCs/>
          <w:shd w:val="clear" w:color="auto" w:fill="FFFFFF"/>
        </w:rPr>
        <w:t xml:space="preserve"> </w:t>
      </w:r>
      <w:r w:rsidRPr="000E304B" w:rsidR="0059573C">
        <w:rPr>
          <w:rStyle w:val="normaltextrun"/>
          <w:rFonts w:cs="Arial"/>
          <w:shd w:val="clear" w:color="auto" w:fill="FFFFFF"/>
        </w:rPr>
        <w:t>for information on submissions through CDX</w:t>
      </w:r>
      <w:r w:rsidRPr="0059573C" w:rsidR="0059573C">
        <w:rPr>
          <w:rStyle w:val="normaltextrun"/>
          <w:rFonts w:cs="Arial"/>
          <w:color w:val="000000"/>
          <w:shd w:val="clear" w:color="auto" w:fill="FFFFFF"/>
        </w:rPr>
        <w:t>.</w:t>
      </w:r>
    </w:p>
    <w:p w:rsidR="000D5E31" w:rsidP="002059F4" w14:paraId="3222B018" w14:textId="2798404A">
      <w:pPr>
        <w:pStyle w:val="Heading2"/>
        <w:ind w:left="360"/>
      </w:pPr>
      <w:r w:rsidRPr="00E00E93">
        <w:t xml:space="preserve">Describe </w:t>
      </w:r>
      <w:r w:rsidRPr="00E00E93">
        <w:t>efforts to identify duplication.</w:t>
      </w:r>
      <w:r w:rsidRPr="00E00E93" w:rsidR="0093316B">
        <w:t xml:space="preserve"> Show specifically why any similar information already available cannot be used or modified for use for the purposes described in Item 2 above.</w:t>
      </w:r>
    </w:p>
    <w:p w:rsidR="00945215" w:rsidRPr="00945215" w:rsidP="00945215" w14:paraId="16E71C7E" w14:textId="078CF5F0">
      <w:pPr>
        <w:rPr>
          <w:lang w:bidi="en-US"/>
        </w:rPr>
      </w:pPr>
      <w:r w:rsidRPr="005C0520">
        <w:t>There is no duplication of this mandate or collection activity, and there are no</w:t>
      </w:r>
      <w:r w:rsidRPr="005C0520">
        <w:t xml:space="preserve"> viable alternate sources for the Agency to obtain the information necessary to satisfy the statutory mandate.</w:t>
      </w:r>
    </w:p>
    <w:p w:rsidR="000D5E31" w:rsidP="002059F4" w14:paraId="318B9393" w14:textId="76CE011D">
      <w:pPr>
        <w:pStyle w:val="Heading2"/>
        <w:ind w:left="360"/>
      </w:pPr>
      <w:r w:rsidRPr="00E00E93">
        <w:t>If the collection of information impacts small businesses or other small entities, describe the methods used to minimize burden.</w:t>
      </w:r>
    </w:p>
    <w:p w:rsidR="00271002" w:rsidRPr="00B50BAB" w:rsidP="00271002" w14:paraId="0023163D" w14:textId="59B61D23">
      <w:r>
        <w:rPr>
          <w:lang w:bidi="en-US"/>
        </w:rPr>
        <w:t>This rule does n</w:t>
      </w:r>
      <w:r>
        <w:rPr>
          <w:lang w:bidi="en-US"/>
        </w:rPr>
        <w:t xml:space="preserve">ot exempt small businesses. </w:t>
      </w:r>
      <w:r w:rsidRPr="006F51AE" w:rsidR="00C500DC">
        <w:rPr>
          <w:rFonts w:eastAsia="Times New Roman"/>
          <w:spacing w:val="-1"/>
        </w:rPr>
        <w:t xml:space="preserve">The </w:t>
      </w:r>
      <w:r w:rsidRPr="006F51AE" w:rsidR="00C500DC">
        <w:rPr>
          <w:rFonts w:eastAsia="Times New Roman"/>
        </w:rPr>
        <w:t xml:space="preserve">reporting and recordkeeping requirements associated with TSCA section </w:t>
      </w:r>
      <w:r w:rsidR="00C500DC">
        <w:rPr>
          <w:rFonts w:eastAsia="Times New Roman"/>
        </w:rPr>
        <w:t>14</w:t>
      </w:r>
      <w:r w:rsidRPr="006F51AE" w:rsidR="00C500DC">
        <w:rPr>
          <w:rFonts w:eastAsia="Times New Roman"/>
        </w:rPr>
        <w:t xml:space="preserve"> are</w:t>
      </w:r>
      <w:r w:rsidRPr="006F51AE" w:rsidR="00C500DC">
        <w:rPr>
          <w:rFonts w:eastAsia="Times New Roman"/>
          <w:spacing w:val="21"/>
        </w:rPr>
        <w:t xml:space="preserve"> </w:t>
      </w:r>
      <w:r w:rsidRPr="006F51AE" w:rsidR="00C500DC">
        <w:rPr>
          <w:rFonts w:eastAsia="Times New Roman"/>
        </w:rPr>
        <w:t xml:space="preserve">applicable to all affected entities, regardless of size of </w:t>
      </w:r>
      <w:r w:rsidRPr="006F51AE" w:rsidR="00C500DC">
        <w:rPr>
          <w:rFonts w:eastAsia="Times New Roman"/>
          <w:spacing w:val="-1"/>
        </w:rPr>
        <w:t>business.</w:t>
      </w:r>
      <w:r w:rsidRPr="00271002">
        <w:t xml:space="preserve"> </w:t>
      </w:r>
    </w:p>
    <w:p w:rsidR="006E328F" w:rsidRPr="006E328F" w:rsidP="006E328F" w14:paraId="580DAF5E" w14:textId="5D18C6E0">
      <w:pPr>
        <w:rPr>
          <w:lang w:bidi="en-US"/>
        </w:rPr>
      </w:pPr>
    </w:p>
    <w:p w:rsidR="00897D7E" w:rsidP="002059F4" w14:paraId="5F088A3E" w14:textId="50827A19">
      <w:pPr>
        <w:pStyle w:val="Heading2"/>
        <w:ind w:left="360"/>
      </w:pPr>
      <w:r w:rsidRPr="00E00E93">
        <w:t>Describe the consequence to Federal program or policy activities if the coll</w:t>
      </w:r>
      <w:r w:rsidRPr="00E00E93">
        <w:t>ection is not conducted or is conducted less frequently, as well as any technical or legal obstacles to reducing burden.</w:t>
      </w:r>
    </w:p>
    <w:p w:rsidR="00FF794A" w:rsidP="277A0236" w14:paraId="79E8407B" w14:textId="6CF95EF9">
      <w:pPr>
        <w:numPr>
          <w:ilvl w:val="12"/>
          <w:numId w:val="0"/>
        </w:numPr>
        <w:rPr>
          <w:rFonts w:cs="Arial"/>
        </w:rPr>
      </w:pPr>
      <w:r w:rsidRPr="7A77DD14">
        <w:rPr>
          <w:rFonts w:cs="Arial"/>
        </w:rPr>
        <w:t xml:space="preserve">The collection methodology is event-based, i.e., </w:t>
      </w:r>
      <w:r w:rsidRPr="7A77DD14" w:rsidR="622E012B">
        <w:rPr>
          <w:rFonts w:cs="Arial"/>
        </w:rPr>
        <w:t xml:space="preserve">it is </w:t>
      </w:r>
      <w:r w:rsidRPr="7A77DD14">
        <w:rPr>
          <w:rFonts w:cs="Arial"/>
        </w:rPr>
        <w:t>the submitter’s decision to claim information as confidential</w:t>
      </w:r>
      <w:r w:rsidRPr="7A77DD14" w:rsidR="622E012B">
        <w:rPr>
          <w:rFonts w:cs="Arial"/>
        </w:rPr>
        <w:t xml:space="preserve"> under section</w:t>
      </w:r>
      <w:r w:rsidRPr="7A77DD14" w:rsidR="504A6595">
        <w:rPr>
          <w:rFonts w:cs="Arial"/>
        </w:rPr>
        <w:t xml:space="preserve"> 14</w:t>
      </w:r>
      <w:r w:rsidRPr="7A77DD14" w:rsidR="019FB251">
        <w:rPr>
          <w:rFonts w:cs="Arial"/>
        </w:rPr>
        <w:t xml:space="preserve"> of TSCA</w:t>
      </w:r>
      <w:r w:rsidRPr="7A77DD14">
        <w:rPr>
          <w:rFonts w:cs="Arial"/>
        </w:rPr>
        <w:t xml:space="preserve">. </w:t>
      </w:r>
    </w:p>
    <w:p w:rsidR="001B35E7" w:rsidRPr="00FF794A" w:rsidP="277A0236" w14:paraId="3892FE41" w14:textId="2CA1962E">
      <w:pPr>
        <w:numPr>
          <w:ilvl w:val="12"/>
          <w:numId w:val="0"/>
        </w:numPr>
        <w:rPr>
          <w:rFonts w:cs="Arial"/>
        </w:rPr>
      </w:pPr>
      <w:r>
        <w:t>If the collection of information was conducted less frequently, the statutory requirements would not be met.</w:t>
      </w:r>
      <w:r w:rsidR="78CE4229">
        <w:t xml:space="preserve"> </w:t>
      </w:r>
    </w:p>
    <w:p w:rsidR="0093316B" w:rsidRPr="00E00E93" w:rsidP="0093316B" w14:paraId="6B8F0DD0" w14:textId="3B129352">
      <w:pPr>
        <w:pStyle w:val="Heading2"/>
        <w:ind w:left="360"/>
      </w:pPr>
      <w:r w:rsidRPr="00E00E93">
        <w:t xml:space="preserve">Explain any special circumstances that require the collection to be conducted in a manner: </w:t>
      </w:r>
    </w:p>
    <w:p w:rsidR="0093316B" w:rsidRPr="00E00E93" w:rsidP="0093316B" w14:paraId="6A11E7D6" w14:textId="77777777">
      <w:pPr>
        <w:pStyle w:val="Heading3"/>
      </w:pPr>
      <w:r w:rsidRPr="00E00E93">
        <w:t>requiring respondents to r</w:t>
      </w:r>
      <w:r w:rsidRPr="00E00E93">
        <w:t xml:space="preserve">eport information to the agency more often than quarterly; </w:t>
      </w:r>
    </w:p>
    <w:p w:rsidR="0093316B" w:rsidRPr="00E00E93" w:rsidP="0093316B" w14:paraId="4BF7DF92" w14:textId="77777777">
      <w:pPr>
        <w:pStyle w:val="Heading3"/>
      </w:pPr>
      <w:r w:rsidRPr="00E00E93">
        <w:t xml:space="preserve">requiring respondents to prepare a written response to a collection of information in fewer than 30 days after receipt of it; </w:t>
      </w:r>
    </w:p>
    <w:p w:rsidR="0093316B" w:rsidRPr="00E00E93" w:rsidP="0093316B" w14:paraId="7F48D447" w14:textId="77777777">
      <w:pPr>
        <w:pStyle w:val="Heading3"/>
      </w:pPr>
      <w:r w:rsidRPr="00E00E93">
        <w:t xml:space="preserve">requiring respondents to submit more than an original and two copies </w:t>
      </w:r>
      <w:r w:rsidRPr="00E00E93">
        <w:t xml:space="preserve">of any document; </w:t>
      </w:r>
    </w:p>
    <w:p w:rsidR="0093316B" w:rsidRPr="00E00E93" w:rsidP="0093316B" w14:paraId="2804ABBE" w14:textId="77777777">
      <w:pPr>
        <w:pStyle w:val="Heading3"/>
      </w:pPr>
      <w:r w:rsidRPr="00E00E93">
        <w:t xml:space="preserve">requiring respondents to retain records, other than health, medical, government contract, grant-in-aid, or tax records, for more than three years; </w:t>
      </w:r>
    </w:p>
    <w:p w:rsidR="0093316B" w:rsidRPr="00E00E93" w:rsidP="0093316B" w14:paraId="563D6CEB" w14:textId="77777777">
      <w:pPr>
        <w:pStyle w:val="Heading3"/>
      </w:pPr>
      <w:r w:rsidRPr="00E00E93">
        <w:t>in connection with a statistical survey, that is not designed to produce valid and reliabl</w:t>
      </w:r>
      <w:r w:rsidRPr="00E00E93">
        <w:t>e results that can be generalized to the universe of study;</w:t>
      </w:r>
    </w:p>
    <w:p w:rsidR="0093316B" w:rsidRPr="00E00E93" w:rsidP="0093316B" w14:paraId="0D88457F" w14:textId="77777777">
      <w:pPr>
        <w:pStyle w:val="Heading3"/>
      </w:pPr>
      <w:r w:rsidRPr="00E00E93">
        <w:t xml:space="preserve">requiring the use of a statistical data classification that has not been reviewed and approved by OMB; </w:t>
      </w:r>
    </w:p>
    <w:p w:rsidR="0093316B" w:rsidRPr="00E00E93" w:rsidP="0093316B" w14:paraId="3FDECF9C" w14:textId="77777777">
      <w:pPr>
        <w:pStyle w:val="Heading3"/>
      </w:pPr>
      <w:r w:rsidRPr="00E00E93">
        <w:t xml:space="preserve">that includes a pledge of confidentiality that is not supported by authority established in </w:t>
      </w:r>
      <w:r w:rsidRPr="00E00E93">
        <w:t>statute or regulation, that is not supported by disclosure and data security policies that are consistent with the pledge, or which unnecessarily impedes sharing of data with other agencies for compatible confidential use; or</w:t>
      </w:r>
    </w:p>
    <w:p w:rsidR="00FF794A" w:rsidP="00FF794A" w14:paraId="165ED4B8" w14:textId="74637401">
      <w:pPr>
        <w:pStyle w:val="Heading3"/>
      </w:pPr>
      <w:r w:rsidRPr="00E00E93">
        <w:t>requiring respondents to submi</w:t>
      </w:r>
      <w:r w:rsidRPr="00E00E93">
        <w:t>t proprietary trade secrets, or other confidential information unless the agency can demonstrate that it has instituted procedures to protect the information's confidentiality to the extent permitted by law.</w:t>
      </w:r>
    </w:p>
    <w:p w:rsidR="009D64C8" w:rsidRPr="009D64C8" w:rsidP="009D64C8" w14:paraId="26664446" w14:textId="5BAEFA79">
      <w:r>
        <w:t>Not applicable.</w:t>
      </w:r>
    </w:p>
    <w:p w:rsidR="00E00E93" w:rsidP="002059F4" w14:paraId="0102AF12" w14:textId="77777777">
      <w:pPr>
        <w:pStyle w:val="Heading2"/>
        <w:ind w:left="360"/>
      </w:pPr>
      <w:r w:rsidRPr="003041B0">
        <w:t>If applicable, provide a copy an</w:t>
      </w:r>
      <w:r w:rsidRPr="003041B0">
        <w:t>d identify the date and page number of publication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w:t>
      </w:r>
      <w:r w:rsidRPr="003041B0">
        <w:t xml:space="preserve">that notice and describe actions taken in response to the comments. Specifically address comments received on cost and hour burden. </w:t>
      </w:r>
    </w:p>
    <w:p w:rsidR="009A7738" w:rsidP="00E00E93" w14:paraId="4DF9935E" w14:textId="04B2BCAD">
      <w:pPr>
        <w:pStyle w:val="Heading2"/>
        <w:numPr>
          <w:ilvl w:val="0"/>
          <w:numId w:val="0"/>
        </w:numPr>
        <w:ind w:left="360"/>
      </w:pPr>
      <w:r w:rsidRPr="003041B0">
        <w:t xml:space="preserve">Describe efforts to consult with persons outside </w:t>
      </w:r>
      <w:r w:rsidR="002059F4">
        <w:t>EPA</w:t>
      </w:r>
      <w:r w:rsidRPr="003041B0">
        <w:t xml:space="preserve"> to obtain their views on the availability of data, frequency of collec</w:t>
      </w:r>
      <w:r w:rsidRPr="003041B0">
        <w:t>tion, the clarity of instructions and recordkeeping, disclosure, or reporting format (if any), and on the data elements to be recorded, disclosed, or report</w:t>
      </w:r>
      <w:r w:rsidR="00E00E93">
        <w:t>ed</w:t>
      </w:r>
      <w:r w:rsidRPr="003041B0">
        <w:t>.</w:t>
      </w:r>
    </w:p>
    <w:p w:rsidR="00E00E93" w:rsidP="00E00E93" w14:paraId="57FCDACA" w14:textId="61B7AED9">
      <w:pPr>
        <w:pStyle w:val="Heading2"/>
        <w:numPr>
          <w:ilvl w:val="0"/>
          <w:numId w:val="0"/>
        </w:numPr>
        <w:ind w:left="360"/>
      </w:pPr>
      <w:r w:rsidRPr="00A20E41">
        <w:t xml:space="preserve">Consultation with representatives of those from whom information is to be obtained or those who </w:t>
      </w:r>
      <w:r w:rsidRPr="00A20E41">
        <w:t>must compile records should occur at least once every 3 years - even if the collection of information activity is the same as in prior periods. There may be circumstances that may preclude consultation in a specific situation. These circumstances should be</w:t>
      </w:r>
      <w:r w:rsidRPr="00A20E41">
        <w:t xml:space="preserve"> explained.</w:t>
      </w:r>
    </w:p>
    <w:p w:rsidR="008817D2" w:rsidRPr="008817D2" w:rsidP="008817D2" w14:paraId="5EBB93B2" w14:textId="087B04F7">
      <w:pPr>
        <w:rPr>
          <w:lang w:bidi="en-US"/>
        </w:rPr>
      </w:pPr>
      <w:r>
        <w:t xml:space="preserve">EPA developed the proposed rule “Confidential Business Information Claims under the Toxic Substances Control Act” and published it in the Federal Register for public comment (87 FR 29078, May 12, 2022). </w:t>
      </w:r>
      <w:r w:rsidRPr="000F0FF8">
        <w:t>The proposed rulemaking serve</w:t>
      </w:r>
      <w:r>
        <w:t>d</w:t>
      </w:r>
      <w:r w:rsidRPr="000F0FF8">
        <w:t xml:space="preserve"> as the pub</w:t>
      </w:r>
      <w:r w:rsidRPr="000F0FF8">
        <w:t>lic notice for this ICR amendment</w:t>
      </w:r>
      <w:r>
        <w:t xml:space="preserve">, which is available in the public docket. </w:t>
      </w:r>
      <w:r w:rsidRPr="000F0FF8">
        <w:t xml:space="preserve">Interested parties </w:t>
      </w:r>
      <w:r>
        <w:t xml:space="preserve">were directed to submit comments referencing </w:t>
      </w:r>
      <w:r w:rsidRPr="000F0FF8">
        <w:t>Docket ID No. EPA-HQ-OPP</w:t>
      </w:r>
      <w:r>
        <w:t>T</w:t>
      </w:r>
      <w:r w:rsidRPr="000F0FF8">
        <w:t>-20</w:t>
      </w:r>
      <w:r>
        <w:t>21</w:t>
      </w:r>
      <w:r w:rsidRPr="000F0FF8">
        <w:t>-0</w:t>
      </w:r>
      <w:r>
        <w:t>4</w:t>
      </w:r>
      <w:r w:rsidR="00503A14">
        <w:t>19</w:t>
      </w:r>
      <w:r w:rsidRPr="000F0FF8">
        <w:t>.</w:t>
      </w:r>
      <w:r>
        <w:t xml:space="preserve"> The final rule, Economic Analysis, and ICR were developed with consideration of comments received from the public in response to the notice of proposed rulemaking. EPA has developed a Response to Comments document that summarizes the comments received and</w:t>
      </w:r>
      <w:r>
        <w:t xml:space="preserve"> EPA’s responses that were not included and responded to in the preamble. This document is available in the docket for the rulemaking (EPA-HQ-OPPT-2021-04</w:t>
      </w:r>
      <w:r w:rsidR="00503A14">
        <w:t>19</w:t>
      </w:r>
      <w:r>
        <w:t xml:space="preserve">). There were no comments directly related to the ICR or ICR burden estimations. </w:t>
      </w:r>
    </w:p>
    <w:p w:rsidR="009A7738" w:rsidP="002059F4" w14:paraId="68CD10BA" w14:textId="414A7E7D">
      <w:pPr>
        <w:pStyle w:val="Heading2"/>
        <w:ind w:left="360"/>
      </w:pPr>
      <w:r>
        <w:t>Explain any decisi</w:t>
      </w:r>
      <w:r>
        <w:t>on to provide any payment or gift to respondents, other than remuneration of contractors or grantees.</w:t>
      </w:r>
    </w:p>
    <w:p w:rsidR="001B35E7" w:rsidRPr="001B35E7" w:rsidP="001B35E7" w14:paraId="61E3624A" w14:textId="3D67A62B">
      <w:pPr>
        <w:rPr>
          <w:lang w:bidi="en-US"/>
        </w:rPr>
      </w:pPr>
      <w:r>
        <w:rPr>
          <w:lang w:bidi="en-US"/>
        </w:rPr>
        <w:t xml:space="preserve">Not applicable. </w:t>
      </w:r>
    </w:p>
    <w:p w:rsidR="009A7738" w:rsidP="002059F4" w14:paraId="1E0798B2" w14:textId="4105AD15">
      <w:pPr>
        <w:pStyle w:val="Heading2"/>
        <w:ind w:left="360"/>
      </w:pPr>
      <w:r w:rsidRPr="003041B0">
        <w:t>Describe any assurance of confidentiality provided to respondents and the basis for the assurance in statute, regulation, or agency polic</w:t>
      </w:r>
      <w:r w:rsidRPr="003041B0">
        <w:t>y.</w:t>
      </w:r>
      <w:r w:rsidR="00E00E93">
        <w:t xml:space="preserve"> </w:t>
      </w:r>
      <w:r w:rsidRPr="00CB6A40" w:rsidR="00E00E93">
        <w:t>If the collection requires a system of records notice (SORN) or privacy impact assessment (PIA), those should be cited and described here.</w:t>
      </w:r>
    </w:p>
    <w:p w:rsidR="006B3C71" w:rsidP="000173B9" w14:paraId="2906CEA5" w14:textId="227C69DC">
      <w:r>
        <w:t>The Agency’s policies allow public involvement while preserving confidentiality. Amended TSCA section 14(a) prohib</w:t>
      </w:r>
      <w:r>
        <w:t xml:space="preserve">its disclosure of </w:t>
      </w:r>
      <w:r w:rsidR="005774D9">
        <w:t>CBI</w:t>
      </w:r>
      <w:r>
        <w:t xml:space="preserve"> when the requirements of TSCA section 14(c) are met. Also, TSCA section 14(b)</w:t>
      </w:r>
      <w:r w:rsidR="00990160">
        <w:t>(2)</w:t>
      </w:r>
      <w:r>
        <w:t xml:space="preserve"> allows disclosure of health and safety studies</w:t>
      </w:r>
      <w:r w:rsidR="006D7E61">
        <w:t xml:space="preserve"> </w:t>
      </w:r>
      <w:r w:rsidR="00CB3B90">
        <w:t>pertaining</w:t>
      </w:r>
      <w:r w:rsidR="006D7E61">
        <w:t xml:space="preserve"> to chemical substance that have been offered for commercial distribution</w:t>
      </w:r>
      <w:r>
        <w:t xml:space="preserve">, including underlying </w:t>
      </w:r>
      <w:r>
        <w:t>information, unless these studies disclose confidential process or mixture information. Under 40 CFR 720.85 and 720.87 (</w:t>
      </w:r>
      <w:r w:rsidR="009863DF">
        <w:t>s</w:t>
      </w:r>
      <w:r>
        <w:t>ee also 40 CFR part 2), when the specific chemical identity or use information are claimed confidential, the Agency requires the submit</w:t>
      </w:r>
      <w:r>
        <w:t xml:space="preserve">ter to provide generic descriptions for inclusion in </w:t>
      </w:r>
      <w:r w:rsidRPr="000E304B">
        <w:rPr>
          <w:b/>
          <w:bCs/>
        </w:rPr>
        <w:t>Federal Register</w:t>
      </w:r>
      <w:r>
        <w:t xml:space="preserve"> notices and the public file. Additionally, the submitter must provide a “sanitized” copy of all health and environmental effects information, with confidential information deleted, for p</w:t>
      </w:r>
      <w:r>
        <w:t>lacement in the public docket. Within the Agency, only personnel with the required clearance may handle TSCA CBI.</w:t>
      </w:r>
    </w:p>
    <w:p w:rsidR="006B3C71" w:rsidP="006B3C71" w14:paraId="78A2E43B" w14:textId="18B6EE89">
      <w:r>
        <w:t>As amended by the Lautenberg Act</w:t>
      </w:r>
      <w:r w:rsidRPr="00520A06">
        <w:t xml:space="preserve">, </w:t>
      </w:r>
      <w:r>
        <w:t xml:space="preserve">TSCA section 14(c)(3) requires that any CBI claims be </w:t>
      </w:r>
      <w:r w:rsidRPr="00520A06">
        <w:t>substantiat</w:t>
      </w:r>
      <w:r>
        <w:t xml:space="preserve">ed concurrently with the submission of the </w:t>
      </w:r>
      <w:r>
        <w:t xml:space="preserve">information, </w:t>
      </w:r>
      <w:r w:rsidRPr="00520A06">
        <w:t xml:space="preserve">except </w:t>
      </w:r>
      <w:r>
        <w:t>that</w:t>
      </w:r>
      <w:r w:rsidRPr="00520A06">
        <w:t xml:space="preserve"> CBI claims </w:t>
      </w:r>
      <w:r>
        <w:t>described in TSCA section 14(c)(2) are not subject to substantiation</w:t>
      </w:r>
      <w:r w:rsidRPr="00520A06">
        <w:t>.</w:t>
      </w:r>
      <w:r>
        <w:t xml:space="preserve"> </w:t>
      </w:r>
    </w:p>
    <w:p w:rsidR="001B35E7" w:rsidRPr="001B35E7" w:rsidP="001B35E7" w14:paraId="614C76E7" w14:textId="0F2BA71E">
      <w:r>
        <w:t xml:space="preserve">These procedures are detailed in the “TSCA CBI Protection Manual,” October 2003. EPA believes these procedures protect confidential business </w:t>
      </w:r>
      <w:r>
        <w:t>information while providing the public with as much information as possible.</w:t>
      </w:r>
    </w:p>
    <w:p w:rsidR="00575DC0" w:rsidP="002059F4" w14:paraId="675D5854" w14:textId="6D869570">
      <w:pPr>
        <w:pStyle w:val="Heading2"/>
        <w:ind w:left="360"/>
      </w:pPr>
      <w:r w:rsidRPr="00C42EF5">
        <w:t xml:space="preserve">Provide additional justification for any questions of a sensitive nature, </w:t>
      </w:r>
      <w:r>
        <w:t>such as sexual behavior and attitudes, religious beliefs, and other</w:t>
      </w:r>
      <w:r w:rsidRPr="00C42EF5">
        <w:t xml:space="preserve"> matters that are commonly considered </w:t>
      </w:r>
      <w:r w:rsidRPr="00C42EF5">
        <w:t>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53C0" w:rsidRPr="003C53C0" w:rsidP="003C53C0" w14:paraId="5F1FD9C7" w14:textId="5D1DFDD6">
      <w:r w:rsidRPr="003C53C0">
        <w:t>Information requirements under TSCA do not include questions of a sensitive nature.</w:t>
      </w:r>
    </w:p>
    <w:p w:rsidR="00E00E93" w:rsidP="00E00E93" w14:paraId="29AD7DEB" w14:textId="77777777">
      <w:pPr>
        <w:pStyle w:val="Heading2"/>
        <w:ind w:left="360"/>
      </w:pPr>
      <w:r w:rsidRPr="00C42EF5">
        <w:t>Provide estimates of the hour burden of the collection of information.</w:t>
      </w:r>
      <w:r>
        <w:t xml:space="preserve"> The statement should: </w:t>
      </w:r>
    </w:p>
    <w:p w:rsidR="00E00E93" w:rsidP="00FA07C5" w14:paraId="7FC47722" w14:textId="77777777">
      <w:pPr>
        <w:pStyle w:val="Heading3"/>
        <w:numPr>
          <w:ilvl w:val="0"/>
          <w:numId w:val="6"/>
        </w:numPr>
      </w:pPr>
      <w:r>
        <w:t>Indicate the number of respondents, frequency of r</w:t>
      </w:r>
      <w:r>
        <w:t xml:space="preserve">esponse, annual hour burden, and an explanation of how the burden was estimated. Unless directed to do so, agencies should not conduct special surveys to obtain information on which to base hour burden estimates. Consultation with a sample (fewer than 10) </w:t>
      </w:r>
      <w:r>
        <w:t>of potential respondents is desirable. If the hour burden on respondents is expected to vary widely because of differences in activity, size, or complexity, show the range of estimated hour burden, and explain the reasons for the variance. Generally, estim</w:t>
      </w:r>
      <w:r>
        <w:t>ates should not include burden hours for customary and usual business practices.</w:t>
      </w:r>
    </w:p>
    <w:p w:rsidR="00E00E93" w:rsidP="00E00E93" w14:paraId="2F1B6098" w14:textId="77777777">
      <w:pPr>
        <w:pStyle w:val="Heading3"/>
      </w:pPr>
      <w:r>
        <w:t xml:space="preserve">If this request for approval covers more than one form, provide separate hour burden estimates for each form and aggregate the hour burdens. </w:t>
      </w:r>
    </w:p>
    <w:p w:rsidR="00294EAC" w:rsidP="00E00E93" w14:paraId="2E905BB2" w14:textId="0324F49B">
      <w:pPr>
        <w:pStyle w:val="Heading3"/>
      </w:pPr>
      <w:r>
        <w:t>Provide estimates of annualized cost to respondents for the hour burdens for collections of information, identifying and using appropriate wage rate categories. The cost of contracting out or paying outside parties for information collection activities sho</w:t>
      </w:r>
      <w:r>
        <w:t xml:space="preserve">uld not be included here. Instead, this cost should be included under ‘Annual Cost to Federal Government’.  </w:t>
      </w:r>
    </w:p>
    <w:p w:rsidR="0063003D" w:rsidRPr="0094705A" w:rsidP="00B30872" w14:paraId="0954F41D" w14:textId="1468AB85">
      <w:bookmarkStart w:id="6" w:name="_Hlk31644583"/>
      <w:r w:rsidRPr="0094705A">
        <w:t>Impacted respondents include entities that reported a confidential chemical substance in the TSCA Inventory Notification (Active-Inactive) Requirem</w:t>
      </w:r>
      <w:r w:rsidRPr="0094705A">
        <w:t>ents reporting rule</w:t>
      </w:r>
      <w:r>
        <w:t xml:space="preserve"> collection</w:t>
      </w:r>
      <w:r w:rsidRPr="0094705A">
        <w:t xml:space="preserve"> (82 FR 37520, Au</w:t>
      </w:r>
      <w:r>
        <w:t xml:space="preserve">gust </w:t>
      </w:r>
      <w:r w:rsidRPr="0094705A">
        <w:t xml:space="preserve">11, 2017, codified at 40 CFR Part 710) through a Notice of Activity (NOA) Form A and </w:t>
      </w:r>
      <w:r>
        <w:t>sought to maintain an existing CBI claim for the specific chemical identity of the chemical substance</w:t>
      </w:r>
      <w:r w:rsidRPr="0094705A">
        <w:t xml:space="preserve">. </w:t>
      </w:r>
      <w:r w:rsidRPr="0094705A">
        <w:rPr>
          <w:color w:val="000000"/>
        </w:rPr>
        <w:t xml:space="preserve">This action may </w:t>
      </w:r>
      <w:r w:rsidRPr="0094705A">
        <w:rPr>
          <w:color w:val="000000"/>
        </w:rPr>
        <w:t xml:space="preserve">be of particular interest to entities that are regulated under TSCA (e.g., entities identified under North American Industrial Classification System (NAICS) codes 324 and 325, among others). </w:t>
      </w:r>
      <w:bookmarkEnd w:id="6"/>
    </w:p>
    <w:p w:rsidR="0063003D" w:rsidP="00B30872" w14:paraId="60EB5EAC" w14:textId="07F92551">
      <w:r w:rsidRPr="0063003D">
        <w:fldChar w:fldCharType="begin"/>
      </w:r>
      <w:r w:rsidRPr="0063003D">
        <w:instrText xml:space="preserve"> REF _Ref526492789 \h </w:instrText>
      </w:r>
      <w:r w:rsidRPr="0063003D">
        <w:fldChar w:fldCharType="separate"/>
      </w:r>
      <w:r w:rsidRPr="0063003D">
        <w:t>Table 1</w:t>
      </w:r>
      <w:r w:rsidRPr="0063003D">
        <w:fldChar w:fldCharType="end"/>
      </w:r>
      <w:r w:rsidRPr="0063003D">
        <w:t xml:space="preserve"> provides a </w:t>
      </w:r>
      <w:r w:rsidRPr="0063003D">
        <w:t>cross-walk</w:t>
      </w:r>
      <w:r w:rsidRPr="0063003D">
        <w:t xml:space="preserve"> of the related </w:t>
      </w:r>
      <w:r w:rsidR="009863DF">
        <w:t>i</w:t>
      </w:r>
      <w:r w:rsidRPr="0063003D">
        <w:t xml:space="preserve">nformation </w:t>
      </w:r>
      <w:r w:rsidR="009863DF">
        <w:t>c</w:t>
      </w:r>
      <w:r w:rsidRPr="0063003D">
        <w:t xml:space="preserve">ollection category that corresponds to each activity. </w:t>
      </w:r>
    </w:p>
    <w:p w:rsidR="00B30872" w:rsidRPr="000E304B" w:rsidP="00B30872" w14:paraId="76D243A7" w14:textId="22E73DAB">
      <w:pPr>
        <w:rPr>
          <w:b/>
          <w:bCs/>
        </w:rPr>
      </w:pPr>
      <w:r w:rsidRPr="000E304B">
        <w:rPr>
          <w:b/>
          <w:bCs/>
        </w:rPr>
        <w:t>Table 1. Crosswalk of Revised Provisions</w:t>
      </w:r>
    </w:p>
    <w:tbl>
      <w:tblPr>
        <w:tblStyle w:val="TableGrid"/>
        <w:tblW w:w="0" w:type="auto"/>
        <w:tblLook w:val="04A0"/>
      </w:tblPr>
      <w:tblGrid>
        <w:gridCol w:w="3775"/>
        <w:gridCol w:w="4500"/>
        <w:gridCol w:w="1075"/>
      </w:tblGrid>
      <w:tr w14:paraId="2169F518" w14:textId="77777777" w:rsidTr="008C4709">
        <w:tblPrEx>
          <w:tblW w:w="0" w:type="auto"/>
          <w:tblLook w:val="04A0"/>
        </w:tblPrEx>
        <w:tc>
          <w:tcPr>
            <w:tcW w:w="3775" w:type="dxa"/>
          </w:tcPr>
          <w:p w:rsidR="00AC368D" w:rsidRPr="00BC370A" w:rsidP="00D61693" w14:paraId="0B406F6B" w14:textId="1626E104">
            <w:pPr>
              <w:rPr>
                <w:b/>
                <w:bCs/>
              </w:rPr>
            </w:pPr>
            <w:r w:rsidRPr="00BC370A">
              <w:rPr>
                <w:b/>
                <w:bCs/>
              </w:rPr>
              <w:t xml:space="preserve">Collection </w:t>
            </w:r>
          </w:p>
        </w:tc>
        <w:tc>
          <w:tcPr>
            <w:tcW w:w="4500" w:type="dxa"/>
          </w:tcPr>
          <w:p w:rsidR="00AC368D" w:rsidRPr="00BC370A" w14:paraId="41FF224E" w14:textId="2CE39D2D">
            <w:pPr>
              <w:rPr>
                <w:b/>
                <w:bCs/>
              </w:rPr>
            </w:pPr>
            <w:r w:rsidRPr="00BC370A">
              <w:rPr>
                <w:b/>
                <w:bCs/>
              </w:rPr>
              <w:t>Substantiation Activity</w:t>
            </w:r>
          </w:p>
        </w:tc>
        <w:tc>
          <w:tcPr>
            <w:tcW w:w="1075" w:type="dxa"/>
          </w:tcPr>
          <w:p w:rsidR="00AC368D" w:rsidRPr="00BC370A" w14:paraId="73D3DA48" w14:textId="7130ACEC">
            <w:pPr>
              <w:rPr>
                <w:b/>
                <w:bCs/>
              </w:rPr>
            </w:pPr>
            <w:r w:rsidRPr="00BC370A">
              <w:rPr>
                <w:b/>
                <w:bCs/>
              </w:rPr>
              <w:t xml:space="preserve">OMB Control No. </w:t>
            </w:r>
          </w:p>
        </w:tc>
      </w:tr>
      <w:tr w14:paraId="69911F29" w14:textId="77777777" w:rsidTr="008C4709">
        <w:tblPrEx>
          <w:tblW w:w="0" w:type="auto"/>
          <w:tblLook w:val="04A0"/>
        </w:tblPrEx>
        <w:tc>
          <w:tcPr>
            <w:tcW w:w="3775" w:type="dxa"/>
          </w:tcPr>
          <w:p w:rsidR="00AC368D" w:rsidP="00B30872" w14:paraId="78EC53C9" w14:textId="4FD381DF">
            <w:bookmarkStart w:id="7" w:name="_Hlk70426335"/>
            <w:r>
              <w:t xml:space="preserve">TSCA Section 4 </w:t>
            </w:r>
            <w:r w:rsidR="00BC370A">
              <w:t>Test Orders</w:t>
            </w:r>
            <w:r w:rsidR="00617519">
              <w:t>; 40 CFR 790</w:t>
            </w:r>
          </w:p>
        </w:tc>
        <w:tc>
          <w:tcPr>
            <w:tcW w:w="4500" w:type="dxa"/>
          </w:tcPr>
          <w:p w:rsidR="00AC368D" w:rsidP="00D61693" w14:paraId="1D573D75" w14:textId="2F79935B">
            <w:r>
              <w:t xml:space="preserve">Moved to provisions in 40 CFR 703 </w:t>
            </w:r>
          </w:p>
        </w:tc>
        <w:tc>
          <w:tcPr>
            <w:tcW w:w="1075" w:type="dxa"/>
          </w:tcPr>
          <w:p w:rsidR="00AC368D" w14:paraId="36DD79A9" w14:textId="6EC563F4">
            <w:r>
              <w:t>2070-0033</w:t>
            </w:r>
          </w:p>
        </w:tc>
      </w:tr>
      <w:tr w14:paraId="3715BD88" w14:textId="77777777" w:rsidTr="008C4709">
        <w:tblPrEx>
          <w:tblW w:w="0" w:type="auto"/>
          <w:tblLook w:val="04A0"/>
        </w:tblPrEx>
        <w:tc>
          <w:tcPr>
            <w:tcW w:w="3775" w:type="dxa"/>
          </w:tcPr>
          <w:p w:rsidR="00655EA0" w:rsidP="00B30872" w14:paraId="3BEEB8F9" w14:textId="4202E47A">
            <w:r>
              <w:t>TSCA Section 5 General Provisions 40 CFR 720.80</w:t>
            </w:r>
          </w:p>
        </w:tc>
        <w:tc>
          <w:tcPr>
            <w:tcW w:w="4500" w:type="dxa"/>
          </w:tcPr>
          <w:p w:rsidR="00655EA0" w:rsidP="00D61693" w14:paraId="503B019F" w14:textId="72657643">
            <w:r>
              <w:t xml:space="preserve">Moved to 40 CFR 703; </w:t>
            </w:r>
          </w:p>
        </w:tc>
        <w:tc>
          <w:tcPr>
            <w:tcW w:w="1075" w:type="dxa"/>
          </w:tcPr>
          <w:p w:rsidR="00655EA0" w14:paraId="02BA1073" w14:textId="5B774CDC">
            <w:r>
              <w:t>2070-00</w:t>
            </w:r>
            <w:r w:rsidR="00BC687D">
              <w:t>38</w:t>
            </w:r>
          </w:p>
        </w:tc>
      </w:tr>
      <w:tr w14:paraId="67B91D2F" w14:textId="77777777" w:rsidTr="008C4709">
        <w:tblPrEx>
          <w:tblW w:w="0" w:type="auto"/>
          <w:tblLook w:val="04A0"/>
        </w:tblPrEx>
        <w:tc>
          <w:tcPr>
            <w:tcW w:w="3775" w:type="dxa"/>
          </w:tcPr>
          <w:p w:rsidR="00AC368D" w:rsidP="00B30872" w14:paraId="2AFD5D88" w14:textId="05E30B78">
            <w:r>
              <w:t>TSCA Section 5 PMN</w:t>
            </w:r>
            <w:r w:rsidR="008C4709">
              <w:t>s and NOCs; 40 CFR 720.85 and 720.90 and 720 Subpart F</w:t>
            </w:r>
          </w:p>
        </w:tc>
        <w:tc>
          <w:tcPr>
            <w:tcW w:w="4500" w:type="dxa"/>
          </w:tcPr>
          <w:p w:rsidR="00AC368D" w:rsidP="00D61693" w14:paraId="54FA0717" w14:textId="5F923438">
            <w:r>
              <w:t>Moved to provisio</w:t>
            </w:r>
            <w:r>
              <w:t>ns in 40 CFR 703; review of generic names for NOCs</w:t>
            </w:r>
            <w:r w:rsidR="00655EA0">
              <w:t>; deleted 720.85, 720.90, and portions of 40 CFR 790, subpart 7 - NOCs</w:t>
            </w:r>
            <w:r>
              <w:t xml:space="preserve"> </w:t>
            </w:r>
          </w:p>
        </w:tc>
        <w:tc>
          <w:tcPr>
            <w:tcW w:w="1075" w:type="dxa"/>
          </w:tcPr>
          <w:p w:rsidR="00AC368D" w14:paraId="16EEF1A6" w14:textId="2B355C22">
            <w:r>
              <w:t>2070-</w:t>
            </w:r>
            <w:r w:rsidR="00655EA0">
              <w:t>00</w:t>
            </w:r>
            <w:r w:rsidR="00BC687D">
              <w:t>38</w:t>
            </w:r>
          </w:p>
        </w:tc>
      </w:tr>
      <w:tr w14:paraId="294506C2" w14:textId="77777777" w:rsidTr="008C4709">
        <w:tblPrEx>
          <w:tblW w:w="0" w:type="auto"/>
          <w:tblLook w:val="04A0"/>
        </w:tblPrEx>
        <w:tc>
          <w:tcPr>
            <w:tcW w:w="3775" w:type="dxa"/>
          </w:tcPr>
          <w:p w:rsidR="00655EA0" w:rsidP="00B30872" w14:paraId="75F41823" w14:textId="2A937F3C">
            <w:r>
              <w:t>TSCA Section 5 NOCs 720.102(c)(2)</w:t>
            </w:r>
            <w:r w:rsidR="007A23B4">
              <w:t xml:space="preserve"> and 40 CFR 720.190</w:t>
            </w:r>
          </w:p>
        </w:tc>
        <w:tc>
          <w:tcPr>
            <w:tcW w:w="4500" w:type="dxa"/>
          </w:tcPr>
          <w:p w:rsidR="00655EA0" w:rsidP="00D61693" w14:paraId="304EF951" w14:textId="10B2D400">
            <w:r>
              <w:t xml:space="preserve">Update and clarify reporting instructions and cross reference 40 </w:t>
            </w:r>
            <w:r>
              <w:t>CFR 703</w:t>
            </w:r>
          </w:p>
        </w:tc>
        <w:tc>
          <w:tcPr>
            <w:tcW w:w="1075" w:type="dxa"/>
          </w:tcPr>
          <w:p w:rsidR="00655EA0" w14:paraId="60BF62FA" w14:textId="0CBB3BF3">
            <w:r>
              <w:t>2070-00</w:t>
            </w:r>
            <w:r w:rsidR="00BC687D">
              <w:t>38</w:t>
            </w:r>
          </w:p>
        </w:tc>
      </w:tr>
      <w:tr w14:paraId="54AA7789" w14:textId="77777777" w:rsidTr="008C4709">
        <w:tblPrEx>
          <w:tblW w:w="0" w:type="auto"/>
          <w:tblLook w:val="04A0"/>
        </w:tblPrEx>
        <w:tc>
          <w:tcPr>
            <w:tcW w:w="3775" w:type="dxa"/>
          </w:tcPr>
          <w:p w:rsidR="008C4709" w:rsidP="00B30872" w14:paraId="272AB9CF" w14:textId="378BBFF9">
            <w:r>
              <w:t xml:space="preserve">TSCA Section 5 Polymer Exemption; 40 CFR 723.250(f)  </w:t>
            </w:r>
          </w:p>
        </w:tc>
        <w:tc>
          <w:tcPr>
            <w:tcW w:w="4500" w:type="dxa"/>
          </w:tcPr>
          <w:p w:rsidR="008C4709" w:rsidP="00D61693" w14:paraId="2D2710BE" w14:textId="6FC2D40F">
            <w:r>
              <w:t xml:space="preserve">Require electronic reporting </w:t>
            </w:r>
          </w:p>
        </w:tc>
        <w:tc>
          <w:tcPr>
            <w:tcW w:w="1075" w:type="dxa"/>
          </w:tcPr>
          <w:p w:rsidR="008C4709" w14:paraId="4EBA1AFF" w14:textId="49521128">
            <w:r>
              <w:t>2070-00</w:t>
            </w:r>
            <w:r w:rsidR="00BC687D">
              <w:t>38</w:t>
            </w:r>
          </w:p>
        </w:tc>
      </w:tr>
      <w:tr w14:paraId="623FE8A4" w14:textId="77777777" w:rsidTr="008C4709">
        <w:tblPrEx>
          <w:tblW w:w="0" w:type="auto"/>
          <w:tblLook w:val="04A0"/>
        </w:tblPrEx>
        <w:tc>
          <w:tcPr>
            <w:tcW w:w="3775" w:type="dxa"/>
          </w:tcPr>
          <w:p w:rsidR="008C4709" w:rsidP="00B30872" w14:paraId="0E8D166E" w14:textId="2E183BD9">
            <w:r>
              <w:t xml:space="preserve">TSCA Section 5 </w:t>
            </w:r>
            <w:r w:rsidR="00B30872">
              <w:t xml:space="preserve">LVEs and </w:t>
            </w:r>
            <w:r>
              <w:t xml:space="preserve">LoRExs </w:t>
            </w:r>
            <w:r w:rsidR="00B30872">
              <w:t>40 CFR 723.50(l) and 723.250(f)</w:t>
            </w:r>
          </w:p>
        </w:tc>
        <w:tc>
          <w:tcPr>
            <w:tcW w:w="4500" w:type="dxa"/>
          </w:tcPr>
          <w:p w:rsidR="008C4709" w:rsidP="00D61693" w14:paraId="55A22F9C" w14:textId="76621114">
            <w:r>
              <w:t>Moved to provisions in 40 CFR 703</w:t>
            </w:r>
          </w:p>
        </w:tc>
        <w:tc>
          <w:tcPr>
            <w:tcW w:w="1075" w:type="dxa"/>
          </w:tcPr>
          <w:p w:rsidR="008C4709" w14:paraId="4A094F9C" w14:textId="755DF6BF">
            <w:r>
              <w:t>2070-00</w:t>
            </w:r>
            <w:r w:rsidR="00BC687D">
              <w:t>38</w:t>
            </w:r>
          </w:p>
        </w:tc>
      </w:tr>
      <w:tr w14:paraId="26D02C98" w14:textId="77777777" w:rsidTr="008C4709">
        <w:tblPrEx>
          <w:tblW w:w="0" w:type="auto"/>
          <w:tblLook w:val="04A0"/>
        </w:tblPrEx>
        <w:tc>
          <w:tcPr>
            <w:tcW w:w="3775" w:type="dxa"/>
          </w:tcPr>
          <w:p w:rsidR="008C4709" w:rsidRPr="000647C9" w:rsidP="00B30872" w14:paraId="19D3BF47" w14:textId="04F7C0AA">
            <w:pPr>
              <w:rPr>
                <w:lang w:val="fr-FR"/>
              </w:rPr>
            </w:pPr>
            <w:r w:rsidRPr="000647C9">
              <w:rPr>
                <w:lang w:val="fr-FR"/>
              </w:rPr>
              <w:t xml:space="preserve">TSCA Section 5 </w:t>
            </w:r>
            <w:r w:rsidRPr="000647C9">
              <w:rPr>
                <w:lang w:val="fr-FR"/>
              </w:rPr>
              <w:t xml:space="preserve">microorganisms; 40 CFR 725 Subpart C </w:t>
            </w:r>
          </w:p>
        </w:tc>
        <w:tc>
          <w:tcPr>
            <w:tcW w:w="4500" w:type="dxa"/>
          </w:tcPr>
          <w:p w:rsidR="008C4709" w:rsidP="00D61693" w14:paraId="6B5DD29E" w14:textId="6B4DF5DD">
            <w:r>
              <w:t xml:space="preserve">Moved to provisions in 40 CFR 703 </w:t>
            </w:r>
          </w:p>
        </w:tc>
        <w:tc>
          <w:tcPr>
            <w:tcW w:w="1075" w:type="dxa"/>
          </w:tcPr>
          <w:p w:rsidR="008C4709" w14:paraId="0965F0B6" w14:textId="0763AAB0">
            <w:r>
              <w:t>2070-00</w:t>
            </w:r>
            <w:r w:rsidR="00BC687D">
              <w:t>38</w:t>
            </w:r>
          </w:p>
        </w:tc>
      </w:tr>
      <w:tr w14:paraId="1C410140" w14:textId="77777777" w:rsidTr="008C4709">
        <w:tblPrEx>
          <w:tblW w:w="0" w:type="auto"/>
          <w:tblLook w:val="04A0"/>
        </w:tblPrEx>
        <w:tc>
          <w:tcPr>
            <w:tcW w:w="3775" w:type="dxa"/>
          </w:tcPr>
          <w:p w:rsidR="00AC368D" w:rsidP="00B30872" w14:paraId="6633C1E1" w14:textId="6F5B8C6F">
            <w:r>
              <w:t>TSCA Section 8(</w:t>
            </w:r>
            <w:r w:rsidR="00B30872">
              <w:t>a</w:t>
            </w:r>
            <w:r>
              <w:t>)</w:t>
            </w:r>
            <w:r w:rsidR="00B30872">
              <w:t xml:space="preserve"> 40 CFR 704</w:t>
            </w:r>
          </w:p>
        </w:tc>
        <w:tc>
          <w:tcPr>
            <w:tcW w:w="4500" w:type="dxa"/>
          </w:tcPr>
          <w:p w:rsidR="00AC368D" w:rsidP="00D61693" w14:paraId="6AA1C880" w14:textId="3E17CE84">
            <w:r>
              <w:t>Moved to provisions in 40 CFR 703</w:t>
            </w:r>
          </w:p>
        </w:tc>
        <w:tc>
          <w:tcPr>
            <w:tcW w:w="1075" w:type="dxa"/>
          </w:tcPr>
          <w:p w:rsidR="00AC368D" w14:paraId="5B95C8B0" w14:textId="734BE1ED">
            <w:r>
              <w:t>2070-022</w:t>
            </w:r>
            <w:r w:rsidR="00A41EA1">
              <w:t>4</w:t>
            </w:r>
          </w:p>
        </w:tc>
      </w:tr>
      <w:tr w14:paraId="44386EAB" w14:textId="77777777" w:rsidTr="008C4709">
        <w:tblPrEx>
          <w:tblW w:w="0" w:type="auto"/>
          <w:tblLook w:val="04A0"/>
        </w:tblPrEx>
        <w:tc>
          <w:tcPr>
            <w:tcW w:w="3775" w:type="dxa"/>
          </w:tcPr>
          <w:p w:rsidR="00617519" w:rsidP="00B30872" w14:paraId="5C7A880D" w14:textId="4CFB54F3">
            <w:r>
              <w:t>TSCA Section 8</w:t>
            </w:r>
            <w:r w:rsidR="005D4161">
              <w:t>©</w:t>
            </w:r>
            <w:r>
              <w:t xml:space="preserve"> Allegations of Adverse Effects; 40 CFR 717.19</w:t>
            </w:r>
          </w:p>
        </w:tc>
        <w:tc>
          <w:tcPr>
            <w:tcW w:w="4500" w:type="dxa"/>
          </w:tcPr>
          <w:p w:rsidR="00617519" w:rsidP="00D61693" w14:paraId="63C249FD" w14:textId="11925B76">
            <w:r>
              <w:t>Require electronic reporting</w:t>
            </w:r>
          </w:p>
        </w:tc>
        <w:tc>
          <w:tcPr>
            <w:tcW w:w="1075" w:type="dxa"/>
          </w:tcPr>
          <w:p w:rsidR="00617519" w14:paraId="2F9D6500" w14:textId="2D6463CC">
            <w:r>
              <w:t>2070-0</w:t>
            </w:r>
            <w:r w:rsidR="00A41EA1">
              <w:t>224</w:t>
            </w:r>
          </w:p>
        </w:tc>
      </w:tr>
      <w:tr w14:paraId="78CAC16F" w14:textId="77777777" w:rsidTr="008C4709">
        <w:tblPrEx>
          <w:tblW w:w="0" w:type="auto"/>
          <w:tblLook w:val="04A0"/>
        </w:tblPrEx>
        <w:tc>
          <w:tcPr>
            <w:tcW w:w="3775" w:type="dxa"/>
          </w:tcPr>
          <w:p w:rsidR="00BC370A" w:rsidP="00B30872" w14:paraId="7AB93884" w14:textId="329633CB">
            <w:r>
              <w:t>TSCA Section 8(d) Health and Safety Studies</w:t>
            </w:r>
            <w:r w:rsidR="00617519">
              <w:t>; 40 CFR 716.55(a) and (c)</w:t>
            </w:r>
          </w:p>
        </w:tc>
        <w:tc>
          <w:tcPr>
            <w:tcW w:w="4500" w:type="dxa"/>
          </w:tcPr>
          <w:p w:rsidR="00BC370A" w:rsidP="00D61693" w14:paraId="2EBA1598" w14:textId="14BECAA4">
            <w:r>
              <w:t xml:space="preserve">Check box for CBI submission </w:t>
            </w:r>
            <w:r w:rsidR="00B30872">
              <w:t>and moved provisions to 40 CFR 703</w:t>
            </w:r>
          </w:p>
        </w:tc>
        <w:tc>
          <w:tcPr>
            <w:tcW w:w="1075" w:type="dxa"/>
          </w:tcPr>
          <w:p w:rsidR="00BC370A" w14:paraId="33DB2297" w14:textId="2DBB7E39">
            <w:r>
              <w:t>2070-0</w:t>
            </w:r>
            <w:r w:rsidR="00BC687D">
              <w:t>22</w:t>
            </w:r>
            <w:r w:rsidR="00A41EA1">
              <w:t>4</w:t>
            </w:r>
          </w:p>
        </w:tc>
      </w:tr>
      <w:tr w14:paraId="3D129FCD" w14:textId="77777777" w:rsidTr="008C4709">
        <w:tblPrEx>
          <w:tblW w:w="0" w:type="auto"/>
          <w:tblLook w:val="04A0"/>
        </w:tblPrEx>
        <w:tc>
          <w:tcPr>
            <w:tcW w:w="3775" w:type="dxa"/>
          </w:tcPr>
          <w:p w:rsidR="00BC370A" w:rsidP="00B30872" w14:paraId="3EF00E25" w14:textId="2E4B1CE4">
            <w:r>
              <w:t xml:space="preserve">TSCA Section 8(e) Substantial Risk Notifications </w:t>
            </w:r>
          </w:p>
        </w:tc>
        <w:tc>
          <w:tcPr>
            <w:tcW w:w="4500" w:type="dxa"/>
          </w:tcPr>
          <w:p w:rsidR="00BC370A" w:rsidP="00D61693" w14:paraId="1A5B828D" w14:textId="23191AE4">
            <w:r>
              <w:t xml:space="preserve">Require electronic reporting for </w:t>
            </w:r>
            <w:r>
              <w:t>substantiation</w:t>
            </w:r>
          </w:p>
        </w:tc>
        <w:tc>
          <w:tcPr>
            <w:tcW w:w="1075" w:type="dxa"/>
          </w:tcPr>
          <w:p w:rsidR="00BC370A" w14:paraId="43AC1E49" w14:textId="262A8FA2">
            <w:r>
              <w:t>2070-0046</w:t>
            </w:r>
          </w:p>
        </w:tc>
      </w:tr>
      <w:tr w14:paraId="3FD1844B" w14:textId="77777777" w:rsidTr="008C4709">
        <w:tblPrEx>
          <w:tblW w:w="0" w:type="auto"/>
          <w:tblLook w:val="04A0"/>
        </w:tblPrEx>
        <w:tc>
          <w:tcPr>
            <w:tcW w:w="3775" w:type="dxa"/>
          </w:tcPr>
          <w:p w:rsidR="00BC370A" w:rsidP="00B30872" w14:paraId="27B91D30" w14:textId="26277756">
            <w:r>
              <w:t>TSCA Section 12(b) Notification of Export</w:t>
            </w:r>
            <w:r w:rsidR="00617519">
              <w:t xml:space="preserve">; </w:t>
            </w:r>
            <w:r w:rsidR="00617519">
              <w:rPr>
                <w:rFonts w:cs="Arial"/>
                <w:color w:val="000000"/>
                <w:shd w:val="clear" w:color="auto" w:fill="FFFFFF"/>
              </w:rPr>
              <w:t>40 CFR 707.75</w:t>
            </w:r>
          </w:p>
        </w:tc>
        <w:tc>
          <w:tcPr>
            <w:tcW w:w="4500" w:type="dxa"/>
          </w:tcPr>
          <w:p w:rsidR="00BC370A" w:rsidP="00D61693" w14:paraId="03A17868" w14:textId="3C77A6D8">
            <w:r>
              <w:t>Require electronic reporting and add clarification on chemical identity if CBI</w:t>
            </w:r>
          </w:p>
        </w:tc>
        <w:tc>
          <w:tcPr>
            <w:tcW w:w="1075" w:type="dxa"/>
          </w:tcPr>
          <w:p w:rsidR="00BC370A" w14:paraId="6494E992" w14:textId="4159A14F">
            <w:r>
              <w:t>2070</w:t>
            </w:r>
            <w:r w:rsidR="00655EA0">
              <w:t>-0030</w:t>
            </w:r>
          </w:p>
        </w:tc>
      </w:tr>
      <w:tr w14:paraId="535E0112" w14:textId="77777777" w:rsidTr="008C4709">
        <w:tblPrEx>
          <w:tblW w:w="0" w:type="auto"/>
          <w:tblLook w:val="04A0"/>
        </w:tblPrEx>
        <w:tc>
          <w:tcPr>
            <w:tcW w:w="3775" w:type="dxa"/>
          </w:tcPr>
          <w:p w:rsidR="00BC687D" w:rsidP="00BC687D" w14:paraId="573DB1A6" w14:textId="78FF792C">
            <w:r>
              <w:t xml:space="preserve">TSCA Title VI Formaldehyde Emissions, 40 CFR 770 </w:t>
            </w:r>
          </w:p>
        </w:tc>
        <w:tc>
          <w:tcPr>
            <w:tcW w:w="4500" w:type="dxa"/>
          </w:tcPr>
          <w:p w:rsidR="00BC687D" w:rsidP="00BC687D" w14:paraId="74D50258" w14:textId="7BD887F0">
            <w:r>
              <w:t xml:space="preserve">Require electronic reporting for CBI </w:t>
            </w:r>
          </w:p>
        </w:tc>
        <w:tc>
          <w:tcPr>
            <w:tcW w:w="1075" w:type="dxa"/>
          </w:tcPr>
          <w:p w:rsidR="00BC687D" w:rsidP="00BC687D" w14:paraId="2AC7F064" w14:textId="3CE4053D">
            <w:r>
              <w:t>2070-0185</w:t>
            </w:r>
          </w:p>
        </w:tc>
      </w:tr>
      <w:bookmarkEnd w:id="7"/>
    </w:tbl>
    <w:p w:rsidR="00AC368D" w:rsidP="00B30872" w14:paraId="446827C4" w14:textId="77777777"/>
    <w:p w:rsidR="006C61E2" w:rsidP="00263F84" w14:paraId="210852D7" w14:textId="77777777">
      <w:r w:rsidRPr="002D6CA0">
        <w:t>This section presents the burden of this information collection activity to respondents in terms of the time required by respondents to perform the activiti</w:t>
      </w:r>
      <w:r w:rsidRPr="002D6CA0">
        <w:t>es. The overall unit burden experienced by respondents is estimated by combining activity-level unit burdens at the appropriate scale (e.g. per company or per chemical) to produce estimates for unit burden per submission, by company.</w:t>
      </w:r>
    </w:p>
    <w:p w:rsidR="002D6CA0" w:rsidRPr="002D6CA0" w:rsidP="00263F84" w14:paraId="2276A515" w14:textId="74022430">
      <w:r w:rsidRPr="0063003D">
        <w:t xml:space="preserve">Burden and cost calculations are based on </w:t>
      </w:r>
      <w:r w:rsidRPr="00361788">
        <w:rPr>
          <w:highlight w:val="yellow"/>
        </w:rPr>
        <w:t xml:space="preserve">EPA’s estimates </w:t>
      </w:r>
      <w:r w:rsidRPr="00361788">
        <w:rPr>
          <w:highlight w:val="yellow"/>
        </w:rPr>
        <w:t>that 1,100 firms will undertake some or all of the listed activities</w:t>
      </w:r>
      <w:r w:rsidRPr="00361788">
        <w:rPr>
          <w:highlight w:val="yellow"/>
        </w:rPr>
        <w:t>.</w:t>
      </w:r>
      <w:r w:rsidRPr="0063003D">
        <w:t xml:space="preserve"> </w:t>
      </w:r>
      <w:r w:rsidRPr="002D6CA0">
        <w:t>This section details the activity-level unit burdens grouped by type of activity. For additional details see Economic Analysis f</w:t>
      </w:r>
      <w:r w:rsidRPr="002D6CA0">
        <w:t xml:space="preserve">or the </w:t>
      </w:r>
      <w:r w:rsidR="006A224D">
        <w:t>Final</w:t>
      </w:r>
      <w:r w:rsidR="00AB29A7">
        <w:t xml:space="preserve"> </w:t>
      </w:r>
      <w:r w:rsidRPr="002D6CA0">
        <w:t>Rule: Procedures for Review of CBI Claims</w:t>
      </w:r>
      <w:r w:rsidR="00DF2D99">
        <w:t xml:space="preserve"> see </w:t>
      </w:r>
      <w:r w:rsidRPr="000E304B" w:rsidR="00DF2D99">
        <w:rPr>
          <w:b/>
          <w:bCs/>
        </w:rPr>
        <w:t>Attachment 3</w:t>
      </w:r>
      <w:r w:rsidRPr="002D6CA0">
        <w:t>.</w:t>
      </w:r>
    </w:p>
    <w:p w:rsidR="002D6CA0" w14:paraId="3BC88306" w14:textId="17918588">
      <w:r w:rsidRPr="00126678">
        <w:rPr>
          <w:b/>
          <w:i/>
        </w:rPr>
        <w:t>Rule Familiarization.</w:t>
      </w:r>
      <w:r>
        <w:rPr>
          <w:i/>
        </w:rPr>
        <w:t xml:space="preserve"> </w:t>
      </w:r>
      <w:r>
        <w:t>The burden associated with rule familiarization involves becoming familiar with the full requirements of the rule, which includes reading the rule, understanding</w:t>
      </w:r>
      <w:r>
        <w:t xml:space="preserve"> the various reporting and administrative requirements, and determining the manner in which reporting requirements will be met.</w:t>
      </w:r>
    </w:p>
    <w:p w:rsidR="0063003D" w:rsidRPr="009A6EFA" w14:paraId="4ADBB7F5" w14:textId="45782027">
      <w:pPr>
        <w:rPr>
          <w:rStyle w:val="normaltextrun"/>
          <w:color w:val="000000"/>
          <w:szCs w:val="24"/>
          <w:shd w:val="clear" w:color="auto" w:fill="FFFFFF"/>
        </w:rPr>
      </w:pPr>
      <w:r w:rsidRPr="00126678">
        <w:rPr>
          <w:b/>
          <w:i/>
        </w:rPr>
        <w:t>Compliance Determination</w:t>
      </w:r>
      <w:r w:rsidRPr="00126678">
        <w:rPr>
          <w:b/>
        </w:rPr>
        <w:t>.</w:t>
      </w:r>
      <w:r>
        <w:t xml:space="preserve"> </w:t>
      </w:r>
      <w:r w:rsidRPr="009A6EFA">
        <w:rPr>
          <w:szCs w:val="24"/>
        </w:rPr>
        <w:t xml:space="preserve">The burden associated with compliance determination involves determining whether </w:t>
      </w:r>
      <w:r w:rsidRPr="009A6EFA" w:rsidR="00D41D82">
        <w:rPr>
          <w:szCs w:val="24"/>
        </w:rPr>
        <w:t>a firm has asserted or will assert claims for confidentiality in a submission to EPA under TSCA</w:t>
      </w:r>
      <w:r w:rsidRPr="009A6EFA">
        <w:rPr>
          <w:szCs w:val="24"/>
        </w:rPr>
        <w:t xml:space="preserve">. </w:t>
      </w:r>
      <w:r w:rsidRPr="009A6EFA" w:rsidR="00D41D82">
        <w:rPr>
          <w:rStyle w:val="normaltextrun"/>
          <w:color w:val="000000"/>
          <w:szCs w:val="24"/>
          <w:shd w:val="clear" w:color="auto" w:fill="FFFFFF"/>
        </w:rPr>
        <w:t>As a firm should already know if it has asserted or will assert any claims for confidentiality, there is no burden or cost associated with this activity.</w:t>
      </w:r>
    </w:p>
    <w:p w:rsidR="000B67B6" w:rsidRPr="00ED4AC4" w14:paraId="759A2D1A" w14:textId="6889DC50">
      <w:pPr>
        <w:rPr>
          <w:szCs w:val="24"/>
        </w:rPr>
      </w:pPr>
      <w:r w:rsidRPr="00ED4AC4">
        <w:rPr>
          <w:rStyle w:val="normaltextrun"/>
          <w:b/>
          <w:bCs/>
          <w:i/>
          <w:iCs/>
          <w:color w:val="000000"/>
          <w:szCs w:val="24"/>
          <w:shd w:val="clear" w:color="auto" w:fill="FFFFFF"/>
        </w:rPr>
        <w:t xml:space="preserve">CDX Registration and Electronic Signature. </w:t>
      </w:r>
      <w:r w:rsidR="009C0A7C">
        <w:rPr>
          <w:szCs w:val="24"/>
        </w:rPr>
        <w:t>Persons</w:t>
      </w:r>
      <w:r w:rsidRPr="00ED4AC4" w:rsidR="009C0A7C">
        <w:rPr>
          <w:szCs w:val="24"/>
        </w:rPr>
        <w:t xml:space="preserve"> </w:t>
      </w:r>
      <w:r w:rsidRPr="00ED4AC4" w:rsidR="00C72EAE">
        <w:rPr>
          <w:szCs w:val="24"/>
        </w:rPr>
        <w:t xml:space="preserve">that include a claim for confidentiality in a submission to EPA under TSCA must register with CDX in order to comply with electronic reporting requirements. Those firms will incur a small amount of burden and cost to carry out the additional paperwork activities that were imposed by the </w:t>
      </w:r>
      <w:r w:rsidRPr="00ED4AC4" w:rsidR="00C72EAE">
        <w:rPr>
          <w:i/>
          <w:szCs w:val="24"/>
        </w:rPr>
        <w:t>Electronic Reporting under the Toxic Substances Control Act (TSCA) Final Rule</w:t>
      </w:r>
      <w:r w:rsidRPr="00ED4AC4" w:rsidR="00C72EAE">
        <w:rPr>
          <w:szCs w:val="24"/>
        </w:rPr>
        <w:t xml:space="preserve">. This includes the burden associated with activities that facilitate submission of an electronic report: CDX registration and electronic signature. </w:t>
      </w:r>
      <w:r w:rsidRPr="00361788" w:rsidR="00C72EAE">
        <w:rPr>
          <w:szCs w:val="24"/>
          <w:highlight w:val="yellow"/>
        </w:rPr>
        <w:t>These activities occur only once for each firm. It is expected that each firm will complete CDX registration and electronic signature for five employees comprised of one manager and four technical staff.</w:t>
      </w:r>
      <w:r w:rsidR="00B867BD">
        <w:rPr>
          <w:szCs w:val="24"/>
        </w:rPr>
        <w:t xml:space="preserve"> The </w:t>
      </w:r>
      <w:r w:rsidR="006A224D">
        <w:rPr>
          <w:szCs w:val="24"/>
        </w:rPr>
        <w:t>final</w:t>
      </w:r>
      <w:r w:rsidR="00B867BD">
        <w:rPr>
          <w:szCs w:val="24"/>
        </w:rPr>
        <w:t xml:space="preserve"> rule Economic Analysis provides assumptions for firms who would need to register in CDX in order to submit a CBI claim in </w:t>
      </w:r>
      <w:r w:rsidRPr="009A7DD1" w:rsidR="00B867BD">
        <w:rPr>
          <w:b/>
          <w:bCs/>
          <w:szCs w:val="24"/>
        </w:rPr>
        <w:t>Attachment 3</w:t>
      </w:r>
      <w:r w:rsidR="00B867BD">
        <w:rPr>
          <w:szCs w:val="24"/>
        </w:rPr>
        <w:t xml:space="preserve"> (EPA, 202</w:t>
      </w:r>
      <w:r w:rsidR="006F046C">
        <w:rPr>
          <w:szCs w:val="24"/>
        </w:rPr>
        <w:t>3</w:t>
      </w:r>
      <w:r w:rsidR="00B867BD">
        <w:rPr>
          <w:szCs w:val="24"/>
        </w:rPr>
        <w:t xml:space="preserve">).  </w:t>
      </w:r>
    </w:p>
    <w:p w:rsidR="00ED4AC4" w:rsidP="000E304B" w14:paraId="24341CC8" w14:textId="5497AA7A">
      <w:pPr>
        <w:pStyle w:val="BodyText"/>
        <w:spacing w:after="200" w:line="276" w:lineRule="auto"/>
        <w:rPr>
          <w:rStyle w:val="eop"/>
          <w:rFonts w:eastAsiaTheme="majorEastAsia" w:cs="Arial"/>
          <w:szCs w:val="22"/>
        </w:rPr>
      </w:pPr>
      <w:r w:rsidRPr="000B67B6">
        <w:rPr>
          <w:rStyle w:val="eop"/>
          <w:rFonts w:cs="Arial"/>
          <w:b/>
          <w:bCs/>
          <w:i/>
          <w:iCs/>
          <w:color w:val="000000"/>
          <w:szCs w:val="24"/>
          <w:shd w:val="clear" w:color="auto" w:fill="FFFFFF"/>
        </w:rPr>
        <w:t xml:space="preserve">Maintaining </w:t>
      </w:r>
      <w:r w:rsidRPr="000B67B6" w:rsidR="00FA07C5">
        <w:rPr>
          <w:rStyle w:val="eop"/>
          <w:rFonts w:cs="Arial"/>
          <w:b/>
          <w:bCs/>
          <w:i/>
          <w:iCs/>
          <w:color w:val="000000"/>
          <w:szCs w:val="24"/>
          <w:shd w:val="clear" w:color="auto" w:fill="FFFFFF"/>
        </w:rPr>
        <w:t xml:space="preserve">Company Contact </w:t>
      </w:r>
      <w:r w:rsidRPr="000B67B6">
        <w:rPr>
          <w:rStyle w:val="eop"/>
          <w:rFonts w:cs="Arial"/>
          <w:b/>
          <w:bCs/>
          <w:i/>
          <w:iCs/>
          <w:color w:val="000000"/>
          <w:szCs w:val="24"/>
          <w:shd w:val="clear" w:color="auto" w:fill="FFFFFF"/>
        </w:rPr>
        <w:t>Information</w:t>
      </w:r>
      <w:r w:rsidR="000B67B6">
        <w:rPr>
          <w:rStyle w:val="eop"/>
          <w:rFonts w:cs="Arial"/>
          <w:b/>
          <w:bCs/>
          <w:i/>
          <w:iCs/>
          <w:color w:val="000000"/>
          <w:szCs w:val="24"/>
          <w:shd w:val="clear" w:color="auto" w:fill="FFFFFF"/>
        </w:rPr>
        <w:t xml:space="preserve">. </w:t>
      </w:r>
      <w:r w:rsidRPr="00F856DE" w:rsidR="00FA07C5">
        <w:rPr>
          <w:rStyle w:val="normaltextrun"/>
          <w:rFonts w:cs="Arial"/>
        </w:rPr>
        <w:t xml:space="preserve">To facilitate ongoing or future communication concerning TSCA submissions, current contact information for submissions must be maintained in CDX.  Technical or other contact information for the individuals associated with a particular TSCA submission may be updated by amending the submission via CDX. For submissions that are not accessible via CDX (e.g., submissions that were originally provided on paper or other physical media), updated company contact must be provided </w:t>
      </w:r>
      <w:r w:rsidR="001D639D">
        <w:rPr>
          <w:rStyle w:val="normaltextrun"/>
          <w:rFonts w:eastAsiaTheme="majorEastAsia"/>
          <w:color w:val="000000"/>
          <w:bdr w:val="none" w:sz="0" w:space="0" w:color="auto" w:frame="1"/>
        </w:rPr>
        <w:t>via CDX using the appropriate EPA-provided electronic reporting application</w:t>
      </w:r>
      <w:r w:rsidRPr="00F856DE" w:rsidR="00FA07C5">
        <w:rPr>
          <w:rStyle w:val="normaltextrun"/>
          <w:rFonts w:cs="Arial"/>
        </w:rPr>
        <w:t xml:space="preserve">. In circumstances where ownership of the company or unit of a company has changed, such that contact information for one or more prior TSCA submissions that include confidentiality claims is affected, a notice of transfer of ownership must be directed to EPA via CDX. Instructions for providing this notice and for requesting access to copies of a prior TSCA submission are available </w:t>
      </w:r>
      <w:r w:rsidR="00DF2D99">
        <w:rPr>
          <w:rStyle w:val="normaltextrun"/>
          <w:rFonts w:cs="Arial"/>
        </w:rPr>
        <w:t xml:space="preserve">see </w:t>
      </w:r>
      <w:r w:rsidRPr="000E304B" w:rsidR="00DF2D99">
        <w:rPr>
          <w:rStyle w:val="normaltextrun"/>
          <w:rFonts w:cs="Arial"/>
          <w:b/>
          <w:bCs/>
        </w:rPr>
        <w:t>Attachment 2.</w:t>
      </w:r>
      <w:r w:rsidR="00DF2D99">
        <w:rPr>
          <w:rStyle w:val="normaltextrun"/>
          <w:rFonts w:cs="Arial"/>
        </w:rPr>
        <w:t xml:space="preserve"> </w:t>
      </w:r>
    </w:p>
    <w:p w:rsidR="00F856DE" w:rsidRPr="00705CAC" w:rsidP="000E304B" w14:paraId="79D0C76F" w14:textId="7FF096A1">
      <w:pPr>
        <w:pStyle w:val="BodyText"/>
        <w:spacing w:after="200" w:line="276" w:lineRule="auto"/>
        <w:rPr>
          <w:rFonts w:cs="Arial"/>
          <w:color w:val="000000"/>
          <w:szCs w:val="24"/>
          <w:shd w:val="clear" w:color="auto" w:fill="FFFFFF"/>
        </w:rPr>
      </w:pPr>
      <w:r>
        <w:rPr>
          <w:rStyle w:val="eop"/>
          <w:rFonts w:eastAsiaTheme="majorEastAsia" w:cs="Arial"/>
          <w:b/>
          <w:bCs/>
          <w:i/>
          <w:iCs/>
        </w:rPr>
        <w:t xml:space="preserve">Generic Name. </w:t>
      </w:r>
      <w:r w:rsidRPr="00705CAC" w:rsidR="00705CAC">
        <w:rPr>
          <w:rStyle w:val="eop"/>
          <w:rFonts w:eastAsiaTheme="majorEastAsia" w:cs="Arial"/>
        </w:rPr>
        <w:t xml:space="preserve">In the case that a firm submits a generic name that does not meet EPA’s requirements, EPA will provide the firm electronic notice of the deficiency and a short period of time to propose a revised generic name. The burden associated with submitting or negotiating a generic name should already be accounted for in existing ICRs. Therefore, EPA expects that the changes under the </w:t>
      </w:r>
      <w:r w:rsidR="006A224D">
        <w:rPr>
          <w:rStyle w:val="eop"/>
          <w:rFonts w:eastAsiaTheme="majorEastAsia" w:cs="Arial"/>
        </w:rPr>
        <w:t xml:space="preserve">final </w:t>
      </w:r>
      <w:r w:rsidRPr="00705CAC" w:rsidR="00705CAC">
        <w:rPr>
          <w:rStyle w:val="eop"/>
          <w:rFonts w:eastAsiaTheme="majorEastAsia" w:cs="Arial"/>
        </w:rPr>
        <w:t>rule will have no impact on the current burden estimate associated with submitting or negotiating a generic name.</w:t>
      </w:r>
    </w:p>
    <w:p w:rsidR="00FA07C5" w:rsidRPr="009A7DD1" w:rsidP="000E304B" w14:paraId="0280504E" w14:textId="129344C0">
      <w:pPr>
        <w:pStyle w:val="paragraph"/>
        <w:spacing w:before="0" w:beforeAutospacing="0" w:after="200" w:afterAutospacing="0" w:line="276" w:lineRule="auto"/>
        <w:textAlignment w:val="baseline"/>
        <w:rPr>
          <w:rFonts w:ascii="Arial" w:hAnsi="Arial" w:eastAsiaTheme="majorEastAsia" w:cs="Arial"/>
        </w:rPr>
      </w:pPr>
      <w:r>
        <w:rPr>
          <w:rStyle w:val="normaltextrun"/>
          <w:rFonts w:ascii="Arial" w:hAnsi="Arial" w:cs="Arial"/>
          <w:b/>
          <w:bCs/>
          <w:i/>
          <w:iCs/>
        </w:rPr>
        <w:t xml:space="preserve">Withdrawing Confidentiality Claims and Amending Public Copy. </w:t>
      </w:r>
      <w:r w:rsidRPr="009A7DD1">
        <w:rPr>
          <w:rFonts w:ascii="Arial" w:hAnsi="Arial" w:cs="Arial"/>
        </w:rPr>
        <w:t>Confident</w:t>
      </w:r>
      <w:r w:rsidRPr="009A7DD1">
        <w:rPr>
          <w:rFonts w:ascii="Arial" w:hAnsi="Arial" w:cs="Arial"/>
        </w:rPr>
        <w:t xml:space="preserve">iality claims in TSCA submissions that were originally made via electronic submission may be withdrawn by reopening the submission in CDX, </w:t>
      </w:r>
      <w:r w:rsidRPr="009A7DD1" w:rsidR="007D07C8">
        <w:rPr>
          <w:rFonts w:ascii="Arial" w:hAnsi="Arial" w:cs="Arial"/>
        </w:rPr>
        <w:t>removing</w:t>
      </w:r>
      <w:r w:rsidRPr="009A7DD1">
        <w:rPr>
          <w:rFonts w:ascii="Arial" w:hAnsi="Arial" w:cs="Arial"/>
        </w:rPr>
        <w:t> confidentiality markings (e.g., confidential checkmarks or bracketing), revising sanitized attachments or co</w:t>
      </w:r>
      <w:r w:rsidRPr="009A7DD1">
        <w:rPr>
          <w:rFonts w:ascii="Arial" w:hAnsi="Arial" w:cs="Arial"/>
        </w:rPr>
        <w:t>pies as appropriate, and then resubmitting the submission.</w:t>
      </w:r>
      <w:r w:rsidRPr="009A7DD1">
        <w:rPr>
          <w:rFonts w:ascii="Arial" w:hAnsi="Arial" w:eastAsiaTheme="majorEastAsia" w:cs="Arial"/>
        </w:rPr>
        <w:t> </w:t>
      </w:r>
    </w:p>
    <w:p w:rsidR="00FA07C5" w:rsidP="000E304B" w14:paraId="0F955FA9" w14:textId="0BFD2500">
      <w:pPr>
        <w:pStyle w:val="paragraph"/>
        <w:spacing w:before="0" w:beforeAutospacing="0" w:after="200" w:afterAutospacing="0" w:line="276" w:lineRule="auto"/>
        <w:textAlignment w:val="baseline"/>
        <w:rPr>
          <w:rStyle w:val="eop"/>
          <w:rFonts w:ascii="Arial" w:hAnsi="Arial" w:eastAsiaTheme="majorEastAsia" w:cs="Arial"/>
          <w:szCs w:val="22"/>
        </w:rPr>
      </w:pPr>
      <w:r w:rsidRPr="00C23CAF">
        <w:rPr>
          <w:rStyle w:val="normaltextrun"/>
          <w:rFonts w:ascii="Arial" w:hAnsi="Arial" w:cs="Arial"/>
        </w:rPr>
        <w:t xml:space="preserve">For submissions that were originally made on paper, or that are no longer accessible to the submitting </w:t>
      </w:r>
      <w:r w:rsidRPr="001D639D">
        <w:rPr>
          <w:rStyle w:val="normaltextrun"/>
          <w:rFonts w:ascii="Arial" w:hAnsi="Arial" w:cs="Arial"/>
        </w:rPr>
        <w:t>company via CDX, confidentiality claims may also be withdrawn via CDX</w:t>
      </w:r>
      <w:r w:rsidRPr="001D639D" w:rsidR="3C587ECE">
        <w:rPr>
          <w:rFonts w:ascii="Arial" w:hAnsi="Arial" w:cs="Arial"/>
        </w:rPr>
        <w:t xml:space="preserve"> (</w:t>
      </w:r>
      <w:r w:rsidR="006E1E3C">
        <w:rPr>
          <w:rFonts w:ascii="Arial" w:hAnsi="Arial" w:cs="Arial"/>
        </w:rPr>
        <w:t>i.e.</w:t>
      </w:r>
      <w:r w:rsidRPr="001D639D" w:rsidR="3C587ECE">
        <w:rPr>
          <w:rFonts w:ascii="Arial" w:hAnsi="Arial" w:cs="Arial"/>
        </w:rPr>
        <w:t>, the “TSCA Communications” application).</w:t>
      </w:r>
      <w:r w:rsidRPr="001D639D">
        <w:rPr>
          <w:rStyle w:val="normaltextrun"/>
          <w:rFonts w:ascii="Arial" w:hAnsi="Arial" w:cs="Arial"/>
        </w:rPr>
        <w:t xml:space="preserve">  The withdrawal correspondence </w:t>
      </w:r>
      <w:r w:rsidR="0042191A">
        <w:rPr>
          <w:rStyle w:val="normaltextrun"/>
          <w:rFonts w:ascii="Arial" w:hAnsi="Arial" w:cs="Arial"/>
        </w:rPr>
        <w:t>must</w:t>
      </w:r>
      <w:r w:rsidRPr="001D639D" w:rsidR="0042191A">
        <w:rPr>
          <w:rStyle w:val="normaltextrun"/>
          <w:rFonts w:ascii="Arial" w:hAnsi="Arial" w:cs="Arial"/>
        </w:rPr>
        <w:t xml:space="preserve"> </w:t>
      </w:r>
      <w:r w:rsidRPr="001D639D">
        <w:rPr>
          <w:rStyle w:val="normaltextrun"/>
          <w:rFonts w:ascii="Arial" w:hAnsi="Arial" w:cs="Arial"/>
        </w:rPr>
        <w:t>clearly indicate the case or document number</w:t>
      </w:r>
      <w:r w:rsidRPr="00C23CAF">
        <w:rPr>
          <w:rStyle w:val="normaltextrun"/>
          <w:rFonts w:ascii="Arial" w:hAnsi="Arial" w:cs="Arial"/>
        </w:rPr>
        <w:t xml:space="preserve"> (or other applicable document identifier or document identifying details) from which CBI claims are being withdrawn, identify the submitting comp</w:t>
      </w:r>
      <w:r w:rsidRPr="00C23CAF">
        <w:rPr>
          <w:rStyle w:val="normaltextrun"/>
          <w:rFonts w:ascii="Arial" w:hAnsi="Arial" w:cs="Arial"/>
        </w:rPr>
        <w:t xml:space="preserve">any, and include a list or description of the information for which CBI claims are being withdrawn, including page numbers, where relevant.  Current contact information for the person withdrawing the claim </w:t>
      </w:r>
      <w:r w:rsidR="0042191A">
        <w:rPr>
          <w:rStyle w:val="normaltextrun"/>
          <w:rFonts w:ascii="Arial" w:hAnsi="Arial" w:cs="Arial"/>
        </w:rPr>
        <w:t>must</w:t>
      </w:r>
      <w:r w:rsidRPr="00C23CAF" w:rsidR="0042191A">
        <w:rPr>
          <w:rStyle w:val="normaltextrun"/>
          <w:rFonts w:ascii="Arial" w:hAnsi="Arial" w:cs="Arial"/>
        </w:rPr>
        <w:t xml:space="preserve"> </w:t>
      </w:r>
      <w:r w:rsidRPr="00C23CAF">
        <w:rPr>
          <w:rStyle w:val="normaltextrun"/>
          <w:rFonts w:ascii="Arial" w:hAnsi="Arial" w:cs="Arial"/>
        </w:rPr>
        <w:t>also be provided, in the event EPA needs clar</w:t>
      </w:r>
      <w:r w:rsidRPr="00C23CAF">
        <w:rPr>
          <w:rStyle w:val="normaltextrun"/>
          <w:rFonts w:ascii="Arial" w:hAnsi="Arial" w:cs="Arial"/>
        </w:rPr>
        <w:t>ification concerning which claim or claims are being withdrawn.  </w:t>
      </w:r>
      <w:r w:rsidRPr="7A77DD14">
        <w:rPr>
          <w:rStyle w:val="eop"/>
          <w:rFonts w:ascii="Arial" w:hAnsi="Arial" w:eastAsiaTheme="majorEastAsia" w:cs="Arial"/>
        </w:rPr>
        <w:t> </w:t>
      </w:r>
    </w:p>
    <w:p w:rsidR="00270500" w:rsidRPr="00F856DE" w:rsidP="000E304B" w14:paraId="73CEE465" w14:textId="36C13685">
      <w:pPr>
        <w:pStyle w:val="paragraph"/>
        <w:spacing w:before="0" w:beforeAutospacing="0" w:after="200" w:afterAutospacing="0" w:line="276" w:lineRule="auto"/>
        <w:ind w:firstLine="360"/>
        <w:textAlignment w:val="baseline"/>
        <w:rPr>
          <w:rFonts w:ascii="Arial" w:hAnsi="Arial" w:cs="Arial"/>
        </w:rPr>
      </w:pPr>
      <w:r w:rsidRPr="00F856DE">
        <w:rPr>
          <w:rStyle w:val="normaltextrun"/>
          <w:rFonts w:ascii="Arial" w:hAnsi="Arial" w:cs="Arial"/>
        </w:rPr>
        <w:t xml:space="preserve">a) Following the expiration or EPA’s denial of a TSCA confidentiality claim, the person who asserted the denied or expired claim </w:t>
      </w:r>
      <w:r w:rsidR="00712CB3">
        <w:rPr>
          <w:rStyle w:val="normaltextrun"/>
          <w:rFonts w:ascii="Arial" w:hAnsi="Arial" w:cs="Arial"/>
        </w:rPr>
        <w:t>is encouraged to</w:t>
      </w:r>
      <w:r w:rsidRPr="00F856DE" w:rsidR="00712CB3">
        <w:rPr>
          <w:rStyle w:val="normaltextrun"/>
          <w:rFonts w:ascii="Arial" w:hAnsi="Arial" w:cs="Arial"/>
        </w:rPr>
        <w:t> </w:t>
      </w:r>
      <w:r w:rsidRPr="00F856DE">
        <w:rPr>
          <w:rStyle w:val="normaltextrun"/>
          <w:rFonts w:ascii="Arial" w:hAnsi="Arial" w:cs="Arial"/>
        </w:rPr>
        <w:t>prepare and submit a revised public copy of</w:t>
      </w:r>
      <w:r w:rsidRPr="00F856DE">
        <w:rPr>
          <w:rStyle w:val="normaltextrun"/>
          <w:rFonts w:ascii="Arial" w:hAnsi="Arial" w:cs="Arial"/>
        </w:rPr>
        <w:t xml:space="preserve"> the submission to EPA, following the procedures for voluntarily withdrawing claims described in paragraph 703.5(</w:t>
      </w:r>
      <w:r w:rsidRPr="00F856DE">
        <w:rPr>
          <w:rStyle w:val="spellingerror"/>
          <w:rFonts w:ascii="Arial" w:hAnsi="Arial" w:eastAsiaTheme="majorEastAsia" w:cs="Arial"/>
        </w:rPr>
        <w:t>i</w:t>
      </w:r>
      <w:r w:rsidRPr="00F856DE">
        <w:rPr>
          <w:rStyle w:val="normaltextrun"/>
          <w:rFonts w:ascii="Arial" w:hAnsi="Arial" w:cs="Arial"/>
        </w:rPr>
        <w:t>).</w:t>
      </w:r>
      <w:r w:rsidRPr="00F856DE">
        <w:rPr>
          <w:rStyle w:val="eop"/>
          <w:rFonts w:ascii="Arial" w:hAnsi="Arial" w:eastAsiaTheme="majorEastAsia" w:cs="Arial"/>
        </w:rPr>
        <w:t> </w:t>
      </w:r>
    </w:p>
    <w:p w:rsidR="00270500" w:rsidRPr="00F856DE" w:rsidP="5534A9C8" w14:paraId="631CE2BC" w14:textId="6CDE115D">
      <w:pPr>
        <w:pStyle w:val="paragraph"/>
        <w:spacing w:before="0" w:beforeAutospacing="0" w:after="200" w:afterAutospacing="0" w:line="276" w:lineRule="auto"/>
        <w:ind w:firstLine="360"/>
        <w:textAlignment w:val="baseline"/>
        <w:rPr>
          <w:rFonts w:ascii="Arial" w:hAnsi="Arial" w:cs="Arial"/>
        </w:rPr>
      </w:pPr>
      <w:r w:rsidRPr="5534A9C8">
        <w:rPr>
          <w:rFonts w:ascii="Arial" w:hAnsi="Arial" w:cs="Arial"/>
        </w:rPr>
        <w:t xml:space="preserve">b) </w:t>
      </w:r>
      <w:r w:rsidRPr="5534A9C8">
        <w:rPr>
          <w:rStyle w:val="normaltextrun"/>
          <w:rFonts w:ascii="Arial" w:hAnsi="Arial" w:cs="Arial"/>
        </w:rPr>
        <w:t xml:space="preserve">If the person who asserted the denied or expired claim declines or fails to timely provide a revised public copy of the </w:t>
      </w:r>
      <w:r w:rsidRPr="5534A9C8">
        <w:rPr>
          <w:rStyle w:val="normaltextrun"/>
          <w:rFonts w:ascii="Arial" w:hAnsi="Arial" w:cs="Arial"/>
        </w:rPr>
        <w:t>submission that includes the information for which the confidentiality claim(s) were denied or expired, EPA will prepare an addendum to the original public copy, as needed, in order to provide the newly available information to the public.</w:t>
      </w:r>
      <w:r w:rsidRPr="5534A9C8" w:rsidR="00D13943">
        <w:rPr>
          <w:rStyle w:val="normaltextrun"/>
          <w:rFonts w:ascii="Arial" w:hAnsi="Arial" w:cs="Arial"/>
        </w:rPr>
        <w:t xml:space="preserve">  </w:t>
      </w:r>
    </w:p>
    <w:p w:rsidR="00ED4AC4" w:rsidRPr="000E304B" w:rsidP="00263F84" w14:paraId="14A40B56" w14:textId="681A01D2">
      <w:pPr>
        <w:rPr>
          <w:rStyle w:val="eop"/>
          <w:rFonts w:eastAsiaTheme="majorEastAsia" w:cs="Arial"/>
          <w:color w:val="000000"/>
          <w:shd w:val="clear" w:color="auto" w:fill="FFFFFF"/>
        </w:rPr>
      </w:pPr>
      <w:r w:rsidRPr="7A77DD14">
        <w:rPr>
          <w:rFonts w:cs="Arial"/>
          <w:b/>
          <w:bCs/>
          <w:i/>
          <w:iCs/>
        </w:rPr>
        <w:t>Report</w:t>
      </w:r>
      <w:r w:rsidR="00CC5E3D">
        <w:rPr>
          <w:rFonts w:cs="Arial"/>
          <w:b/>
          <w:bCs/>
          <w:i/>
          <w:iCs/>
        </w:rPr>
        <w:t>ing</w:t>
      </w:r>
      <w:r w:rsidRPr="7A77DD14">
        <w:rPr>
          <w:rFonts w:cs="Arial"/>
          <w:b/>
          <w:bCs/>
          <w:i/>
          <w:iCs/>
        </w:rPr>
        <w:t xml:space="preserve"> Heal</w:t>
      </w:r>
      <w:r w:rsidRPr="7A77DD14">
        <w:rPr>
          <w:rFonts w:cs="Arial"/>
          <w:b/>
          <w:bCs/>
          <w:i/>
          <w:iCs/>
        </w:rPr>
        <w:t>th and Safety Data using Templates</w:t>
      </w:r>
      <w:r w:rsidRPr="7A77DD14">
        <w:rPr>
          <w:rFonts w:cs="Arial"/>
        </w:rPr>
        <w:t xml:space="preserve">. </w:t>
      </w:r>
      <w:r w:rsidR="00CC5E3D">
        <w:rPr>
          <w:rFonts w:cs="Arial"/>
        </w:rPr>
        <w:t>F</w:t>
      </w:r>
      <w:r w:rsidRPr="00CC5E3D" w:rsidR="00CC5E3D">
        <w:rPr>
          <w:rFonts w:cs="Arial"/>
        </w:rPr>
        <w:t xml:space="preserve">irms who submit health and safety study information for which templates exist </w:t>
      </w:r>
      <w:r w:rsidR="00E43FAE">
        <w:rPr>
          <w:rFonts w:cs="Arial"/>
        </w:rPr>
        <w:t xml:space="preserve">are required </w:t>
      </w:r>
      <w:r w:rsidRPr="00CC5E3D" w:rsidR="00CC5E3D">
        <w:rPr>
          <w:rFonts w:cs="Arial"/>
        </w:rPr>
        <w:t>to submit those studies in a templated format using OECD Harmonized Templates</w:t>
      </w:r>
      <w:r w:rsidR="00CC5E3D">
        <w:rPr>
          <w:rFonts w:cs="Arial"/>
        </w:rPr>
        <w:t xml:space="preserve"> </w:t>
      </w:r>
      <w:r w:rsidRPr="001D639D" w:rsidR="00CC5E3D">
        <w:rPr>
          <w:rFonts w:eastAsia="Times New Roman" w:cs="Arial"/>
          <w:szCs w:val="24"/>
        </w:rPr>
        <w:t>(</w:t>
      </w:r>
      <w:r w:rsidRPr="009A7DD1" w:rsidR="00CC5E3D">
        <w:rPr>
          <w:rFonts w:eastAsia="Times New Roman" w:cs="Arial"/>
          <w:i/>
          <w:iCs/>
          <w:szCs w:val="24"/>
        </w:rPr>
        <w:t>https://www.oecd.org/ehs/templates/).</w:t>
      </w:r>
      <w:r w:rsidRPr="001D639D" w:rsidR="00CC5E3D">
        <w:rPr>
          <w:rFonts w:eastAsia="Times New Roman" w:cs="Arial"/>
          <w:szCs w:val="24"/>
        </w:rPr>
        <w:t xml:space="preserve"> </w:t>
      </w:r>
      <w:r w:rsidRPr="00CC5E3D" w:rsidR="00CC5E3D">
        <w:rPr>
          <w:rFonts w:cs="Arial"/>
        </w:rPr>
        <w:t xml:space="preserve"> </w:t>
      </w:r>
      <w:r w:rsidR="00E43FAE">
        <w:rPr>
          <w:rFonts w:cs="Arial"/>
        </w:rPr>
        <w:t>As a result of reporting requirements from other countries, it is expected that most f</w:t>
      </w:r>
      <w:r w:rsidRPr="00CC5E3D" w:rsidR="00CC5E3D">
        <w:rPr>
          <w:rFonts w:cs="Arial"/>
        </w:rPr>
        <w:t>irms w</w:t>
      </w:r>
      <w:r w:rsidR="00E43FAE">
        <w:rPr>
          <w:rFonts w:cs="Arial"/>
        </w:rPr>
        <w:t>ill have</w:t>
      </w:r>
      <w:r w:rsidRPr="00CC5E3D" w:rsidR="00CC5E3D">
        <w:rPr>
          <w:rFonts w:cs="Arial"/>
        </w:rPr>
        <w:t xml:space="preserve"> already created a templated version of the health and safety information that they are submitting to EPA</w:t>
      </w:r>
      <w:r w:rsidR="00CF6DC8">
        <w:rPr>
          <w:rFonts w:cs="Arial"/>
        </w:rPr>
        <w:t xml:space="preserve"> </w:t>
      </w:r>
      <w:r w:rsidR="00E43FAE">
        <w:rPr>
          <w:rFonts w:cs="Arial"/>
        </w:rPr>
        <w:t xml:space="preserve">and </w:t>
      </w:r>
      <w:r w:rsidR="00CF6DC8">
        <w:rPr>
          <w:rFonts w:cs="Arial"/>
        </w:rPr>
        <w:t xml:space="preserve">will only </w:t>
      </w:r>
      <w:r w:rsidR="00E43FAE">
        <w:rPr>
          <w:rFonts w:cs="Arial"/>
        </w:rPr>
        <w:t>need</w:t>
      </w:r>
      <w:r w:rsidR="00CF6DC8">
        <w:rPr>
          <w:rFonts w:cs="Arial"/>
        </w:rPr>
        <w:t xml:space="preserve"> </w:t>
      </w:r>
      <w:r w:rsidRPr="00CC5E3D" w:rsidR="00CC5E3D">
        <w:rPr>
          <w:rFonts w:cs="Arial"/>
        </w:rPr>
        <w:t xml:space="preserve">to log in and upload documents. </w:t>
      </w:r>
    </w:p>
    <w:p w:rsidR="006147C0" w:rsidP="006147C0" w14:paraId="66E4EC4D" w14:textId="73CFDE07">
      <w:pPr>
        <w:pStyle w:val="Caption"/>
      </w:pPr>
      <w:r w:rsidRPr="000E304B">
        <w:rPr>
          <w:rStyle w:val="eop"/>
          <w:rFonts w:eastAsia="Times New Roman"/>
          <w:color w:val="000000"/>
          <w:szCs w:val="20"/>
          <w:shd w:val="clear" w:color="auto" w:fill="FFFFFF"/>
        </w:rPr>
        <w:t xml:space="preserve"> </w:t>
      </w:r>
      <w:r>
        <w:t xml:space="preserve">Table </w:t>
      </w:r>
      <w:r w:rsidR="00B30872">
        <w:t>2</w:t>
      </w:r>
      <w:r>
        <w:t>: Activity Level Burdens</w:t>
      </w:r>
    </w:p>
    <w:tbl>
      <w:tblPr>
        <w:tblStyle w:val="TableGrid"/>
        <w:tblW w:w="9414" w:type="dxa"/>
        <w:tblLayout w:type="fixed"/>
        <w:tblLook w:val="04A0"/>
      </w:tblPr>
      <w:tblGrid>
        <w:gridCol w:w="2966"/>
        <w:gridCol w:w="1612"/>
        <w:gridCol w:w="1612"/>
        <w:gridCol w:w="1612"/>
        <w:gridCol w:w="1612"/>
      </w:tblGrid>
      <w:tr w14:paraId="0AC4CD8F" w14:textId="77777777" w:rsidTr="009D6242">
        <w:tblPrEx>
          <w:tblW w:w="9414" w:type="dxa"/>
          <w:tblLayout w:type="fixed"/>
          <w:tblLook w:val="04A0"/>
        </w:tblPrEx>
        <w:trPr>
          <w:trHeight w:val="201"/>
        </w:trPr>
        <w:tc>
          <w:tcPr>
            <w:tcW w:w="2966" w:type="dxa"/>
            <w:vMerge w:val="restart"/>
            <w:shd w:val="clear" w:color="auto" w:fill="9CC2E5" w:themeFill="accent1" w:themeFillTint="99"/>
            <w:vAlign w:val="center"/>
          </w:tcPr>
          <w:p w:rsidR="006147C0" w:rsidRPr="000E304B" w:rsidP="009D6242" w14:paraId="373E3596" w14:textId="77777777">
            <w:pPr>
              <w:spacing w:after="0" w:line="240" w:lineRule="auto"/>
              <w:jc w:val="center"/>
              <w:rPr>
                <w:rFonts w:cs="Arial"/>
                <w:b/>
                <w:sz w:val="22"/>
              </w:rPr>
            </w:pPr>
            <w:r w:rsidRPr="000E304B">
              <w:rPr>
                <w:rFonts w:cs="Arial"/>
                <w:b/>
                <w:sz w:val="22"/>
              </w:rPr>
              <w:t>Activity</w:t>
            </w:r>
          </w:p>
        </w:tc>
        <w:tc>
          <w:tcPr>
            <w:tcW w:w="6448" w:type="dxa"/>
            <w:gridSpan w:val="4"/>
            <w:shd w:val="clear" w:color="auto" w:fill="9CC2E5" w:themeFill="accent1" w:themeFillTint="99"/>
            <w:vAlign w:val="center"/>
          </w:tcPr>
          <w:p w:rsidR="006147C0" w:rsidRPr="000E304B" w:rsidP="009D6242" w14:paraId="689A83F2" w14:textId="77777777">
            <w:pPr>
              <w:spacing w:after="0" w:line="240" w:lineRule="auto"/>
              <w:jc w:val="center"/>
              <w:rPr>
                <w:rFonts w:cs="Arial"/>
                <w:b/>
                <w:sz w:val="22"/>
              </w:rPr>
            </w:pPr>
            <w:r w:rsidRPr="000E304B">
              <w:rPr>
                <w:rFonts w:cs="Arial"/>
                <w:b/>
                <w:sz w:val="22"/>
              </w:rPr>
              <w:t>Burden per Firm</w:t>
            </w:r>
          </w:p>
        </w:tc>
      </w:tr>
      <w:tr w14:paraId="63FEF237" w14:textId="77777777" w:rsidTr="009D6242">
        <w:tblPrEx>
          <w:tblW w:w="9414" w:type="dxa"/>
          <w:tblLayout w:type="fixed"/>
          <w:tblLook w:val="04A0"/>
        </w:tblPrEx>
        <w:trPr>
          <w:trHeight w:val="256"/>
        </w:trPr>
        <w:tc>
          <w:tcPr>
            <w:tcW w:w="2966" w:type="dxa"/>
            <w:vMerge/>
            <w:vAlign w:val="center"/>
          </w:tcPr>
          <w:p w:rsidR="006147C0" w:rsidRPr="000E304B" w:rsidP="009D6242" w14:paraId="3B0E96FB" w14:textId="77777777">
            <w:pPr>
              <w:spacing w:after="0" w:line="240" w:lineRule="auto"/>
              <w:jc w:val="center"/>
              <w:rPr>
                <w:rFonts w:cs="Arial"/>
                <w:sz w:val="22"/>
              </w:rPr>
            </w:pPr>
          </w:p>
        </w:tc>
        <w:tc>
          <w:tcPr>
            <w:tcW w:w="1612" w:type="dxa"/>
            <w:shd w:val="clear" w:color="auto" w:fill="9CC2E5" w:themeFill="accent1" w:themeFillTint="99"/>
            <w:vAlign w:val="center"/>
          </w:tcPr>
          <w:p w:rsidR="006147C0" w:rsidRPr="000E304B" w:rsidP="009D6242" w14:paraId="39C2DF38" w14:textId="77777777">
            <w:pPr>
              <w:spacing w:after="0" w:line="240" w:lineRule="auto"/>
              <w:jc w:val="center"/>
              <w:rPr>
                <w:rFonts w:cs="Arial"/>
                <w:b/>
                <w:sz w:val="22"/>
              </w:rPr>
            </w:pPr>
            <w:r w:rsidRPr="000E304B">
              <w:rPr>
                <w:rFonts w:cs="Arial"/>
                <w:b/>
                <w:sz w:val="22"/>
              </w:rPr>
              <w:t>Managerial</w:t>
            </w:r>
            <w:r w:rsidRPr="000E304B">
              <w:rPr>
                <w:rFonts w:cs="Arial"/>
                <w:b/>
              </w:rPr>
              <w:t xml:space="preserve"> Burden</w:t>
            </w:r>
          </w:p>
        </w:tc>
        <w:tc>
          <w:tcPr>
            <w:tcW w:w="1612" w:type="dxa"/>
            <w:shd w:val="clear" w:color="auto" w:fill="9CC2E5" w:themeFill="accent1" w:themeFillTint="99"/>
            <w:vAlign w:val="center"/>
          </w:tcPr>
          <w:p w:rsidR="006147C0" w:rsidRPr="000E304B" w:rsidP="009D6242" w14:paraId="03FA3E7D" w14:textId="77777777">
            <w:pPr>
              <w:spacing w:after="0" w:line="240" w:lineRule="auto"/>
              <w:jc w:val="center"/>
              <w:rPr>
                <w:rFonts w:cs="Arial"/>
                <w:b/>
                <w:sz w:val="22"/>
              </w:rPr>
            </w:pPr>
            <w:r w:rsidRPr="000E304B">
              <w:rPr>
                <w:rFonts w:cs="Arial"/>
                <w:b/>
                <w:sz w:val="22"/>
              </w:rPr>
              <w:t>Technical</w:t>
            </w:r>
            <w:r w:rsidRPr="000E304B">
              <w:rPr>
                <w:rFonts w:cs="Arial"/>
                <w:b/>
              </w:rPr>
              <w:t xml:space="preserve">   Burden</w:t>
            </w:r>
          </w:p>
        </w:tc>
        <w:tc>
          <w:tcPr>
            <w:tcW w:w="1612" w:type="dxa"/>
            <w:shd w:val="clear" w:color="auto" w:fill="9CC2E5" w:themeFill="accent1" w:themeFillTint="99"/>
            <w:vAlign w:val="center"/>
          </w:tcPr>
          <w:p w:rsidR="006147C0" w:rsidRPr="000E304B" w:rsidP="009D6242" w14:paraId="323BFE67" w14:textId="77777777">
            <w:pPr>
              <w:spacing w:after="0" w:line="240" w:lineRule="auto"/>
              <w:jc w:val="center"/>
              <w:rPr>
                <w:rFonts w:cs="Arial"/>
                <w:b/>
                <w:sz w:val="22"/>
              </w:rPr>
            </w:pPr>
            <w:r w:rsidRPr="000E304B">
              <w:rPr>
                <w:rFonts w:cs="Arial"/>
                <w:b/>
                <w:sz w:val="22"/>
              </w:rPr>
              <w:t>Clerical</w:t>
            </w:r>
            <w:r w:rsidRPr="000E304B">
              <w:rPr>
                <w:rFonts w:cs="Arial"/>
                <w:b/>
              </w:rPr>
              <w:t xml:space="preserve">   Burden</w:t>
            </w:r>
          </w:p>
        </w:tc>
        <w:tc>
          <w:tcPr>
            <w:tcW w:w="1612" w:type="dxa"/>
            <w:shd w:val="clear" w:color="auto" w:fill="9CC2E5" w:themeFill="accent1" w:themeFillTint="99"/>
            <w:vAlign w:val="center"/>
          </w:tcPr>
          <w:p w:rsidR="006147C0" w:rsidRPr="000E304B" w:rsidP="009D6242" w14:paraId="429B89B6" w14:textId="77777777">
            <w:pPr>
              <w:spacing w:after="0" w:line="240" w:lineRule="auto"/>
              <w:jc w:val="center"/>
              <w:rPr>
                <w:rFonts w:cs="Arial"/>
                <w:b/>
                <w:sz w:val="22"/>
              </w:rPr>
            </w:pPr>
            <w:r w:rsidRPr="000E304B">
              <w:rPr>
                <w:rFonts w:cs="Arial"/>
                <w:b/>
                <w:sz w:val="22"/>
              </w:rPr>
              <w:t>Total</w:t>
            </w:r>
            <w:r w:rsidRPr="000E304B">
              <w:rPr>
                <w:rFonts w:cs="Arial"/>
                <w:b/>
              </w:rPr>
              <w:t xml:space="preserve"> Burden (hours)</w:t>
            </w:r>
          </w:p>
        </w:tc>
      </w:tr>
      <w:tr w14:paraId="52604F96" w14:textId="77777777" w:rsidTr="009D6242">
        <w:tblPrEx>
          <w:tblW w:w="9414" w:type="dxa"/>
          <w:tblLayout w:type="fixed"/>
          <w:tblLook w:val="04A0"/>
        </w:tblPrEx>
        <w:trPr>
          <w:trHeight w:val="378"/>
        </w:trPr>
        <w:tc>
          <w:tcPr>
            <w:tcW w:w="2966" w:type="dxa"/>
            <w:vAlign w:val="center"/>
          </w:tcPr>
          <w:p w:rsidR="006147C0" w:rsidRPr="000E304B" w:rsidP="009D6242" w14:paraId="469F25C9" w14:textId="77777777">
            <w:pPr>
              <w:spacing w:after="0" w:line="240" w:lineRule="auto"/>
              <w:rPr>
                <w:rFonts w:cs="Arial"/>
                <w:sz w:val="22"/>
              </w:rPr>
            </w:pPr>
            <w:r w:rsidRPr="000E304B">
              <w:rPr>
                <w:rFonts w:cs="Arial"/>
                <w:sz w:val="22"/>
              </w:rPr>
              <w:t>Rule Familiarization</w:t>
            </w:r>
          </w:p>
        </w:tc>
        <w:tc>
          <w:tcPr>
            <w:tcW w:w="1612" w:type="dxa"/>
            <w:vAlign w:val="center"/>
          </w:tcPr>
          <w:p w:rsidR="006147C0" w:rsidRPr="000E304B" w:rsidP="009D6242" w14:paraId="627968E2" w14:textId="30431AEC">
            <w:pPr>
              <w:spacing w:after="0" w:line="240" w:lineRule="auto"/>
              <w:jc w:val="center"/>
              <w:rPr>
                <w:rFonts w:cs="Arial"/>
                <w:sz w:val="22"/>
              </w:rPr>
            </w:pPr>
            <w:r w:rsidRPr="000E304B">
              <w:rPr>
                <w:rFonts w:cs="Arial"/>
                <w:sz w:val="22"/>
              </w:rPr>
              <w:t>2.00</w:t>
            </w:r>
            <w:r w:rsidRPr="000E304B" w:rsidR="00E666B4">
              <w:rPr>
                <w:rFonts w:cs="Arial"/>
                <w:sz w:val="22"/>
              </w:rPr>
              <w:t>0</w:t>
            </w:r>
          </w:p>
        </w:tc>
        <w:tc>
          <w:tcPr>
            <w:tcW w:w="1612" w:type="dxa"/>
            <w:vAlign w:val="center"/>
          </w:tcPr>
          <w:p w:rsidR="006147C0" w:rsidRPr="000E304B" w:rsidP="009D6242" w14:paraId="66B99046" w14:textId="578A7906">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77E0B607" w14:textId="6C057F3C">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02B41A44" w14:textId="552DF631">
            <w:pPr>
              <w:spacing w:after="0" w:line="240" w:lineRule="auto"/>
              <w:jc w:val="center"/>
              <w:rPr>
                <w:rFonts w:cs="Arial"/>
                <w:sz w:val="22"/>
              </w:rPr>
            </w:pPr>
            <w:r w:rsidRPr="000E304B">
              <w:rPr>
                <w:rFonts w:cs="Arial"/>
                <w:sz w:val="22"/>
              </w:rPr>
              <w:t>2.00</w:t>
            </w:r>
            <w:r w:rsidRPr="000E304B" w:rsidR="00E666B4">
              <w:rPr>
                <w:rFonts w:cs="Arial"/>
                <w:sz w:val="22"/>
              </w:rPr>
              <w:t>0</w:t>
            </w:r>
          </w:p>
        </w:tc>
      </w:tr>
      <w:tr w14:paraId="7D2D7550" w14:textId="77777777" w:rsidTr="009D6242">
        <w:tblPrEx>
          <w:tblW w:w="9414" w:type="dxa"/>
          <w:tblLayout w:type="fixed"/>
          <w:tblLook w:val="04A0"/>
        </w:tblPrEx>
        <w:trPr>
          <w:trHeight w:val="378"/>
        </w:trPr>
        <w:tc>
          <w:tcPr>
            <w:tcW w:w="2966" w:type="dxa"/>
            <w:vAlign w:val="center"/>
          </w:tcPr>
          <w:p w:rsidR="006147C0" w:rsidRPr="000E304B" w:rsidP="009D6242" w14:paraId="53D9FFC4" w14:textId="77777777">
            <w:pPr>
              <w:spacing w:after="0" w:line="240" w:lineRule="auto"/>
              <w:rPr>
                <w:rFonts w:cs="Arial"/>
                <w:sz w:val="22"/>
              </w:rPr>
            </w:pPr>
            <w:r w:rsidRPr="000E304B">
              <w:rPr>
                <w:rFonts w:cs="Arial"/>
                <w:sz w:val="22"/>
              </w:rPr>
              <w:t>Compliance Determination</w:t>
            </w:r>
          </w:p>
        </w:tc>
        <w:tc>
          <w:tcPr>
            <w:tcW w:w="1612" w:type="dxa"/>
            <w:vAlign w:val="center"/>
          </w:tcPr>
          <w:p w:rsidR="006147C0" w:rsidRPr="000E304B" w:rsidP="009D6242" w14:paraId="6D35DD9D" w14:textId="31E16DEE">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4683C0F4" w14:textId="50047F0A">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478E204A" w14:textId="29EF1CBB">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327993F2" w14:textId="5F4AA1D9">
            <w:pPr>
              <w:spacing w:after="0" w:line="240" w:lineRule="auto"/>
              <w:jc w:val="center"/>
              <w:rPr>
                <w:rFonts w:cs="Arial"/>
                <w:sz w:val="22"/>
              </w:rPr>
            </w:pPr>
            <w:r w:rsidRPr="000E304B">
              <w:rPr>
                <w:rFonts w:cs="Arial"/>
                <w:sz w:val="22"/>
              </w:rPr>
              <w:t>0.00</w:t>
            </w:r>
            <w:r w:rsidRPr="000E304B" w:rsidR="00E666B4">
              <w:rPr>
                <w:rFonts w:cs="Arial"/>
                <w:sz w:val="22"/>
              </w:rPr>
              <w:t>0</w:t>
            </w:r>
          </w:p>
        </w:tc>
      </w:tr>
      <w:tr w14:paraId="1AB42F47" w14:textId="77777777" w:rsidTr="009D6242">
        <w:tblPrEx>
          <w:tblW w:w="9414" w:type="dxa"/>
          <w:tblLayout w:type="fixed"/>
          <w:tblLook w:val="04A0"/>
        </w:tblPrEx>
        <w:trPr>
          <w:trHeight w:val="378"/>
        </w:trPr>
        <w:tc>
          <w:tcPr>
            <w:tcW w:w="2966" w:type="dxa"/>
            <w:vAlign w:val="center"/>
          </w:tcPr>
          <w:p w:rsidR="006147C0" w:rsidRPr="000E304B" w:rsidP="009D6242" w14:paraId="53FA8C6D" w14:textId="790DA4EC">
            <w:pPr>
              <w:spacing w:after="0" w:line="240" w:lineRule="auto"/>
              <w:rPr>
                <w:rFonts w:cs="Arial"/>
                <w:sz w:val="22"/>
              </w:rPr>
            </w:pPr>
            <w:r w:rsidRPr="000E304B">
              <w:rPr>
                <w:rFonts w:cs="Arial"/>
                <w:sz w:val="22"/>
              </w:rPr>
              <w:t xml:space="preserve">CDX Registration and Electronic </w:t>
            </w:r>
            <w:r w:rsidRPr="000E304B" w:rsidR="004C446F">
              <w:rPr>
                <w:rFonts w:cs="Arial"/>
                <w:sz w:val="22"/>
              </w:rPr>
              <w:t>Signature</w:t>
            </w:r>
          </w:p>
        </w:tc>
        <w:tc>
          <w:tcPr>
            <w:tcW w:w="1612" w:type="dxa"/>
            <w:vAlign w:val="center"/>
          </w:tcPr>
          <w:p w:rsidR="006147C0" w:rsidRPr="000E304B" w:rsidP="009D6242" w14:paraId="4DEA0FEF" w14:textId="0E4CC2FF">
            <w:pPr>
              <w:spacing w:after="0" w:line="240" w:lineRule="auto"/>
              <w:jc w:val="center"/>
              <w:rPr>
                <w:rFonts w:cs="Arial"/>
                <w:sz w:val="22"/>
              </w:rPr>
            </w:pPr>
            <w:r w:rsidRPr="000E304B">
              <w:rPr>
                <w:rFonts w:cs="Arial"/>
                <w:sz w:val="22"/>
              </w:rPr>
              <w:t>0.93</w:t>
            </w:r>
            <w:r w:rsidRPr="000E304B" w:rsidR="00E666B4">
              <w:rPr>
                <w:rFonts w:cs="Arial"/>
                <w:sz w:val="22"/>
              </w:rPr>
              <w:t>0</w:t>
            </w:r>
          </w:p>
        </w:tc>
        <w:tc>
          <w:tcPr>
            <w:tcW w:w="1612" w:type="dxa"/>
            <w:vAlign w:val="center"/>
          </w:tcPr>
          <w:p w:rsidR="006147C0" w:rsidRPr="000E304B" w:rsidP="009D6242" w14:paraId="2772119A" w14:textId="5CC36B9E">
            <w:pPr>
              <w:spacing w:after="0" w:line="240" w:lineRule="auto"/>
              <w:jc w:val="center"/>
              <w:rPr>
                <w:rFonts w:cs="Arial"/>
                <w:sz w:val="22"/>
              </w:rPr>
            </w:pPr>
            <w:r w:rsidRPr="000E304B">
              <w:rPr>
                <w:rFonts w:cs="Arial"/>
                <w:sz w:val="22"/>
              </w:rPr>
              <w:t>1.73</w:t>
            </w:r>
            <w:r w:rsidRPr="000E304B" w:rsidR="00E666B4">
              <w:rPr>
                <w:rFonts w:cs="Arial"/>
                <w:sz w:val="22"/>
              </w:rPr>
              <w:t>0</w:t>
            </w:r>
          </w:p>
        </w:tc>
        <w:tc>
          <w:tcPr>
            <w:tcW w:w="1612" w:type="dxa"/>
            <w:vAlign w:val="center"/>
          </w:tcPr>
          <w:p w:rsidR="006147C0" w:rsidRPr="000E304B" w:rsidP="009D6242" w14:paraId="5E1A0940" w14:textId="39EA4929">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27E1C0F5" w14:textId="4D2FD8D3">
            <w:pPr>
              <w:spacing w:after="0" w:line="240" w:lineRule="auto"/>
              <w:jc w:val="center"/>
              <w:rPr>
                <w:rFonts w:cs="Arial"/>
                <w:sz w:val="22"/>
              </w:rPr>
            </w:pPr>
            <w:r w:rsidRPr="000E304B">
              <w:rPr>
                <w:rFonts w:cs="Arial"/>
                <w:sz w:val="22"/>
              </w:rPr>
              <w:t>2.67</w:t>
            </w:r>
            <w:r w:rsidRPr="000E304B" w:rsidR="00E666B4">
              <w:rPr>
                <w:rFonts w:cs="Arial"/>
                <w:sz w:val="22"/>
              </w:rPr>
              <w:t>0</w:t>
            </w:r>
          </w:p>
        </w:tc>
      </w:tr>
      <w:tr w14:paraId="05062825" w14:textId="77777777" w:rsidTr="009D6242">
        <w:tblPrEx>
          <w:tblW w:w="9414" w:type="dxa"/>
          <w:tblLayout w:type="fixed"/>
          <w:tblLook w:val="04A0"/>
        </w:tblPrEx>
        <w:trPr>
          <w:trHeight w:val="378"/>
        </w:trPr>
        <w:tc>
          <w:tcPr>
            <w:tcW w:w="2966" w:type="dxa"/>
            <w:vAlign w:val="center"/>
          </w:tcPr>
          <w:p w:rsidR="006147C0" w:rsidRPr="000E304B" w:rsidP="009D6242" w14:paraId="0D867A15" w14:textId="77777777">
            <w:pPr>
              <w:spacing w:after="0" w:line="240" w:lineRule="auto"/>
              <w:rPr>
                <w:rFonts w:cs="Arial"/>
                <w:sz w:val="22"/>
                <w:vertAlign w:val="superscript"/>
              </w:rPr>
            </w:pPr>
            <w:r w:rsidRPr="000E304B">
              <w:rPr>
                <w:rFonts w:cs="Arial"/>
                <w:sz w:val="22"/>
              </w:rPr>
              <w:t>Maintaining Company Contact Information</w:t>
            </w:r>
            <w:r w:rsidRPr="000E304B">
              <w:rPr>
                <w:rFonts w:cs="Arial"/>
                <w:sz w:val="22"/>
                <w:vertAlign w:val="superscript"/>
              </w:rPr>
              <w:t>1</w:t>
            </w:r>
          </w:p>
        </w:tc>
        <w:tc>
          <w:tcPr>
            <w:tcW w:w="1612" w:type="dxa"/>
            <w:vAlign w:val="center"/>
          </w:tcPr>
          <w:p w:rsidR="006147C0" w:rsidRPr="000E304B" w:rsidP="009D6242" w14:paraId="7B062F72" w14:textId="77777777">
            <w:pPr>
              <w:spacing w:after="0" w:line="240" w:lineRule="auto"/>
              <w:jc w:val="center"/>
              <w:rPr>
                <w:rFonts w:cs="Arial"/>
                <w:sz w:val="22"/>
              </w:rPr>
            </w:pPr>
            <w:r w:rsidRPr="000E304B">
              <w:rPr>
                <w:rFonts w:cs="Arial"/>
                <w:sz w:val="22"/>
              </w:rPr>
              <w:t>0.010</w:t>
            </w:r>
          </w:p>
        </w:tc>
        <w:tc>
          <w:tcPr>
            <w:tcW w:w="1612" w:type="dxa"/>
            <w:vAlign w:val="center"/>
          </w:tcPr>
          <w:p w:rsidR="006147C0" w:rsidRPr="000E304B" w:rsidP="009D6242" w14:paraId="375734FB" w14:textId="77777777">
            <w:pPr>
              <w:spacing w:after="0" w:line="240" w:lineRule="auto"/>
              <w:jc w:val="center"/>
              <w:rPr>
                <w:rFonts w:cs="Arial"/>
                <w:sz w:val="22"/>
              </w:rPr>
            </w:pPr>
            <w:r w:rsidRPr="000E304B">
              <w:rPr>
                <w:rFonts w:cs="Arial"/>
                <w:sz w:val="22"/>
              </w:rPr>
              <w:t>0.020</w:t>
            </w:r>
          </w:p>
        </w:tc>
        <w:tc>
          <w:tcPr>
            <w:tcW w:w="1612" w:type="dxa"/>
            <w:vAlign w:val="center"/>
          </w:tcPr>
          <w:p w:rsidR="006147C0" w:rsidRPr="000E304B" w:rsidP="009D6242" w14:paraId="279851BC" w14:textId="77777777">
            <w:pPr>
              <w:spacing w:after="0" w:line="240" w:lineRule="auto"/>
              <w:jc w:val="center"/>
              <w:rPr>
                <w:rFonts w:cs="Arial"/>
                <w:sz w:val="22"/>
              </w:rPr>
            </w:pPr>
            <w:r w:rsidRPr="000E304B">
              <w:rPr>
                <w:rFonts w:cs="Arial"/>
                <w:sz w:val="22"/>
              </w:rPr>
              <w:t>0.000</w:t>
            </w:r>
          </w:p>
        </w:tc>
        <w:tc>
          <w:tcPr>
            <w:tcW w:w="1612" w:type="dxa"/>
            <w:vAlign w:val="center"/>
          </w:tcPr>
          <w:p w:rsidR="006147C0" w:rsidRPr="000E304B" w:rsidP="009D6242" w14:paraId="198456E4" w14:textId="77777777">
            <w:pPr>
              <w:spacing w:after="0" w:line="240" w:lineRule="auto"/>
              <w:jc w:val="center"/>
              <w:rPr>
                <w:rFonts w:cs="Arial"/>
                <w:sz w:val="22"/>
              </w:rPr>
            </w:pPr>
            <w:bookmarkStart w:id="8" w:name="_Hlk68684824"/>
            <w:r w:rsidRPr="000E304B">
              <w:rPr>
                <w:rFonts w:cs="Arial"/>
                <w:sz w:val="22"/>
              </w:rPr>
              <w:t>0.030</w:t>
            </w:r>
            <w:bookmarkEnd w:id="8"/>
          </w:p>
        </w:tc>
      </w:tr>
      <w:tr w14:paraId="504C980C" w14:textId="77777777" w:rsidTr="009D6242">
        <w:tblPrEx>
          <w:tblW w:w="9414" w:type="dxa"/>
          <w:tblLayout w:type="fixed"/>
          <w:tblLook w:val="04A0"/>
        </w:tblPrEx>
        <w:trPr>
          <w:trHeight w:val="378"/>
        </w:trPr>
        <w:tc>
          <w:tcPr>
            <w:tcW w:w="2966" w:type="dxa"/>
            <w:vAlign w:val="center"/>
          </w:tcPr>
          <w:p w:rsidR="006147C0" w:rsidRPr="000E304B" w:rsidP="009D6242" w14:paraId="583ED993" w14:textId="77777777">
            <w:pPr>
              <w:spacing w:after="0" w:line="240" w:lineRule="auto"/>
              <w:rPr>
                <w:rFonts w:cs="Arial"/>
                <w:sz w:val="22"/>
              </w:rPr>
            </w:pPr>
            <w:r w:rsidRPr="000E304B">
              <w:rPr>
                <w:rFonts w:cs="Arial"/>
                <w:sz w:val="22"/>
              </w:rPr>
              <w:t>Generic Name</w:t>
            </w:r>
          </w:p>
        </w:tc>
        <w:tc>
          <w:tcPr>
            <w:tcW w:w="1612" w:type="dxa"/>
            <w:vAlign w:val="center"/>
          </w:tcPr>
          <w:p w:rsidR="006147C0" w:rsidRPr="000E304B" w:rsidP="009D6242" w14:paraId="7E2DB6D6" w14:textId="196CA0BC">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3ACC3929" w14:textId="7651C593">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47B9B8D4" w14:textId="5B1E7138">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3AF47C2D" w14:textId="3F9DEC12">
            <w:pPr>
              <w:spacing w:after="0" w:line="240" w:lineRule="auto"/>
              <w:jc w:val="center"/>
              <w:rPr>
                <w:rFonts w:cs="Arial"/>
                <w:sz w:val="22"/>
              </w:rPr>
            </w:pPr>
            <w:r w:rsidRPr="000E304B">
              <w:rPr>
                <w:rFonts w:cs="Arial"/>
                <w:sz w:val="22"/>
              </w:rPr>
              <w:t>0.00</w:t>
            </w:r>
            <w:r w:rsidRPr="000E304B" w:rsidR="00E666B4">
              <w:rPr>
                <w:rFonts w:cs="Arial"/>
                <w:sz w:val="22"/>
              </w:rPr>
              <w:t>0</w:t>
            </w:r>
          </w:p>
        </w:tc>
      </w:tr>
      <w:tr w14:paraId="728477E9" w14:textId="77777777" w:rsidTr="009D6242">
        <w:tblPrEx>
          <w:tblW w:w="9414" w:type="dxa"/>
          <w:tblLayout w:type="fixed"/>
          <w:tblLook w:val="04A0"/>
        </w:tblPrEx>
        <w:trPr>
          <w:trHeight w:val="378"/>
        </w:trPr>
        <w:tc>
          <w:tcPr>
            <w:tcW w:w="2966" w:type="dxa"/>
            <w:vAlign w:val="center"/>
          </w:tcPr>
          <w:p w:rsidR="006147C0" w:rsidRPr="000E304B" w:rsidP="009D6242" w14:paraId="2571EC10" w14:textId="77777777">
            <w:pPr>
              <w:spacing w:after="0" w:line="240" w:lineRule="auto"/>
              <w:rPr>
                <w:rFonts w:cs="Arial"/>
                <w:sz w:val="22"/>
              </w:rPr>
            </w:pPr>
            <w:r w:rsidRPr="000E304B">
              <w:rPr>
                <w:rFonts w:cs="Arial"/>
                <w:sz w:val="22"/>
              </w:rPr>
              <w:t>Withdrawing Confidentiality Claims and Amending Public Copy</w:t>
            </w:r>
          </w:p>
        </w:tc>
        <w:tc>
          <w:tcPr>
            <w:tcW w:w="1612" w:type="dxa"/>
            <w:vAlign w:val="center"/>
          </w:tcPr>
          <w:p w:rsidR="006147C0" w:rsidRPr="000E304B" w:rsidP="009D6242" w14:paraId="1E79E447" w14:textId="775F0D55">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45372FB1" w14:textId="0DA1BC9C">
            <w:pPr>
              <w:spacing w:after="0" w:line="240" w:lineRule="auto"/>
              <w:jc w:val="center"/>
              <w:rPr>
                <w:rFonts w:cs="Arial"/>
                <w:sz w:val="22"/>
              </w:rPr>
            </w:pPr>
            <w:r w:rsidRPr="000E304B">
              <w:rPr>
                <w:rFonts w:cs="Arial"/>
                <w:sz w:val="22"/>
              </w:rPr>
              <w:t>0.</w:t>
            </w:r>
            <w:r w:rsidR="004A08B0">
              <w:rPr>
                <w:rFonts w:cs="Arial"/>
                <w:sz w:val="22"/>
              </w:rPr>
              <w:t>700</w:t>
            </w:r>
          </w:p>
        </w:tc>
        <w:tc>
          <w:tcPr>
            <w:tcW w:w="1612" w:type="dxa"/>
            <w:vAlign w:val="center"/>
          </w:tcPr>
          <w:p w:rsidR="006147C0" w:rsidRPr="000E304B" w:rsidP="009D6242" w14:paraId="712D601B" w14:textId="4334C961">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74CCDE99" w14:textId="10CD69F8">
            <w:pPr>
              <w:spacing w:after="0" w:line="240" w:lineRule="auto"/>
              <w:jc w:val="center"/>
              <w:rPr>
                <w:rFonts w:cs="Arial"/>
                <w:sz w:val="22"/>
              </w:rPr>
            </w:pPr>
            <w:bookmarkStart w:id="9" w:name="_Hlk68685298"/>
            <w:r w:rsidRPr="000E304B">
              <w:rPr>
                <w:rFonts w:cs="Arial"/>
                <w:sz w:val="22"/>
              </w:rPr>
              <w:t>0.</w:t>
            </w:r>
            <w:r w:rsidR="004A08B0">
              <w:rPr>
                <w:rFonts w:cs="Arial"/>
                <w:sz w:val="22"/>
              </w:rPr>
              <w:t>700</w:t>
            </w:r>
            <w:bookmarkEnd w:id="9"/>
          </w:p>
        </w:tc>
      </w:tr>
      <w:tr w14:paraId="7B25A7B0" w14:textId="77777777" w:rsidTr="009D6242">
        <w:tblPrEx>
          <w:tblW w:w="9414" w:type="dxa"/>
          <w:tblLayout w:type="fixed"/>
          <w:tblLook w:val="04A0"/>
        </w:tblPrEx>
        <w:trPr>
          <w:trHeight w:val="378"/>
        </w:trPr>
        <w:tc>
          <w:tcPr>
            <w:tcW w:w="2966" w:type="dxa"/>
            <w:vAlign w:val="center"/>
          </w:tcPr>
          <w:p w:rsidR="006147C0" w:rsidRPr="000E304B" w:rsidP="009D6242" w14:paraId="5EF907E0" w14:textId="37FEDC78">
            <w:pPr>
              <w:spacing w:after="0" w:line="240" w:lineRule="auto"/>
              <w:rPr>
                <w:rFonts w:cs="Arial"/>
                <w:sz w:val="22"/>
              </w:rPr>
            </w:pPr>
            <w:r w:rsidRPr="000E304B">
              <w:rPr>
                <w:rFonts w:cs="Arial"/>
                <w:sz w:val="22"/>
              </w:rPr>
              <w:t>Report</w:t>
            </w:r>
            <w:r w:rsidR="00136860">
              <w:rPr>
                <w:rFonts w:cs="Arial"/>
                <w:sz w:val="22"/>
              </w:rPr>
              <w:t>ing</w:t>
            </w:r>
            <w:r w:rsidRPr="000E304B">
              <w:rPr>
                <w:rFonts w:cs="Arial"/>
                <w:sz w:val="22"/>
              </w:rPr>
              <w:t xml:space="preserve"> Health and Safety Data using Templates</w:t>
            </w:r>
          </w:p>
        </w:tc>
        <w:tc>
          <w:tcPr>
            <w:tcW w:w="1612" w:type="dxa"/>
            <w:vAlign w:val="center"/>
          </w:tcPr>
          <w:p w:rsidR="006147C0" w:rsidRPr="000E304B" w:rsidP="009D6242" w14:paraId="12AFFB50" w14:textId="148F6932">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006147C0" w:rsidRPr="000E304B" w:rsidP="009D6242" w14:paraId="0448E4DD" w14:textId="3A1595E8">
            <w:pPr>
              <w:spacing w:after="0" w:line="240" w:lineRule="auto"/>
              <w:jc w:val="center"/>
              <w:rPr>
                <w:rFonts w:cs="Arial"/>
                <w:sz w:val="22"/>
              </w:rPr>
            </w:pPr>
            <w:r w:rsidRPr="000E304B">
              <w:rPr>
                <w:rFonts w:cs="Arial"/>
                <w:sz w:val="22"/>
              </w:rPr>
              <w:t>0.05</w:t>
            </w:r>
            <w:r w:rsidRPr="000E304B" w:rsidR="00E666B4">
              <w:rPr>
                <w:rFonts w:cs="Arial"/>
                <w:sz w:val="22"/>
              </w:rPr>
              <w:t>0</w:t>
            </w:r>
          </w:p>
        </w:tc>
        <w:tc>
          <w:tcPr>
            <w:tcW w:w="1612" w:type="dxa"/>
            <w:vAlign w:val="center"/>
          </w:tcPr>
          <w:p w:rsidR="006147C0" w:rsidRPr="000E304B" w:rsidP="009D6242" w14:paraId="7B80999F" w14:textId="6924C8B5">
            <w:pPr>
              <w:spacing w:after="0" w:line="240" w:lineRule="auto"/>
              <w:jc w:val="center"/>
              <w:rPr>
                <w:rFonts w:cs="Arial"/>
                <w:sz w:val="22"/>
              </w:rPr>
            </w:pPr>
            <w:r w:rsidRPr="000E304B">
              <w:rPr>
                <w:rFonts w:cs="Arial"/>
                <w:sz w:val="22"/>
              </w:rPr>
              <w:t>0.0</w:t>
            </w:r>
            <w:r w:rsidRPr="000E304B" w:rsidR="00E666B4">
              <w:rPr>
                <w:rFonts w:cs="Arial"/>
                <w:sz w:val="22"/>
              </w:rPr>
              <w:t>0</w:t>
            </w:r>
            <w:r w:rsidRPr="000E304B">
              <w:rPr>
                <w:rFonts w:cs="Arial"/>
                <w:sz w:val="22"/>
              </w:rPr>
              <w:t>0</w:t>
            </w:r>
          </w:p>
        </w:tc>
        <w:tc>
          <w:tcPr>
            <w:tcW w:w="1612" w:type="dxa"/>
            <w:vAlign w:val="center"/>
          </w:tcPr>
          <w:p w:rsidR="006147C0" w:rsidRPr="000E304B" w:rsidP="009D6242" w14:paraId="0F925077" w14:textId="28764B14">
            <w:pPr>
              <w:spacing w:after="0" w:line="240" w:lineRule="auto"/>
              <w:jc w:val="center"/>
              <w:rPr>
                <w:rFonts w:cs="Arial"/>
                <w:sz w:val="22"/>
              </w:rPr>
            </w:pPr>
            <w:r w:rsidRPr="000E304B">
              <w:rPr>
                <w:rFonts w:cs="Arial"/>
                <w:sz w:val="22"/>
              </w:rPr>
              <w:t>0.05</w:t>
            </w:r>
            <w:r w:rsidRPr="000E304B" w:rsidR="00E666B4">
              <w:rPr>
                <w:rFonts w:cs="Arial"/>
                <w:sz w:val="22"/>
              </w:rPr>
              <w:t>0</w:t>
            </w:r>
          </w:p>
        </w:tc>
      </w:tr>
    </w:tbl>
    <w:p w:rsidR="006147C0" w:rsidRPr="000E304B" w:rsidP="006147C0" w14:paraId="6E9F0F8F" w14:textId="77777777">
      <w:pPr>
        <w:rPr>
          <w:rFonts w:cs="Arial"/>
          <w:sz w:val="16"/>
          <w:szCs w:val="16"/>
        </w:rPr>
      </w:pPr>
      <w:r w:rsidRPr="000E304B">
        <w:rPr>
          <w:rFonts w:cs="Arial"/>
          <w:sz w:val="16"/>
          <w:szCs w:val="16"/>
          <w:vertAlign w:val="superscript"/>
        </w:rPr>
        <w:t>1</w:t>
      </w:r>
      <w:r w:rsidRPr="000E304B">
        <w:rPr>
          <w:rFonts w:cs="Arial"/>
          <w:sz w:val="16"/>
          <w:szCs w:val="16"/>
        </w:rPr>
        <w:t xml:space="preserve">The burden presented accounts for maintain company contact information for five employees. </w:t>
      </w:r>
    </w:p>
    <w:p w:rsidR="002D4226" w:rsidP="002D4226" w14:paraId="6249613D" w14:textId="18800D72">
      <w:r>
        <w:t>Estimation of industry unit cost per submission involves combining the activity-level unit burdens identified in wage data from the Bureau of Labor Statistics (BLS)</w:t>
      </w:r>
      <w:r>
        <w:t xml:space="preserve">, as converted from raw wage rate and benefit data to loaded wage rates. </w:t>
      </w:r>
      <w:r>
        <w:fldChar w:fldCharType="begin"/>
      </w:r>
      <w:r>
        <w:instrText xml:space="preserve"> REF _Ref526493290 \h </w:instrText>
      </w:r>
      <w:r>
        <w:fldChar w:fldCharType="separate"/>
      </w:r>
      <w:r>
        <w:t xml:space="preserve">Table </w:t>
      </w:r>
      <w:r>
        <w:fldChar w:fldCharType="end"/>
      </w:r>
      <w:r w:rsidR="00B30872">
        <w:t>3</w:t>
      </w:r>
      <w:r>
        <w:t xml:space="preserve"> presents the resultant loaded wage rates for managerial, professional/technical, and c</w:t>
      </w:r>
      <w:r>
        <w:t>lerical staff.</w:t>
      </w:r>
    </w:p>
    <w:p w:rsidR="00B764D1" w:rsidP="00B764D1" w14:paraId="381E0DBB" w14:textId="6DC81753">
      <w:pPr>
        <w:pStyle w:val="Caption"/>
      </w:pPr>
      <w:r>
        <w:t xml:space="preserve">Table </w:t>
      </w:r>
      <w:r w:rsidR="0F61D55C">
        <w:t>3</w:t>
      </w:r>
      <w:r>
        <w:t>: Industry Wage Rates (</w:t>
      </w:r>
      <w:r w:rsidR="000647C9">
        <w:t>2022</w:t>
      </w:r>
      <w:r>
        <w:t>$)</w:t>
      </w:r>
      <w:bookmarkStart w:id="10" w:name="_Toc49148207"/>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
      <w:tblGrid>
        <w:gridCol w:w="1138"/>
        <w:gridCol w:w="1399"/>
        <w:gridCol w:w="788"/>
        <w:gridCol w:w="766"/>
        <w:gridCol w:w="827"/>
        <w:gridCol w:w="1388"/>
        <w:gridCol w:w="1461"/>
        <w:gridCol w:w="1061"/>
        <w:gridCol w:w="914"/>
      </w:tblGrid>
      <w:tr w14:paraId="22D7FE32" w14:textId="77777777" w:rsidTr="002B49FF">
        <w:tblPrEx>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Ex>
        <w:trPr>
          <w:trHeight w:val="1445"/>
        </w:trPr>
        <w:tc>
          <w:tcPr>
            <w:tcW w:w="1138" w:type="dxa"/>
            <w:vMerge w:val="restart"/>
            <w:shd w:val="clear" w:color="auto" w:fill="8EAADB"/>
            <w:vAlign w:val="center"/>
            <w:hideMark/>
          </w:tcPr>
          <w:p w:rsidR="00660C25" w:rsidRPr="00660C25" w:rsidP="00660C25" w14:paraId="0417E6FE" w14:textId="77777777">
            <w:pPr>
              <w:spacing w:after="0" w:line="240" w:lineRule="auto"/>
              <w:jc w:val="center"/>
              <w:rPr>
                <w:rFonts w:ascii="Times New Roman" w:eastAsia="Times New Roman" w:hAnsi="Times New Roman" w:cs="Times New Roman"/>
                <w:b/>
                <w:bCs/>
                <w:color w:val="000000"/>
                <w:sz w:val="20"/>
                <w:szCs w:val="20"/>
              </w:rPr>
            </w:pPr>
            <w:r w:rsidRPr="00660C25">
              <w:rPr>
                <w:rFonts w:ascii="Times New Roman" w:eastAsia="Times New Roman" w:hAnsi="Times New Roman" w:cs="Times New Roman"/>
                <w:b/>
                <w:bCs/>
                <w:color w:val="000000"/>
                <w:sz w:val="20"/>
                <w:szCs w:val="20"/>
              </w:rPr>
              <w:t>Labor Category</w:t>
            </w:r>
          </w:p>
        </w:tc>
        <w:tc>
          <w:tcPr>
            <w:tcW w:w="1399" w:type="dxa"/>
            <w:vMerge w:val="restart"/>
            <w:shd w:val="clear" w:color="auto" w:fill="8EAADB"/>
            <w:vAlign w:val="center"/>
            <w:hideMark/>
          </w:tcPr>
          <w:p w:rsidR="00660C25" w:rsidRPr="00660C25" w:rsidP="00660C25" w14:paraId="240560A9" w14:textId="77777777">
            <w:pPr>
              <w:spacing w:after="0" w:line="240" w:lineRule="auto"/>
              <w:jc w:val="center"/>
              <w:rPr>
                <w:rFonts w:ascii="Times New Roman" w:eastAsia="Times New Roman" w:hAnsi="Times New Roman" w:cs="Times New Roman"/>
                <w:b/>
                <w:bCs/>
                <w:color w:val="000000"/>
                <w:sz w:val="20"/>
                <w:szCs w:val="20"/>
              </w:rPr>
            </w:pPr>
            <w:r w:rsidRPr="00660C25">
              <w:rPr>
                <w:rFonts w:ascii="Times New Roman" w:eastAsia="Times New Roman" w:hAnsi="Times New Roman" w:cs="Times New Roman"/>
                <w:b/>
                <w:bCs/>
                <w:color w:val="000000"/>
                <w:sz w:val="20"/>
                <w:szCs w:val="20"/>
              </w:rPr>
              <w:t>Data Series</w:t>
            </w:r>
            <w:r w:rsidRPr="00660C25">
              <w:rPr>
                <w:rFonts w:ascii="Times New Roman" w:eastAsia="Times New Roman" w:hAnsi="Times New Roman" w:cs="Times New Roman"/>
                <w:b/>
                <w:bCs/>
                <w:color w:val="000000"/>
                <w:sz w:val="20"/>
                <w:szCs w:val="20"/>
                <w:vertAlign w:val="superscript"/>
              </w:rPr>
              <w:t xml:space="preserve"> a</w:t>
            </w:r>
          </w:p>
        </w:tc>
        <w:tc>
          <w:tcPr>
            <w:tcW w:w="788" w:type="dxa"/>
            <w:vMerge w:val="restart"/>
            <w:shd w:val="clear" w:color="auto" w:fill="8EAADB"/>
            <w:vAlign w:val="center"/>
            <w:hideMark/>
          </w:tcPr>
          <w:p w:rsidR="00660C25" w:rsidRPr="00660C25" w:rsidP="00660C25" w14:paraId="7D5A0AAF" w14:textId="77777777">
            <w:pPr>
              <w:spacing w:after="0" w:line="240" w:lineRule="auto"/>
              <w:jc w:val="center"/>
              <w:rPr>
                <w:rFonts w:ascii="Times New Roman" w:eastAsia="Times New Roman" w:hAnsi="Times New Roman" w:cs="Times New Roman"/>
                <w:b/>
                <w:bCs/>
                <w:color w:val="000000"/>
                <w:sz w:val="20"/>
                <w:szCs w:val="20"/>
              </w:rPr>
            </w:pPr>
            <w:r w:rsidRPr="00660C25">
              <w:rPr>
                <w:rFonts w:ascii="Times New Roman" w:eastAsia="Times New Roman" w:hAnsi="Times New Roman" w:cs="Times New Roman"/>
                <w:b/>
                <w:bCs/>
                <w:color w:val="000000"/>
                <w:sz w:val="20"/>
                <w:szCs w:val="20"/>
              </w:rPr>
              <w:t>Date</w:t>
            </w:r>
          </w:p>
        </w:tc>
        <w:tc>
          <w:tcPr>
            <w:tcW w:w="766" w:type="dxa"/>
            <w:shd w:val="clear" w:color="auto" w:fill="8EAADB"/>
            <w:vAlign w:val="center"/>
            <w:hideMark/>
          </w:tcPr>
          <w:p w:rsidR="00660C25" w:rsidRPr="00660C25" w:rsidP="00660C25" w14:paraId="0258CCDF" w14:textId="77777777">
            <w:pPr>
              <w:spacing w:after="0" w:line="240" w:lineRule="auto"/>
              <w:jc w:val="center"/>
              <w:rPr>
                <w:rFonts w:ascii="Times New Roman" w:eastAsia="Times New Roman" w:hAnsi="Times New Roman" w:cs="Times New Roman"/>
                <w:b/>
                <w:bCs/>
                <w:color w:val="000000"/>
                <w:sz w:val="20"/>
                <w:szCs w:val="20"/>
              </w:rPr>
            </w:pPr>
            <w:r w:rsidRPr="00660C25">
              <w:rPr>
                <w:rFonts w:ascii="Times New Roman" w:eastAsia="Times New Roman" w:hAnsi="Times New Roman" w:cs="Times New Roman"/>
                <w:b/>
                <w:bCs/>
                <w:color w:val="000000"/>
                <w:sz w:val="20"/>
                <w:szCs w:val="20"/>
              </w:rPr>
              <w:t>Wage</w:t>
            </w:r>
          </w:p>
        </w:tc>
        <w:tc>
          <w:tcPr>
            <w:tcW w:w="827" w:type="dxa"/>
            <w:shd w:val="clear" w:color="auto" w:fill="8EAADB"/>
            <w:vAlign w:val="center"/>
            <w:hideMark/>
          </w:tcPr>
          <w:p w:rsidR="00660C25" w:rsidRPr="00660C25" w:rsidP="00660C25" w14:paraId="23B82CB4" w14:textId="77777777">
            <w:pPr>
              <w:spacing w:after="0" w:line="240" w:lineRule="auto"/>
              <w:jc w:val="center"/>
              <w:rPr>
                <w:rFonts w:ascii="Times New Roman" w:eastAsia="Times New Roman" w:hAnsi="Times New Roman" w:cs="Times New Roman"/>
                <w:b/>
                <w:bCs/>
                <w:color w:val="000000"/>
                <w:sz w:val="20"/>
                <w:szCs w:val="20"/>
              </w:rPr>
            </w:pPr>
            <w:r w:rsidRPr="00660C25">
              <w:rPr>
                <w:rFonts w:ascii="Times New Roman" w:eastAsia="Times New Roman" w:hAnsi="Times New Roman" w:cs="Times New Roman"/>
                <w:b/>
                <w:bCs/>
                <w:color w:val="000000"/>
                <w:sz w:val="20"/>
                <w:szCs w:val="20"/>
              </w:rPr>
              <w:t>Fringe Benefit</w:t>
            </w:r>
          </w:p>
        </w:tc>
        <w:tc>
          <w:tcPr>
            <w:tcW w:w="1388" w:type="dxa"/>
            <w:shd w:val="clear" w:color="auto" w:fill="8EAADB"/>
            <w:vAlign w:val="center"/>
            <w:hideMark/>
          </w:tcPr>
          <w:p w:rsidR="00660C25" w:rsidRPr="00660C25" w:rsidP="00660C25" w14:paraId="6B97B6E1" w14:textId="77777777">
            <w:pPr>
              <w:spacing w:after="0" w:line="240" w:lineRule="auto"/>
              <w:jc w:val="center"/>
              <w:rPr>
                <w:rFonts w:ascii="Times New Roman" w:eastAsia="Times New Roman" w:hAnsi="Times New Roman" w:cs="Times New Roman"/>
                <w:b/>
                <w:bCs/>
                <w:color w:val="000000"/>
                <w:sz w:val="20"/>
                <w:szCs w:val="20"/>
              </w:rPr>
            </w:pPr>
            <w:r w:rsidRPr="00660C25">
              <w:rPr>
                <w:rFonts w:ascii="Times New Roman" w:eastAsia="Times New Roman" w:hAnsi="Times New Roman" w:cs="Times New Roman"/>
                <w:b/>
                <w:bCs/>
                <w:color w:val="000000"/>
                <w:sz w:val="20"/>
                <w:szCs w:val="20"/>
              </w:rPr>
              <w:t xml:space="preserve">Total </w:t>
            </w:r>
            <w:r w:rsidRPr="00660C25">
              <w:rPr>
                <w:rFonts w:ascii="Times New Roman" w:eastAsia="Times New Roman" w:hAnsi="Times New Roman" w:cs="Times New Roman"/>
                <w:b/>
                <w:bCs/>
                <w:color w:val="000000"/>
                <w:sz w:val="19"/>
                <w:szCs w:val="19"/>
              </w:rPr>
              <w:t>Compensation</w:t>
            </w:r>
          </w:p>
        </w:tc>
        <w:tc>
          <w:tcPr>
            <w:tcW w:w="1461" w:type="dxa"/>
            <w:shd w:val="clear" w:color="auto" w:fill="8EAADB"/>
            <w:vAlign w:val="center"/>
            <w:hideMark/>
          </w:tcPr>
          <w:p w:rsidR="00660C25" w:rsidRPr="00660C25" w:rsidP="00660C25" w14:paraId="364FBD24" w14:textId="77777777">
            <w:pPr>
              <w:spacing w:after="0" w:line="240" w:lineRule="auto"/>
              <w:jc w:val="center"/>
              <w:rPr>
                <w:rFonts w:ascii="Times New Roman" w:eastAsia="Times New Roman" w:hAnsi="Times New Roman" w:cs="Times New Roman"/>
                <w:b/>
                <w:bCs/>
                <w:color w:val="000000"/>
                <w:sz w:val="20"/>
                <w:szCs w:val="20"/>
              </w:rPr>
            </w:pPr>
            <w:r w:rsidRPr="00660C25">
              <w:rPr>
                <w:rFonts w:ascii="Times New Roman" w:eastAsia="Times New Roman" w:hAnsi="Times New Roman" w:cs="Times New Roman"/>
                <w:b/>
                <w:bCs/>
                <w:color w:val="000000"/>
                <w:sz w:val="20"/>
                <w:szCs w:val="20"/>
              </w:rPr>
              <w:t xml:space="preserve">Overhead % of Total </w:t>
            </w:r>
            <w:r w:rsidRPr="00660C25">
              <w:rPr>
                <w:rFonts w:ascii="Times New Roman" w:eastAsia="Times New Roman" w:hAnsi="Times New Roman" w:cs="Times New Roman"/>
                <w:b/>
                <w:bCs/>
                <w:color w:val="000000"/>
                <w:sz w:val="19"/>
                <w:szCs w:val="19"/>
              </w:rPr>
              <w:t>Compensation</w:t>
            </w:r>
            <w:r w:rsidRPr="00660C25">
              <w:rPr>
                <w:rFonts w:ascii="Times New Roman" w:eastAsia="Times New Roman" w:hAnsi="Times New Roman" w:cs="Times New Roman"/>
                <w:b/>
                <w:bCs/>
                <w:color w:val="000000"/>
                <w:sz w:val="20"/>
                <w:szCs w:val="20"/>
                <w:vertAlign w:val="superscript"/>
              </w:rPr>
              <w:t>b</w:t>
            </w:r>
          </w:p>
        </w:tc>
        <w:tc>
          <w:tcPr>
            <w:tcW w:w="1061" w:type="dxa"/>
            <w:shd w:val="clear" w:color="auto" w:fill="8EAADB"/>
            <w:vAlign w:val="center"/>
            <w:hideMark/>
          </w:tcPr>
          <w:p w:rsidR="00660C25" w:rsidRPr="00660C25" w:rsidP="00660C25" w14:paraId="2C17DB08" w14:textId="77777777">
            <w:pPr>
              <w:spacing w:after="0" w:line="240" w:lineRule="auto"/>
              <w:jc w:val="center"/>
              <w:rPr>
                <w:rFonts w:ascii="Times New Roman" w:eastAsia="Times New Roman" w:hAnsi="Times New Roman" w:cs="Times New Roman"/>
                <w:b/>
                <w:bCs/>
                <w:color w:val="000000"/>
                <w:sz w:val="20"/>
                <w:szCs w:val="20"/>
              </w:rPr>
            </w:pPr>
            <w:r w:rsidRPr="00660C25">
              <w:rPr>
                <w:rFonts w:ascii="Times New Roman" w:eastAsia="Times New Roman" w:hAnsi="Times New Roman" w:cs="Times New Roman"/>
                <w:b/>
                <w:bCs/>
                <w:color w:val="000000"/>
                <w:sz w:val="20"/>
                <w:szCs w:val="20"/>
              </w:rPr>
              <w:t>Overhead</w:t>
            </w:r>
          </w:p>
        </w:tc>
        <w:tc>
          <w:tcPr>
            <w:tcW w:w="914" w:type="dxa"/>
            <w:shd w:val="clear" w:color="auto" w:fill="8EAADB"/>
            <w:vAlign w:val="center"/>
            <w:hideMark/>
          </w:tcPr>
          <w:p w:rsidR="00660C25" w:rsidRPr="00660C25" w:rsidP="00660C25" w14:paraId="2A3A8A4A" w14:textId="77777777">
            <w:pPr>
              <w:spacing w:after="0" w:line="240" w:lineRule="auto"/>
              <w:jc w:val="center"/>
              <w:rPr>
                <w:rFonts w:ascii="Times New Roman" w:eastAsia="Times New Roman" w:hAnsi="Times New Roman" w:cs="Times New Roman"/>
                <w:b/>
                <w:bCs/>
                <w:color w:val="000000"/>
                <w:sz w:val="20"/>
                <w:szCs w:val="20"/>
              </w:rPr>
            </w:pPr>
            <w:r w:rsidRPr="00660C25">
              <w:rPr>
                <w:rFonts w:ascii="Times New Roman" w:eastAsia="Times New Roman" w:hAnsi="Times New Roman" w:cs="Times New Roman"/>
                <w:b/>
                <w:bCs/>
                <w:color w:val="000000"/>
                <w:sz w:val="20"/>
                <w:szCs w:val="20"/>
              </w:rPr>
              <w:t>Hourly Loaded Wages</w:t>
            </w:r>
            <w:r w:rsidRPr="00660C25">
              <w:rPr>
                <w:rFonts w:ascii="Times New Roman" w:eastAsia="Times New Roman" w:hAnsi="Times New Roman" w:cs="Times New Roman"/>
                <w:b/>
                <w:bCs/>
                <w:color w:val="000000"/>
                <w:sz w:val="20"/>
                <w:szCs w:val="20"/>
                <w:vertAlign w:val="superscript"/>
              </w:rPr>
              <w:t xml:space="preserve"> c</w:t>
            </w:r>
          </w:p>
        </w:tc>
      </w:tr>
      <w:tr w14:paraId="59937F3D" w14:textId="77777777" w:rsidTr="002B49FF">
        <w:tblPrEx>
          <w:tblW w:w="9742" w:type="dxa"/>
          <w:tblLayout w:type="fixed"/>
          <w:tblCellMar>
            <w:top w:w="15" w:type="dxa"/>
            <w:bottom w:w="15" w:type="dxa"/>
          </w:tblCellMar>
          <w:tblLook w:val="04A0"/>
        </w:tblPrEx>
        <w:trPr>
          <w:trHeight w:val="425"/>
        </w:trPr>
        <w:tc>
          <w:tcPr>
            <w:tcW w:w="1138" w:type="dxa"/>
            <w:vMerge/>
            <w:shd w:val="clear" w:color="auto" w:fill="8EAADB"/>
            <w:vAlign w:val="center"/>
            <w:hideMark/>
          </w:tcPr>
          <w:p w:rsidR="00660C25" w:rsidRPr="00660C25" w:rsidP="00660C25" w14:paraId="533F7850" w14:textId="77777777">
            <w:pPr>
              <w:spacing w:after="0" w:line="240" w:lineRule="auto"/>
              <w:rPr>
                <w:rFonts w:ascii="Times New Roman" w:eastAsia="Times New Roman" w:hAnsi="Times New Roman" w:cs="Times New Roman"/>
                <w:b/>
                <w:bCs/>
                <w:color w:val="000000"/>
                <w:sz w:val="20"/>
                <w:szCs w:val="20"/>
              </w:rPr>
            </w:pPr>
          </w:p>
        </w:tc>
        <w:tc>
          <w:tcPr>
            <w:tcW w:w="1399" w:type="dxa"/>
            <w:vMerge/>
            <w:shd w:val="clear" w:color="auto" w:fill="8EAADB"/>
            <w:vAlign w:val="center"/>
            <w:hideMark/>
          </w:tcPr>
          <w:p w:rsidR="00660C25" w:rsidRPr="00660C25" w:rsidP="00660C25" w14:paraId="44F77F16" w14:textId="77777777">
            <w:pPr>
              <w:spacing w:after="0" w:line="240" w:lineRule="auto"/>
              <w:rPr>
                <w:rFonts w:ascii="Times New Roman" w:eastAsia="Times New Roman" w:hAnsi="Times New Roman" w:cs="Times New Roman"/>
                <w:b/>
                <w:bCs/>
                <w:color w:val="000000"/>
                <w:sz w:val="20"/>
                <w:szCs w:val="20"/>
              </w:rPr>
            </w:pPr>
          </w:p>
        </w:tc>
        <w:tc>
          <w:tcPr>
            <w:tcW w:w="788" w:type="dxa"/>
            <w:vMerge/>
            <w:shd w:val="clear" w:color="auto" w:fill="8EAADB"/>
            <w:vAlign w:val="center"/>
            <w:hideMark/>
          </w:tcPr>
          <w:p w:rsidR="00660C25" w:rsidRPr="00660C25" w:rsidP="00660C25" w14:paraId="65D349A7" w14:textId="77777777">
            <w:pPr>
              <w:spacing w:after="0" w:line="240" w:lineRule="auto"/>
              <w:rPr>
                <w:rFonts w:ascii="Times New Roman" w:eastAsia="Times New Roman" w:hAnsi="Times New Roman" w:cs="Times New Roman"/>
                <w:b/>
                <w:bCs/>
                <w:color w:val="000000"/>
                <w:sz w:val="20"/>
                <w:szCs w:val="20"/>
              </w:rPr>
            </w:pPr>
          </w:p>
        </w:tc>
        <w:tc>
          <w:tcPr>
            <w:tcW w:w="766" w:type="dxa"/>
            <w:shd w:val="clear" w:color="auto" w:fill="8EAADB"/>
            <w:vAlign w:val="center"/>
            <w:hideMark/>
          </w:tcPr>
          <w:p w:rsidR="00660C25" w:rsidRPr="00660C25" w:rsidP="00660C25" w14:paraId="75BD83A0" w14:textId="77777777">
            <w:pPr>
              <w:spacing w:after="0" w:line="240" w:lineRule="auto"/>
              <w:jc w:val="center"/>
              <w:rPr>
                <w:rFonts w:ascii="Times New Roman" w:eastAsia="Times New Roman" w:hAnsi="Times New Roman" w:cs="Times New Roman"/>
                <w:b/>
                <w:bCs/>
                <w:i/>
                <w:iCs/>
                <w:color w:val="000000"/>
                <w:sz w:val="16"/>
                <w:szCs w:val="16"/>
              </w:rPr>
            </w:pPr>
            <w:r w:rsidRPr="00660C25">
              <w:rPr>
                <w:rFonts w:ascii="Times New Roman" w:eastAsia="Times New Roman" w:hAnsi="Times New Roman" w:cs="Times New Roman"/>
                <w:b/>
                <w:bCs/>
                <w:i/>
                <w:iCs/>
                <w:color w:val="000000"/>
                <w:sz w:val="16"/>
                <w:szCs w:val="16"/>
              </w:rPr>
              <w:t>(a)</w:t>
            </w:r>
          </w:p>
        </w:tc>
        <w:tc>
          <w:tcPr>
            <w:tcW w:w="827" w:type="dxa"/>
            <w:shd w:val="clear" w:color="auto" w:fill="8EAADB"/>
            <w:vAlign w:val="center"/>
            <w:hideMark/>
          </w:tcPr>
          <w:p w:rsidR="00660C25" w:rsidRPr="00660C25" w:rsidP="00660C25" w14:paraId="026F89EA" w14:textId="77777777">
            <w:pPr>
              <w:spacing w:after="0" w:line="240" w:lineRule="auto"/>
              <w:jc w:val="center"/>
              <w:rPr>
                <w:rFonts w:ascii="Times New Roman" w:eastAsia="Times New Roman" w:hAnsi="Times New Roman" w:cs="Times New Roman"/>
                <w:b/>
                <w:bCs/>
                <w:i/>
                <w:iCs/>
                <w:color w:val="000000"/>
                <w:sz w:val="16"/>
                <w:szCs w:val="16"/>
              </w:rPr>
            </w:pPr>
            <w:r w:rsidRPr="00660C25">
              <w:rPr>
                <w:rFonts w:ascii="Times New Roman" w:eastAsia="Times New Roman" w:hAnsi="Times New Roman" w:cs="Times New Roman"/>
                <w:b/>
                <w:bCs/>
                <w:i/>
                <w:iCs/>
                <w:color w:val="000000"/>
                <w:sz w:val="16"/>
                <w:szCs w:val="16"/>
              </w:rPr>
              <w:t>(b)</w:t>
            </w:r>
          </w:p>
        </w:tc>
        <w:tc>
          <w:tcPr>
            <w:tcW w:w="1388" w:type="dxa"/>
            <w:shd w:val="clear" w:color="auto" w:fill="8EAADB"/>
            <w:vAlign w:val="center"/>
            <w:hideMark/>
          </w:tcPr>
          <w:p w:rsidR="00660C25" w:rsidRPr="00660C25" w:rsidP="00660C25" w14:paraId="0C0A81FF" w14:textId="77777777">
            <w:pPr>
              <w:spacing w:after="0" w:line="240" w:lineRule="auto"/>
              <w:jc w:val="center"/>
              <w:rPr>
                <w:rFonts w:ascii="Times New Roman" w:eastAsia="Times New Roman" w:hAnsi="Times New Roman" w:cs="Times New Roman"/>
                <w:b/>
                <w:bCs/>
                <w:i/>
                <w:iCs/>
                <w:color w:val="000000"/>
                <w:sz w:val="16"/>
                <w:szCs w:val="16"/>
              </w:rPr>
            </w:pPr>
            <w:r w:rsidRPr="00660C25">
              <w:rPr>
                <w:rFonts w:ascii="Times New Roman" w:eastAsia="Times New Roman" w:hAnsi="Times New Roman" w:cs="Times New Roman"/>
                <w:b/>
                <w:bCs/>
                <w:i/>
                <w:iCs/>
                <w:color w:val="000000"/>
                <w:sz w:val="16"/>
                <w:szCs w:val="16"/>
              </w:rPr>
              <w:t>(c) = (a)+(b)</w:t>
            </w:r>
          </w:p>
        </w:tc>
        <w:tc>
          <w:tcPr>
            <w:tcW w:w="1461" w:type="dxa"/>
            <w:shd w:val="clear" w:color="auto" w:fill="8EAADB"/>
            <w:vAlign w:val="center"/>
            <w:hideMark/>
          </w:tcPr>
          <w:p w:rsidR="00660C25" w:rsidRPr="00660C25" w:rsidP="00660C25" w14:paraId="0A29B8A8" w14:textId="77777777">
            <w:pPr>
              <w:spacing w:after="0" w:line="240" w:lineRule="auto"/>
              <w:jc w:val="center"/>
              <w:rPr>
                <w:rFonts w:ascii="Times New Roman" w:eastAsia="Times New Roman" w:hAnsi="Times New Roman" w:cs="Times New Roman"/>
                <w:b/>
                <w:bCs/>
                <w:i/>
                <w:iCs/>
                <w:color w:val="000000"/>
                <w:sz w:val="16"/>
                <w:szCs w:val="16"/>
              </w:rPr>
            </w:pPr>
            <w:r w:rsidRPr="00660C25">
              <w:rPr>
                <w:rFonts w:ascii="Times New Roman" w:eastAsia="Times New Roman" w:hAnsi="Times New Roman" w:cs="Times New Roman"/>
                <w:b/>
                <w:bCs/>
                <w:i/>
                <w:iCs/>
                <w:color w:val="000000"/>
                <w:sz w:val="16"/>
                <w:szCs w:val="16"/>
              </w:rPr>
              <w:t>(d)</w:t>
            </w:r>
          </w:p>
        </w:tc>
        <w:tc>
          <w:tcPr>
            <w:tcW w:w="1061" w:type="dxa"/>
            <w:shd w:val="clear" w:color="auto" w:fill="8EAADB"/>
            <w:vAlign w:val="center"/>
            <w:hideMark/>
          </w:tcPr>
          <w:p w:rsidR="00660C25" w:rsidRPr="00660C25" w:rsidP="00660C25" w14:paraId="7D9DC528" w14:textId="77777777">
            <w:pPr>
              <w:spacing w:after="0" w:line="240" w:lineRule="auto"/>
              <w:jc w:val="center"/>
              <w:rPr>
                <w:rFonts w:ascii="Times New Roman" w:eastAsia="Times New Roman" w:hAnsi="Times New Roman" w:cs="Times New Roman"/>
                <w:b/>
                <w:bCs/>
                <w:i/>
                <w:iCs/>
                <w:color w:val="000000"/>
                <w:sz w:val="16"/>
                <w:szCs w:val="16"/>
              </w:rPr>
            </w:pPr>
            <w:r w:rsidRPr="00660C25">
              <w:rPr>
                <w:rFonts w:ascii="Times New Roman" w:eastAsia="Times New Roman" w:hAnsi="Times New Roman" w:cs="Times New Roman"/>
                <w:b/>
                <w:bCs/>
                <w:i/>
                <w:iCs/>
                <w:color w:val="000000"/>
                <w:sz w:val="16"/>
                <w:szCs w:val="16"/>
              </w:rPr>
              <w:t>(e)=(c)*(d)</w:t>
            </w:r>
          </w:p>
        </w:tc>
        <w:tc>
          <w:tcPr>
            <w:tcW w:w="914" w:type="dxa"/>
            <w:shd w:val="clear" w:color="auto" w:fill="8EAADB"/>
            <w:vAlign w:val="center"/>
            <w:hideMark/>
          </w:tcPr>
          <w:p w:rsidR="00660C25" w:rsidRPr="00660C25" w:rsidP="00660C25" w14:paraId="28A1930F" w14:textId="77777777">
            <w:pPr>
              <w:spacing w:after="0" w:line="240" w:lineRule="auto"/>
              <w:jc w:val="center"/>
              <w:rPr>
                <w:rFonts w:ascii="Times New Roman" w:eastAsia="Times New Roman" w:hAnsi="Times New Roman" w:cs="Times New Roman"/>
                <w:b/>
                <w:bCs/>
                <w:i/>
                <w:iCs/>
                <w:color w:val="000000"/>
                <w:sz w:val="16"/>
                <w:szCs w:val="16"/>
              </w:rPr>
            </w:pPr>
            <w:r w:rsidRPr="00660C25">
              <w:rPr>
                <w:rFonts w:ascii="Times New Roman" w:eastAsia="Times New Roman" w:hAnsi="Times New Roman" w:cs="Times New Roman"/>
                <w:b/>
                <w:bCs/>
                <w:i/>
                <w:iCs/>
                <w:color w:val="000000"/>
                <w:sz w:val="16"/>
                <w:szCs w:val="16"/>
              </w:rPr>
              <w:t>(f)=(c)+(e)</w:t>
            </w:r>
          </w:p>
        </w:tc>
      </w:tr>
      <w:tr w14:paraId="0A0A491B" w14:textId="77777777" w:rsidTr="002B49FF">
        <w:tblPrEx>
          <w:tblW w:w="9742" w:type="dxa"/>
          <w:tblLayout w:type="fixed"/>
          <w:tblCellMar>
            <w:top w:w="15" w:type="dxa"/>
            <w:bottom w:w="15" w:type="dxa"/>
          </w:tblCellMar>
          <w:tblLook w:val="04A0"/>
        </w:tblPrEx>
        <w:trPr>
          <w:trHeight w:val="637"/>
        </w:trPr>
        <w:tc>
          <w:tcPr>
            <w:tcW w:w="1138" w:type="dxa"/>
            <w:vAlign w:val="center"/>
            <w:hideMark/>
          </w:tcPr>
          <w:p w:rsidR="000647C9" w:rsidRPr="00660C25" w:rsidP="000647C9" w14:paraId="0A852A5E" w14:textId="77777777">
            <w:pPr>
              <w:spacing w:after="0" w:line="240" w:lineRule="auto"/>
              <w:rPr>
                <w:rFonts w:ascii="Times New Roman" w:eastAsia="Times New Roman" w:hAnsi="Times New Roman" w:cs="Times New Roman"/>
                <w:color w:val="000000"/>
                <w:sz w:val="18"/>
                <w:szCs w:val="18"/>
              </w:rPr>
            </w:pPr>
            <w:r w:rsidRPr="00660C25">
              <w:rPr>
                <w:rFonts w:ascii="Times New Roman" w:eastAsia="Times New Roman" w:hAnsi="Times New Roman" w:cs="Times New Roman"/>
                <w:color w:val="000000"/>
                <w:sz w:val="18"/>
                <w:szCs w:val="18"/>
              </w:rPr>
              <w:t>Managerial</w:t>
            </w:r>
          </w:p>
        </w:tc>
        <w:tc>
          <w:tcPr>
            <w:tcW w:w="1399" w:type="dxa"/>
            <w:vAlign w:val="center"/>
            <w:hideMark/>
          </w:tcPr>
          <w:p w:rsidR="000647C9" w:rsidRPr="00660C25" w:rsidP="000647C9" w14:paraId="31B71E82" w14:textId="77777777">
            <w:pPr>
              <w:spacing w:after="0" w:line="240" w:lineRule="auto"/>
              <w:rPr>
                <w:rFonts w:ascii="Times New Roman" w:eastAsia="Times New Roman" w:hAnsi="Times New Roman" w:cs="Times New Roman"/>
                <w:color w:val="000000"/>
                <w:sz w:val="16"/>
                <w:szCs w:val="16"/>
              </w:rPr>
            </w:pPr>
            <w:r w:rsidRPr="00660C25">
              <w:rPr>
                <w:rFonts w:ascii="Times New Roman" w:eastAsia="Times New Roman" w:hAnsi="Times New Roman" w:cs="Times New Roman"/>
                <w:color w:val="000000"/>
                <w:sz w:val="16"/>
                <w:szCs w:val="16"/>
              </w:rPr>
              <w:t>BLS ECEC, Private Manufacturing industries, “Mgt, Business, and Financial”</w:t>
            </w:r>
          </w:p>
        </w:tc>
        <w:tc>
          <w:tcPr>
            <w:tcW w:w="788" w:type="dxa"/>
            <w:shd w:val="clear" w:color="auto" w:fill="auto"/>
            <w:vAlign w:val="center"/>
            <w:hideMark/>
          </w:tcPr>
          <w:p w:rsidR="000647C9" w:rsidRPr="002B49FF" w:rsidP="000647C9" w14:paraId="591A2A35" w14:textId="3033AF7C">
            <w:pPr>
              <w:spacing w:after="0" w:line="240" w:lineRule="auto"/>
              <w:jc w:val="center"/>
              <w:rPr>
                <w:rFonts w:eastAsia="Times New Roman" w:asciiTheme="majorBidi" w:hAnsiTheme="majorBidi" w:cstheme="majorBidi"/>
                <w:color w:val="000000"/>
                <w:sz w:val="18"/>
                <w:szCs w:val="18"/>
              </w:rPr>
            </w:pPr>
            <w:r w:rsidRPr="002B49FF">
              <w:rPr>
                <w:rFonts w:asciiTheme="majorBidi" w:hAnsiTheme="majorBidi" w:cstheme="majorBidi"/>
                <w:color w:val="000000"/>
                <w:sz w:val="18"/>
                <w:szCs w:val="18"/>
              </w:rPr>
              <w:t>Dec-22</w:t>
            </w:r>
          </w:p>
        </w:tc>
        <w:tc>
          <w:tcPr>
            <w:tcW w:w="766" w:type="dxa"/>
            <w:shd w:val="clear" w:color="auto" w:fill="auto"/>
            <w:vAlign w:val="center"/>
            <w:hideMark/>
          </w:tcPr>
          <w:p w:rsidR="000647C9" w:rsidRPr="002B49FF" w:rsidP="000647C9" w14:paraId="5BD209F2" w14:textId="49DFE3EA">
            <w:pPr>
              <w:spacing w:after="0" w:line="240" w:lineRule="auto"/>
              <w:jc w:val="right"/>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$54.29</w:t>
            </w:r>
          </w:p>
        </w:tc>
        <w:tc>
          <w:tcPr>
            <w:tcW w:w="827" w:type="dxa"/>
            <w:shd w:val="clear" w:color="auto" w:fill="auto"/>
            <w:vAlign w:val="center"/>
            <w:hideMark/>
          </w:tcPr>
          <w:p w:rsidR="000647C9" w:rsidRPr="002B49FF" w:rsidP="000647C9" w14:paraId="23D468D3" w14:textId="2D3766DE">
            <w:pPr>
              <w:spacing w:after="0" w:line="240" w:lineRule="auto"/>
              <w:jc w:val="right"/>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$24.66</w:t>
            </w:r>
          </w:p>
        </w:tc>
        <w:tc>
          <w:tcPr>
            <w:tcW w:w="1388" w:type="dxa"/>
            <w:shd w:val="clear" w:color="auto" w:fill="auto"/>
            <w:vAlign w:val="center"/>
            <w:hideMark/>
          </w:tcPr>
          <w:p w:rsidR="000647C9" w:rsidRPr="002B49FF" w:rsidP="000647C9" w14:paraId="26C62D50" w14:textId="41722AD7">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 xml:space="preserve">$78.95 </w:t>
            </w:r>
          </w:p>
        </w:tc>
        <w:tc>
          <w:tcPr>
            <w:tcW w:w="1461" w:type="dxa"/>
            <w:shd w:val="clear" w:color="auto" w:fill="auto"/>
            <w:vAlign w:val="center"/>
            <w:hideMark/>
          </w:tcPr>
          <w:p w:rsidR="000647C9" w:rsidRPr="002B49FF" w:rsidP="000647C9" w14:paraId="1BC5148E" w14:textId="53E24BED">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20%</w:t>
            </w:r>
          </w:p>
        </w:tc>
        <w:tc>
          <w:tcPr>
            <w:tcW w:w="1061" w:type="dxa"/>
            <w:shd w:val="clear" w:color="auto" w:fill="auto"/>
            <w:vAlign w:val="center"/>
            <w:hideMark/>
          </w:tcPr>
          <w:p w:rsidR="000647C9" w:rsidRPr="002B49FF" w:rsidP="000647C9" w14:paraId="72B251CA" w14:textId="2B87AA6D">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$15.79</w:t>
            </w:r>
          </w:p>
        </w:tc>
        <w:tc>
          <w:tcPr>
            <w:tcW w:w="914" w:type="dxa"/>
            <w:shd w:val="clear" w:color="auto" w:fill="auto"/>
            <w:vAlign w:val="center"/>
            <w:hideMark/>
          </w:tcPr>
          <w:p w:rsidR="000647C9" w:rsidRPr="002B49FF" w:rsidP="000647C9" w14:paraId="3DF8BA27" w14:textId="0EA1DD96">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 xml:space="preserve">$94.74 </w:t>
            </w:r>
          </w:p>
        </w:tc>
      </w:tr>
      <w:tr w14:paraId="723ABA12" w14:textId="77777777" w:rsidTr="002B49FF">
        <w:tblPrEx>
          <w:tblW w:w="9742" w:type="dxa"/>
          <w:tblLayout w:type="fixed"/>
          <w:tblCellMar>
            <w:top w:w="15" w:type="dxa"/>
            <w:bottom w:w="15" w:type="dxa"/>
          </w:tblCellMar>
          <w:tblLook w:val="04A0"/>
        </w:tblPrEx>
        <w:trPr>
          <w:trHeight w:val="637"/>
        </w:trPr>
        <w:tc>
          <w:tcPr>
            <w:tcW w:w="1138" w:type="dxa"/>
            <w:vAlign w:val="center"/>
            <w:hideMark/>
          </w:tcPr>
          <w:p w:rsidR="000647C9" w:rsidRPr="00660C25" w:rsidP="000647C9" w14:paraId="47A3499B" w14:textId="77777777">
            <w:pPr>
              <w:spacing w:after="0" w:line="240" w:lineRule="auto"/>
              <w:rPr>
                <w:rFonts w:ascii="Times New Roman" w:eastAsia="Times New Roman" w:hAnsi="Times New Roman" w:cs="Times New Roman"/>
                <w:color w:val="000000"/>
                <w:sz w:val="18"/>
                <w:szCs w:val="18"/>
              </w:rPr>
            </w:pPr>
            <w:r w:rsidRPr="00660C25">
              <w:rPr>
                <w:rFonts w:ascii="Times New Roman" w:eastAsia="Times New Roman" w:hAnsi="Times New Roman" w:cs="Times New Roman"/>
                <w:color w:val="000000"/>
                <w:sz w:val="18"/>
                <w:szCs w:val="18"/>
              </w:rPr>
              <w:t>Professional / Technical</w:t>
            </w:r>
          </w:p>
        </w:tc>
        <w:tc>
          <w:tcPr>
            <w:tcW w:w="1399" w:type="dxa"/>
            <w:vAlign w:val="center"/>
            <w:hideMark/>
          </w:tcPr>
          <w:p w:rsidR="000647C9" w:rsidRPr="00660C25" w:rsidP="000647C9" w14:paraId="5E4B8D02" w14:textId="77777777">
            <w:pPr>
              <w:spacing w:after="0" w:line="240" w:lineRule="auto"/>
              <w:rPr>
                <w:rFonts w:ascii="Times New Roman" w:eastAsia="Times New Roman" w:hAnsi="Times New Roman" w:cs="Times New Roman"/>
                <w:color w:val="000000"/>
                <w:sz w:val="16"/>
                <w:szCs w:val="16"/>
              </w:rPr>
            </w:pPr>
            <w:r w:rsidRPr="00660C25">
              <w:rPr>
                <w:rFonts w:ascii="Times New Roman" w:eastAsia="Times New Roman" w:hAnsi="Times New Roman" w:cs="Times New Roman"/>
                <w:color w:val="000000"/>
                <w:sz w:val="16"/>
                <w:szCs w:val="16"/>
              </w:rPr>
              <w:t>BLS ECEC, Private Manufacturing industries, “Professional and related“</w:t>
            </w:r>
          </w:p>
        </w:tc>
        <w:tc>
          <w:tcPr>
            <w:tcW w:w="788" w:type="dxa"/>
            <w:shd w:val="clear" w:color="auto" w:fill="auto"/>
            <w:vAlign w:val="center"/>
            <w:hideMark/>
          </w:tcPr>
          <w:p w:rsidR="000647C9" w:rsidRPr="002B49FF" w:rsidP="000647C9" w14:paraId="136D6D6E" w14:textId="72BE69A1">
            <w:pPr>
              <w:spacing w:after="0" w:line="240" w:lineRule="auto"/>
              <w:jc w:val="center"/>
              <w:rPr>
                <w:rFonts w:eastAsia="Times New Roman" w:asciiTheme="majorBidi" w:hAnsiTheme="majorBidi" w:cstheme="majorBidi"/>
                <w:color w:val="000000"/>
                <w:sz w:val="18"/>
                <w:szCs w:val="18"/>
              </w:rPr>
            </w:pPr>
            <w:r w:rsidRPr="002B49FF">
              <w:rPr>
                <w:rFonts w:asciiTheme="majorBidi" w:hAnsiTheme="majorBidi" w:cstheme="majorBidi"/>
                <w:color w:val="000000"/>
                <w:sz w:val="18"/>
                <w:szCs w:val="18"/>
              </w:rPr>
              <w:t>Dec-22</w:t>
            </w:r>
          </w:p>
        </w:tc>
        <w:tc>
          <w:tcPr>
            <w:tcW w:w="766" w:type="dxa"/>
            <w:shd w:val="clear" w:color="auto" w:fill="auto"/>
            <w:vAlign w:val="center"/>
            <w:hideMark/>
          </w:tcPr>
          <w:p w:rsidR="000647C9" w:rsidRPr="002B49FF" w:rsidP="000647C9" w14:paraId="680BD76C" w14:textId="0DE730CA">
            <w:pPr>
              <w:spacing w:after="0" w:line="240" w:lineRule="auto"/>
              <w:jc w:val="right"/>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 xml:space="preserve">$46.01 </w:t>
            </w:r>
          </w:p>
        </w:tc>
        <w:tc>
          <w:tcPr>
            <w:tcW w:w="827" w:type="dxa"/>
            <w:shd w:val="clear" w:color="auto" w:fill="auto"/>
            <w:vAlign w:val="center"/>
            <w:hideMark/>
          </w:tcPr>
          <w:p w:rsidR="000647C9" w:rsidRPr="002B49FF" w:rsidP="000647C9" w14:paraId="2954287F" w14:textId="79476D0D">
            <w:pPr>
              <w:spacing w:after="0" w:line="240" w:lineRule="auto"/>
              <w:jc w:val="right"/>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 xml:space="preserve">$23.27 </w:t>
            </w:r>
          </w:p>
        </w:tc>
        <w:tc>
          <w:tcPr>
            <w:tcW w:w="1388" w:type="dxa"/>
            <w:shd w:val="clear" w:color="auto" w:fill="auto"/>
            <w:vAlign w:val="center"/>
            <w:hideMark/>
          </w:tcPr>
          <w:p w:rsidR="000647C9" w:rsidRPr="002B49FF" w:rsidP="000647C9" w14:paraId="1CA256F2" w14:textId="442F8A5A">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 xml:space="preserve">$69.28 </w:t>
            </w:r>
          </w:p>
        </w:tc>
        <w:tc>
          <w:tcPr>
            <w:tcW w:w="1461" w:type="dxa"/>
            <w:shd w:val="clear" w:color="auto" w:fill="auto"/>
            <w:vAlign w:val="center"/>
            <w:hideMark/>
          </w:tcPr>
          <w:p w:rsidR="000647C9" w:rsidRPr="002B49FF" w:rsidP="000647C9" w14:paraId="1AEE4E58" w14:textId="6EDB77A2">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20%</w:t>
            </w:r>
          </w:p>
        </w:tc>
        <w:tc>
          <w:tcPr>
            <w:tcW w:w="1061" w:type="dxa"/>
            <w:shd w:val="clear" w:color="auto" w:fill="auto"/>
            <w:vAlign w:val="center"/>
            <w:hideMark/>
          </w:tcPr>
          <w:p w:rsidR="000647C9" w:rsidRPr="002B49FF" w:rsidP="000647C9" w14:paraId="434043EF" w14:textId="748972FE">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$13.86</w:t>
            </w:r>
          </w:p>
        </w:tc>
        <w:tc>
          <w:tcPr>
            <w:tcW w:w="914" w:type="dxa"/>
            <w:shd w:val="clear" w:color="auto" w:fill="auto"/>
            <w:vAlign w:val="center"/>
            <w:hideMark/>
          </w:tcPr>
          <w:p w:rsidR="000647C9" w:rsidRPr="002B49FF" w:rsidP="000647C9" w14:paraId="137B09FC" w14:textId="580D5EE7">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 xml:space="preserve">$83.14 </w:t>
            </w:r>
          </w:p>
        </w:tc>
      </w:tr>
      <w:tr w14:paraId="698D1123" w14:textId="77777777" w:rsidTr="002B49FF">
        <w:tblPrEx>
          <w:tblW w:w="9742" w:type="dxa"/>
          <w:tblLayout w:type="fixed"/>
          <w:tblCellMar>
            <w:top w:w="15" w:type="dxa"/>
            <w:bottom w:w="15" w:type="dxa"/>
          </w:tblCellMar>
          <w:tblLook w:val="04A0"/>
        </w:tblPrEx>
        <w:trPr>
          <w:trHeight w:val="637"/>
        </w:trPr>
        <w:tc>
          <w:tcPr>
            <w:tcW w:w="1138" w:type="dxa"/>
            <w:vAlign w:val="center"/>
            <w:hideMark/>
          </w:tcPr>
          <w:p w:rsidR="000647C9" w:rsidRPr="00660C25" w:rsidP="000647C9" w14:paraId="52014737" w14:textId="77777777">
            <w:pPr>
              <w:spacing w:after="0" w:line="240" w:lineRule="auto"/>
              <w:rPr>
                <w:rFonts w:ascii="Times New Roman" w:eastAsia="Times New Roman" w:hAnsi="Times New Roman" w:cs="Times New Roman"/>
                <w:color w:val="000000"/>
                <w:sz w:val="18"/>
                <w:szCs w:val="18"/>
              </w:rPr>
            </w:pPr>
            <w:r w:rsidRPr="00660C25">
              <w:rPr>
                <w:rFonts w:ascii="Times New Roman" w:eastAsia="Times New Roman" w:hAnsi="Times New Roman" w:cs="Times New Roman"/>
                <w:color w:val="000000"/>
                <w:sz w:val="18"/>
                <w:szCs w:val="18"/>
              </w:rPr>
              <w:t>Clerical</w:t>
            </w:r>
          </w:p>
        </w:tc>
        <w:tc>
          <w:tcPr>
            <w:tcW w:w="1399" w:type="dxa"/>
            <w:vAlign w:val="center"/>
            <w:hideMark/>
          </w:tcPr>
          <w:p w:rsidR="000647C9" w:rsidRPr="00660C25" w:rsidP="000647C9" w14:paraId="1615DA6E" w14:textId="77777777">
            <w:pPr>
              <w:spacing w:after="0" w:line="240" w:lineRule="auto"/>
              <w:rPr>
                <w:rFonts w:ascii="Times New Roman" w:eastAsia="Times New Roman" w:hAnsi="Times New Roman" w:cs="Times New Roman"/>
                <w:color w:val="000000"/>
                <w:sz w:val="16"/>
                <w:szCs w:val="16"/>
              </w:rPr>
            </w:pPr>
            <w:r w:rsidRPr="00660C25">
              <w:rPr>
                <w:rFonts w:ascii="Times New Roman" w:eastAsia="Times New Roman" w:hAnsi="Times New Roman" w:cs="Times New Roman"/>
                <w:color w:val="000000"/>
                <w:sz w:val="16"/>
                <w:szCs w:val="16"/>
              </w:rPr>
              <w:t>BLS ECEC, Private Manufacturing industries, “Office and Administrative Support”</w:t>
            </w:r>
          </w:p>
        </w:tc>
        <w:tc>
          <w:tcPr>
            <w:tcW w:w="788" w:type="dxa"/>
            <w:shd w:val="clear" w:color="auto" w:fill="auto"/>
            <w:vAlign w:val="center"/>
            <w:hideMark/>
          </w:tcPr>
          <w:p w:rsidR="000647C9" w:rsidRPr="002B49FF" w:rsidP="000647C9" w14:paraId="5F697272" w14:textId="13FE9BA9">
            <w:pPr>
              <w:spacing w:after="0" w:line="240" w:lineRule="auto"/>
              <w:jc w:val="center"/>
              <w:rPr>
                <w:rFonts w:eastAsia="Times New Roman" w:asciiTheme="majorBidi" w:hAnsiTheme="majorBidi" w:cstheme="majorBidi"/>
                <w:color w:val="000000"/>
                <w:sz w:val="18"/>
                <w:szCs w:val="18"/>
              </w:rPr>
            </w:pPr>
            <w:r w:rsidRPr="002B49FF">
              <w:rPr>
                <w:rFonts w:asciiTheme="majorBidi" w:hAnsiTheme="majorBidi" w:cstheme="majorBidi"/>
                <w:color w:val="000000"/>
                <w:sz w:val="18"/>
                <w:szCs w:val="18"/>
              </w:rPr>
              <w:t>Dec-22</w:t>
            </w:r>
          </w:p>
        </w:tc>
        <w:tc>
          <w:tcPr>
            <w:tcW w:w="766" w:type="dxa"/>
            <w:shd w:val="clear" w:color="auto" w:fill="auto"/>
            <w:vAlign w:val="center"/>
            <w:hideMark/>
          </w:tcPr>
          <w:p w:rsidR="000647C9" w:rsidRPr="002B49FF" w:rsidP="000647C9" w14:paraId="6B585A00" w14:textId="29A670C5">
            <w:pPr>
              <w:spacing w:after="0" w:line="240" w:lineRule="auto"/>
              <w:jc w:val="right"/>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 xml:space="preserve">$23.11 </w:t>
            </w:r>
          </w:p>
        </w:tc>
        <w:tc>
          <w:tcPr>
            <w:tcW w:w="827" w:type="dxa"/>
            <w:shd w:val="clear" w:color="auto" w:fill="auto"/>
            <w:vAlign w:val="center"/>
            <w:hideMark/>
          </w:tcPr>
          <w:p w:rsidR="000647C9" w:rsidRPr="002B49FF" w:rsidP="000647C9" w14:paraId="3781A2FE" w14:textId="71410F41">
            <w:pPr>
              <w:spacing w:after="0" w:line="240" w:lineRule="auto"/>
              <w:jc w:val="right"/>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 xml:space="preserve">$10.33 </w:t>
            </w:r>
          </w:p>
        </w:tc>
        <w:tc>
          <w:tcPr>
            <w:tcW w:w="1388" w:type="dxa"/>
            <w:shd w:val="clear" w:color="auto" w:fill="auto"/>
            <w:vAlign w:val="center"/>
            <w:hideMark/>
          </w:tcPr>
          <w:p w:rsidR="000647C9" w:rsidRPr="002B49FF" w:rsidP="000647C9" w14:paraId="0356C0D2" w14:textId="67F31AB6">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 xml:space="preserve">$33.44 </w:t>
            </w:r>
          </w:p>
        </w:tc>
        <w:tc>
          <w:tcPr>
            <w:tcW w:w="1461" w:type="dxa"/>
            <w:shd w:val="clear" w:color="auto" w:fill="auto"/>
            <w:vAlign w:val="center"/>
            <w:hideMark/>
          </w:tcPr>
          <w:p w:rsidR="000647C9" w:rsidRPr="002B49FF" w:rsidP="000647C9" w14:paraId="322FE3E6" w14:textId="745499BF">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20%</w:t>
            </w:r>
          </w:p>
        </w:tc>
        <w:tc>
          <w:tcPr>
            <w:tcW w:w="1061" w:type="dxa"/>
            <w:shd w:val="clear" w:color="auto" w:fill="auto"/>
            <w:vAlign w:val="center"/>
            <w:hideMark/>
          </w:tcPr>
          <w:p w:rsidR="000647C9" w:rsidRPr="002B49FF" w:rsidP="000647C9" w14:paraId="7246BD74" w14:textId="6C9B2839">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$6.69</w:t>
            </w:r>
          </w:p>
        </w:tc>
        <w:tc>
          <w:tcPr>
            <w:tcW w:w="914" w:type="dxa"/>
            <w:shd w:val="clear" w:color="auto" w:fill="auto"/>
            <w:vAlign w:val="center"/>
            <w:hideMark/>
          </w:tcPr>
          <w:p w:rsidR="000647C9" w:rsidRPr="002B49FF" w:rsidP="000647C9" w14:paraId="1EDEEF3F" w14:textId="17630C05">
            <w:pPr>
              <w:spacing w:after="0" w:line="240" w:lineRule="auto"/>
              <w:jc w:val="center"/>
              <w:rPr>
                <w:rFonts w:eastAsia="Times New Roman" w:asciiTheme="majorBidi" w:hAnsiTheme="majorBidi" w:cstheme="majorBidi"/>
                <w:color w:val="000000"/>
                <w:sz w:val="20"/>
                <w:szCs w:val="20"/>
              </w:rPr>
            </w:pPr>
            <w:r w:rsidRPr="002B49FF">
              <w:rPr>
                <w:rFonts w:asciiTheme="majorBidi" w:hAnsiTheme="majorBidi" w:cstheme="majorBidi"/>
                <w:color w:val="000000"/>
                <w:sz w:val="20"/>
                <w:szCs w:val="20"/>
              </w:rPr>
              <w:t xml:space="preserve">$40.13 </w:t>
            </w:r>
          </w:p>
        </w:tc>
      </w:tr>
    </w:tbl>
    <w:p w:rsidR="000E304B" w14:paraId="7623ADE1" w14:textId="24B27F9D">
      <w:pPr>
        <w:spacing w:after="160" w:line="259" w:lineRule="auto"/>
        <w:rPr>
          <w:rFonts w:eastAsia="Calibri" w:cs="Arial"/>
          <w:sz w:val="16"/>
          <w:szCs w:val="16"/>
        </w:rPr>
      </w:pPr>
      <w:r w:rsidRPr="008527EA">
        <w:rPr>
          <w:rFonts w:cs="Arial"/>
          <w:sz w:val="16"/>
          <w:szCs w:val="16"/>
        </w:rPr>
        <w:t>Note: Values may not sum due to rounding.</w:t>
      </w:r>
    </w:p>
    <w:p w:rsidR="00FF701C" w:rsidP="00FF701C" w14:paraId="733B2A74" w14:textId="6ED65F62">
      <w:pPr>
        <w:pStyle w:val="Caption"/>
      </w:pPr>
      <w:r>
        <w:t xml:space="preserve">Table </w:t>
      </w:r>
      <w:r w:rsidR="1FBB939E">
        <w:t>4</w:t>
      </w:r>
      <w:r>
        <w:t xml:space="preserve">: Total Burden and Cost to </w:t>
      </w:r>
      <w:r>
        <w:t>Industry</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2"/>
        <w:gridCol w:w="1966"/>
        <w:gridCol w:w="2259"/>
        <w:gridCol w:w="2287"/>
      </w:tblGrid>
      <w:tr w14:paraId="187195E9" w14:textId="77777777" w:rsidTr="004F61AC">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80"/>
        </w:trPr>
        <w:tc>
          <w:tcPr>
            <w:tcW w:w="2832"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660C25" w:rsidRPr="00791AE0" w:rsidP="004F61AC" w14:paraId="054CC3EA" w14:textId="77777777">
            <w:pPr>
              <w:jc w:val="center"/>
              <w:textAlignment w:val="baseline"/>
              <w:rPr>
                <w:rFonts w:ascii="Segoe UI" w:eastAsia="Times New Roman" w:hAnsi="Segoe UI" w:cs="Segoe UI"/>
                <w:sz w:val="18"/>
                <w:szCs w:val="18"/>
              </w:rPr>
            </w:pPr>
            <w:r w:rsidRPr="00791AE0">
              <w:rPr>
                <w:rFonts w:eastAsia="Times New Roman" w:cs="Arial"/>
                <w:b/>
                <w:bCs/>
                <w:szCs w:val="24"/>
              </w:rPr>
              <w:t>Activity</w:t>
            </w:r>
            <w:r w:rsidRPr="00791AE0">
              <w:rPr>
                <w:rFonts w:eastAsia="Times New Roman" w:cs="Arial"/>
                <w:szCs w:val="24"/>
              </w:rPr>
              <w:t> </w:t>
            </w:r>
          </w:p>
        </w:tc>
        <w:tc>
          <w:tcPr>
            <w:tcW w:w="1966"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660C25" w:rsidRPr="00791AE0" w:rsidP="004F61AC" w14:paraId="6D049BDB" w14:textId="77777777">
            <w:pPr>
              <w:jc w:val="center"/>
              <w:textAlignment w:val="baseline"/>
              <w:rPr>
                <w:rFonts w:ascii="Segoe UI" w:eastAsia="Times New Roman" w:hAnsi="Segoe UI" w:cs="Segoe UI"/>
                <w:sz w:val="18"/>
                <w:szCs w:val="18"/>
              </w:rPr>
            </w:pPr>
            <w:r w:rsidRPr="00791AE0">
              <w:rPr>
                <w:rFonts w:eastAsia="Times New Roman" w:cs="Arial"/>
                <w:b/>
                <w:bCs/>
                <w:szCs w:val="24"/>
              </w:rPr>
              <w:t>Number of Affected Entities</w:t>
            </w:r>
            <w:r w:rsidRPr="00791AE0">
              <w:rPr>
                <w:rFonts w:eastAsia="Times New Roman" w:cs="Arial"/>
                <w:szCs w:val="24"/>
              </w:rPr>
              <w:t> </w:t>
            </w:r>
          </w:p>
        </w:tc>
        <w:tc>
          <w:tcPr>
            <w:tcW w:w="2259"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660C25" w:rsidRPr="00791AE0" w:rsidP="004F61AC" w14:paraId="64DC1512" w14:textId="77777777">
            <w:pPr>
              <w:jc w:val="center"/>
              <w:textAlignment w:val="baseline"/>
              <w:rPr>
                <w:rFonts w:ascii="Segoe UI" w:eastAsia="Times New Roman" w:hAnsi="Segoe UI" w:cs="Segoe UI"/>
                <w:sz w:val="18"/>
                <w:szCs w:val="18"/>
              </w:rPr>
            </w:pPr>
            <w:r w:rsidRPr="00791AE0">
              <w:rPr>
                <w:rFonts w:eastAsia="Times New Roman" w:cs="Arial"/>
                <w:b/>
                <w:bCs/>
                <w:szCs w:val="24"/>
              </w:rPr>
              <w:t>Total Burden (hours)</w:t>
            </w:r>
            <w:r w:rsidRPr="00791AE0">
              <w:rPr>
                <w:rFonts w:eastAsia="Times New Roman" w:cs="Arial"/>
                <w:szCs w:val="24"/>
              </w:rPr>
              <w:t> </w:t>
            </w:r>
          </w:p>
        </w:tc>
        <w:tc>
          <w:tcPr>
            <w:tcW w:w="2287"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660C25" w:rsidRPr="00791AE0" w:rsidP="004F61AC" w14:paraId="6A213EC2" w14:textId="5F203CBE">
            <w:pPr>
              <w:jc w:val="center"/>
              <w:textAlignment w:val="baseline"/>
              <w:rPr>
                <w:rFonts w:ascii="Segoe UI" w:eastAsia="Times New Roman" w:hAnsi="Segoe UI" w:cs="Segoe UI"/>
                <w:sz w:val="18"/>
                <w:szCs w:val="18"/>
              </w:rPr>
            </w:pPr>
            <w:r w:rsidRPr="00791AE0">
              <w:rPr>
                <w:rFonts w:eastAsia="Times New Roman" w:cs="Arial"/>
                <w:b/>
                <w:bCs/>
                <w:szCs w:val="24"/>
              </w:rPr>
              <w:t>Total Cost (</w:t>
            </w:r>
            <w:r w:rsidRPr="00791AE0" w:rsidR="000647C9">
              <w:rPr>
                <w:rFonts w:eastAsia="Times New Roman" w:cs="Arial"/>
                <w:b/>
                <w:bCs/>
                <w:szCs w:val="24"/>
              </w:rPr>
              <w:t>202</w:t>
            </w:r>
            <w:r w:rsidR="000647C9">
              <w:rPr>
                <w:rFonts w:eastAsia="Times New Roman" w:cs="Arial"/>
                <w:b/>
                <w:bCs/>
                <w:szCs w:val="24"/>
              </w:rPr>
              <w:t>2</w:t>
            </w:r>
            <w:r w:rsidRPr="00791AE0">
              <w:rPr>
                <w:rFonts w:eastAsia="Times New Roman" w:cs="Arial"/>
                <w:b/>
                <w:bCs/>
                <w:szCs w:val="24"/>
              </w:rPr>
              <w:t>$)</w:t>
            </w:r>
            <w:r w:rsidRPr="00791AE0">
              <w:rPr>
                <w:rFonts w:eastAsia="Times New Roman" w:cs="Arial"/>
                <w:szCs w:val="24"/>
              </w:rPr>
              <w:t> </w:t>
            </w:r>
          </w:p>
        </w:tc>
      </w:tr>
      <w:tr w14:paraId="44629589" w14:textId="77777777" w:rsidTr="004F61AC">
        <w:tblPrEx>
          <w:tblW w:w="9344" w:type="dxa"/>
          <w:tblCellMar>
            <w:left w:w="0" w:type="dxa"/>
            <w:right w:w="0" w:type="dxa"/>
          </w:tblCellMar>
          <w:tblLook w:val="04A0"/>
        </w:tblPrEx>
        <w:trPr>
          <w:trHeight w:val="210"/>
        </w:trPr>
        <w:tc>
          <w:tcPr>
            <w:tcW w:w="9344" w:type="dxa"/>
            <w:gridSpan w:val="4"/>
            <w:tcBorders>
              <w:top w:val="single" w:sz="6" w:space="0" w:color="auto"/>
              <w:left w:val="single" w:sz="6" w:space="0" w:color="auto"/>
              <w:bottom w:val="single" w:sz="6" w:space="0" w:color="auto"/>
              <w:right w:val="single" w:sz="6" w:space="0" w:color="auto"/>
            </w:tcBorders>
            <w:shd w:val="clear" w:color="auto" w:fill="A6A6A6"/>
            <w:vAlign w:val="center"/>
            <w:hideMark/>
          </w:tcPr>
          <w:p w:rsidR="00660C25" w:rsidRPr="00791AE0" w:rsidP="004F61AC" w14:paraId="5890C1AB" w14:textId="77777777">
            <w:pPr>
              <w:jc w:val="center"/>
              <w:textAlignment w:val="baseline"/>
              <w:rPr>
                <w:rFonts w:ascii="Segoe UI" w:eastAsia="Times New Roman" w:hAnsi="Segoe UI" w:cs="Segoe UI"/>
                <w:sz w:val="18"/>
                <w:szCs w:val="18"/>
              </w:rPr>
            </w:pPr>
            <w:r w:rsidRPr="00791AE0">
              <w:rPr>
                <w:rFonts w:eastAsia="Times New Roman" w:cs="Arial"/>
                <w:b/>
                <w:bCs/>
                <w:i/>
                <w:iCs/>
                <w:sz w:val="19"/>
                <w:szCs w:val="19"/>
              </w:rPr>
              <w:t>First Year One-Time</w:t>
            </w:r>
            <w:r w:rsidRPr="00791AE0">
              <w:rPr>
                <w:rFonts w:eastAsia="Times New Roman" w:cs="Arial"/>
                <w:sz w:val="19"/>
                <w:szCs w:val="19"/>
              </w:rPr>
              <w:t> </w:t>
            </w:r>
          </w:p>
        </w:tc>
      </w:tr>
      <w:tr w14:paraId="451B6786" w14:textId="77777777" w:rsidTr="002B49FF">
        <w:tblPrEx>
          <w:tblW w:w="9344" w:type="dxa"/>
          <w:tblCellMar>
            <w:left w:w="0" w:type="dxa"/>
            <w:right w:w="0" w:type="dxa"/>
          </w:tblCellMar>
          <w:tblLook w:val="04A0"/>
        </w:tblPrEx>
        <w:trPr>
          <w:trHeight w:val="210"/>
        </w:trPr>
        <w:tc>
          <w:tcPr>
            <w:tcW w:w="28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150F8F80" w14:textId="77777777">
            <w:pPr>
              <w:textAlignment w:val="baseline"/>
              <w:rPr>
                <w:rFonts w:ascii="Segoe UI" w:eastAsia="Times New Roman" w:hAnsi="Segoe UI" w:cs="Segoe UI"/>
                <w:sz w:val="18"/>
                <w:szCs w:val="18"/>
              </w:rPr>
            </w:pPr>
            <w:r w:rsidRPr="00791AE0">
              <w:rPr>
                <w:rFonts w:eastAsia="Times New Roman" w:cs="Arial"/>
                <w:sz w:val="19"/>
                <w:szCs w:val="19"/>
              </w:rPr>
              <w:t>Rule Familiarization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1100D61A" w14:textId="77777777">
            <w:pPr>
              <w:jc w:val="center"/>
              <w:textAlignment w:val="baseline"/>
              <w:rPr>
                <w:rFonts w:ascii="Segoe UI" w:eastAsia="Times New Roman" w:hAnsi="Segoe UI" w:cs="Segoe UI"/>
                <w:sz w:val="18"/>
                <w:szCs w:val="18"/>
              </w:rPr>
            </w:pPr>
            <w:r w:rsidRPr="00791AE0">
              <w:rPr>
                <w:rFonts w:eastAsia="Times New Roman" w:cs="Arial"/>
                <w:sz w:val="19"/>
                <w:szCs w:val="19"/>
              </w:rPr>
              <w:t>1,100 </w:t>
            </w:r>
          </w:p>
        </w:tc>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68226A8D" w14:textId="77777777">
            <w:pPr>
              <w:jc w:val="center"/>
              <w:textAlignment w:val="baseline"/>
              <w:rPr>
                <w:rFonts w:ascii="Segoe UI" w:eastAsia="Times New Roman" w:hAnsi="Segoe UI" w:cs="Segoe UI"/>
                <w:sz w:val="18"/>
                <w:szCs w:val="18"/>
              </w:rPr>
            </w:pPr>
            <w:r w:rsidRPr="00791AE0">
              <w:rPr>
                <w:rFonts w:eastAsia="Times New Roman" w:cs="Arial"/>
                <w:sz w:val="19"/>
                <w:szCs w:val="19"/>
              </w:rPr>
              <w:t>2,200 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7C9" w:rsidRPr="00791AE0" w:rsidP="000647C9" w14:paraId="0B5E8B87" w14:textId="5FF1682D">
            <w:pPr>
              <w:jc w:val="center"/>
              <w:textAlignment w:val="baseline"/>
              <w:rPr>
                <w:rFonts w:ascii="Segoe UI" w:eastAsia="Times New Roman" w:hAnsi="Segoe UI" w:cs="Segoe UI"/>
                <w:sz w:val="18"/>
                <w:szCs w:val="18"/>
              </w:rPr>
            </w:pPr>
            <w:r>
              <w:rPr>
                <w:color w:val="000000"/>
                <w:sz w:val="20"/>
                <w:szCs w:val="20"/>
              </w:rPr>
              <w:t xml:space="preserve">$208,428 </w:t>
            </w:r>
          </w:p>
        </w:tc>
      </w:tr>
      <w:tr w14:paraId="119F1C9F" w14:textId="77777777" w:rsidTr="002B49FF">
        <w:tblPrEx>
          <w:tblW w:w="9344" w:type="dxa"/>
          <w:tblCellMar>
            <w:left w:w="0" w:type="dxa"/>
            <w:right w:w="0" w:type="dxa"/>
          </w:tblCellMar>
          <w:tblLook w:val="04A0"/>
        </w:tblPrEx>
        <w:trPr>
          <w:trHeight w:val="210"/>
        </w:trPr>
        <w:tc>
          <w:tcPr>
            <w:tcW w:w="28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475F6356" w14:textId="77777777">
            <w:pPr>
              <w:textAlignment w:val="baseline"/>
              <w:rPr>
                <w:rFonts w:ascii="Segoe UI" w:eastAsia="Times New Roman" w:hAnsi="Segoe UI" w:cs="Segoe UI"/>
                <w:sz w:val="18"/>
                <w:szCs w:val="18"/>
              </w:rPr>
            </w:pPr>
            <w:r w:rsidRPr="00791AE0">
              <w:rPr>
                <w:rFonts w:eastAsia="Times New Roman" w:cs="Arial"/>
                <w:sz w:val="19"/>
                <w:szCs w:val="19"/>
              </w:rPr>
              <w:t>CDX Registration and Electronic Signature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3172A40C" w14:textId="77777777">
            <w:pPr>
              <w:jc w:val="center"/>
              <w:textAlignment w:val="baseline"/>
              <w:rPr>
                <w:rFonts w:ascii="Segoe UI" w:eastAsia="Times New Roman" w:hAnsi="Segoe UI" w:cs="Segoe UI"/>
                <w:sz w:val="18"/>
                <w:szCs w:val="18"/>
              </w:rPr>
            </w:pPr>
            <w:r w:rsidRPr="00791AE0">
              <w:rPr>
                <w:rFonts w:eastAsia="Times New Roman" w:cs="Arial"/>
                <w:sz w:val="19"/>
                <w:szCs w:val="19"/>
              </w:rPr>
              <w:t>165 </w:t>
            </w:r>
          </w:p>
        </w:tc>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160C36FB" w14:textId="77777777">
            <w:pPr>
              <w:jc w:val="center"/>
              <w:textAlignment w:val="baseline"/>
              <w:rPr>
                <w:rFonts w:ascii="Segoe UI" w:eastAsia="Times New Roman" w:hAnsi="Segoe UI" w:cs="Segoe UI"/>
                <w:sz w:val="18"/>
                <w:szCs w:val="18"/>
              </w:rPr>
            </w:pPr>
            <w:r w:rsidRPr="00791AE0">
              <w:rPr>
                <w:rFonts w:eastAsia="Times New Roman" w:cs="Arial"/>
                <w:sz w:val="19"/>
                <w:szCs w:val="19"/>
              </w:rPr>
              <w:t>440 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7C9" w:rsidRPr="00791AE0" w:rsidP="000647C9" w14:paraId="6DA5EDC2" w14:textId="7FDB65B1">
            <w:pPr>
              <w:jc w:val="center"/>
              <w:textAlignment w:val="baseline"/>
              <w:rPr>
                <w:rFonts w:ascii="Segoe UI" w:eastAsia="Times New Roman" w:hAnsi="Segoe UI" w:cs="Segoe UI"/>
                <w:sz w:val="18"/>
                <w:szCs w:val="18"/>
              </w:rPr>
            </w:pPr>
            <w:r>
              <w:rPr>
                <w:color w:val="000000"/>
                <w:sz w:val="20"/>
                <w:szCs w:val="20"/>
              </w:rPr>
              <w:t xml:space="preserve">$38,904 </w:t>
            </w:r>
          </w:p>
        </w:tc>
      </w:tr>
      <w:tr w14:paraId="250653A3" w14:textId="77777777" w:rsidTr="002B49FF">
        <w:tblPrEx>
          <w:tblW w:w="9344" w:type="dxa"/>
          <w:tblCellMar>
            <w:left w:w="0" w:type="dxa"/>
            <w:right w:w="0" w:type="dxa"/>
          </w:tblCellMar>
          <w:tblLook w:val="04A0"/>
        </w:tblPrEx>
        <w:trPr>
          <w:trHeight w:val="210"/>
        </w:trPr>
        <w:tc>
          <w:tcPr>
            <w:tcW w:w="28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2019BE08" w14:textId="77777777">
            <w:pPr>
              <w:textAlignment w:val="baseline"/>
              <w:rPr>
                <w:rFonts w:ascii="Segoe UI" w:eastAsia="Times New Roman" w:hAnsi="Segoe UI" w:cs="Segoe UI"/>
                <w:sz w:val="18"/>
                <w:szCs w:val="18"/>
              </w:rPr>
            </w:pPr>
            <w:r w:rsidRPr="00791AE0">
              <w:rPr>
                <w:rFonts w:eastAsia="Times New Roman" w:cs="Arial"/>
                <w:sz w:val="19"/>
                <w:szCs w:val="19"/>
              </w:rPr>
              <w:t xml:space="preserve">Maintaining Company </w:t>
            </w:r>
            <w:r w:rsidRPr="00791AE0">
              <w:rPr>
                <w:rFonts w:eastAsia="Times New Roman" w:cs="Arial"/>
                <w:sz w:val="19"/>
                <w:szCs w:val="19"/>
              </w:rPr>
              <w:t>Contact Information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169BEA36" w14:textId="77777777">
            <w:pPr>
              <w:jc w:val="center"/>
              <w:textAlignment w:val="baseline"/>
              <w:rPr>
                <w:rFonts w:ascii="Segoe UI" w:eastAsia="Times New Roman" w:hAnsi="Segoe UI" w:cs="Segoe UI"/>
                <w:sz w:val="18"/>
                <w:szCs w:val="18"/>
              </w:rPr>
            </w:pPr>
            <w:r w:rsidRPr="00791AE0">
              <w:rPr>
                <w:rFonts w:eastAsia="Times New Roman" w:cs="Arial"/>
                <w:sz w:val="19"/>
                <w:szCs w:val="19"/>
              </w:rPr>
              <w:t>1,100 </w:t>
            </w:r>
          </w:p>
        </w:tc>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7674E105" w14:textId="77777777">
            <w:pPr>
              <w:jc w:val="center"/>
              <w:textAlignment w:val="baseline"/>
              <w:rPr>
                <w:rFonts w:ascii="Segoe UI" w:eastAsia="Times New Roman" w:hAnsi="Segoe UI" w:cs="Segoe UI"/>
                <w:sz w:val="18"/>
                <w:szCs w:val="18"/>
              </w:rPr>
            </w:pPr>
            <w:r w:rsidRPr="00791AE0">
              <w:rPr>
                <w:rFonts w:eastAsia="Times New Roman" w:cs="Arial"/>
                <w:sz w:val="19"/>
                <w:szCs w:val="19"/>
              </w:rPr>
              <w:t>33 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7C9" w:rsidRPr="00791AE0" w:rsidP="000647C9" w14:paraId="7CE980FD" w14:textId="01DE3261">
            <w:pPr>
              <w:jc w:val="center"/>
              <w:textAlignment w:val="baseline"/>
              <w:rPr>
                <w:rFonts w:ascii="Segoe UI" w:eastAsia="Times New Roman" w:hAnsi="Segoe UI" w:cs="Segoe UI"/>
                <w:sz w:val="18"/>
                <w:szCs w:val="18"/>
              </w:rPr>
            </w:pPr>
            <w:r>
              <w:rPr>
                <w:color w:val="000000"/>
                <w:sz w:val="20"/>
                <w:szCs w:val="20"/>
              </w:rPr>
              <w:t xml:space="preserve">$2,871 </w:t>
            </w:r>
          </w:p>
        </w:tc>
      </w:tr>
      <w:tr w14:paraId="6246C138" w14:textId="77777777" w:rsidTr="002B49FF">
        <w:tblPrEx>
          <w:tblW w:w="9344" w:type="dxa"/>
          <w:tblCellMar>
            <w:left w:w="0" w:type="dxa"/>
            <w:right w:w="0" w:type="dxa"/>
          </w:tblCellMar>
          <w:tblLook w:val="04A0"/>
        </w:tblPrEx>
        <w:trPr>
          <w:trHeight w:val="210"/>
        </w:trPr>
        <w:tc>
          <w:tcPr>
            <w:tcW w:w="28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7EC35314" w14:textId="77777777">
            <w:pPr>
              <w:textAlignment w:val="baseline"/>
              <w:rPr>
                <w:rFonts w:ascii="Segoe UI" w:eastAsia="Times New Roman" w:hAnsi="Segoe UI" w:cs="Segoe UI"/>
                <w:sz w:val="18"/>
                <w:szCs w:val="18"/>
              </w:rPr>
            </w:pPr>
            <w:r w:rsidRPr="00791AE0">
              <w:rPr>
                <w:rFonts w:eastAsia="Times New Roman" w:cs="Arial"/>
                <w:sz w:val="19"/>
                <w:szCs w:val="19"/>
              </w:rPr>
              <w:t>Withdrawing Confidentiality Claims and Amending Public Copy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26570F51" w14:textId="77777777">
            <w:pPr>
              <w:jc w:val="center"/>
              <w:textAlignment w:val="baseline"/>
              <w:rPr>
                <w:rFonts w:ascii="Segoe UI" w:eastAsia="Times New Roman" w:hAnsi="Segoe UI" w:cs="Segoe UI"/>
                <w:sz w:val="18"/>
                <w:szCs w:val="18"/>
              </w:rPr>
            </w:pPr>
            <w:r w:rsidRPr="00791AE0">
              <w:rPr>
                <w:rFonts w:eastAsia="Times New Roman" w:cs="Arial"/>
                <w:sz w:val="19"/>
                <w:szCs w:val="19"/>
              </w:rPr>
              <w:t>208 </w:t>
            </w:r>
          </w:p>
        </w:tc>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74F36360" w14:textId="77777777">
            <w:pPr>
              <w:jc w:val="center"/>
              <w:textAlignment w:val="baseline"/>
              <w:rPr>
                <w:rFonts w:ascii="Segoe UI" w:eastAsia="Times New Roman" w:hAnsi="Segoe UI" w:cs="Segoe UI"/>
                <w:sz w:val="18"/>
                <w:szCs w:val="18"/>
              </w:rPr>
            </w:pPr>
            <w:r w:rsidRPr="00791AE0">
              <w:rPr>
                <w:rFonts w:eastAsia="Times New Roman" w:cs="Arial"/>
                <w:sz w:val="19"/>
                <w:szCs w:val="19"/>
              </w:rPr>
              <w:t>27 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7C9" w:rsidRPr="00791AE0" w:rsidP="000647C9" w14:paraId="3838489F" w14:textId="50E6BA0C">
            <w:pPr>
              <w:jc w:val="center"/>
              <w:textAlignment w:val="baseline"/>
              <w:rPr>
                <w:rFonts w:ascii="Segoe UI" w:eastAsia="Times New Roman" w:hAnsi="Segoe UI" w:cs="Segoe UI"/>
                <w:sz w:val="18"/>
                <w:szCs w:val="18"/>
              </w:rPr>
            </w:pPr>
            <w:r>
              <w:rPr>
                <w:color w:val="000000"/>
                <w:sz w:val="20"/>
                <w:szCs w:val="20"/>
              </w:rPr>
              <w:t xml:space="preserve">$2,231 </w:t>
            </w:r>
          </w:p>
        </w:tc>
      </w:tr>
      <w:tr w14:paraId="39D1C469" w14:textId="77777777" w:rsidTr="002B49FF">
        <w:tblPrEx>
          <w:tblW w:w="9344" w:type="dxa"/>
          <w:tblCellMar>
            <w:left w:w="0" w:type="dxa"/>
            <w:right w:w="0" w:type="dxa"/>
          </w:tblCellMar>
          <w:tblLook w:val="04A0"/>
        </w:tblPrEx>
        <w:trPr>
          <w:trHeight w:val="210"/>
        </w:trPr>
        <w:tc>
          <w:tcPr>
            <w:tcW w:w="28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4F6F69CB" w14:textId="77777777">
            <w:pPr>
              <w:textAlignment w:val="baseline"/>
              <w:rPr>
                <w:rFonts w:ascii="Segoe UI" w:eastAsia="Times New Roman" w:hAnsi="Segoe UI" w:cs="Segoe UI"/>
                <w:sz w:val="18"/>
                <w:szCs w:val="18"/>
              </w:rPr>
            </w:pPr>
            <w:r w:rsidRPr="00791AE0">
              <w:rPr>
                <w:rFonts w:eastAsia="Times New Roman" w:cs="Arial"/>
                <w:color w:val="000000"/>
                <w:sz w:val="19"/>
                <w:szCs w:val="19"/>
              </w:rPr>
              <w:t>Reporting Health and Safety Data using Templates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003A7288" w14:textId="77777777">
            <w:pPr>
              <w:jc w:val="center"/>
              <w:textAlignment w:val="baseline"/>
              <w:rPr>
                <w:rFonts w:ascii="Segoe UI" w:eastAsia="Times New Roman" w:hAnsi="Segoe UI" w:cs="Segoe UI"/>
                <w:sz w:val="18"/>
                <w:szCs w:val="18"/>
              </w:rPr>
            </w:pPr>
            <w:r w:rsidRPr="00791AE0">
              <w:rPr>
                <w:rFonts w:eastAsia="Times New Roman" w:cs="Arial"/>
                <w:sz w:val="19"/>
                <w:szCs w:val="19"/>
              </w:rPr>
              <w:t>350 </w:t>
            </w:r>
          </w:p>
        </w:tc>
        <w:tc>
          <w:tcPr>
            <w:tcW w:w="22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5D488074" w14:textId="77777777">
            <w:pPr>
              <w:jc w:val="center"/>
              <w:textAlignment w:val="baseline"/>
              <w:rPr>
                <w:rFonts w:ascii="Segoe UI" w:eastAsia="Times New Roman" w:hAnsi="Segoe UI" w:cs="Segoe UI"/>
                <w:sz w:val="18"/>
                <w:szCs w:val="18"/>
              </w:rPr>
            </w:pPr>
            <w:r w:rsidRPr="00791AE0">
              <w:rPr>
                <w:rFonts w:eastAsia="Times New Roman" w:cs="Arial"/>
                <w:sz w:val="19"/>
                <w:szCs w:val="19"/>
              </w:rPr>
              <w:t>245 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7C9" w:rsidRPr="00791AE0" w:rsidP="000647C9" w14:paraId="4174D30F" w14:textId="13318F32">
            <w:pPr>
              <w:jc w:val="center"/>
              <w:textAlignment w:val="baseline"/>
              <w:rPr>
                <w:rFonts w:ascii="Segoe UI" w:eastAsia="Times New Roman" w:hAnsi="Segoe UI" w:cs="Segoe UI"/>
                <w:sz w:val="18"/>
                <w:szCs w:val="18"/>
              </w:rPr>
            </w:pPr>
            <w:r>
              <w:rPr>
                <w:color w:val="000000"/>
                <w:sz w:val="20"/>
                <w:szCs w:val="20"/>
              </w:rPr>
              <w:t xml:space="preserve">$20,369 </w:t>
            </w:r>
          </w:p>
        </w:tc>
      </w:tr>
      <w:tr w14:paraId="7805B183" w14:textId="77777777" w:rsidTr="004F61AC">
        <w:tblPrEx>
          <w:tblW w:w="9344" w:type="dxa"/>
          <w:tblCellMar>
            <w:left w:w="0" w:type="dxa"/>
            <w:right w:w="0" w:type="dxa"/>
          </w:tblCellMar>
          <w:tblLook w:val="04A0"/>
        </w:tblPrEx>
        <w:trPr>
          <w:trHeight w:val="285"/>
        </w:trPr>
        <w:tc>
          <w:tcPr>
            <w:tcW w:w="2832" w:type="dxa"/>
            <w:tcBorders>
              <w:top w:val="single" w:sz="6" w:space="0" w:color="auto"/>
              <w:left w:val="single" w:sz="6" w:space="0" w:color="auto"/>
              <w:bottom w:val="single" w:sz="6" w:space="0" w:color="auto"/>
              <w:right w:val="single" w:sz="6" w:space="0" w:color="FFFFFF"/>
            </w:tcBorders>
            <w:shd w:val="clear" w:color="auto" w:fill="FFFFFF"/>
            <w:vAlign w:val="center"/>
            <w:hideMark/>
          </w:tcPr>
          <w:p w:rsidR="00660C25" w:rsidRPr="00791AE0" w:rsidP="004F61AC" w14:paraId="3F68C171" w14:textId="77777777">
            <w:pPr>
              <w:textAlignment w:val="baseline"/>
              <w:rPr>
                <w:rFonts w:ascii="Segoe UI" w:eastAsia="Times New Roman" w:hAnsi="Segoe UI" w:cs="Segoe UI"/>
                <w:sz w:val="18"/>
                <w:szCs w:val="18"/>
              </w:rPr>
            </w:pPr>
            <w:r w:rsidRPr="00791AE0">
              <w:rPr>
                <w:rFonts w:eastAsia="Times New Roman" w:cs="Arial"/>
                <w:b/>
                <w:bCs/>
                <w:color w:val="000000"/>
              </w:rPr>
              <w:t>One-time, First Year</w:t>
            </w:r>
            <w:r w:rsidRPr="00791AE0">
              <w:rPr>
                <w:rFonts w:eastAsia="Times New Roman" w:cs="Arial"/>
                <w:color w:val="000000"/>
              </w:rPr>
              <w:t> </w:t>
            </w:r>
          </w:p>
        </w:tc>
        <w:tc>
          <w:tcPr>
            <w:tcW w:w="1966" w:type="dxa"/>
            <w:tcBorders>
              <w:top w:val="single" w:sz="6" w:space="0" w:color="auto"/>
              <w:left w:val="single" w:sz="6" w:space="0" w:color="FFFFFF"/>
              <w:bottom w:val="single" w:sz="6" w:space="0" w:color="auto"/>
              <w:right w:val="single" w:sz="6" w:space="0" w:color="FFFFFF"/>
            </w:tcBorders>
            <w:shd w:val="clear" w:color="auto" w:fill="FFFFFF"/>
            <w:vAlign w:val="center"/>
            <w:hideMark/>
          </w:tcPr>
          <w:p w:rsidR="00660C25" w:rsidRPr="00791AE0" w:rsidP="004F61AC" w14:paraId="30D1E8F7" w14:textId="77777777">
            <w:pPr>
              <w:jc w:val="center"/>
              <w:textAlignment w:val="baseline"/>
              <w:rPr>
                <w:rFonts w:ascii="Segoe UI" w:eastAsia="Times New Roman" w:hAnsi="Segoe UI" w:cs="Segoe UI"/>
                <w:sz w:val="18"/>
                <w:szCs w:val="18"/>
              </w:rPr>
            </w:pPr>
            <w:r w:rsidRPr="00791AE0">
              <w:rPr>
                <w:rFonts w:eastAsia="Times New Roman" w:cs="Arial"/>
              </w:rPr>
              <w:t> </w:t>
            </w:r>
          </w:p>
        </w:tc>
        <w:tc>
          <w:tcPr>
            <w:tcW w:w="2259" w:type="dxa"/>
            <w:tcBorders>
              <w:top w:val="single" w:sz="6" w:space="0" w:color="auto"/>
              <w:left w:val="single" w:sz="6" w:space="0" w:color="FFFFFF"/>
              <w:bottom w:val="single" w:sz="6" w:space="0" w:color="auto"/>
              <w:right w:val="single" w:sz="6" w:space="0" w:color="FFFFFF"/>
            </w:tcBorders>
            <w:shd w:val="clear" w:color="auto" w:fill="FFFFFF"/>
            <w:vAlign w:val="center"/>
            <w:hideMark/>
          </w:tcPr>
          <w:p w:rsidR="00660C25" w:rsidRPr="00791AE0" w:rsidP="004F61AC" w14:paraId="7FE30832" w14:textId="77777777">
            <w:pPr>
              <w:jc w:val="center"/>
              <w:textAlignment w:val="baseline"/>
              <w:rPr>
                <w:rFonts w:ascii="Segoe UI" w:eastAsia="Times New Roman" w:hAnsi="Segoe UI" w:cs="Segoe UI"/>
                <w:sz w:val="18"/>
                <w:szCs w:val="18"/>
              </w:rPr>
            </w:pPr>
            <w:r w:rsidRPr="00791AE0">
              <w:rPr>
                <w:rFonts w:eastAsia="Times New Roman" w:cs="Arial"/>
                <w:b/>
                <w:bCs/>
              </w:rPr>
              <w:t>2,945 hours</w:t>
            </w:r>
            <w:r w:rsidRPr="00791AE0">
              <w:rPr>
                <w:rFonts w:eastAsia="Times New Roman" w:cs="Arial"/>
              </w:rPr>
              <w:t> </w:t>
            </w:r>
          </w:p>
        </w:tc>
        <w:tc>
          <w:tcPr>
            <w:tcW w:w="2287" w:type="dxa"/>
            <w:tcBorders>
              <w:top w:val="single" w:sz="6" w:space="0" w:color="auto"/>
              <w:left w:val="single" w:sz="6" w:space="0" w:color="FFFFFF"/>
              <w:bottom w:val="single" w:sz="6" w:space="0" w:color="auto"/>
              <w:right w:val="single" w:sz="6" w:space="0" w:color="auto"/>
            </w:tcBorders>
            <w:shd w:val="clear" w:color="auto" w:fill="FFFFFF"/>
            <w:vAlign w:val="center"/>
            <w:hideMark/>
          </w:tcPr>
          <w:p w:rsidR="00660C25" w:rsidRPr="00791AE0" w:rsidP="004F61AC" w14:paraId="43BE5668" w14:textId="0D8AE0EF">
            <w:pPr>
              <w:jc w:val="center"/>
              <w:textAlignment w:val="baseline"/>
              <w:rPr>
                <w:rFonts w:ascii="Segoe UI" w:eastAsia="Times New Roman" w:hAnsi="Segoe UI" w:cs="Segoe UI"/>
                <w:sz w:val="18"/>
                <w:szCs w:val="18"/>
              </w:rPr>
            </w:pPr>
            <w:r w:rsidRPr="00791AE0">
              <w:rPr>
                <w:rFonts w:eastAsia="Times New Roman" w:cs="Arial"/>
                <w:b/>
                <w:bCs/>
              </w:rPr>
              <w:t>$</w:t>
            </w:r>
            <w:r w:rsidR="000647C9">
              <w:rPr>
                <w:rFonts w:eastAsia="Times New Roman" w:cs="Arial"/>
                <w:b/>
                <w:bCs/>
              </w:rPr>
              <w:t>272,804</w:t>
            </w:r>
          </w:p>
        </w:tc>
      </w:tr>
      <w:tr w14:paraId="4E66C42D" w14:textId="77777777" w:rsidTr="004F61AC">
        <w:tblPrEx>
          <w:tblW w:w="9344" w:type="dxa"/>
          <w:tblCellMar>
            <w:left w:w="0" w:type="dxa"/>
            <w:right w:w="0" w:type="dxa"/>
          </w:tblCellMar>
          <w:tblLook w:val="04A0"/>
        </w:tblPrEx>
        <w:trPr>
          <w:trHeight w:val="210"/>
        </w:trPr>
        <w:tc>
          <w:tcPr>
            <w:tcW w:w="9344" w:type="dxa"/>
            <w:gridSpan w:val="4"/>
            <w:tcBorders>
              <w:top w:val="single" w:sz="6" w:space="0" w:color="auto"/>
              <w:left w:val="single" w:sz="6" w:space="0" w:color="auto"/>
              <w:bottom w:val="single" w:sz="6" w:space="0" w:color="auto"/>
              <w:right w:val="single" w:sz="6" w:space="0" w:color="auto"/>
            </w:tcBorders>
            <w:shd w:val="clear" w:color="auto" w:fill="A6A6A6"/>
            <w:vAlign w:val="center"/>
            <w:hideMark/>
          </w:tcPr>
          <w:p w:rsidR="00660C25" w:rsidRPr="00791AE0" w:rsidP="004F61AC" w14:paraId="0D77F7B6" w14:textId="77777777">
            <w:pPr>
              <w:jc w:val="center"/>
              <w:textAlignment w:val="baseline"/>
              <w:rPr>
                <w:rFonts w:ascii="Segoe UI" w:eastAsia="Times New Roman" w:hAnsi="Segoe UI" w:cs="Segoe UI"/>
                <w:sz w:val="18"/>
                <w:szCs w:val="18"/>
              </w:rPr>
            </w:pPr>
            <w:r w:rsidRPr="00791AE0">
              <w:rPr>
                <w:rFonts w:eastAsia="Times New Roman" w:cs="Arial"/>
                <w:b/>
                <w:bCs/>
                <w:i/>
                <w:iCs/>
                <w:sz w:val="19"/>
                <w:szCs w:val="19"/>
              </w:rPr>
              <w:t xml:space="preserve">Annual, </w:t>
            </w:r>
            <w:r w:rsidRPr="00791AE0">
              <w:rPr>
                <w:rFonts w:eastAsia="Times New Roman" w:cs="Arial"/>
                <w:b/>
                <w:bCs/>
                <w:i/>
                <w:iCs/>
                <w:sz w:val="19"/>
                <w:szCs w:val="19"/>
              </w:rPr>
              <w:t>Ongoing (Years 2 and 3)</w:t>
            </w:r>
            <w:r w:rsidRPr="00791AE0">
              <w:rPr>
                <w:rFonts w:eastAsia="Times New Roman" w:cs="Arial"/>
                <w:sz w:val="19"/>
                <w:szCs w:val="19"/>
              </w:rPr>
              <w:t> </w:t>
            </w:r>
          </w:p>
        </w:tc>
      </w:tr>
      <w:tr w14:paraId="09772244" w14:textId="77777777" w:rsidTr="002B49FF">
        <w:tblPrEx>
          <w:tblW w:w="9344" w:type="dxa"/>
          <w:tblCellMar>
            <w:left w:w="0" w:type="dxa"/>
            <w:right w:w="0" w:type="dxa"/>
          </w:tblCellMar>
          <w:tblLook w:val="04A0"/>
        </w:tblPrEx>
        <w:trPr>
          <w:trHeight w:val="210"/>
        </w:trPr>
        <w:tc>
          <w:tcPr>
            <w:tcW w:w="28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5780E1FD" w14:textId="77777777">
            <w:pPr>
              <w:textAlignment w:val="baseline"/>
              <w:rPr>
                <w:rFonts w:ascii="Segoe UI" w:eastAsia="Times New Roman" w:hAnsi="Segoe UI" w:cs="Segoe UI"/>
                <w:sz w:val="18"/>
                <w:szCs w:val="18"/>
              </w:rPr>
            </w:pPr>
            <w:r w:rsidRPr="00791AE0">
              <w:rPr>
                <w:rFonts w:eastAsia="Times New Roman" w:cs="Arial"/>
                <w:sz w:val="19"/>
                <w:szCs w:val="19"/>
              </w:rPr>
              <w:t>Rule Familiarization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066A997B" w14:textId="77777777">
            <w:pPr>
              <w:jc w:val="center"/>
              <w:textAlignment w:val="baseline"/>
              <w:rPr>
                <w:rFonts w:ascii="Segoe UI" w:eastAsia="Times New Roman" w:hAnsi="Segoe UI" w:cs="Segoe UI"/>
                <w:sz w:val="18"/>
                <w:szCs w:val="18"/>
              </w:rPr>
            </w:pPr>
            <w:r w:rsidRPr="00791AE0">
              <w:rPr>
                <w:rFonts w:eastAsia="Times New Roman" w:cs="Arial"/>
                <w:sz w:val="19"/>
                <w:szCs w:val="19"/>
              </w:rPr>
              <w:t>55 </w:t>
            </w:r>
          </w:p>
        </w:tc>
        <w:tc>
          <w:tcPr>
            <w:tcW w:w="2259"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0647C9" w:rsidRPr="00791AE0" w:rsidP="000647C9" w14:paraId="428EACBF" w14:textId="77777777">
            <w:pPr>
              <w:jc w:val="center"/>
              <w:textAlignment w:val="baseline"/>
              <w:rPr>
                <w:rFonts w:ascii="Segoe UI" w:eastAsia="Times New Roman" w:hAnsi="Segoe UI" w:cs="Segoe UI"/>
                <w:sz w:val="18"/>
                <w:szCs w:val="18"/>
              </w:rPr>
            </w:pPr>
            <w:r w:rsidRPr="00791AE0">
              <w:rPr>
                <w:rFonts w:eastAsia="Times New Roman" w:cs="Arial"/>
                <w:sz w:val="19"/>
                <w:szCs w:val="19"/>
              </w:rPr>
              <w:t>110 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0647C9" w:rsidRPr="00791AE0" w:rsidP="000647C9" w14:paraId="7685E38A" w14:textId="782D55FA">
            <w:pPr>
              <w:jc w:val="center"/>
              <w:textAlignment w:val="baseline"/>
              <w:rPr>
                <w:rFonts w:ascii="Segoe UI" w:eastAsia="Times New Roman" w:hAnsi="Segoe UI" w:cs="Segoe UI"/>
                <w:sz w:val="18"/>
                <w:szCs w:val="18"/>
              </w:rPr>
            </w:pPr>
            <w:r>
              <w:rPr>
                <w:color w:val="000000"/>
                <w:sz w:val="20"/>
                <w:szCs w:val="20"/>
              </w:rPr>
              <w:t xml:space="preserve">$10,421 </w:t>
            </w:r>
          </w:p>
        </w:tc>
      </w:tr>
      <w:tr w14:paraId="4B69A532" w14:textId="77777777" w:rsidTr="002B49FF">
        <w:tblPrEx>
          <w:tblW w:w="9344" w:type="dxa"/>
          <w:tblCellMar>
            <w:left w:w="0" w:type="dxa"/>
            <w:right w:w="0" w:type="dxa"/>
          </w:tblCellMar>
          <w:tblLook w:val="04A0"/>
        </w:tblPrEx>
        <w:trPr>
          <w:trHeight w:val="210"/>
        </w:trPr>
        <w:tc>
          <w:tcPr>
            <w:tcW w:w="28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3A6A4B5E" w14:textId="77777777">
            <w:pPr>
              <w:textAlignment w:val="baseline"/>
              <w:rPr>
                <w:rFonts w:ascii="Segoe UI" w:eastAsia="Times New Roman" w:hAnsi="Segoe UI" w:cs="Segoe UI"/>
                <w:sz w:val="18"/>
                <w:szCs w:val="18"/>
              </w:rPr>
            </w:pPr>
            <w:r w:rsidRPr="00791AE0">
              <w:rPr>
                <w:rFonts w:eastAsia="Times New Roman" w:cs="Arial"/>
                <w:sz w:val="19"/>
                <w:szCs w:val="19"/>
              </w:rPr>
              <w:t>CDX Registration and Electronic Signature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1ADA25A0" w14:textId="77777777">
            <w:pPr>
              <w:jc w:val="center"/>
              <w:textAlignment w:val="baseline"/>
              <w:rPr>
                <w:rFonts w:ascii="Segoe UI" w:eastAsia="Times New Roman" w:hAnsi="Segoe UI" w:cs="Segoe UI"/>
                <w:sz w:val="18"/>
                <w:szCs w:val="18"/>
              </w:rPr>
            </w:pPr>
            <w:r w:rsidRPr="00791AE0">
              <w:rPr>
                <w:rFonts w:eastAsia="Times New Roman" w:cs="Arial"/>
                <w:sz w:val="19"/>
                <w:szCs w:val="19"/>
              </w:rPr>
              <w:t>55 </w:t>
            </w:r>
          </w:p>
        </w:tc>
        <w:tc>
          <w:tcPr>
            <w:tcW w:w="2259"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0647C9" w:rsidRPr="00791AE0" w:rsidP="000647C9" w14:paraId="3DE221C0" w14:textId="77777777">
            <w:pPr>
              <w:jc w:val="center"/>
              <w:textAlignment w:val="baseline"/>
              <w:rPr>
                <w:rFonts w:ascii="Segoe UI" w:eastAsia="Times New Roman" w:hAnsi="Segoe UI" w:cs="Segoe UI"/>
                <w:sz w:val="18"/>
                <w:szCs w:val="18"/>
              </w:rPr>
            </w:pPr>
            <w:r w:rsidRPr="00791AE0">
              <w:rPr>
                <w:rFonts w:eastAsia="Times New Roman" w:cs="Arial"/>
                <w:sz w:val="19"/>
                <w:szCs w:val="19"/>
              </w:rPr>
              <w:t>147 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0647C9" w:rsidRPr="00791AE0" w:rsidP="000647C9" w14:paraId="27358630" w14:textId="39D87F2B">
            <w:pPr>
              <w:jc w:val="center"/>
              <w:textAlignment w:val="baseline"/>
              <w:rPr>
                <w:rFonts w:ascii="Segoe UI" w:eastAsia="Times New Roman" w:hAnsi="Segoe UI" w:cs="Segoe UI"/>
                <w:sz w:val="18"/>
                <w:szCs w:val="18"/>
              </w:rPr>
            </w:pPr>
            <w:r>
              <w:rPr>
                <w:color w:val="000000"/>
                <w:sz w:val="20"/>
                <w:szCs w:val="20"/>
              </w:rPr>
              <w:t xml:space="preserve">$12,968 </w:t>
            </w:r>
          </w:p>
        </w:tc>
      </w:tr>
      <w:tr w14:paraId="7C8094E1" w14:textId="77777777" w:rsidTr="002B49FF">
        <w:tblPrEx>
          <w:tblW w:w="9344" w:type="dxa"/>
          <w:tblCellMar>
            <w:left w:w="0" w:type="dxa"/>
            <w:right w:w="0" w:type="dxa"/>
          </w:tblCellMar>
          <w:tblLook w:val="04A0"/>
        </w:tblPrEx>
        <w:trPr>
          <w:trHeight w:val="210"/>
        </w:trPr>
        <w:tc>
          <w:tcPr>
            <w:tcW w:w="28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2EF34D20" w14:textId="77777777">
            <w:pPr>
              <w:textAlignment w:val="baseline"/>
              <w:rPr>
                <w:rFonts w:ascii="Segoe UI" w:eastAsia="Times New Roman" w:hAnsi="Segoe UI" w:cs="Segoe UI"/>
                <w:sz w:val="18"/>
                <w:szCs w:val="18"/>
              </w:rPr>
            </w:pPr>
            <w:r w:rsidRPr="00791AE0">
              <w:rPr>
                <w:rFonts w:eastAsia="Times New Roman" w:cs="Arial"/>
                <w:sz w:val="19"/>
                <w:szCs w:val="19"/>
              </w:rPr>
              <w:t>Maintaining Company Contact Information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46E295EC" w14:textId="77777777">
            <w:pPr>
              <w:jc w:val="center"/>
              <w:textAlignment w:val="baseline"/>
              <w:rPr>
                <w:rFonts w:ascii="Segoe UI" w:eastAsia="Times New Roman" w:hAnsi="Segoe UI" w:cs="Segoe UI"/>
                <w:sz w:val="18"/>
                <w:szCs w:val="18"/>
              </w:rPr>
            </w:pPr>
            <w:r w:rsidRPr="00791AE0">
              <w:rPr>
                <w:rFonts w:eastAsia="Times New Roman" w:cs="Arial"/>
                <w:sz w:val="19"/>
                <w:szCs w:val="19"/>
              </w:rPr>
              <w:t>1,100 </w:t>
            </w:r>
          </w:p>
        </w:tc>
        <w:tc>
          <w:tcPr>
            <w:tcW w:w="2259"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0647C9" w:rsidRPr="00791AE0" w:rsidP="000647C9" w14:paraId="7D9E5BA4" w14:textId="77777777">
            <w:pPr>
              <w:jc w:val="center"/>
              <w:textAlignment w:val="baseline"/>
              <w:rPr>
                <w:rFonts w:ascii="Segoe UI" w:eastAsia="Times New Roman" w:hAnsi="Segoe UI" w:cs="Segoe UI"/>
                <w:sz w:val="18"/>
                <w:szCs w:val="18"/>
              </w:rPr>
            </w:pPr>
            <w:r w:rsidRPr="00791AE0">
              <w:rPr>
                <w:rFonts w:eastAsia="Times New Roman" w:cs="Arial"/>
                <w:sz w:val="19"/>
                <w:szCs w:val="19"/>
              </w:rPr>
              <w:t>7 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0647C9" w:rsidRPr="00791AE0" w:rsidP="000647C9" w14:paraId="3F2EABC6" w14:textId="50C4EDBF">
            <w:pPr>
              <w:jc w:val="center"/>
              <w:textAlignment w:val="baseline"/>
              <w:rPr>
                <w:rFonts w:ascii="Segoe UI" w:eastAsia="Times New Roman" w:hAnsi="Segoe UI" w:cs="Segoe UI"/>
                <w:sz w:val="18"/>
                <w:szCs w:val="18"/>
              </w:rPr>
            </w:pPr>
            <w:r>
              <w:rPr>
                <w:color w:val="000000"/>
                <w:sz w:val="20"/>
                <w:szCs w:val="20"/>
              </w:rPr>
              <w:t xml:space="preserve">$574 </w:t>
            </w:r>
          </w:p>
        </w:tc>
      </w:tr>
      <w:tr w14:paraId="1C8ACD84" w14:textId="77777777" w:rsidTr="002B49FF">
        <w:tblPrEx>
          <w:tblW w:w="9344" w:type="dxa"/>
          <w:tblCellMar>
            <w:left w:w="0" w:type="dxa"/>
            <w:right w:w="0" w:type="dxa"/>
          </w:tblCellMar>
          <w:tblLook w:val="04A0"/>
        </w:tblPrEx>
        <w:trPr>
          <w:trHeight w:val="2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6BDC86A7" w14:textId="77777777">
            <w:pPr>
              <w:rPr>
                <w:rFonts w:ascii="Segoe UI" w:eastAsia="Times New Roman" w:hAnsi="Segoe UI" w:cs="Segoe UI"/>
                <w:sz w:val="18"/>
                <w:szCs w:val="18"/>
              </w:rPr>
            </w:pP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0626ABE2" w14:textId="77777777">
            <w:pPr>
              <w:jc w:val="center"/>
              <w:textAlignment w:val="baseline"/>
              <w:rPr>
                <w:rFonts w:ascii="Segoe UI" w:eastAsia="Times New Roman" w:hAnsi="Segoe UI" w:cs="Segoe UI"/>
                <w:sz w:val="18"/>
                <w:szCs w:val="18"/>
              </w:rPr>
            </w:pPr>
            <w:r w:rsidRPr="00791AE0">
              <w:rPr>
                <w:rFonts w:eastAsia="Times New Roman" w:cs="Arial"/>
                <w:sz w:val="19"/>
                <w:szCs w:val="19"/>
              </w:rPr>
              <w:t>55 </w:t>
            </w:r>
          </w:p>
        </w:tc>
        <w:tc>
          <w:tcPr>
            <w:tcW w:w="2259"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0647C9" w:rsidRPr="00791AE0" w:rsidP="000647C9" w14:paraId="149CB048" w14:textId="77777777">
            <w:pPr>
              <w:jc w:val="center"/>
              <w:textAlignment w:val="baseline"/>
              <w:rPr>
                <w:rFonts w:ascii="Segoe UI" w:eastAsia="Times New Roman" w:hAnsi="Segoe UI" w:cs="Segoe UI"/>
                <w:sz w:val="18"/>
                <w:szCs w:val="18"/>
              </w:rPr>
            </w:pPr>
            <w:r w:rsidRPr="00791AE0">
              <w:rPr>
                <w:rFonts w:eastAsia="Times New Roman" w:cs="Arial"/>
                <w:sz w:val="19"/>
                <w:szCs w:val="19"/>
              </w:rPr>
              <w:t>2 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0647C9" w:rsidRPr="00791AE0" w:rsidP="000647C9" w14:paraId="5A236FF4" w14:textId="2DE18617">
            <w:pPr>
              <w:jc w:val="center"/>
              <w:textAlignment w:val="baseline"/>
              <w:rPr>
                <w:rFonts w:ascii="Segoe UI" w:eastAsia="Times New Roman" w:hAnsi="Segoe UI" w:cs="Segoe UI"/>
                <w:sz w:val="18"/>
                <w:szCs w:val="18"/>
              </w:rPr>
            </w:pPr>
            <w:r>
              <w:rPr>
                <w:color w:val="000000"/>
                <w:sz w:val="20"/>
                <w:szCs w:val="20"/>
              </w:rPr>
              <w:t xml:space="preserve">$144 </w:t>
            </w:r>
          </w:p>
        </w:tc>
      </w:tr>
      <w:tr w14:paraId="3709A1EE" w14:textId="77777777" w:rsidTr="002B49FF">
        <w:tblPrEx>
          <w:tblW w:w="9344" w:type="dxa"/>
          <w:tblCellMar>
            <w:left w:w="0" w:type="dxa"/>
            <w:right w:w="0" w:type="dxa"/>
          </w:tblCellMar>
          <w:tblLook w:val="04A0"/>
        </w:tblPrEx>
        <w:trPr>
          <w:trHeight w:val="210"/>
        </w:trPr>
        <w:tc>
          <w:tcPr>
            <w:tcW w:w="28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13FB0DAF" w14:textId="77777777">
            <w:pPr>
              <w:textAlignment w:val="baseline"/>
              <w:rPr>
                <w:rFonts w:ascii="Segoe UI" w:eastAsia="Times New Roman" w:hAnsi="Segoe UI" w:cs="Segoe UI"/>
                <w:sz w:val="18"/>
                <w:szCs w:val="18"/>
              </w:rPr>
            </w:pPr>
            <w:r w:rsidRPr="00791AE0">
              <w:rPr>
                <w:rFonts w:eastAsia="Times New Roman" w:cs="Arial"/>
                <w:sz w:val="19"/>
                <w:szCs w:val="19"/>
              </w:rPr>
              <w:t xml:space="preserve">Withdrawing Confidentiality Claims and </w:t>
            </w:r>
            <w:r w:rsidRPr="00791AE0">
              <w:rPr>
                <w:rFonts w:eastAsia="Times New Roman" w:cs="Arial"/>
                <w:sz w:val="19"/>
                <w:szCs w:val="19"/>
              </w:rPr>
              <w:t>Amending Public Copy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2148A60D" w14:textId="77777777">
            <w:pPr>
              <w:jc w:val="center"/>
              <w:textAlignment w:val="baseline"/>
              <w:rPr>
                <w:rFonts w:ascii="Segoe UI" w:eastAsia="Times New Roman" w:hAnsi="Segoe UI" w:cs="Segoe UI"/>
                <w:sz w:val="18"/>
                <w:szCs w:val="18"/>
              </w:rPr>
            </w:pPr>
            <w:r w:rsidRPr="00791AE0">
              <w:rPr>
                <w:rFonts w:eastAsia="Times New Roman" w:cs="Arial"/>
                <w:sz w:val="19"/>
                <w:szCs w:val="19"/>
              </w:rPr>
              <w:t>104 </w:t>
            </w:r>
          </w:p>
        </w:tc>
        <w:tc>
          <w:tcPr>
            <w:tcW w:w="2259"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0647C9" w:rsidRPr="00791AE0" w:rsidP="000647C9" w14:paraId="7B171264" w14:textId="77777777">
            <w:pPr>
              <w:jc w:val="center"/>
              <w:textAlignment w:val="baseline"/>
              <w:rPr>
                <w:rFonts w:ascii="Segoe UI" w:eastAsia="Times New Roman" w:hAnsi="Segoe UI" w:cs="Segoe UI"/>
                <w:sz w:val="18"/>
                <w:szCs w:val="18"/>
              </w:rPr>
            </w:pPr>
            <w:r w:rsidRPr="00791AE0">
              <w:rPr>
                <w:rFonts w:eastAsia="Times New Roman" w:cs="Arial"/>
                <w:sz w:val="19"/>
                <w:szCs w:val="19"/>
              </w:rPr>
              <w:t>13 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0647C9" w:rsidRPr="00791AE0" w:rsidP="000647C9" w14:paraId="3F298615" w14:textId="579C2C20">
            <w:pPr>
              <w:jc w:val="center"/>
              <w:textAlignment w:val="baseline"/>
              <w:rPr>
                <w:rFonts w:ascii="Segoe UI" w:eastAsia="Times New Roman" w:hAnsi="Segoe UI" w:cs="Segoe UI"/>
                <w:sz w:val="18"/>
                <w:szCs w:val="18"/>
              </w:rPr>
            </w:pPr>
            <w:r>
              <w:rPr>
                <w:color w:val="000000"/>
                <w:sz w:val="20"/>
                <w:szCs w:val="20"/>
              </w:rPr>
              <w:t xml:space="preserve">$1,115 </w:t>
            </w:r>
          </w:p>
        </w:tc>
      </w:tr>
      <w:tr w14:paraId="3EC16D82" w14:textId="77777777" w:rsidTr="002B49FF">
        <w:tblPrEx>
          <w:tblW w:w="9344" w:type="dxa"/>
          <w:tblCellMar>
            <w:left w:w="0" w:type="dxa"/>
            <w:right w:w="0" w:type="dxa"/>
          </w:tblCellMar>
          <w:tblLook w:val="04A0"/>
        </w:tblPrEx>
        <w:trPr>
          <w:trHeight w:val="210"/>
        </w:trPr>
        <w:tc>
          <w:tcPr>
            <w:tcW w:w="28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0795FA2F" w14:textId="77777777">
            <w:pPr>
              <w:textAlignment w:val="baseline"/>
              <w:rPr>
                <w:rFonts w:ascii="Segoe UI" w:eastAsia="Times New Roman" w:hAnsi="Segoe UI" w:cs="Segoe UI"/>
                <w:sz w:val="18"/>
                <w:szCs w:val="18"/>
              </w:rPr>
            </w:pPr>
            <w:r w:rsidRPr="00791AE0">
              <w:rPr>
                <w:rFonts w:eastAsia="Times New Roman" w:cs="Arial"/>
                <w:color w:val="000000"/>
                <w:sz w:val="19"/>
                <w:szCs w:val="19"/>
              </w:rPr>
              <w:t>Reporting Health and Safety Data using Templates </w:t>
            </w:r>
          </w:p>
        </w:tc>
        <w:tc>
          <w:tcPr>
            <w:tcW w:w="19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647C9" w:rsidRPr="00791AE0" w:rsidP="000647C9" w14:paraId="1FABA4EF" w14:textId="77777777">
            <w:pPr>
              <w:jc w:val="center"/>
              <w:textAlignment w:val="baseline"/>
              <w:rPr>
                <w:rFonts w:ascii="Segoe UI" w:eastAsia="Times New Roman" w:hAnsi="Segoe UI" w:cs="Segoe UI"/>
                <w:sz w:val="18"/>
                <w:szCs w:val="18"/>
              </w:rPr>
            </w:pPr>
            <w:r w:rsidRPr="00791AE0">
              <w:rPr>
                <w:rFonts w:eastAsia="Times New Roman" w:cs="Arial"/>
                <w:sz w:val="19"/>
                <w:szCs w:val="19"/>
              </w:rPr>
              <w:t>350 </w:t>
            </w:r>
          </w:p>
        </w:tc>
        <w:tc>
          <w:tcPr>
            <w:tcW w:w="2259"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0647C9" w:rsidRPr="00791AE0" w:rsidP="000647C9" w14:paraId="16E31FB8" w14:textId="77777777">
            <w:pPr>
              <w:jc w:val="center"/>
              <w:textAlignment w:val="baseline"/>
              <w:rPr>
                <w:rFonts w:ascii="Segoe UI" w:eastAsia="Times New Roman" w:hAnsi="Segoe UI" w:cs="Segoe UI"/>
                <w:sz w:val="18"/>
                <w:szCs w:val="18"/>
              </w:rPr>
            </w:pPr>
            <w:r w:rsidRPr="00791AE0">
              <w:rPr>
                <w:rFonts w:eastAsia="Times New Roman" w:cs="Arial"/>
                <w:sz w:val="19"/>
                <w:szCs w:val="19"/>
              </w:rPr>
              <w:t>245 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0647C9" w:rsidRPr="00791AE0" w:rsidP="000647C9" w14:paraId="2244A6D8" w14:textId="79C9BC45">
            <w:pPr>
              <w:jc w:val="center"/>
              <w:textAlignment w:val="baseline"/>
              <w:rPr>
                <w:rFonts w:ascii="Segoe UI" w:eastAsia="Times New Roman" w:hAnsi="Segoe UI" w:cs="Segoe UI"/>
                <w:sz w:val="18"/>
                <w:szCs w:val="18"/>
              </w:rPr>
            </w:pPr>
            <w:r>
              <w:rPr>
                <w:color w:val="000000"/>
                <w:sz w:val="20"/>
                <w:szCs w:val="20"/>
              </w:rPr>
              <w:t xml:space="preserve">$20,369 </w:t>
            </w:r>
          </w:p>
        </w:tc>
      </w:tr>
      <w:tr w14:paraId="51A0CE1C" w14:textId="77777777" w:rsidTr="004F61AC">
        <w:tblPrEx>
          <w:tblW w:w="9344" w:type="dxa"/>
          <w:tblCellMar>
            <w:left w:w="0" w:type="dxa"/>
            <w:right w:w="0" w:type="dxa"/>
          </w:tblCellMar>
          <w:tblLook w:val="04A0"/>
        </w:tblPrEx>
        <w:trPr>
          <w:trHeight w:val="240"/>
        </w:trPr>
        <w:tc>
          <w:tcPr>
            <w:tcW w:w="2832" w:type="dxa"/>
            <w:tcBorders>
              <w:top w:val="single" w:sz="6" w:space="0" w:color="auto"/>
              <w:left w:val="single" w:sz="6" w:space="0" w:color="auto"/>
              <w:bottom w:val="single" w:sz="6" w:space="0" w:color="auto"/>
              <w:right w:val="single" w:sz="6" w:space="0" w:color="FFFFFF"/>
            </w:tcBorders>
            <w:shd w:val="clear" w:color="auto" w:fill="auto"/>
            <w:vAlign w:val="center"/>
            <w:hideMark/>
          </w:tcPr>
          <w:p w:rsidR="00660C25" w:rsidRPr="00791AE0" w:rsidP="004F61AC" w14:paraId="1D92E12E" w14:textId="77777777">
            <w:pPr>
              <w:textAlignment w:val="baseline"/>
              <w:rPr>
                <w:rFonts w:ascii="Segoe UI" w:eastAsia="Times New Roman" w:hAnsi="Segoe UI" w:cs="Segoe UI"/>
                <w:sz w:val="18"/>
                <w:szCs w:val="18"/>
              </w:rPr>
            </w:pPr>
            <w:r w:rsidRPr="00791AE0">
              <w:rPr>
                <w:rFonts w:eastAsia="Times New Roman" w:cs="Arial"/>
                <w:b/>
                <w:bCs/>
                <w:color w:val="000000"/>
              </w:rPr>
              <w:t>Annual, Ongoing</w:t>
            </w:r>
            <w:r w:rsidRPr="00791AE0">
              <w:rPr>
                <w:rFonts w:eastAsia="Times New Roman" w:cs="Arial"/>
                <w:color w:val="000000"/>
              </w:rPr>
              <w:t> </w:t>
            </w:r>
          </w:p>
        </w:tc>
        <w:tc>
          <w:tcPr>
            <w:tcW w:w="1966" w:type="dxa"/>
            <w:tcBorders>
              <w:top w:val="single" w:sz="6" w:space="0" w:color="auto"/>
              <w:left w:val="single" w:sz="6" w:space="0" w:color="FFFFFF"/>
              <w:bottom w:val="single" w:sz="6" w:space="0" w:color="auto"/>
              <w:right w:val="single" w:sz="6" w:space="0" w:color="FFFFFF"/>
            </w:tcBorders>
            <w:shd w:val="clear" w:color="auto" w:fill="auto"/>
            <w:vAlign w:val="center"/>
            <w:hideMark/>
          </w:tcPr>
          <w:p w:rsidR="00660C25" w:rsidRPr="00791AE0" w:rsidP="004F61AC" w14:paraId="26D56A18" w14:textId="77777777">
            <w:pPr>
              <w:jc w:val="center"/>
              <w:textAlignment w:val="baseline"/>
              <w:rPr>
                <w:rFonts w:ascii="Segoe UI" w:eastAsia="Times New Roman" w:hAnsi="Segoe UI" w:cs="Segoe UI"/>
                <w:sz w:val="18"/>
                <w:szCs w:val="18"/>
              </w:rPr>
            </w:pPr>
            <w:r w:rsidRPr="00791AE0">
              <w:rPr>
                <w:rFonts w:eastAsia="Times New Roman" w:cs="Arial"/>
              </w:rPr>
              <w:t> </w:t>
            </w:r>
          </w:p>
        </w:tc>
        <w:tc>
          <w:tcPr>
            <w:tcW w:w="2259" w:type="dxa"/>
            <w:tcBorders>
              <w:top w:val="single" w:sz="6" w:space="0" w:color="auto"/>
              <w:left w:val="single" w:sz="6" w:space="0" w:color="FFFFFF"/>
              <w:bottom w:val="single" w:sz="6" w:space="0" w:color="auto"/>
              <w:right w:val="single" w:sz="4" w:space="0" w:color="auto"/>
            </w:tcBorders>
            <w:shd w:val="clear" w:color="auto" w:fill="auto"/>
            <w:vAlign w:val="center"/>
            <w:hideMark/>
          </w:tcPr>
          <w:p w:rsidR="00660C25" w:rsidRPr="00791AE0" w:rsidP="004F61AC" w14:paraId="6453E007" w14:textId="77777777">
            <w:pPr>
              <w:jc w:val="center"/>
              <w:textAlignment w:val="baseline"/>
              <w:rPr>
                <w:rFonts w:ascii="Segoe UI" w:eastAsia="Times New Roman" w:hAnsi="Segoe UI" w:cs="Segoe UI"/>
                <w:sz w:val="18"/>
                <w:szCs w:val="18"/>
              </w:rPr>
            </w:pPr>
            <w:r w:rsidRPr="00791AE0">
              <w:rPr>
                <w:rFonts w:eastAsia="Times New Roman" w:cs="Arial"/>
                <w:b/>
                <w:bCs/>
              </w:rPr>
              <w:t>523 hours</w:t>
            </w:r>
            <w:r w:rsidRPr="00791AE0">
              <w:rPr>
                <w:rFonts w:eastAsia="Times New Roman" w:cs="Arial"/>
              </w:rPr>
              <w:t>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C25" w:rsidRPr="00791AE0" w:rsidP="004F61AC" w14:paraId="00C6470F" w14:textId="3AA9D6E3">
            <w:pPr>
              <w:jc w:val="center"/>
              <w:textAlignment w:val="baseline"/>
              <w:rPr>
                <w:rFonts w:ascii="Segoe UI" w:eastAsia="Times New Roman" w:hAnsi="Segoe UI" w:cs="Segoe UI"/>
                <w:sz w:val="18"/>
                <w:szCs w:val="18"/>
              </w:rPr>
            </w:pPr>
            <w:r>
              <w:rPr>
                <w:b/>
                <w:bCs/>
              </w:rPr>
              <w:t>$</w:t>
            </w:r>
            <w:r w:rsidR="000647C9">
              <w:rPr>
                <w:b/>
                <w:bCs/>
              </w:rPr>
              <w:t>45,592</w:t>
            </w:r>
          </w:p>
        </w:tc>
      </w:tr>
    </w:tbl>
    <w:p w:rsidR="00FF701C" w:rsidRPr="008527EA" w:rsidP="00FF701C" w14:paraId="1B8FA3DB" w14:textId="77777777">
      <w:pPr>
        <w:keepNext/>
        <w:rPr>
          <w:rFonts w:cs="Arial"/>
          <w:sz w:val="16"/>
          <w:szCs w:val="16"/>
        </w:rPr>
      </w:pPr>
      <w:r w:rsidRPr="008527EA">
        <w:rPr>
          <w:rFonts w:cs="Arial"/>
          <w:sz w:val="16"/>
          <w:szCs w:val="16"/>
        </w:rPr>
        <w:t>Note: Values may not sum due to rounding. Total industry burden and cost are calculated using unrounded numbers and then rounded to the nearest hour and dollar, respectively. Activities without burden (compliance determination and generic name) are not lis</w:t>
      </w:r>
      <w:r w:rsidRPr="008527EA">
        <w:rPr>
          <w:rFonts w:cs="Arial"/>
          <w:sz w:val="16"/>
          <w:szCs w:val="16"/>
        </w:rPr>
        <w:t xml:space="preserve">ted in the table. </w:t>
      </w:r>
    </w:p>
    <w:p w:rsidR="007F3A69" w:rsidP="00E92A66" w14:paraId="13966A39" w14:textId="347A804F">
      <w:pPr>
        <w:pStyle w:val="Heading2"/>
        <w:numPr>
          <w:ilvl w:val="0"/>
          <w:numId w:val="0"/>
        </w:numPr>
        <w:rPr>
          <w:rFonts w:asciiTheme="minorHAnsi" w:eastAsiaTheme="minorEastAsia" w:hAnsiTheme="minorHAnsi" w:cstheme="minorBidi"/>
          <w:szCs w:val="24"/>
        </w:rPr>
      </w:pPr>
      <w:r>
        <w:t xml:space="preserve">13. </w:t>
      </w:r>
      <w:r w:rsidR="3BE982BF">
        <w:t>Provide an estimate for the total annual cost burden to respondents or recordkeepers resulting from the collection of information.</w:t>
      </w:r>
      <w:r w:rsidR="3ACBAAC9">
        <w:t xml:space="preserve"> (Do not include the cost of any hour burden already reflected on the burden worksheet).</w:t>
      </w:r>
    </w:p>
    <w:p w:rsidR="007F3A69" w:rsidP="00FA07C5" w14:paraId="0C75D53E" w14:textId="77777777">
      <w:pPr>
        <w:pStyle w:val="Heading3"/>
        <w:numPr>
          <w:ilvl w:val="0"/>
          <w:numId w:val="7"/>
        </w:numPr>
      </w:pPr>
      <w:r>
        <w:t>The cost estimate should be split into two components: (a) a total capital and start-up cost component (annualized over its expected useful life) and (b) a total operation and maintenance and purchase of services component. The estimates should take into a</w:t>
      </w:r>
      <w:r>
        <w:t>ccount costs associated with generating, maintaining, and disclosing or providing the information. Include descriptions of methods used to estimate major cost factors including system and technology acquisition, expected useful life of capital equipment, t</w:t>
      </w:r>
      <w:r>
        <w:t>he discount rate(s), and the time period over which costs will be incurred. Capital and start-up costs include, among other items, preparations for collecting information such as purchasing computers and software; monitoring, sampling, drilling and testing</w:t>
      </w:r>
      <w:r>
        <w:t xml:space="preserve"> equipment; and record storage facilities.</w:t>
      </w:r>
    </w:p>
    <w:p w:rsidR="007F3A69" w:rsidP="007F3A69" w14:paraId="1F825868" w14:textId="77777777">
      <w:pPr>
        <w:pStyle w:val="Heading3"/>
      </w:pPr>
      <w:r>
        <w:t>If cost estimates are expected to vary widely, agencies should present ranges of cost burdens and explain the reasons for the variance. The cost of purchasing or contracting out information collections services sh</w:t>
      </w:r>
      <w:r>
        <w:t>ould be a part of this cost burden estimate. In developing cost burden estimates, agencies may consult with a sample of respondents (fewer than 10), utilize the 60-day pre-OMB submission public comment process and use existing economic or regulatory impact</w:t>
      </w:r>
      <w:r>
        <w:t xml:space="preserve"> analysis associated with the rulemaking containing the information collection, as appropriate.</w:t>
      </w:r>
    </w:p>
    <w:p w:rsidR="007F3A69" w:rsidP="007F3A69" w14:paraId="6686600D" w14:textId="5138F84B">
      <w:pPr>
        <w:pStyle w:val="Heading3"/>
      </w:pPr>
      <w:r>
        <w:t>Generally, estimates should not include purchases of equipment or services, or portions thereof, made: (1) prior to October 1, 1995, (2) to achieve regulatory c</w:t>
      </w:r>
      <w:r>
        <w:t>ompliance with requirements not associated with the information collection, (3) for reasons other than to provide information or keep records for the government, or (4) as part of customary and usual business or private practices.</w:t>
      </w:r>
    </w:p>
    <w:p w:rsidR="009C0580" w:rsidP="00640F2C" w14:paraId="2DD2E5ED" w14:textId="00337917">
      <w:r>
        <w:t>There are no operation an</w:t>
      </w:r>
      <w:r>
        <w:t xml:space="preserve">d </w:t>
      </w:r>
      <w:r w:rsidR="00BC00F6">
        <w:t>maintenance</w:t>
      </w:r>
      <w:r>
        <w:t xml:space="preserve"> costs associated with this collection. </w:t>
      </w:r>
    </w:p>
    <w:bookmarkEnd w:id="10"/>
    <w:p w:rsidR="003D09E2" w:rsidP="00BC00F6" w14:paraId="391F5A09" w14:textId="65556A8D">
      <w:pPr>
        <w:pStyle w:val="Heading2"/>
        <w:numPr>
          <w:ilvl w:val="0"/>
          <w:numId w:val="0"/>
        </w:numPr>
        <w:ind w:left="90" w:hanging="90"/>
      </w:pPr>
      <w:r>
        <w:t xml:space="preserve">14. </w:t>
      </w:r>
      <w:r w:rsidR="4FB6272D">
        <w:t>Provide estimates of annualized cost to the Federal government.</w:t>
      </w:r>
      <w:r w:rsidR="3ACBAAC9">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63F27" w:rsidP="000E304B" w14:paraId="49B6FED0" w14:textId="7EA518E3">
      <w:r>
        <w:t xml:space="preserve">The following </w:t>
      </w:r>
      <w:r>
        <w:t xml:space="preserve">describe the Agency’s activities once the submission is received via CDX: </w:t>
      </w:r>
    </w:p>
    <w:p w:rsidR="00163F27" w:rsidP="006C05AA" w14:paraId="404473C9" w14:textId="0E88B93A">
      <w:r>
        <w:tab/>
        <w:t xml:space="preserve">a) </w:t>
      </w:r>
      <w:r w:rsidR="000C71E0">
        <w:t xml:space="preserve">For each submission selected for review as part of the representative subset, EPA reviews every individual confidentiality claim in that submission (except claims that are exempt from substantiation and review under TSCA sections 14(c)(2) and 14(g)), including claims made in attachments and amendments available to EPA at the time of the review. </w:t>
      </w:r>
    </w:p>
    <w:p w:rsidR="000C71E0" w:rsidP="006C05AA" w14:paraId="0F0395ED" w14:textId="2E36AA7B">
      <w:r>
        <w:tab/>
      </w:r>
      <w:r w:rsidR="00E01005">
        <w:t>b</w:t>
      </w:r>
      <w:r w:rsidR="009B5CB8">
        <w:t xml:space="preserve">) </w:t>
      </w:r>
      <w:r>
        <w:t>EPA review</w:t>
      </w:r>
      <w:r w:rsidR="009B5CB8">
        <w:t>s</w:t>
      </w:r>
      <w:r>
        <w:t xml:space="preserve"> of confidentiality claims in accordance with the</w:t>
      </w:r>
      <w:r w:rsidR="006E1E3C">
        <w:t>se</w:t>
      </w:r>
      <w:r>
        <w:t xml:space="preserve"> procedures</w:t>
      </w:r>
      <w:r w:rsidR="009B5CB8">
        <w:t>:</w:t>
      </w:r>
      <w:r>
        <w:t xml:space="preserve">   </w:t>
      </w:r>
    </w:p>
    <w:p w:rsidR="000C71E0" w:rsidP="000E304B" w14:paraId="179B5069" w14:textId="69752864">
      <w:pPr>
        <w:pStyle w:val="ListParagraph"/>
        <w:numPr>
          <w:ilvl w:val="0"/>
          <w:numId w:val="18"/>
        </w:numPr>
      </w:pPr>
      <w:r w:rsidRPr="200B7A7E">
        <w:t>EPA will review all chemical identity claims asserted in TSCA submissions except those that are exempt from substantiation according to section 14(c)(2)(G) of TSCA, and a representative sub</w:t>
      </w:r>
      <w:r w:rsidRPr="200B7A7E">
        <w:t xml:space="preserve">set of other confidentiality claims (except those that are exempt from substantiation according to section 14(c)(2) of TSCA), comprising at least 25% of all other such claims. </w:t>
      </w:r>
    </w:p>
    <w:p w:rsidR="009B5CB8" w:rsidP="000E304B" w14:paraId="24422DC4" w14:textId="77777777">
      <w:pPr>
        <w:pStyle w:val="ListParagraph"/>
        <w:ind w:left="1080"/>
      </w:pPr>
    </w:p>
    <w:p w:rsidR="000C71E0" w:rsidP="000E304B" w14:paraId="3C687F2C" w14:textId="3750726A">
      <w:pPr>
        <w:pStyle w:val="ListParagraph"/>
        <w:numPr>
          <w:ilvl w:val="0"/>
          <w:numId w:val="18"/>
        </w:numPr>
      </w:pPr>
      <w:r>
        <w:t>EPA will review all timely requests for extension of claims under Section 14(e</w:t>
      </w:r>
      <w:r>
        <w:t>) of TSCA within 30 days of receipt.</w:t>
      </w:r>
    </w:p>
    <w:p w:rsidR="009B5CB8" w:rsidP="000E304B" w14:paraId="22B650EE" w14:textId="77777777">
      <w:pPr>
        <w:pStyle w:val="ListParagraph"/>
        <w:ind w:left="1080"/>
      </w:pPr>
    </w:p>
    <w:p w:rsidR="009B5CB8" w:rsidP="000E304B" w14:paraId="440BEADC" w14:textId="44B0C25E">
      <w:pPr>
        <w:pStyle w:val="ListParagraph"/>
        <w:numPr>
          <w:ilvl w:val="0"/>
          <w:numId w:val="18"/>
        </w:numPr>
      </w:pPr>
      <w:r>
        <w:t xml:space="preserve">EPA will also review or re-review confidentiality claims under certain other circumstances, as set out in TSCA section 14(f).  </w:t>
      </w:r>
    </w:p>
    <w:p w:rsidR="009B5CB8" w:rsidP="000E304B" w14:paraId="2736D604" w14:textId="77777777">
      <w:pPr>
        <w:pStyle w:val="ListParagraph"/>
        <w:ind w:left="1080"/>
      </w:pPr>
    </w:p>
    <w:p w:rsidR="009B5CB8" w:rsidP="000E304B" w14:paraId="6572BB8A" w14:textId="470D422B">
      <w:pPr>
        <w:pStyle w:val="ListParagraph"/>
        <w:numPr>
          <w:ilvl w:val="0"/>
          <w:numId w:val="18"/>
        </w:numPr>
      </w:pPr>
      <w:r>
        <w:t>The 90-day review period described in TSCA section 14(g) begins on the day that EPA accep</w:t>
      </w:r>
      <w:r>
        <w:t>ts a new TSCA submission that includes confidentiality claims</w:t>
      </w:r>
      <w:r w:rsidR="00E3719C">
        <w:t xml:space="preserve">. </w:t>
      </w:r>
      <w:r w:rsidRPr="00E3719C" w:rsidR="00E3719C">
        <w:t xml:space="preserve">For claims other than for specific chemical identity, the review will </w:t>
      </w:r>
      <w:r w:rsidRPr="00E3719C" w:rsidR="00301217">
        <w:t>consider</w:t>
      </w:r>
      <w:r w:rsidRPr="00E3719C" w:rsidR="00E3719C">
        <w:t xml:space="preserve"> amendments to that submission that are made either up to 60 days from the original submission date, or until the Agency issues a final confidentiality determination for the submission, whichever comes first.  If a submission is amended to report an additional or different chemical substance that includes a new specific chemical identity claim, the section 14(g) review period for the added chemical identity begins on the day EPA accepts the amendment including the new claim.</w:t>
      </w:r>
    </w:p>
    <w:p w:rsidR="000C71E0" w:rsidP="006C05AA" w14:paraId="2075DDD3" w14:textId="1BC4FFA7">
      <w:pPr>
        <w:ind w:hanging="90"/>
        <w:rPr>
          <w:rFonts w:eastAsia="Calibri" w:cs="Arial"/>
          <w:szCs w:val="24"/>
        </w:rPr>
      </w:pPr>
      <w:r>
        <w:t xml:space="preserve"> </w:t>
      </w:r>
      <w:r w:rsidR="008817D2">
        <w:tab/>
      </w:r>
      <w:r w:rsidR="008817D2">
        <w:tab/>
      </w:r>
      <w:r w:rsidR="00E01005">
        <w:t>c</w:t>
      </w:r>
      <w:r>
        <w:t xml:space="preserve">) </w:t>
      </w:r>
      <w:r w:rsidR="480FF422">
        <w:t xml:space="preserve">In the case that EPA determines that a claim or part of a claim is not entitled to confidential treatment, EPA will provide written notice of the denial to the person who made the </w:t>
      </w:r>
      <w:r w:rsidR="006C10AB">
        <w:t>claim and</w:t>
      </w:r>
      <w:r w:rsidR="480FF422">
        <w:t xml:space="preserve"> provide reasons for the denial or denial in part.  The notice will be provided electronically, as described in 40 CFR 703.5(e); the 30-day notice period described in TSCA section 14(g)(2)(B) begins on the next business day following the date the notice is transmitted to the submitter via CDX.</w:t>
      </w:r>
      <w:r w:rsidR="59BE5146">
        <w:t xml:space="preserve">  Final confidentiality determinations will be published on EPA’s website periodically, in accordance with the requirements of TSCA section 26(j).</w:t>
      </w:r>
    </w:p>
    <w:p w:rsidR="00CD7E9D" w:rsidP="000E304B" w14:paraId="138AFEC8" w14:textId="152D7BC2">
      <w:pPr>
        <w:pStyle w:val="BodyText"/>
        <w:spacing w:after="200" w:line="276" w:lineRule="auto"/>
        <w:rPr>
          <w:rStyle w:val="normaltextrun"/>
          <w:rFonts w:eastAsiaTheme="majorEastAsia" w:cs="Arial"/>
          <w:strike/>
          <w:color w:val="D13438"/>
          <w:szCs w:val="22"/>
          <w:shd w:val="clear" w:color="auto" w:fill="FFFFFF"/>
        </w:rPr>
      </w:pPr>
      <w:r w:rsidRPr="7A77DD14">
        <w:rPr>
          <w:rStyle w:val="normaltextrun"/>
          <w:rFonts w:eastAsiaTheme="majorEastAsia" w:cs="Arial"/>
          <w:color w:val="000000"/>
          <w:shd w:val="clear" w:color="auto" w:fill="FFFFFF"/>
        </w:rPr>
        <w:t>If EPA concludes that t</w:t>
      </w:r>
      <w:r w:rsidRPr="7A77DD14">
        <w:rPr>
          <w:rStyle w:val="normaltextrun"/>
          <w:rFonts w:eastAsiaTheme="majorEastAsia" w:cs="Arial"/>
          <w:color w:val="000000"/>
          <w:shd w:val="clear" w:color="auto" w:fill="FFFFFF"/>
        </w:rPr>
        <w:t>he generic name is not structurally descriptive or otherwise not consistent with the </w:t>
      </w:r>
      <w:r w:rsidRPr="7A77DD14">
        <w:rPr>
          <w:rStyle w:val="normaltextrun"/>
          <w:rFonts w:eastAsiaTheme="majorEastAsia" w:cs="Arial"/>
          <w:i/>
          <w:iCs/>
          <w:color w:val="000000"/>
          <w:shd w:val="clear" w:color="auto" w:fill="FFFFFF"/>
        </w:rPr>
        <w:t>Guidance</w:t>
      </w:r>
      <w:r w:rsidRPr="7A77DD14">
        <w:rPr>
          <w:rStyle w:val="normaltextrun"/>
          <w:rFonts w:eastAsiaTheme="majorEastAsia" w:cs="Arial"/>
          <w:color w:val="000000"/>
          <w:shd w:val="clear" w:color="auto" w:fill="FFFFFF"/>
        </w:rPr>
        <w:t>, EPA will provide the submitter with an electronic notice of the inconsistency or insufficiency (via CDX)</w:t>
      </w:r>
      <w:r w:rsidR="000E598F">
        <w:rPr>
          <w:rStyle w:val="normaltextrun"/>
          <w:rFonts w:eastAsiaTheme="majorEastAsia" w:cs="Arial"/>
          <w:color w:val="000000"/>
          <w:shd w:val="clear" w:color="auto" w:fill="FFFFFF"/>
        </w:rPr>
        <w:t xml:space="preserve"> </w:t>
      </w:r>
      <w:r w:rsidRPr="7A77DD14">
        <w:rPr>
          <w:rStyle w:val="normaltextrun"/>
          <w:rFonts w:eastAsiaTheme="majorEastAsia" w:cs="Arial"/>
          <w:color w:val="000000"/>
          <w:shd w:val="clear" w:color="auto" w:fill="FFFFFF"/>
        </w:rPr>
        <w:t>and provide 10 working days for the submitter to provide</w:t>
      </w:r>
      <w:r w:rsidRPr="7A77DD14">
        <w:rPr>
          <w:rStyle w:val="normaltextrun"/>
          <w:rFonts w:eastAsiaTheme="majorEastAsia" w:cs="Arial"/>
          <w:color w:val="000000"/>
          <w:shd w:val="clear" w:color="auto" w:fill="FFFFFF"/>
        </w:rPr>
        <w:t xml:space="preserve"> a revised generic name.  If EPA concludes that the revised generic name is still not acceptable, EPA will reject the submission as incomplete</w:t>
      </w:r>
      <w:r w:rsidR="00E3719C">
        <w:rPr>
          <w:rStyle w:val="normaltextrun"/>
          <w:rFonts w:eastAsiaTheme="majorEastAsia" w:cs="Arial"/>
          <w:color w:val="000000"/>
          <w:shd w:val="clear" w:color="auto" w:fill="FFFFFF"/>
        </w:rPr>
        <w:t xml:space="preserve"> for a further 10 working days, during which a</w:t>
      </w:r>
      <w:r w:rsidRPr="00E3719C" w:rsidR="00E3719C">
        <w:rPr>
          <w:rStyle w:val="normaltextrun"/>
          <w:rFonts w:eastAsiaTheme="majorEastAsia" w:cs="Arial"/>
          <w:color w:val="000000"/>
          <w:shd w:val="clear" w:color="auto" w:fill="FFFFFF"/>
        </w:rPr>
        <w:t>ny applicable review period will not commence or will be suspended, and reporting requirements will not be considered to have been met until the submission is amended to provide the missing information; if the missing information is not provided in this period, EPA will proceed with review of the submission and may deny the CBI claim(s).</w:t>
      </w:r>
    </w:p>
    <w:p w:rsidR="00F856DE" w:rsidRPr="00E01005" w:rsidP="00E01005" w14:paraId="6E69C2AC" w14:textId="6FC6D2F3">
      <w:r w:rsidRPr="006C05AA">
        <w:t>When it is necessary for EPA to contact a TSCA submitter</w:t>
      </w:r>
      <w:r w:rsidR="006C05AA">
        <w:t xml:space="preserve"> </w:t>
      </w:r>
      <w:r w:rsidRPr="006C05AA" w:rsidR="000E304B">
        <w:t>c</w:t>
      </w:r>
      <w:r w:rsidRPr="006C05AA">
        <w:t>oncerning</w:t>
      </w:r>
      <w:r w:rsidRPr="006C05AA" w:rsidR="006C05AA">
        <w:t xml:space="preserve"> </w:t>
      </w:r>
      <w:r w:rsidR="006C05AA">
        <w:t xml:space="preserve">confidentiality </w:t>
      </w:r>
      <w:r w:rsidRPr="006C05AA">
        <w:t>claims (e.g., related to a pending or concluded confidentiality claim review, a deficient or incomplete submission, or in relation to the 10-year</w:t>
      </w:r>
      <w:r w:rsidRPr="006C05AA">
        <w:t xml:space="preserve"> expiration of </w:t>
      </w:r>
      <w:r w:rsidR="006C05AA">
        <w:t xml:space="preserve">a confidentiality claim </w:t>
      </w:r>
      <w:r w:rsidRPr="006C05AA">
        <w:t xml:space="preserve">(described in TSCA section 14(e))), EPA will provide notices and </w:t>
      </w:r>
      <w:r w:rsidR="006C05AA">
        <w:t xml:space="preserve">other correspondence </w:t>
      </w:r>
      <w:r w:rsidRPr="006C05AA">
        <w:t>to the submitter via CDX, using the contact information provided in the most recent version of the submission, or using the contact</w:t>
      </w:r>
      <w:r w:rsidRPr="006C05AA">
        <w:t xml:space="preserve"> information provided in a more recent notice of transfer of ownership relating to that submission.  The fact and date of delivery of such notice is verified automatically by CDX.  Alternatively, if this initial CDX notice is not deliverable, EPA will send</w:t>
      </w:r>
      <w:r w:rsidRPr="006C05AA">
        <w:t xml:space="preserve"> the notice or other communication via CDX to the </w:t>
      </w:r>
      <w:r w:rsidRPr="00E01005">
        <w:t>company contact provided in the most recent TSCA submission made by that company. </w:t>
      </w:r>
    </w:p>
    <w:p w:rsidR="00C944AF" w:rsidP="00C944AF" w14:paraId="7F004A8C" w14:textId="77777777">
      <w:pPr>
        <w:pStyle w:val="paragraph"/>
        <w:spacing w:before="0" w:beforeAutospacing="0" w:after="200" w:afterAutospacing="0" w:line="276" w:lineRule="auto"/>
        <w:textAlignment w:val="baseline"/>
        <w:rPr>
          <w:rStyle w:val="eop"/>
          <w:rFonts w:ascii="Arial" w:hAnsi="Arial" w:eastAsiaTheme="majorEastAsia" w:cs="Arial"/>
        </w:rPr>
      </w:pPr>
      <w:r w:rsidRPr="00C23CAF">
        <w:rPr>
          <w:rStyle w:val="normaltextrun"/>
          <w:rFonts w:ascii="Arial" w:hAnsi="Arial" w:cs="Arial"/>
        </w:rPr>
        <w:t>In addition to individual notice provided via CDX communication, EPA will periodically publish on its website a list of TSCA submissions with confidentiality claims that are approaching the end of the ten-year period of protection described in TSCA section</w:t>
      </w:r>
      <w:r w:rsidRPr="00C23CAF">
        <w:rPr>
          <w:rStyle w:val="normaltextrun"/>
          <w:rFonts w:ascii="Arial" w:hAnsi="Arial" w:cs="Arial"/>
        </w:rPr>
        <w:t xml:space="preserve"> 14(e).  Such TSCA submissions will be referred to by the TSCA case or document identifier (as described in subparagraph (e)(4)) that was assigned to the submission by EPA when it was originally submitted.  This list will be published on the EPA website at</w:t>
      </w:r>
      <w:r w:rsidRPr="00C23CAF">
        <w:rPr>
          <w:rStyle w:val="normaltextrun"/>
          <w:rFonts w:ascii="Arial" w:hAnsi="Arial" w:cs="Arial"/>
        </w:rPr>
        <w:t xml:space="preserve"> least 60 days prior to the end of the ten-year period of protection, along with instructions for reasserting and substantiating expiring claims.</w:t>
      </w:r>
      <w:r w:rsidRPr="00C23CAF">
        <w:rPr>
          <w:rStyle w:val="eop"/>
          <w:rFonts w:ascii="Arial" w:hAnsi="Arial" w:eastAsiaTheme="majorEastAsia" w:cs="Arial"/>
        </w:rPr>
        <w:t> </w:t>
      </w:r>
    </w:p>
    <w:p w:rsidR="000E304B" w:rsidP="000E304B" w14:paraId="323DBB27" w14:textId="0E97B3C7">
      <w:pPr>
        <w:pStyle w:val="paragraph"/>
        <w:spacing w:before="0" w:beforeAutospacing="0" w:after="200" w:afterAutospacing="0" w:line="276" w:lineRule="auto"/>
        <w:textAlignment w:val="baseline"/>
        <w:rPr>
          <w:rFonts w:ascii="Arial" w:hAnsi="Arial" w:cs="Arial"/>
        </w:rPr>
      </w:pPr>
      <w:r w:rsidRPr="000E304B">
        <w:rPr>
          <w:rFonts w:ascii="Arial" w:hAnsi="Arial" w:cs="Arial"/>
        </w:rPr>
        <w:t>When a confidentiality claim is being reviewed pursuant to TSCA section 14(f), EPA will provide, when necessa</w:t>
      </w:r>
      <w:r w:rsidRPr="000E304B">
        <w:rPr>
          <w:rFonts w:ascii="Arial" w:hAnsi="Arial" w:cs="Arial"/>
        </w:rPr>
        <w:t>ry, notice of such review and an opportunity to substantiate or resubstantiate the affected confidentiality claim to the submitter via CDX using the contact information for the authorized official and/or technical contact provided in the most recent versio</w:t>
      </w:r>
      <w:r w:rsidRPr="000E304B">
        <w:rPr>
          <w:rFonts w:ascii="Arial" w:hAnsi="Arial" w:cs="Arial"/>
        </w:rPr>
        <w:t>n of the submission or in a more recent notice of transfer of ownership relating to that submission. The fact and date of delivery of such a notice is verified automatically by CDX.  Alternatively, if this initial CDX notice is not deliverable, EPA will se</w:t>
      </w:r>
      <w:r w:rsidRPr="000E304B">
        <w:rPr>
          <w:rFonts w:ascii="Arial" w:hAnsi="Arial" w:cs="Arial"/>
        </w:rPr>
        <w:t>nd the notice via CDX to the company contact provided in the most recent TSCA submission made by that company. Under circumstances in which the notice is not deliverable via CDX to any of these company contacts, EPA will send the notice via courier or US M</w:t>
      </w:r>
      <w:r w:rsidRPr="000E304B">
        <w:rPr>
          <w:rFonts w:ascii="Arial" w:hAnsi="Arial" w:cs="Arial"/>
        </w:rPr>
        <w:t xml:space="preserve">ail to the company address provided in the most recent TSCA submission made by that company. The notice will provide instructions for substantiating claims that were exempt or for which the submitter was otherwise not required to provide substantiation at </w:t>
      </w:r>
      <w:r w:rsidRPr="000E304B">
        <w:rPr>
          <w:rFonts w:ascii="Arial" w:hAnsi="Arial" w:cs="Arial"/>
        </w:rPr>
        <w:t xml:space="preserve">the time of initial submission, and for updating or </w:t>
      </w:r>
      <w:r w:rsidRPr="000E304B" w:rsidR="002F4E42">
        <w:rPr>
          <w:rFonts w:ascii="Arial" w:hAnsi="Arial" w:cs="Arial"/>
        </w:rPr>
        <w:t>substantiating</w:t>
      </w:r>
      <w:r w:rsidRPr="000E304B">
        <w:rPr>
          <w:rFonts w:ascii="Arial" w:hAnsi="Arial" w:cs="Arial"/>
        </w:rPr>
        <w:t xml:space="preserve"> any claims that were previously substantiated.  </w:t>
      </w:r>
    </w:p>
    <w:p w:rsidR="000E304B" w14:paraId="3F6043AA" w14:textId="77777777">
      <w:pPr>
        <w:spacing w:after="160" w:line="259" w:lineRule="auto"/>
        <w:rPr>
          <w:rFonts w:eastAsia="Times New Roman" w:cs="Arial"/>
          <w:szCs w:val="24"/>
        </w:rPr>
      </w:pPr>
      <w:r>
        <w:rPr>
          <w:rFonts w:cs="Arial"/>
        </w:rPr>
        <w:br w:type="page"/>
      </w:r>
    </w:p>
    <w:p w:rsidR="2CC1EC8D" w:rsidRPr="00DF2D99" w:rsidP="000E304B" w14:paraId="4505F239" w14:textId="45E6FFA1">
      <w:pPr>
        <w:pStyle w:val="paragraph"/>
        <w:rPr>
          <w:rFonts w:cs="Arial"/>
          <w:b/>
          <w:bCs/>
        </w:rPr>
      </w:pPr>
      <w:r w:rsidRPr="632416FA">
        <w:rPr>
          <w:rFonts w:ascii="Arial" w:hAnsi="Arial" w:cs="Arial"/>
          <w:b/>
          <w:bCs/>
        </w:rPr>
        <w:t xml:space="preserve">Table </w:t>
      </w:r>
      <w:r w:rsidRPr="632416FA" w:rsidR="1FBB939E">
        <w:rPr>
          <w:rFonts w:ascii="Arial" w:hAnsi="Arial" w:cs="Arial"/>
          <w:b/>
          <w:bCs/>
        </w:rPr>
        <w:t>5</w:t>
      </w:r>
      <w:r w:rsidRPr="632416FA">
        <w:rPr>
          <w:rFonts w:ascii="Arial" w:hAnsi="Arial" w:cs="Arial"/>
          <w:b/>
          <w:bCs/>
        </w:rPr>
        <w:t>: Agency Wage Rate (</w:t>
      </w:r>
      <w:r w:rsidRPr="632416FA" w:rsidR="000647C9">
        <w:rPr>
          <w:rFonts w:ascii="Arial" w:hAnsi="Arial" w:cs="Arial"/>
          <w:b/>
          <w:bCs/>
        </w:rPr>
        <w:t>202</w:t>
      </w:r>
      <w:r w:rsidR="000647C9">
        <w:rPr>
          <w:rFonts w:ascii="Arial" w:hAnsi="Arial" w:cs="Arial"/>
          <w:b/>
          <w:bCs/>
        </w:rPr>
        <w:t>2</w:t>
      </w:r>
      <w:r w:rsidRPr="632416FA">
        <w:rPr>
          <w:rFonts w:ascii="Arial" w:hAnsi="Arial" w:cs="Arial"/>
          <w:b/>
          <w:bCs/>
        </w:rPr>
        <w:t>$)</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1260"/>
        <w:gridCol w:w="964"/>
        <w:gridCol w:w="964"/>
        <w:gridCol w:w="964"/>
        <w:gridCol w:w="965"/>
        <w:gridCol w:w="964"/>
        <w:gridCol w:w="870"/>
        <w:gridCol w:w="994"/>
      </w:tblGrid>
      <w:tr w14:paraId="0BF19D3F" w14:textId="77777777" w:rsidTr="002B49FF">
        <w:tblPrEx>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5"/>
        </w:trPr>
        <w:tc>
          <w:tcPr>
            <w:tcW w:w="1070" w:type="dxa"/>
            <w:vMerge w:val="restart"/>
            <w:shd w:val="clear" w:color="auto" w:fill="8EAADB" w:themeFill="accent5" w:themeFillTint="99"/>
            <w:vAlign w:val="center"/>
          </w:tcPr>
          <w:p w:rsidR="000647C9" w:rsidRPr="008527EA" w:rsidP="65B731DA" w14:paraId="3DC470A6" w14:textId="1594CD24">
            <w:pPr>
              <w:jc w:val="center"/>
              <w:rPr>
                <w:rFonts w:cs="Arial"/>
              </w:rPr>
            </w:pPr>
            <w:r w:rsidRPr="000E304B">
              <w:rPr>
                <w:rFonts w:eastAsia="Times New Roman" w:cs="Arial"/>
                <w:b/>
                <w:bCs/>
                <w:color w:val="000000" w:themeColor="text1"/>
                <w:sz w:val="20"/>
                <w:szCs w:val="20"/>
              </w:rPr>
              <w:t>Labor Category</w:t>
            </w:r>
          </w:p>
        </w:tc>
        <w:tc>
          <w:tcPr>
            <w:tcW w:w="1260" w:type="dxa"/>
            <w:vMerge w:val="restart"/>
            <w:shd w:val="clear" w:color="auto" w:fill="8EAADB" w:themeFill="accent5" w:themeFillTint="99"/>
            <w:vAlign w:val="center"/>
          </w:tcPr>
          <w:p w:rsidR="000647C9" w:rsidRPr="008527EA" w:rsidP="65B731DA" w14:paraId="52D6B518" w14:textId="75109D97">
            <w:pPr>
              <w:jc w:val="center"/>
              <w:rPr>
                <w:rFonts w:cs="Arial"/>
              </w:rPr>
            </w:pPr>
            <w:r w:rsidRPr="000E304B">
              <w:rPr>
                <w:rFonts w:eastAsia="Times New Roman" w:cs="Arial"/>
                <w:b/>
                <w:bCs/>
                <w:color w:val="000000" w:themeColor="text1"/>
                <w:sz w:val="18"/>
                <w:szCs w:val="18"/>
              </w:rPr>
              <w:t>Data Source for Wage Information</w:t>
            </w:r>
          </w:p>
        </w:tc>
        <w:tc>
          <w:tcPr>
            <w:tcW w:w="964" w:type="dxa"/>
            <w:shd w:val="clear" w:color="auto" w:fill="8EAADB" w:themeFill="accent5" w:themeFillTint="99"/>
            <w:vAlign w:val="center"/>
          </w:tcPr>
          <w:p w:rsidR="000647C9" w:rsidRPr="008527EA" w:rsidP="65B731DA" w14:paraId="602DE61C" w14:textId="5DCA3055">
            <w:pPr>
              <w:jc w:val="center"/>
              <w:rPr>
                <w:rFonts w:cs="Arial"/>
              </w:rPr>
            </w:pPr>
            <w:r w:rsidRPr="000E304B">
              <w:rPr>
                <w:rFonts w:eastAsia="Times New Roman" w:cs="Arial"/>
                <w:b/>
                <w:bCs/>
                <w:color w:val="000000" w:themeColor="text1"/>
                <w:sz w:val="20"/>
                <w:szCs w:val="20"/>
              </w:rPr>
              <w:t>Wage ($/hour)</w:t>
            </w:r>
          </w:p>
        </w:tc>
        <w:tc>
          <w:tcPr>
            <w:tcW w:w="964" w:type="dxa"/>
            <w:shd w:val="clear" w:color="auto" w:fill="8EAADB" w:themeFill="accent5" w:themeFillTint="99"/>
            <w:vAlign w:val="center"/>
          </w:tcPr>
          <w:p w:rsidR="000647C9" w:rsidRPr="008527EA" w:rsidP="65B731DA" w14:paraId="318DECFD" w14:textId="1863E9B2">
            <w:pPr>
              <w:jc w:val="center"/>
              <w:rPr>
                <w:rFonts w:cs="Arial"/>
              </w:rPr>
            </w:pPr>
            <w:r w:rsidRPr="000E304B">
              <w:rPr>
                <w:rFonts w:eastAsia="Times New Roman" w:cs="Arial"/>
                <w:b/>
                <w:bCs/>
                <w:color w:val="000000" w:themeColor="text1"/>
                <w:sz w:val="20"/>
                <w:szCs w:val="20"/>
              </w:rPr>
              <w:t>Fringes as % wage</w:t>
            </w:r>
            <w:r w:rsidRPr="000E304B">
              <w:rPr>
                <w:rFonts w:eastAsia="Times New Roman" w:cs="Arial"/>
                <w:b/>
                <w:bCs/>
                <w:color w:val="000000" w:themeColor="text1"/>
                <w:sz w:val="20"/>
                <w:szCs w:val="20"/>
                <w:vertAlign w:val="superscript"/>
              </w:rPr>
              <w:t>b</w:t>
            </w:r>
          </w:p>
        </w:tc>
        <w:tc>
          <w:tcPr>
            <w:tcW w:w="964" w:type="dxa"/>
            <w:shd w:val="clear" w:color="auto" w:fill="8EAADB" w:themeFill="accent5" w:themeFillTint="99"/>
            <w:vAlign w:val="center"/>
          </w:tcPr>
          <w:p w:rsidR="000647C9" w:rsidRPr="008527EA" w:rsidP="65B731DA" w14:paraId="43D035B3" w14:textId="385040DB">
            <w:pPr>
              <w:jc w:val="center"/>
              <w:rPr>
                <w:rFonts w:cs="Arial"/>
              </w:rPr>
            </w:pPr>
            <w:r w:rsidRPr="000E304B">
              <w:rPr>
                <w:rFonts w:eastAsia="Times New Roman" w:cs="Arial"/>
                <w:b/>
                <w:bCs/>
                <w:color w:val="000000" w:themeColor="text1"/>
                <w:sz w:val="20"/>
                <w:szCs w:val="20"/>
              </w:rPr>
              <w:t>Fringe Benefit</w:t>
            </w:r>
          </w:p>
        </w:tc>
        <w:tc>
          <w:tcPr>
            <w:tcW w:w="965" w:type="dxa"/>
            <w:shd w:val="clear" w:color="auto" w:fill="8EAADB" w:themeFill="accent5" w:themeFillTint="99"/>
            <w:vAlign w:val="center"/>
          </w:tcPr>
          <w:p w:rsidR="000647C9" w:rsidRPr="008527EA" w:rsidP="65B731DA" w14:paraId="2B618BE1" w14:textId="6776F102">
            <w:pPr>
              <w:jc w:val="center"/>
              <w:rPr>
                <w:rFonts w:cs="Arial"/>
              </w:rPr>
            </w:pPr>
            <w:r w:rsidRPr="000E304B">
              <w:rPr>
                <w:rFonts w:eastAsia="Times New Roman" w:cs="Arial"/>
                <w:b/>
                <w:bCs/>
                <w:color w:val="000000" w:themeColor="text1"/>
                <w:sz w:val="20"/>
                <w:szCs w:val="20"/>
              </w:rPr>
              <w:t>Total Compensation</w:t>
            </w:r>
          </w:p>
        </w:tc>
        <w:tc>
          <w:tcPr>
            <w:tcW w:w="964" w:type="dxa"/>
            <w:shd w:val="clear" w:color="auto" w:fill="8EAADB" w:themeFill="accent5" w:themeFillTint="99"/>
            <w:vAlign w:val="center"/>
          </w:tcPr>
          <w:p w:rsidR="000647C9" w:rsidRPr="008527EA" w:rsidP="65B731DA" w14:paraId="15CE2FE1" w14:textId="6B74BA5B">
            <w:pPr>
              <w:jc w:val="center"/>
              <w:rPr>
                <w:rFonts w:cs="Arial"/>
              </w:rPr>
            </w:pPr>
            <w:r w:rsidRPr="000E304B">
              <w:rPr>
                <w:rFonts w:eastAsia="Times New Roman" w:cs="Arial"/>
                <w:b/>
                <w:bCs/>
                <w:color w:val="000000" w:themeColor="text1"/>
                <w:sz w:val="20"/>
                <w:szCs w:val="20"/>
              </w:rPr>
              <w:t>Overhead as % total compensation</w:t>
            </w:r>
            <w:r w:rsidRPr="000E304B">
              <w:rPr>
                <w:rFonts w:eastAsia="Times New Roman" w:cs="Arial"/>
                <w:b/>
                <w:bCs/>
                <w:color w:val="000000" w:themeColor="text1"/>
                <w:sz w:val="20"/>
                <w:szCs w:val="20"/>
                <w:vertAlign w:val="superscript"/>
              </w:rPr>
              <w:t>c</w:t>
            </w:r>
          </w:p>
        </w:tc>
        <w:tc>
          <w:tcPr>
            <w:tcW w:w="870" w:type="dxa"/>
            <w:shd w:val="clear" w:color="auto" w:fill="8EAADB" w:themeFill="accent5" w:themeFillTint="99"/>
            <w:vAlign w:val="center"/>
          </w:tcPr>
          <w:p w:rsidR="000647C9" w:rsidRPr="008527EA" w:rsidP="65B731DA" w14:paraId="38A19569" w14:textId="432FA665">
            <w:pPr>
              <w:jc w:val="center"/>
              <w:rPr>
                <w:rFonts w:cs="Arial"/>
              </w:rPr>
            </w:pPr>
            <w:r w:rsidRPr="000E304B">
              <w:rPr>
                <w:rFonts w:eastAsia="Times New Roman" w:cs="Arial"/>
                <w:b/>
                <w:bCs/>
                <w:color w:val="000000" w:themeColor="text1"/>
                <w:sz w:val="20"/>
                <w:szCs w:val="20"/>
              </w:rPr>
              <w:t>Overhead</w:t>
            </w:r>
          </w:p>
        </w:tc>
        <w:tc>
          <w:tcPr>
            <w:tcW w:w="994" w:type="dxa"/>
            <w:shd w:val="clear" w:color="auto" w:fill="8EAADB" w:themeFill="accent5" w:themeFillTint="99"/>
            <w:vAlign w:val="center"/>
          </w:tcPr>
          <w:p w:rsidR="000647C9" w:rsidRPr="008527EA" w:rsidP="65B731DA" w14:paraId="79CD0520" w14:textId="1D0EC98E">
            <w:pPr>
              <w:jc w:val="center"/>
              <w:rPr>
                <w:rFonts w:cs="Arial"/>
              </w:rPr>
            </w:pPr>
            <w:r w:rsidRPr="000E304B">
              <w:rPr>
                <w:rFonts w:eastAsia="Times New Roman" w:cs="Arial"/>
                <w:b/>
                <w:bCs/>
                <w:color w:val="000000" w:themeColor="text1"/>
                <w:sz w:val="20"/>
                <w:szCs w:val="20"/>
              </w:rPr>
              <w:t>Loaded Wage ($/hr)</w:t>
            </w:r>
          </w:p>
        </w:tc>
      </w:tr>
      <w:tr w14:paraId="3DDE36A2" w14:textId="77777777" w:rsidTr="002B49FF">
        <w:tblPrEx>
          <w:tblW w:w="9015" w:type="dxa"/>
          <w:tblLayout w:type="fixed"/>
          <w:tblLook w:val="04A0"/>
        </w:tblPrEx>
        <w:trPr>
          <w:trHeight w:val="525"/>
        </w:trPr>
        <w:tc>
          <w:tcPr>
            <w:tcW w:w="1070" w:type="dxa"/>
            <w:vMerge/>
            <w:vAlign w:val="center"/>
          </w:tcPr>
          <w:p w:rsidR="000647C9" w:rsidRPr="000E304B" w14:paraId="0C710ED5" w14:textId="77777777">
            <w:pPr>
              <w:rPr>
                <w:rFonts w:cs="Arial"/>
              </w:rPr>
            </w:pPr>
          </w:p>
        </w:tc>
        <w:tc>
          <w:tcPr>
            <w:tcW w:w="1260" w:type="dxa"/>
            <w:vMerge/>
            <w:vAlign w:val="center"/>
          </w:tcPr>
          <w:p w:rsidR="000647C9" w:rsidRPr="000E304B" w14:paraId="1CA68AD5" w14:textId="77777777">
            <w:pPr>
              <w:rPr>
                <w:rFonts w:cs="Arial"/>
              </w:rPr>
            </w:pPr>
          </w:p>
        </w:tc>
        <w:tc>
          <w:tcPr>
            <w:tcW w:w="964" w:type="dxa"/>
            <w:shd w:val="clear" w:color="auto" w:fill="8EAADB" w:themeFill="accent5" w:themeFillTint="99"/>
            <w:vAlign w:val="center"/>
          </w:tcPr>
          <w:p w:rsidR="000647C9" w:rsidRPr="008527EA" w:rsidP="65B731DA" w14:paraId="36129B89" w14:textId="40319ADC">
            <w:pPr>
              <w:jc w:val="center"/>
              <w:rPr>
                <w:rFonts w:cs="Arial"/>
              </w:rPr>
            </w:pPr>
            <w:r w:rsidRPr="000E304B">
              <w:rPr>
                <w:rFonts w:eastAsia="Times New Roman" w:cs="Arial"/>
                <w:b/>
                <w:bCs/>
                <w:color w:val="000000" w:themeColor="text1"/>
                <w:sz w:val="20"/>
                <w:szCs w:val="20"/>
              </w:rPr>
              <w:t>(a)</w:t>
            </w:r>
          </w:p>
        </w:tc>
        <w:tc>
          <w:tcPr>
            <w:tcW w:w="964" w:type="dxa"/>
            <w:shd w:val="clear" w:color="auto" w:fill="8EAADB" w:themeFill="accent5" w:themeFillTint="99"/>
            <w:vAlign w:val="center"/>
          </w:tcPr>
          <w:p w:rsidR="000647C9" w:rsidRPr="008527EA" w:rsidP="65B731DA" w14:paraId="3349B8F4" w14:textId="2AD84F97">
            <w:pPr>
              <w:jc w:val="center"/>
              <w:rPr>
                <w:rFonts w:cs="Arial"/>
              </w:rPr>
            </w:pPr>
            <w:r w:rsidRPr="000E304B">
              <w:rPr>
                <w:rFonts w:eastAsia="Times New Roman" w:cs="Arial"/>
                <w:b/>
                <w:bCs/>
                <w:color w:val="000000" w:themeColor="text1"/>
                <w:sz w:val="20"/>
                <w:szCs w:val="20"/>
              </w:rPr>
              <w:t>(b)</w:t>
            </w:r>
          </w:p>
        </w:tc>
        <w:tc>
          <w:tcPr>
            <w:tcW w:w="964" w:type="dxa"/>
            <w:shd w:val="clear" w:color="auto" w:fill="8EAADB" w:themeFill="accent5" w:themeFillTint="99"/>
            <w:vAlign w:val="center"/>
          </w:tcPr>
          <w:p w:rsidR="000647C9" w:rsidRPr="008527EA" w:rsidP="65B731DA" w14:paraId="306CAFE4" w14:textId="47260C56">
            <w:pPr>
              <w:jc w:val="center"/>
              <w:rPr>
                <w:rFonts w:cs="Arial"/>
              </w:rPr>
            </w:pPr>
            <w:r w:rsidRPr="000E304B">
              <w:rPr>
                <w:rFonts w:eastAsia="Times New Roman" w:cs="Arial"/>
                <w:b/>
                <w:bCs/>
                <w:color w:val="000000" w:themeColor="text1"/>
                <w:sz w:val="20"/>
                <w:szCs w:val="20"/>
              </w:rPr>
              <w:t>(c) = (a)*(b)</w:t>
            </w:r>
          </w:p>
        </w:tc>
        <w:tc>
          <w:tcPr>
            <w:tcW w:w="965" w:type="dxa"/>
            <w:shd w:val="clear" w:color="auto" w:fill="8EAADB" w:themeFill="accent5" w:themeFillTint="99"/>
            <w:vAlign w:val="center"/>
          </w:tcPr>
          <w:p w:rsidR="000647C9" w:rsidRPr="008527EA" w:rsidP="65B731DA" w14:paraId="30BC5E1C" w14:textId="08677393">
            <w:pPr>
              <w:jc w:val="center"/>
              <w:rPr>
                <w:rFonts w:cs="Arial"/>
              </w:rPr>
            </w:pPr>
            <w:r w:rsidRPr="000E304B">
              <w:rPr>
                <w:rFonts w:eastAsia="Times New Roman" w:cs="Arial"/>
                <w:b/>
                <w:bCs/>
                <w:color w:val="000000" w:themeColor="text1"/>
                <w:sz w:val="20"/>
                <w:szCs w:val="20"/>
              </w:rPr>
              <w:t>(d) = (a)+(c)</w:t>
            </w:r>
          </w:p>
        </w:tc>
        <w:tc>
          <w:tcPr>
            <w:tcW w:w="964" w:type="dxa"/>
            <w:shd w:val="clear" w:color="auto" w:fill="8EAADB" w:themeFill="accent5" w:themeFillTint="99"/>
            <w:vAlign w:val="center"/>
          </w:tcPr>
          <w:p w:rsidR="000647C9" w:rsidRPr="008527EA" w:rsidP="65B731DA" w14:paraId="280931E5" w14:textId="6E016439">
            <w:pPr>
              <w:jc w:val="center"/>
              <w:rPr>
                <w:rFonts w:cs="Arial"/>
              </w:rPr>
            </w:pPr>
            <w:r w:rsidRPr="000E304B">
              <w:rPr>
                <w:rFonts w:eastAsia="Times New Roman" w:cs="Arial"/>
                <w:b/>
                <w:bCs/>
                <w:color w:val="000000" w:themeColor="text1"/>
                <w:sz w:val="20"/>
                <w:szCs w:val="20"/>
              </w:rPr>
              <w:t>(e)</w:t>
            </w:r>
          </w:p>
        </w:tc>
        <w:tc>
          <w:tcPr>
            <w:tcW w:w="870" w:type="dxa"/>
            <w:shd w:val="clear" w:color="auto" w:fill="8EAADB" w:themeFill="accent5" w:themeFillTint="99"/>
            <w:vAlign w:val="center"/>
          </w:tcPr>
          <w:p w:rsidR="000647C9" w:rsidRPr="008527EA" w:rsidP="65B731DA" w14:paraId="2C4E3212" w14:textId="3DF33A2D">
            <w:pPr>
              <w:jc w:val="center"/>
              <w:rPr>
                <w:rFonts w:cs="Arial"/>
              </w:rPr>
            </w:pPr>
            <w:r w:rsidRPr="000E304B">
              <w:rPr>
                <w:rFonts w:eastAsia="Times New Roman" w:cs="Arial"/>
                <w:b/>
                <w:bCs/>
                <w:color w:val="000000" w:themeColor="text1"/>
                <w:sz w:val="20"/>
                <w:szCs w:val="20"/>
              </w:rPr>
              <w:t xml:space="preserve">(f) = (d)*(e) </w:t>
            </w:r>
          </w:p>
        </w:tc>
        <w:tc>
          <w:tcPr>
            <w:tcW w:w="994" w:type="dxa"/>
            <w:shd w:val="clear" w:color="auto" w:fill="8EAADB" w:themeFill="accent5" w:themeFillTint="99"/>
            <w:vAlign w:val="center"/>
          </w:tcPr>
          <w:p w:rsidR="000647C9" w:rsidRPr="008527EA" w:rsidP="65B731DA" w14:paraId="41F4744A" w14:textId="0AC1D1A7">
            <w:pPr>
              <w:jc w:val="center"/>
              <w:rPr>
                <w:rFonts w:cs="Arial"/>
              </w:rPr>
            </w:pPr>
            <w:r w:rsidRPr="000E304B">
              <w:rPr>
                <w:rFonts w:eastAsia="Times New Roman" w:cs="Arial"/>
                <w:b/>
                <w:bCs/>
                <w:color w:val="000000" w:themeColor="text1"/>
                <w:sz w:val="20"/>
                <w:szCs w:val="20"/>
              </w:rPr>
              <w:t>(g) = (d)+(f)</w:t>
            </w:r>
          </w:p>
        </w:tc>
      </w:tr>
      <w:tr w14:paraId="2171102F" w14:textId="77777777" w:rsidTr="002B49FF">
        <w:tblPrEx>
          <w:tblW w:w="9015" w:type="dxa"/>
          <w:tblLayout w:type="fixed"/>
          <w:tblLook w:val="04A0"/>
        </w:tblPrEx>
        <w:trPr>
          <w:trHeight w:val="517"/>
        </w:trPr>
        <w:tc>
          <w:tcPr>
            <w:tcW w:w="1070" w:type="dxa"/>
            <w:vMerge w:val="restart"/>
            <w:vAlign w:val="center"/>
          </w:tcPr>
          <w:p w:rsidR="000647C9" w:rsidRPr="008527EA" w:rsidP="000647C9" w14:paraId="7FC66D9E" w14:textId="4C347778">
            <w:pPr>
              <w:rPr>
                <w:rFonts w:cs="Arial"/>
              </w:rPr>
            </w:pPr>
            <w:r w:rsidRPr="000E304B">
              <w:rPr>
                <w:rFonts w:eastAsia="Times New Roman" w:cs="Arial"/>
                <w:color w:val="000000" w:themeColor="text1"/>
                <w:sz w:val="20"/>
                <w:szCs w:val="20"/>
              </w:rPr>
              <w:t>EPA staff</w:t>
            </w:r>
          </w:p>
        </w:tc>
        <w:tc>
          <w:tcPr>
            <w:tcW w:w="1260" w:type="dxa"/>
            <w:vMerge w:val="restart"/>
            <w:vAlign w:val="center"/>
          </w:tcPr>
          <w:p w:rsidR="000647C9" w:rsidRPr="008527EA" w:rsidP="000647C9" w14:paraId="0EA283BB" w14:textId="29F0278B">
            <w:pPr>
              <w:rPr>
                <w:rFonts w:cs="Arial"/>
              </w:rPr>
            </w:pPr>
            <w:r w:rsidRPr="000E304B">
              <w:rPr>
                <w:rFonts w:eastAsia="Times New Roman" w:cs="Arial"/>
                <w:color w:val="000000" w:themeColor="text1"/>
                <w:sz w:val="16"/>
                <w:szCs w:val="16"/>
              </w:rPr>
              <w:t xml:space="preserve">Annual federal staff cost: OPM Washington-Baltimore-Northern Virginia, </w:t>
            </w:r>
            <w:r w:rsidRPr="000E304B">
              <w:rPr>
                <w:rFonts w:eastAsia="Times New Roman" w:cs="Arial"/>
                <w:color w:val="000000" w:themeColor="text1"/>
                <w:sz w:val="16"/>
                <w:szCs w:val="16"/>
              </w:rPr>
              <w:t>DC-MD-PA-VA-WV area,</w:t>
            </w:r>
            <w:r w:rsidRPr="000E304B">
              <w:rPr>
                <w:rFonts w:eastAsia="Times New Roman" w:cs="Arial"/>
                <w:color w:val="000000" w:themeColor="text1"/>
                <w:sz w:val="16"/>
                <w:szCs w:val="16"/>
                <w:u w:val="single"/>
              </w:rPr>
              <w:t xml:space="preserve"> </w:t>
            </w:r>
            <w:r w:rsidRPr="000E304B">
              <w:rPr>
                <w:rFonts w:eastAsia="Times New Roman" w:cs="Arial"/>
                <w:color w:val="000000" w:themeColor="text1"/>
                <w:sz w:val="16"/>
                <w:szCs w:val="16"/>
              </w:rPr>
              <w:t xml:space="preserve">GS-13 Step 5 pay rates </w:t>
            </w:r>
            <w:r w:rsidRPr="000E304B">
              <w:rPr>
                <w:rFonts w:eastAsia="Times New Roman" w:cs="Arial"/>
                <w:color w:val="000000" w:themeColor="text1"/>
                <w:sz w:val="16"/>
                <w:szCs w:val="16"/>
                <w:vertAlign w:val="superscript"/>
              </w:rPr>
              <w:t>a</w:t>
            </w:r>
          </w:p>
        </w:tc>
        <w:tc>
          <w:tcPr>
            <w:tcW w:w="964" w:type="dxa"/>
            <w:vMerge w:val="restart"/>
            <w:shd w:val="clear" w:color="auto" w:fill="auto"/>
            <w:vAlign w:val="center"/>
          </w:tcPr>
          <w:p w:rsidR="000647C9" w:rsidRPr="008527EA" w:rsidP="000647C9" w14:paraId="31D4BC90" w14:textId="49E9AE56">
            <w:pPr>
              <w:jc w:val="center"/>
              <w:rPr>
                <w:rFonts w:eastAsia="Times New Roman" w:cs="Arial"/>
                <w:sz w:val="20"/>
                <w:szCs w:val="20"/>
              </w:rPr>
            </w:pPr>
            <w:r>
              <w:rPr>
                <w:color w:val="000000"/>
                <w:sz w:val="20"/>
                <w:szCs w:val="20"/>
              </w:rPr>
              <w:t xml:space="preserve">$58.20 </w:t>
            </w:r>
          </w:p>
        </w:tc>
        <w:tc>
          <w:tcPr>
            <w:tcW w:w="964" w:type="dxa"/>
            <w:vMerge w:val="restart"/>
            <w:shd w:val="clear" w:color="auto" w:fill="auto"/>
            <w:vAlign w:val="center"/>
          </w:tcPr>
          <w:p w:rsidR="000647C9" w:rsidRPr="008527EA" w:rsidP="000647C9" w14:paraId="6508A7D3" w14:textId="24D1F3D5">
            <w:pPr>
              <w:jc w:val="center"/>
              <w:rPr>
                <w:rFonts w:cs="Arial"/>
              </w:rPr>
            </w:pPr>
            <w:r>
              <w:rPr>
                <w:color w:val="000000"/>
                <w:sz w:val="20"/>
                <w:szCs w:val="20"/>
              </w:rPr>
              <w:t>63.90%</w:t>
            </w:r>
          </w:p>
        </w:tc>
        <w:tc>
          <w:tcPr>
            <w:tcW w:w="964" w:type="dxa"/>
            <w:vMerge w:val="restart"/>
            <w:shd w:val="clear" w:color="auto" w:fill="auto"/>
            <w:vAlign w:val="center"/>
          </w:tcPr>
          <w:p w:rsidR="000647C9" w:rsidRPr="008527EA" w:rsidP="000647C9" w14:paraId="2C8DA552" w14:textId="2583FD02">
            <w:pPr>
              <w:jc w:val="center"/>
              <w:rPr>
                <w:rFonts w:eastAsia="Times New Roman" w:cs="Arial"/>
                <w:sz w:val="20"/>
                <w:szCs w:val="20"/>
              </w:rPr>
            </w:pPr>
            <w:r>
              <w:rPr>
                <w:color w:val="000000"/>
                <w:sz w:val="20"/>
                <w:szCs w:val="20"/>
              </w:rPr>
              <w:t xml:space="preserve">$37.19 </w:t>
            </w:r>
          </w:p>
        </w:tc>
        <w:tc>
          <w:tcPr>
            <w:tcW w:w="965" w:type="dxa"/>
            <w:vMerge w:val="restart"/>
            <w:shd w:val="clear" w:color="auto" w:fill="auto"/>
            <w:vAlign w:val="center"/>
          </w:tcPr>
          <w:p w:rsidR="000647C9" w:rsidRPr="008527EA" w:rsidP="000647C9" w14:paraId="1615D529" w14:textId="538E0C45">
            <w:pPr>
              <w:jc w:val="center"/>
              <w:rPr>
                <w:rFonts w:eastAsia="Times New Roman" w:cs="Arial"/>
                <w:sz w:val="20"/>
                <w:szCs w:val="20"/>
              </w:rPr>
            </w:pPr>
            <w:r>
              <w:rPr>
                <w:color w:val="000000"/>
                <w:sz w:val="20"/>
                <w:szCs w:val="20"/>
              </w:rPr>
              <w:t xml:space="preserve">$95.40 </w:t>
            </w:r>
          </w:p>
        </w:tc>
        <w:tc>
          <w:tcPr>
            <w:tcW w:w="964" w:type="dxa"/>
            <w:vMerge w:val="restart"/>
            <w:shd w:val="clear" w:color="auto" w:fill="auto"/>
            <w:vAlign w:val="center"/>
          </w:tcPr>
          <w:p w:rsidR="000647C9" w:rsidRPr="008527EA" w:rsidP="000647C9" w14:paraId="208EE508" w14:textId="0B79850B">
            <w:pPr>
              <w:jc w:val="center"/>
              <w:rPr>
                <w:rFonts w:cs="Arial"/>
              </w:rPr>
            </w:pPr>
            <w:r>
              <w:rPr>
                <w:color w:val="000000"/>
                <w:sz w:val="20"/>
                <w:szCs w:val="20"/>
              </w:rPr>
              <w:t>20%</w:t>
            </w:r>
          </w:p>
        </w:tc>
        <w:tc>
          <w:tcPr>
            <w:tcW w:w="870" w:type="dxa"/>
            <w:vMerge w:val="restart"/>
            <w:shd w:val="clear" w:color="auto" w:fill="auto"/>
            <w:vAlign w:val="center"/>
          </w:tcPr>
          <w:p w:rsidR="000647C9" w:rsidRPr="008527EA" w:rsidP="000647C9" w14:paraId="09535C14" w14:textId="4FF19F88">
            <w:pPr>
              <w:jc w:val="center"/>
              <w:rPr>
                <w:rFonts w:eastAsia="Times New Roman" w:cs="Arial"/>
                <w:sz w:val="20"/>
                <w:szCs w:val="20"/>
              </w:rPr>
            </w:pPr>
            <w:r>
              <w:rPr>
                <w:color w:val="000000"/>
                <w:sz w:val="20"/>
                <w:szCs w:val="20"/>
              </w:rPr>
              <w:t xml:space="preserve">$19.08 </w:t>
            </w:r>
          </w:p>
        </w:tc>
        <w:tc>
          <w:tcPr>
            <w:tcW w:w="994" w:type="dxa"/>
            <w:vMerge w:val="restart"/>
            <w:shd w:val="clear" w:color="auto" w:fill="auto"/>
            <w:vAlign w:val="center"/>
          </w:tcPr>
          <w:p w:rsidR="000647C9" w:rsidRPr="008527EA" w:rsidP="000647C9" w14:paraId="69A51977" w14:textId="03820884">
            <w:pPr>
              <w:jc w:val="center"/>
              <w:rPr>
                <w:rFonts w:eastAsia="Times New Roman" w:cs="Arial"/>
                <w:sz w:val="20"/>
                <w:szCs w:val="20"/>
              </w:rPr>
            </w:pPr>
            <w:r>
              <w:rPr>
                <w:color w:val="000000"/>
                <w:sz w:val="20"/>
                <w:szCs w:val="20"/>
              </w:rPr>
              <w:t xml:space="preserve">$114.48 </w:t>
            </w:r>
          </w:p>
        </w:tc>
      </w:tr>
      <w:tr w14:paraId="77ABD8D6" w14:textId="77777777" w:rsidTr="002B49FF">
        <w:tblPrEx>
          <w:tblW w:w="9015" w:type="dxa"/>
          <w:tblLayout w:type="fixed"/>
          <w:tblLook w:val="04A0"/>
        </w:tblPrEx>
        <w:trPr>
          <w:trHeight w:val="1545"/>
        </w:trPr>
        <w:tc>
          <w:tcPr>
            <w:tcW w:w="1070" w:type="dxa"/>
            <w:vMerge/>
            <w:vAlign w:val="center"/>
          </w:tcPr>
          <w:p w:rsidR="000647C9" w:rsidRPr="000E304B" w14:paraId="237B9420" w14:textId="77777777">
            <w:pPr>
              <w:rPr>
                <w:rFonts w:cs="Arial"/>
              </w:rPr>
            </w:pPr>
          </w:p>
        </w:tc>
        <w:tc>
          <w:tcPr>
            <w:tcW w:w="1260" w:type="dxa"/>
            <w:vMerge/>
            <w:vAlign w:val="center"/>
          </w:tcPr>
          <w:p w:rsidR="000647C9" w:rsidRPr="000E304B" w14:paraId="692626D7" w14:textId="77777777">
            <w:pPr>
              <w:rPr>
                <w:rFonts w:cs="Arial"/>
              </w:rPr>
            </w:pPr>
          </w:p>
        </w:tc>
        <w:tc>
          <w:tcPr>
            <w:tcW w:w="964" w:type="dxa"/>
            <w:vMerge/>
            <w:vAlign w:val="center"/>
          </w:tcPr>
          <w:p w:rsidR="000647C9" w:rsidRPr="000E304B" w14:paraId="2DB5CEDE" w14:textId="77777777">
            <w:pPr>
              <w:rPr>
                <w:rFonts w:cs="Arial"/>
              </w:rPr>
            </w:pPr>
          </w:p>
        </w:tc>
        <w:tc>
          <w:tcPr>
            <w:tcW w:w="964" w:type="dxa"/>
            <w:vMerge/>
            <w:vAlign w:val="center"/>
          </w:tcPr>
          <w:p w:rsidR="000647C9" w:rsidRPr="000E304B" w14:paraId="37364758" w14:textId="77777777">
            <w:pPr>
              <w:rPr>
                <w:rFonts w:cs="Arial"/>
              </w:rPr>
            </w:pPr>
          </w:p>
        </w:tc>
        <w:tc>
          <w:tcPr>
            <w:tcW w:w="964" w:type="dxa"/>
            <w:vMerge/>
            <w:vAlign w:val="center"/>
          </w:tcPr>
          <w:p w:rsidR="000647C9" w:rsidRPr="000E304B" w14:paraId="7CD6F0CE" w14:textId="77777777">
            <w:pPr>
              <w:rPr>
                <w:rFonts w:cs="Arial"/>
              </w:rPr>
            </w:pPr>
          </w:p>
        </w:tc>
        <w:tc>
          <w:tcPr>
            <w:tcW w:w="965" w:type="dxa"/>
            <w:vMerge/>
            <w:vAlign w:val="center"/>
          </w:tcPr>
          <w:p w:rsidR="000647C9" w:rsidRPr="000E304B" w14:paraId="22442341" w14:textId="77777777">
            <w:pPr>
              <w:rPr>
                <w:rFonts w:cs="Arial"/>
              </w:rPr>
            </w:pPr>
          </w:p>
        </w:tc>
        <w:tc>
          <w:tcPr>
            <w:tcW w:w="964" w:type="dxa"/>
            <w:vMerge/>
            <w:vAlign w:val="center"/>
          </w:tcPr>
          <w:p w:rsidR="000647C9" w:rsidRPr="000E304B" w14:paraId="3AD4E423" w14:textId="77777777">
            <w:pPr>
              <w:rPr>
                <w:rFonts w:cs="Arial"/>
              </w:rPr>
            </w:pPr>
          </w:p>
        </w:tc>
        <w:tc>
          <w:tcPr>
            <w:tcW w:w="870" w:type="dxa"/>
            <w:vMerge/>
            <w:vAlign w:val="center"/>
          </w:tcPr>
          <w:p w:rsidR="000647C9" w:rsidRPr="000E304B" w14:paraId="220A40C2" w14:textId="77777777">
            <w:pPr>
              <w:rPr>
                <w:rFonts w:cs="Arial"/>
              </w:rPr>
            </w:pPr>
          </w:p>
        </w:tc>
        <w:tc>
          <w:tcPr>
            <w:tcW w:w="994" w:type="dxa"/>
            <w:vMerge/>
            <w:vAlign w:val="center"/>
          </w:tcPr>
          <w:p w:rsidR="000647C9" w:rsidRPr="000E304B" w14:paraId="02F4C85D" w14:textId="77777777">
            <w:pPr>
              <w:rPr>
                <w:rFonts w:cs="Arial"/>
              </w:rPr>
            </w:pPr>
          </w:p>
        </w:tc>
      </w:tr>
    </w:tbl>
    <w:p w:rsidR="2CC1EC8D" w:rsidRPr="000E304B" w:rsidP="00144A27" w14:paraId="04BE193C" w14:textId="05CDB03D">
      <w:pPr>
        <w:pStyle w:val="NoSpacing"/>
        <w:rPr>
          <w:rFonts w:ascii="Arial" w:hAnsi="Arial" w:cs="Arial"/>
          <w:sz w:val="16"/>
          <w:szCs w:val="16"/>
        </w:rPr>
      </w:pPr>
      <w:r w:rsidRPr="000E304B">
        <w:rPr>
          <w:rFonts w:ascii="Arial" w:hAnsi="Arial" w:cs="Arial"/>
          <w:sz w:val="16"/>
          <w:szCs w:val="16"/>
        </w:rPr>
        <w:t>Note: Values may not sum due to rounding. Costs are rounded to the nearest penny for display purposes.</w:t>
      </w:r>
    </w:p>
    <w:p w:rsidR="2CC1EC8D" w:rsidRPr="000E304B" w:rsidP="00144A27" w14:paraId="266AE179" w14:textId="26337AC3">
      <w:pPr>
        <w:pStyle w:val="NoSpacing"/>
        <w:rPr>
          <w:rFonts w:ascii="Arial" w:hAnsi="Arial" w:cs="Arial"/>
          <w:sz w:val="16"/>
          <w:szCs w:val="16"/>
        </w:rPr>
      </w:pPr>
      <w:r w:rsidRPr="000E304B">
        <w:rPr>
          <w:rFonts w:ascii="Arial" w:hAnsi="Arial" w:cs="Arial"/>
          <w:sz w:val="16"/>
          <w:szCs w:val="16"/>
          <w:vertAlign w:val="superscript"/>
        </w:rPr>
        <w:t xml:space="preserve">a </w:t>
      </w:r>
      <w:r w:rsidRPr="000E304B">
        <w:rPr>
          <w:rFonts w:ascii="Arial" w:hAnsi="Arial" w:cs="Arial"/>
          <w:sz w:val="16"/>
          <w:szCs w:val="16"/>
        </w:rPr>
        <w:t xml:space="preserve">Source: U.S. Office of Personnel </w:t>
      </w:r>
      <w:r w:rsidRPr="000E304B">
        <w:rPr>
          <w:rFonts w:ascii="Arial" w:hAnsi="Arial" w:cs="Arial"/>
          <w:sz w:val="16"/>
          <w:szCs w:val="16"/>
        </w:rPr>
        <w:t>Management. (</w:t>
      </w:r>
      <w:r w:rsidRPr="000E304B" w:rsidR="000647C9">
        <w:rPr>
          <w:rFonts w:ascii="Arial" w:hAnsi="Arial" w:cs="Arial"/>
          <w:sz w:val="16"/>
          <w:szCs w:val="16"/>
        </w:rPr>
        <w:t>202</w:t>
      </w:r>
      <w:r w:rsidR="000647C9">
        <w:rPr>
          <w:rFonts w:ascii="Arial" w:hAnsi="Arial" w:cs="Arial"/>
          <w:sz w:val="16"/>
          <w:szCs w:val="16"/>
        </w:rPr>
        <w:t>2</w:t>
      </w:r>
      <w:r w:rsidRPr="000E304B">
        <w:rPr>
          <w:rFonts w:ascii="Arial" w:hAnsi="Arial" w:cs="Arial"/>
          <w:sz w:val="16"/>
          <w:szCs w:val="16"/>
        </w:rPr>
        <w:t xml:space="preserve">). Salary Table </w:t>
      </w:r>
      <w:r w:rsidRPr="000E304B" w:rsidR="000647C9">
        <w:rPr>
          <w:rFonts w:ascii="Arial" w:hAnsi="Arial" w:cs="Arial"/>
          <w:sz w:val="16"/>
          <w:szCs w:val="16"/>
        </w:rPr>
        <w:t>202</w:t>
      </w:r>
      <w:r w:rsidR="000647C9">
        <w:rPr>
          <w:rFonts w:ascii="Arial" w:hAnsi="Arial" w:cs="Arial"/>
          <w:sz w:val="16"/>
          <w:szCs w:val="16"/>
        </w:rPr>
        <w:t>2</w:t>
      </w:r>
      <w:r w:rsidRPr="000E304B">
        <w:rPr>
          <w:rFonts w:ascii="Arial" w:hAnsi="Arial" w:cs="Arial"/>
          <w:sz w:val="16"/>
          <w:szCs w:val="16"/>
        </w:rPr>
        <w:t xml:space="preserve">-DCB. Retrieved </w:t>
      </w:r>
      <w:r w:rsidR="000647C9">
        <w:rPr>
          <w:rFonts w:ascii="Arial" w:hAnsi="Arial" w:cs="Arial"/>
          <w:sz w:val="16"/>
          <w:szCs w:val="16"/>
        </w:rPr>
        <w:t>April 17, 2022</w:t>
      </w:r>
      <w:r w:rsidRPr="000E304B">
        <w:rPr>
          <w:rFonts w:ascii="Arial" w:hAnsi="Arial" w:cs="Arial"/>
          <w:sz w:val="16"/>
          <w:szCs w:val="16"/>
        </w:rPr>
        <w:t xml:space="preserve"> from Pay &amp; Leave: Salaries &amp; Wages: </w:t>
      </w:r>
      <w:hyperlink r:id="rId9" w:history="1">
        <w:r w:rsidRPr="000647C9" w:rsidR="000647C9">
          <w:rPr>
            <w:rStyle w:val="Hyperlink"/>
            <w:rFonts w:ascii="Arial" w:hAnsi="Arial" w:cs="Arial"/>
            <w:sz w:val="16"/>
            <w:szCs w:val="16"/>
          </w:rPr>
          <w:t>https://www.opm.gov/policy-data-oversight/pay-leave/salaries-wages/salary-tables/pdf/2022/DCB.pdf</w:t>
        </w:r>
      </w:hyperlink>
      <w:r w:rsidRPr="000E304B">
        <w:rPr>
          <w:rFonts w:ascii="Arial" w:hAnsi="Arial" w:cs="Arial"/>
          <w:sz w:val="16"/>
          <w:szCs w:val="16"/>
        </w:rPr>
        <w:t>.</w:t>
      </w:r>
    </w:p>
    <w:p w:rsidR="2CC1EC8D" w:rsidRPr="000E304B" w:rsidP="00144A27" w14:paraId="395213C2" w14:textId="1461AC51">
      <w:pPr>
        <w:pStyle w:val="NoSpacing"/>
        <w:rPr>
          <w:rFonts w:ascii="Arial" w:hAnsi="Arial" w:cs="Arial"/>
          <w:sz w:val="16"/>
          <w:szCs w:val="16"/>
        </w:rPr>
      </w:pPr>
      <w:r w:rsidRPr="000E304B">
        <w:rPr>
          <w:rFonts w:ascii="Arial" w:hAnsi="Arial" w:cs="Arial"/>
          <w:sz w:val="16"/>
          <w:szCs w:val="16"/>
          <w:vertAlign w:val="superscript"/>
        </w:rPr>
        <w:t>b</w:t>
      </w:r>
      <w:r w:rsidRPr="000E304B">
        <w:rPr>
          <w:rFonts w:ascii="Arial" w:hAnsi="Arial" w:cs="Arial"/>
          <w:sz w:val="16"/>
          <w:szCs w:val="16"/>
        </w:rPr>
        <w:t xml:space="preserve"> Source: Falk, J. 2012. “Comparing Benefits </w:t>
      </w:r>
      <w:r w:rsidRPr="000E304B">
        <w:rPr>
          <w:rFonts w:ascii="Arial" w:hAnsi="Arial" w:cs="Arial"/>
          <w:sz w:val="16"/>
          <w:szCs w:val="16"/>
        </w:rPr>
        <w:t xml:space="preserve">and Total Compensation in the Federal Government and the Private Sector.” Congressional Budget Office Working Paper Series. </w:t>
      </w:r>
      <w:hyperlink r:id="rId10">
        <w:r w:rsidRPr="000E304B">
          <w:rPr>
            <w:rStyle w:val="Hyperlink"/>
            <w:rFonts w:ascii="Arial" w:eastAsia="Times New Roman" w:hAnsi="Arial" w:cs="Arial"/>
            <w:sz w:val="16"/>
            <w:szCs w:val="16"/>
          </w:rPr>
          <w:t>https://w</w:t>
        </w:r>
        <w:r w:rsidRPr="000E304B">
          <w:rPr>
            <w:rStyle w:val="Hyperlink"/>
            <w:rFonts w:ascii="Arial" w:eastAsia="Times New Roman" w:hAnsi="Arial" w:cs="Arial"/>
            <w:sz w:val="16"/>
            <w:szCs w:val="16"/>
          </w:rPr>
          <w:t>ww.cbo.gov/sites/default/files/112th-congress-2011-2012/workingpaper/2012-04fedbenefitswp0.pdf</w:t>
        </w:r>
      </w:hyperlink>
    </w:p>
    <w:p w:rsidR="2CC1EC8D" w:rsidRPr="000E304B" w:rsidP="00144A27" w14:paraId="0F5C161F" w14:textId="02117DE4">
      <w:pPr>
        <w:pStyle w:val="NoSpacing"/>
        <w:rPr>
          <w:rFonts w:ascii="Arial" w:hAnsi="Arial" w:cs="Arial"/>
          <w:sz w:val="16"/>
          <w:szCs w:val="16"/>
        </w:rPr>
      </w:pPr>
      <w:r w:rsidRPr="000E304B">
        <w:rPr>
          <w:rFonts w:ascii="Arial" w:hAnsi="Arial" w:cs="Arial"/>
          <w:sz w:val="16"/>
          <w:szCs w:val="16"/>
          <w:vertAlign w:val="superscript"/>
        </w:rPr>
        <w:t xml:space="preserve">c </w:t>
      </w:r>
      <w:r w:rsidRPr="000E304B">
        <w:rPr>
          <w:rFonts w:ascii="Arial" w:hAnsi="Arial" w:cs="Arial"/>
          <w:sz w:val="16"/>
          <w:szCs w:val="16"/>
        </w:rPr>
        <w:t>An overhead rate of 20% is used based on assumptions in Handbook on Valuing Changes in Time Use Induced by Regulatory Requirements and Other U.S. EPA Actions (</w:t>
      </w:r>
      <w:r w:rsidRPr="000E304B">
        <w:rPr>
          <w:rFonts w:ascii="Arial" w:hAnsi="Arial" w:cs="Arial"/>
          <w:sz w:val="16"/>
          <w:szCs w:val="16"/>
        </w:rPr>
        <w:t>EPA 2020b).</w:t>
      </w:r>
    </w:p>
    <w:p w:rsidR="00F856DE" w:rsidRPr="00CD7E9D" w:rsidP="00CD7E9D" w14:paraId="18AE01F3" w14:textId="77777777">
      <w:pPr>
        <w:pStyle w:val="BodyText"/>
        <w:rPr>
          <w:rFonts w:cs="Arial"/>
          <w:color w:val="333333"/>
          <w:szCs w:val="24"/>
          <w:lang w:val="en"/>
        </w:rPr>
      </w:pPr>
    </w:p>
    <w:p w:rsidR="000E304B" w:rsidP="00040B66" w14:paraId="60601636" w14:textId="250FE6C2">
      <w:r>
        <w:t xml:space="preserve">Estimates of Agency labor required to complete substantiation review are discussed in </w:t>
      </w:r>
      <w:r w:rsidR="00824849">
        <w:t xml:space="preserve">Table </w:t>
      </w:r>
      <w:r w:rsidR="2D456559">
        <w:t>10</w:t>
      </w:r>
      <w:r w:rsidR="00824849">
        <w:t xml:space="preserve"> </w:t>
      </w:r>
      <w:r>
        <w:t xml:space="preserve">of the </w:t>
      </w:r>
      <w:r w:rsidRPr="000E304B">
        <w:t xml:space="preserve">Economic Analysis for the </w:t>
      </w:r>
      <w:r w:rsidR="006A224D">
        <w:t>Final</w:t>
      </w:r>
      <w:r w:rsidRPr="000E304B">
        <w:t xml:space="preserve"> Rule: Procedures for Review of CBI Claims for the Identity of Chemicals on the TSCA Inventory</w:t>
      </w:r>
      <w:r w:rsidR="00DF2D99">
        <w:t xml:space="preserve"> see </w:t>
      </w:r>
      <w:r w:rsidRPr="000E304B" w:rsidR="00DF2D99">
        <w:rPr>
          <w:b/>
          <w:bCs/>
        </w:rPr>
        <w:t>Attachment 3</w:t>
      </w:r>
      <w:r w:rsidRPr="00DF2D99">
        <w:t>.</w:t>
      </w:r>
      <w:r>
        <w:t xml:space="preserve"> Agency burden is combined with wage data in </w:t>
      </w:r>
      <w:r w:rsidR="00824849">
        <w:t xml:space="preserve">Table </w:t>
      </w:r>
      <w:r w:rsidR="00C944AF">
        <w:t>5</w:t>
      </w:r>
      <w:r>
        <w:t xml:space="preserve"> to estimate Agency cost</w:t>
      </w:r>
      <w:r w:rsidR="002105BE">
        <w:t xml:space="preserve"> savings</w:t>
      </w:r>
      <w:r w:rsidR="00824849">
        <w:t xml:space="preserve">. </w:t>
      </w:r>
    </w:p>
    <w:p w:rsidR="000E304B" w14:paraId="3B18B55B" w14:textId="77777777">
      <w:pPr>
        <w:spacing w:after="160" w:line="259" w:lineRule="auto"/>
      </w:pPr>
      <w:r>
        <w:br w:type="page"/>
      </w:r>
    </w:p>
    <w:p w:rsidR="5D40FB0A" w:rsidRPr="00144A27" w:rsidP="65B731DA" w14:paraId="35087720" w14:textId="1FF94762">
      <w:pPr>
        <w:rPr>
          <w:rFonts w:eastAsia="Times New Roman" w:cs="Arial"/>
          <w:b/>
          <w:bCs/>
          <w:sz w:val="22"/>
        </w:rPr>
      </w:pPr>
      <w:r w:rsidRPr="00144A27">
        <w:rPr>
          <w:rFonts w:eastAsia="Times New Roman" w:cs="Arial"/>
          <w:b/>
          <w:bCs/>
          <w:szCs w:val="24"/>
        </w:rPr>
        <w:t xml:space="preserve">Table </w:t>
      </w:r>
      <w:r w:rsidR="00C944AF">
        <w:rPr>
          <w:rFonts w:eastAsia="Times New Roman" w:cs="Arial"/>
          <w:b/>
          <w:bCs/>
          <w:szCs w:val="24"/>
        </w:rPr>
        <w:t>6</w:t>
      </w:r>
      <w:r w:rsidRPr="00144A27">
        <w:rPr>
          <w:rFonts w:eastAsia="Times New Roman" w:cs="Arial"/>
          <w:b/>
          <w:bCs/>
          <w:szCs w:val="24"/>
        </w:rPr>
        <w:t>: Total Change in Burden and Cost to the Agency (</w:t>
      </w:r>
      <w:r w:rsidRPr="00144A27" w:rsidR="000647C9">
        <w:rPr>
          <w:rFonts w:eastAsia="Times New Roman" w:cs="Arial"/>
          <w:b/>
          <w:bCs/>
          <w:szCs w:val="24"/>
        </w:rPr>
        <w:t>202</w:t>
      </w:r>
      <w:r w:rsidR="000647C9">
        <w:rPr>
          <w:rFonts w:eastAsia="Times New Roman" w:cs="Arial"/>
          <w:b/>
          <w:bCs/>
          <w:szCs w:val="24"/>
        </w:rPr>
        <w:t>2</w:t>
      </w:r>
      <w:r w:rsidRPr="00144A27">
        <w:rPr>
          <w:rFonts w:eastAsia="Times New Roman" w:cs="Arial"/>
          <w:b/>
          <w:bCs/>
          <w:szCs w:val="24"/>
        </w:rPr>
        <w:t>$)</w:t>
      </w:r>
      <w:r w:rsidRPr="00144A27">
        <w:rPr>
          <w:rFonts w:cs="Arial"/>
        </w:rPr>
        <w:tab/>
      </w:r>
      <w:r w:rsidRPr="00144A27">
        <w:rPr>
          <w:rFonts w:eastAsia="Times New Roman" w:cs="Arial"/>
          <w:b/>
          <w:bCs/>
          <w:sz w:val="22"/>
        </w:rPr>
        <w:t xml:space="preserve"> </w:t>
      </w:r>
    </w:p>
    <w:tbl>
      <w:tblPr>
        <w:tblStyle w:val="TableGrid"/>
        <w:tblW w:w="9360" w:type="dxa"/>
        <w:tblLayout w:type="fixed"/>
        <w:tblLook w:val="04A0"/>
      </w:tblPr>
      <w:tblGrid>
        <w:gridCol w:w="1155"/>
        <w:gridCol w:w="2040"/>
        <w:gridCol w:w="1245"/>
        <w:gridCol w:w="1440"/>
        <w:gridCol w:w="1125"/>
        <w:gridCol w:w="1200"/>
        <w:gridCol w:w="1155"/>
      </w:tblGrid>
      <w:tr w14:paraId="0C2C2E57" w14:textId="77777777" w:rsidTr="002B49FF">
        <w:tblPrEx>
          <w:tblW w:w="9360" w:type="dxa"/>
          <w:tblLayout w:type="fixed"/>
          <w:tblLook w:val="04A0"/>
        </w:tblPrEx>
        <w:trPr>
          <w:trHeight w:val="435"/>
        </w:trPr>
        <w:tc>
          <w:tcPr>
            <w:tcW w:w="3195" w:type="dxa"/>
            <w:gridSpan w:val="2"/>
            <w:shd w:val="clear" w:color="auto" w:fill="8EAADB" w:themeFill="accent5" w:themeFillTint="99"/>
            <w:vAlign w:val="center"/>
          </w:tcPr>
          <w:p w:rsidR="65B731DA" w:rsidRPr="008527EA" w:rsidP="65B731DA" w14:paraId="0043569F" w14:textId="1E28F03C">
            <w:pPr>
              <w:jc w:val="center"/>
              <w:rPr>
                <w:rFonts w:cs="Arial"/>
              </w:rPr>
            </w:pPr>
            <w:r w:rsidRPr="000E304B">
              <w:rPr>
                <w:rFonts w:eastAsia="Times New Roman" w:cs="Arial"/>
                <w:b/>
                <w:bCs/>
                <w:sz w:val="20"/>
                <w:szCs w:val="20"/>
              </w:rPr>
              <w:t xml:space="preserve">Activity </w:t>
            </w:r>
          </w:p>
        </w:tc>
        <w:tc>
          <w:tcPr>
            <w:tcW w:w="1245" w:type="dxa"/>
            <w:shd w:val="clear" w:color="auto" w:fill="8EAADB" w:themeFill="accent5" w:themeFillTint="99"/>
            <w:vAlign w:val="center"/>
          </w:tcPr>
          <w:p w:rsidR="65B731DA" w:rsidRPr="008527EA" w:rsidP="65B731DA" w14:paraId="06CC1330" w14:textId="7067E8EA">
            <w:pPr>
              <w:jc w:val="center"/>
              <w:rPr>
                <w:rFonts w:cs="Arial"/>
              </w:rPr>
            </w:pPr>
            <w:r w:rsidRPr="000E304B">
              <w:rPr>
                <w:rFonts w:eastAsia="Times New Roman" w:cs="Arial"/>
                <w:b/>
                <w:bCs/>
                <w:color w:val="000000" w:themeColor="text1"/>
                <w:sz w:val="20"/>
                <w:szCs w:val="20"/>
              </w:rPr>
              <w:t>Annual Frequency</w:t>
            </w:r>
          </w:p>
        </w:tc>
        <w:tc>
          <w:tcPr>
            <w:tcW w:w="1440" w:type="dxa"/>
            <w:shd w:val="clear" w:color="auto" w:fill="8EAADB" w:themeFill="accent5" w:themeFillTint="99"/>
            <w:vAlign w:val="center"/>
          </w:tcPr>
          <w:p w:rsidR="65B731DA" w:rsidRPr="008527EA" w:rsidP="65B731DA" w14:paraId="03EE769E" w14:textId="7F06B53A">
            <w:pPr>
              <w:jc w:val="center"/>
              <w:rPr>
                <w:rFonts w:cs="Arial"/>
              </w:rPr>
            </w:pPr>
            <w:r w:rsidRPr="000E304B">
              <w:rPr>
                <w:rFonts w:eastAsia="Times New Roman" w:cs="Arial"/>
                <w:b/>
                <w:bCs/>
                <w:color w:val="000000" w:themeColor="text1"/>
                <w:sz w:val="20"/>
                <w:szCs w:val="20"/>
              </w:rPr>
              <w:t>Reduction in Burden per Submission</w:t>
            </w:r>
          </w:p>
        </w:tc>
        <w:tc>
          <w:tcPr>
            <w:tcW w:w="1125" w:type="dxa"/>
            <w:shd w:val="clear" w:color="auto" w:fill="8EAADB" w:themeFill="accent5" w:themeFillTint="99"/>
            <w:vAlign w:val="center"/>
          </w:tcPr>
          <w:p w:rsidR="65B731DA" w:rsidRPr="008527EA" w:rsidP="65B731DA" w14:paraId="4AE56D3A" w14:textId="43579F6A">
            <w:pPr>
              <w:jc w:val="center"/>
              <w:rPr>
                <w:rFonts w:cs="Arial"/>
              </w:rPr>
            </w:pPr>
            <w:r w:rsidRPr="000E304B">
              <w:rPr>
                <w:rFonts w:eastAsia="Times New Roman" w:cs="Arial"/>
                <w:b/>
                <w:bCs/>
                <w:color w:val="000000" w:themeColor="text1"/>
                <w:sz w:val="20"/>
                <w:szCs w:val="20"/>
              </w:rPr>
              <w:t xml:space="preserve">Total </w:t>
            </w:r>
            <w:r w:rsidRPr="000E304B" w:rsidR="009A6EFA">
              <w:rPr>
                <w:rFonts w:eastAsia="Times New Roman" w:cs="Arial"/>
                <w:b/>
                <w:bCs/>
                <w:color w:val="000000" w:themeColor="text1"/>
                <w:sz w:val="20"/>
                <w:szCs w:val="20"/>
              </w:rPr>
              <w:t>Reduction</w:t>
            </w:r>
            <w:r w:rsidRPr="000E304B">
              <w:rPr>
                <w:rFonts w:eastAsia="Times New Roman" w:cs="Arial"/>
                <w:b/>
                <w:bCs/>
                <w:color w:val="000000" w:themeColor="text1"/>
                <w:sz w:val="20"/>
                <w:szCs w:val="20"/>
              </w:rPr>
              <w:t xml:space="preserve"> in Agency Burden</w:t>
            </w:r>
          </w:p>
        </w:tc>
        <w:tc>
          <w:tcPr>
            <w:tcW w:w="1200" w:type="dxa"/>
            <w:shd w:val="clear" w:color="auto" w:fill="8EAADB" w:themeFill="accent5" w:themeFillTint="99"/>
            <w:vAlign w:val="center"/>
          </w:tcPr>
          <w:p w:rsidR="65B731DA" w:rsidRPr="008527EA" w:rsidP="65B731DA" w14:paraId="705AA7B3" w14:textId="7057E0F3">
            <w:pPr>
              <w:jc w:val="center"/>
              <w:rPr>
                <w:rFonts w:cs="Arial"/>
              </w:rPr>
            </w:pPr>
            <w:r w:rsidRPr="000E304B">
              <w:rPr>
                <w:rFonts w:eastAsia="Times New Roman" w:cs="Arial"/>
                <w:b/>
                <w:bCs/>
                <w:color w:val="000000" w:themeColor="text1"/>
                <w:sz w:val="20"/>
                <w:szCs w:val="20"/>
              </w:rPr>
              <w:t>Reduction in Cost per Submission</w:t>
            </w:r>
          </w:p>
        </w:tc>
        <w:tc>
          <w:tcPr>
            <w:tcW w:w="1155" w:type="dxa"/>
            <w:shd w:val="clear" w:color="auto" w:fill="8EAADB" w:themeFill="accent5" w:themeFillTint="99"/>
            <w:vAlign w:val="center"/>
          </w:tcPr>
          <w:p w:rsidR="65B731DA" w:rsidRPr="008527EA" w:rsidP="65B731DA" w14:paraId="31E8E687" w14:textId="47CDBF22">
            <w:pPr>
              <w:jc w:val="center"/>
              <w:rPr>
                <w:rFonts w:cs="Arial"/>
              </w:rPr>
            </w:pPr>
            <w:r w:rsidRPr="000E304B">
              <w:rPr>
                <w:rFonts w:eastAsia="Times New Roman" w:cs="Arial"/>
                <w:b/>
                <w:bCs/>
                <w:color w:val="000000" w:themeColor="text1"/>
                <w:sz w:val="20"/>
                <w:szCs w:val="20"/>
              </w:rPr>
              <w:t xml:space="preserve">Total </w:t>
            </w:r>
            <w:r w:rsidRPr="000E304B" w:rsidR="009A6EFA">
              <w:rPr>
                <w:rFonts w:eastAsia="Times New Roman" w:cs="Arial"/>
                <w:b/>
                <w:bCs/>
                <w:color w:val="000000" w:themeColor="text1"/>
                <w:sz w:val="20"/>
                <w:szCs w:val="20"/>
              </w:rPr>
              <w:t xml:space="preserve"> Agency Cost Savings </w:t>
            </w:r>
            <w:r w:rsidRPr="000E304B">
              <w:rPr>
                <w:rFonts w:eastAsia="Times New Roman" w:cs="Arial"/>
                <w:b/>
                <w:bCs/>
                <w:color w:val="000000" w:themeColor="text1"/>
                <w:sz w:val="20"/>
                <w:szCs w:val="20"/>
              </w:rPr>
              <w:t xml:space="preserve"> (2020$)</w:t>
            </w:r>
          </w:p>
        </w:tc>
      </w:tr>
      <w:tr w14:paraId="25CDF1FB" w14:textId="77777777" w:rsidTr="002B49FF">
        <w:tblPrEx>
          <w:tblW w:w="9360" w:type="dxa"/>
          <w:tblLayout w:type="fixed"/>
          <w:tblLook w:val="04A0"/>
        </w:tblPrEx>
        <w:trPr>
          <w:trHeight w:val="435"/>
        </w:trPr>
        <w:tc>
          <w:tcPr>
            <w:tcW w:w="1155" w:type="dxa"/>
            <w:vMerge w:val="restart"/>
            <w:vAlign w:val="center"/>
          </w:tcPr>
          <w:p w:rsidR="00092C8E" w:rsidRPr="008527EA" w:rsidP="00092C8E" w14:paraId="0EAF779F" w14:textId="3D02992A">
            <w:pPr>
              <w:rPr>
                <w:rFonts w:cs="Arial"/>
              </w:rPr>
            </w:pPr>
            <w:r w:rsidRPr="000E304B">
              <w:rPr>
                <w:rFonts w:eastAsia="Times New Roman" w:cs="Arial"/>
                <w:sz w:val="20"/>
                <w:szCs w:val="20"/>
              </w:rPr>
              <w:t>Electronic Reporting</w:t>
            </w:r>
          </w:p>
        </w:tc>
        <w:tc>
          <w:tcPr>
            <w:tcW w:w="2040" w:type="dxa"/>
            <w:vAlign w:val="center"/>
          </w:tcPr>
          <w:p w:rsidR="00092C8E" w:rsidRPr="008527EA" w:rsidP="00092C8E" w14:paraId="3779BE50" w14:textId="146B51AA">
            <w:pPr>
              <w:jc w:val="center"/>
              <w:rPr>
                <w:rFonts w:cs="Arial"/>
              </w:rPr>
            </w:pPr>
            <w:r w:rsidRPr="000E304B">
              <w:rPr>
                <w:rFonts w:eastAsia="Times New Roman" w:cs="Arial"/>
                <w:sz w:val="20"/>
                <w:szCs w:val="20"/>
              </w:rPr>
              <w:t>Mail/packaging receipt</w:t>
            </w:r>
          </w:p>
        </w:tc>
        <w:tc>
          <w:tcPr>
            <w:tcW w:w="1245" w:type="dxa"/>
            <w:vAlign w:val="center"/>
          </w:tcPr>
          <w:p w:rsidR="00092C8E" w:rsidRPr="008527EA" w:rsidP="00092C8E" w14:paraId="52FCB2CA" w14:textId="56155C2D">
            <w:pPr>
              <w:jc w:val="center"/>
              <w:rPr>
                <w:rFonts w:cs="Arial"/>
              </w:rPr>
            </w:pPr>
            <w:r w:rsidRPr="000E304B">
              <w:rPr>
                <w:rFonts w:eastAsia="Times New Roman" w:cs="Arial"/>
                <w:sz w:val="20"/>
                <w:szCs w:val="20"/>
              </w:rPr>
              <w:t>800</w:t>
            </w:r>
          </w:p>
        </w:tc>
        <w:tc>
          <w:tcPr>
            <w:tcW w:w="1440" w:type="dxa"/>
            <w:vAlign w:val="center"/>
          </w:tcPr>
          <w:p w:rsidR="00092C8E" w:rsidRPr="008527EA" w:rsidP="00092C8E" w14:paraId="486E74DD" w14:textId="2364020B">
            <w:pPr>
              <w:jc w:val="center"/>
              <w:rPr>
                <w:rFonts w:cs="Arial"/>
              </w:rPr>
            </w:pPr>
            <w:r w:rsidRPr="000E304B">
              <w:rPr>
                <w:rFonts w:eastAsia="Times New Roman" w:cs="Arial"/>
                <w:sz w:val="20"/>
                <w:szCs w:val="20"/>
              </w:rPr>
              <w:t>-</w:t>
            </w:r>
          </w:p>
        </w:tc>
        <w:tc>
          <w:tcPr>
            <w:tcW w:w="1125" w:type="dxa"/>
            <w:vAlign w:val="center"/>
          </w:tcPr>
          <w:p w:rsidR="00092C8E" w:rsidRPr="008527EA" w:rsidP="00092C8E" w14:paraId="52C41031" w14:textId="7D42E6E2">
            <w:pPr>
              <w:jc w:val="center"/>
              <w:rPr>
                <w:rFonts w:cs="Arial"/>
              </w:rPr>
            </w:pPr>
            <w:r w:rsidRPr="000E304B">
              <w:rPr>
                <w:rFonts w:eastAsia="Times New Roman" w:cs="Arial"/>
                <w:sz w:val="20"/>
                <w:szCs w:val="20"/>
              </w:rPr>
              <w:t>-</w:t>
            </w:r>
          </w:p>
        </w:tc>
        <w:tc>
          <w:tcPr>
            <w:tcW w:w="1200" w:type="dxa"/>
            <w:shd w:val="clear" w:color="auto" w:fill="auto"/>
            <w:vAlign w:val="center"/>
          </w:tcPr>
          <w:p w:rsidR="00092C8E" w:rsidRPr="008527EA" w:rsidP="00092C8E" w14:paraId="3CA4BBF9" w14:textId="39344B73">
            <w:pPr>
              <w:jc w:val="center"/>
              <w:rPr>
                <w:rFonts w:cs="Arial"/>
              </w:rPr>
            </w:pPr>
            <w:r>
              <w:rPr>
                <w:color w:val="000000"/>
                <w:sz w:val="20"/>
                <w:szCs w:val="20"/>
              </w:rPr>
              <w:t xml:space="preserve">$20.50 </w:t>
            </w:r>
          </w:p>
        </w:tc>
        <w:tc>
          <w:tcPr>
            <w:tcW w:w="1155" w:type="dxa"/>
            <w:shd w:val="clear" w:color="auto" w:fill="auto"/>
            <w:vAlign w:val="center"/>
          </w:tcPr>
          <w:p w:rsidR="00092C8E" w:rsidRPr="008527EA" w:rsidP="00092C8E" w14:paraId="1BF7607E" w14:textId="263F543E">
            <w:pPr>
              <w:jc w:val="center"/>
              <w:rPr>
                <w:rFonts w:cs="Arial"/>
              </w:rPr>
            </w:pPr>
            <w:r>
              <w:rPr>
                <w:color w:val="000000"/>
                <w:sz w:val="20"/>
                <w:szCs w:val="20"/>
              </w:rPr>
              <w:t xml:space="preserve">$16,400 </w:t>
            </w:r>
          </w:p>
        </w:tc>
      </w:tr>
      <w:tr w14:paraId="7EA100AE" w14:textId="77777777" w:rsidTr="002B49FF">
        <w:tblPrEx>
          <w:tblW w:w="9360" w:type="dxa"/>
          <w:tblLayout w:type="fixed"/>
          <w:tblLook w:val="04A0"/>
        </w:tblPrEx>
        <w:trPr>
          <w:trHeight w:val="435"/>
        </w:trPr>
        <w:tc>
          <w:tcPr>
            <w:tcW w:w="1155" w:type="dxa"/>
            <w:vMerge/>
            <w:vAlign w:val="center"/>
          </w:tcPr>
          <w:p w:rsidR="00092C8E" w:rsidRPr="000E304B" w:rsidP="00092C8E" w14:paraId="2C29A17F" w14:textId="77777777">
            <w:pPr>
              <w:rPr>
                <w:rFonts w:cs="Arial"/>
              </w:rPr>
            </w:pPr>
          </w:p>
        </w:tc>
        <w:tc>
          <w:tcPr>
            <w:tcW w:w="2040" w:type="dxa"/>
            <w:vAlign w:val="center"/>
          </w:tcPr>
          <w:p w:rsidR="00092C8E" w:rsidRPr="008527EA" w:rsidP="00092C8E" w14:paraId="45249F17" w14:textId="18D2948C">
            <w:pPr>
              <w:jc w:val="center"/>
              <w:rPr>
                <w:rFonts w:cs="Arial"/>
              </w:rPr>
            </w:pPr>
            <w:r w:rsidRPr="000E304B">
              <w:rPr>
                <w:rFonts w:eastAsia="Times New Roman" w:cs="Arial"/>
                <w:sz w:val="20"/>
                <w:szCs w:val="20"/>
              </w:rPr>
              <w:t>Scanning, filing and most data entry burden</w:t>
            </w:r>
          </w:p>
        </w:tc>
        <w:tc>
          <w:tcPr>
            <w:tcW w:w="1245" w:type="dxa"/>
            <w:vAlign w:val="center"/>
          </w:tcPr>
          <w:p w:rsidR="00092C8E" w:rsidRPr="008527EA" w:rsidP="00092C8E" w14:paraId="1C09FC5A" w14:textId="4E7562B2">
            <w:pPr>
              <w:jc w:val="center"/>
              <w:rPr>
                <w:rFonts w:cs="Arial"/>
              </w:rPr>
            </w:pPr>
            <w:r w:rsidRPr="000E304B">
              <w:rPr>
                <w:rFonts w:eastAsia="Times New Roman" w:cs="Arial"/>
                <w:sz w:val="20"/>
                <w:szCs w:val="20"/>
              </w:rPr>
              <w:t>800</w:t>
            </w:r>
          </w:p>
        </w:tc>
        <w:tc>
          <w:tcPr>
            <w:tcW w:w="1440" w:type="dxa"/>
            <w:vAlign w:val="center"/>
          </w:tcPr>
          <w:p w:rsidR="00092C8E" w:rsidRPr="008527EA" w:rsidP="00092C8E" w14:paraId="751E9ED6" w14:textId="321EE84E">
            <w:pPr>
              <w:jc w:val="center"/>
              <w:rPr>
                <w:rFonts w:cs="Arial"/>
              </w:rPr>
            </w:pPr>
            <w:r w:rsidRPr="000E304B">
              <w:rPr>
                <w:rFonts w:eastAsia="Times New Roman" w:cs="Arial"/>
                <w:sz w:val="20"/>
                <w:szCs w:val="20"/>
              </w:rPr>
              <w:t>15 minutes</w:t>
            </w:r>
          </w:p>
        </w:tc>
        <w:tc>
          <w:tcPr>
            <w:tcW w:w="1125" w:type="dxa"/>
            <w:vAlign w:val="center"/>
          </w:tcPr>
          <w:p w:rsidR="00092C8E" w:rsidRPr="008527EA" w:rsidP="00092C8E" w14:paraId="6B3F6435" w14:textId="23D0F481">
            <w:pPr>
              <w:jc w:val="center"/>
              <w:rPr>
                <w:rFonts w:cs="Arial"/>
              </w:rPr>
            </w:pPr>
            <w:r w:rsidRPr="000E304B">
              <w:rPr>
                <w:rFonts w:eastAsia="Times New Roman" w:cs="Arial"/>
                <w:sz w:val="20"/>
                <w:szCs w:val="20"/>
              </w:rPr>
              <w:t>200 hours</w:t>
            </w:r>
          </w:p>
        </w:tc>
        <w:tc>
          <w:tcPr>
            <w:tcW w:w="1200" w:type="dxa"/>
            <w:shd w:val="clear" w:color="auto" w:fill="auto"/>
            <w:vAlign w:val="center"/>
          </w:tcPr>
          <w:p w:rsidR="00092C8E" w:rsidRPr="008527EA" w:rsidP="00092C8E" w14:paraId="64B2EC69" w14:textId="668FA3B7">
            <w:pPr>
              <w:jc w:val="center"/>
              <w:rPr>
                <w:rFonts w:cs="Arial"/>
              </w:rPr>
            </w:pPr>
            <w:r>
              <w:rPr>
                <w:color w:val="000000"/>
                <w:sz w:val="20"/>
                <w:szCs w:val="20"/>
              </w:rPr>
              <w:t xml:space="preserve">$28.62 </w:t>
            </w:r>
          </w:p>
        </w:tc>
        <w:tc>
          <w:tcPr>
            <w:tcW w:w="1155" w:type="dxa"/>
            <w:shd w:val="clear" w:color="auto" w:fill="auto"/>
            <w:vAlign w:val="center"/>
          </w:tcPr>
          <w:p w:rsidR="00092C8E" w:rsidRPr="008527EA" w:rsidP="00092C8E" w14:paraId="132F580A" w14:textId="2F88917A">
            <w:pPr>
              <w:jc w:val="center"/>
              <w:rPr>
                <w:rFonts w:eastAsia="Times New Roman" w:cs="Arial"/>
                <w:sz w:val="20"/>
                <w:szCs w:val="20"/>
              </w:rPr>
            </w:pPr>
            <w:r>
              <w:rPr>
                <w:color w:val="000000"/>
                <w:sz w:val="20"/>
                <w:szCs w:val="20"/>
              </w:rPr>
              <w:t xml:space="preserve">$22,896 </w:t>
            </w:r>
          </w:p>
        </w:tc>
      </w:tr>
      <w:tr w14:paraId="1EEAEF8B" w14:textId="77777777" w:rsidTr="002B49FF">
        <w:tblPrEx>
          <w:tblW w:w="9360" w:type="dxa"/>
          <w:tblLayout w:type="fixed"/>
          <w:tblLook w:val="04A0"/>
        </w:tblPrEx>
        <w:trPr>
          <w:trHeight w:val="435"/>
        </w:trPr>
        <w:tc>
          <w:tcPr>
            <w:tcW w:w="1155" w:type="dxa"/>
            <w:vMerge/>
            <w:vAlign w:val="center"/>
          </w:tcPr>
          <w:p w:rsidR="00092C8E" w:rsidRPr="000E304B" w:rsidP="00092C8E" w14:paraId="17C7D33A" w14:textId="77777777">
            <w:pPr>
              <w:rPr>
                <w:rFonts w:cs="Arial"/>
              </w:rPr>
            </w:pPr>
          </w:p>
        </w:tc>
        <w:tc>
          <w:tcPr>
            <w:tcW w:w="2040" w:type="dxa"/>
            <w:vAlign w:val="center"/>
          </w:tcPr>
          <w:p w:rsidR="00092C8E" w:rsidRPr="008527EA" w:rsidP="00092C8E" w14:paraId="7864DEB5" w14:textId="5653952F">
            <w:pPr>
              <w:jc w:val="center"/>
              <w:rPr>
                <w:rFonts w:cs="Arial"/>
              </w:rPr>
            </w:pPr>
            <w:r w:rsidRPr="000E304B">
              <w:rPr>
                <w:rFonts w:eastAsia="Times New Roman" w:cs="Arial"/>
                <w:sz w:val="20"/>
                <w:szCs w:val="20"/>
              </w:rPr>
              <w:t>Generating and mailing paper acknowledgement letters</w:t>
            </w:r>
          </w:p>
        </w:tc>
        <w:tc>
          <w:tcPr>
            <w:tcW w:w="1245" w:type="dxa"/>
            <w:vAlign w:val="center"/>
          </w:tcPr>
          <w:p w:rsidR="00092C8E" w:rsidRPr="008527EA" w:rsidP="00092C8E" w14:paraId="30EB63DA" w14:textId="552D2582">
            <w:pPr>
              <w:jc w:val="center"/>
              <w:rPr>
                <w:rFonts w:cs="Arial"/>
              </w:rPr>
            </w:pPr>
            <w:r w:rsidRPr="000E304B">
              <w:rPr>
                <w:rFonts w:eastAsia="Times New Roman" w:cs="Arial"/>
                <w:sz w:val="20"/>
                <w:szCs w:val="20"/>
              </w:rPr>
              <w:t>800</w:t>
            </w:r>
          </w:p>
        </w:tc>
        <w:tc>
          <w:tcPr>
            <w:tcW w:w="1440" w:type="dxa"/>
            <w:vAlign w:val="center"/>
          </w:tcPr>
          <w:p w:rsidR="00092C8E" w:rsidRPr="008527EA" w:rsidP="00092C8E" w14:paraId="7714C623" w14:textId="27446C04">
            <w:pPr>
              <w:jc w:val="center"/>
              <w:rPr>
                <w:rFonts w:cs="Arial"/>
              </w:rPr>
            </w:pPr>
            <w:r w:rsidRPr="000E304B">
              <w:rPr>
                <w:rFonts w:eastAsia="Times New Roman" w:cs="Arial"/>
                <w:sz w:val="20"/>
                <w:szCs w:val="20"/>
              </w:rPr>
              <w:t>13 minutes</w:t>
            </w:r>
          </w:p>
        </w:tc>
        <w:tc>
          <w:tcPr>
            <w:tcW w:w="1125" w:type="dxa"/>
            <w:vAlign w:val="center"/>
          </w:tcPr>
          <w:p w:rsidR="00092C8E" w:rsidRPr="008527EA" w:rsidP="00092C8E" w14:paraId="112863EB" w14:textId="34CA3F42">
            <w:pPr>
              <w:jc w:val="center"/>
              <w:rPr>
                <w:rFonts w:cs="Arial"/>
              </w:rPr>
            </w:pPr>
            <w:r w:rsidRPr="000E304B">
              <w:rPr>
                <w:rFonts w:eastAsia="Times New Roman" w:cs="Arial"/>
                <w:sz w:val="20"/>
                <w:szCs w:val="20"/>
              </w:rPr>
              <w:t>173 hours</w:t>
            </w:r>
          </w:p>
        </w:tc>
        <w:tc>
          <w:tcPr>
            <w:tcW w:w="1200" w:type="dxa"/>
            <w:shd w:val="clear" w:color="auto" w:fill="auto"/>
            <w:vAlign w:val="center"/>
          </w:tcPr>
          <w:p w:rsidR="00092C8E" w:rsidRPr="008527EA" w:rsidP="00092C8E" w14:paraId="3A8DA228" w14:textId="2541C1AD">
            <w:pPr>
              <w:jc w:val="center"/>
              <w:rPr>
                <w:rFonts w:cs="Arial"/>
              </w:rPr>
            </w:pPr>
            <w:r>
              <w:rPr>
                <w:color w:val="000000"/>
                <w:sz w:val="20"/>
                <w:szCs w:val="20"/>
              </w:rPr>
              <w:t xml:space="preserve">$24.80 </w:t>
            </w:r>
          </w:p>
        </w:tc>
        <w:tc>
          <w:tcPr>
            <w:tcW w:w="1155" w:type="dxa"/>
            <w:shd w:val="clear" w:color="auto" w:fill="auto"/>
            <w:vAlign w:val="center"/>
          </w:tcPr>
          <w:p w:rsidR="00092C8E" w:rsidRPr="008527EA" w:rsidP="00092C8E" w14:paraId="688D5BDC" w14:textId="7F8604BE">
            <w:pPr>
              <w:jc w:val="center"/>
              <w:rPr>
                <w:rFonts w:eastAsia="Times New Roman" w:cs="Arial"/>
                <w:sz w:val="20"/>
                <w:szCs w:val="20"/>
              </w:rPr>
            </w:pPr>
            <w:r>
              <w:rPr>
                <w:color w:val="000000"/>
                <w:sz w:val="20"/>
                <w:szCs w:val="20"/>
              </w:rPr>
              <w:t xml:space="preserve">$19,843 </w:t>
            </w:r>
          </w:p>
        </w:tc>
      </w:tr>
      <w:tr w14:paraId="269ADB8E" w14:textId="77777777" w:rsidTr="002B49FF">
        <w:tblPrEx>
          <w:tblW w:w="9360" w:type="dxa"/>
          <w:tblLayout w:type="fixed"/>
          <w:tblLook w:val="04A0"/>
        </w:tblPrEx>
        <w:trPr>
          <w:trHeight w:val="435"/>
        </w:trPr>
        <w:tc>
          <w:tcPr>
            <w:tcW w:w="1155" w:type="dxa"/>
            <w:vMerge/>
            <w:vAlign w:val="center"/>
          </w:tcPr>
          <w:p w:rsidR="00092C8E" w:rsidRPr="000E304B" w:rsidP="00092C8E" w14:paraId="2AB5CF16" w14:textId="77777777">
            <w:pPr>
              <w:rPr>
                <w:rFonts w:cs="Arial"/>
              </w:rPr>
            </w:pPr>
          </w:p>
        </w:tc>
        <w:tc>
          <w:tcPr>
            <w:tcW w:w="2040" w:type="dxa"/>
            <w:vAlign w:val="center"/>
          </w:tcPr>
          <w:p w:rsidR="00092C8E" w:rsidRPr="008527EA" w:rsidP="00092C8E" w14:paraId="6CCD0C00" w14:textId="778A940E">
            <w:pPr>
              <w:jc w:val="center"/>
              <w:rPr>
                <w:rFonts w:cs="Arial"/>
              </w:rPr>
            </w:pPr>
            <w:r w:rsidRPr="000E304B">
              <w:rPr>
                <w:rFonts w:eastAsia="Times New Roman" w:cs="Arial"/>
                <w:sz w:val="20"/>
                <w:szCs w:val="20"/>
              </w:rPr>
              <w:t>Generating rejection letters and incomplete letters</w:t>
            </w:r>
          </w:p>
        </w:tc>
        <w:tc>
          <w:tcPr>
            <w:tcW w:w="1245" w:type="dxa"/>
            <w:vAlign w:val="center"/>
          </w:tcPr>
          <w:p w:rsidR="00092C8E" w:rsidRPr="008527EA" w:rsidP="00092C8E" w14:paraId="567B4E77" w14:textId="5FCF979D">
            <w:pPr>
              <w:jc w:val="center"/>
              <w:rPr>
                <w:rFonts w:cs="Arial"/>
              </w:rPr>
            </w:pPr>
            <w:r w:rsidRPr="000E304B">
              <w:rPr>
                <w:rFonts w:eastAsia="Times New Roman" w:cs="Arial"/>
                <w:sz w:val="20"/>
                <w:szCs w:val="20"/>
              </w:rPr>
              <w:t>81</w:t>
            </w:r>
          </w:p>
        </w:tc>
        <w:tc>
          <w:tcPr>
            <w:tcW w:w="1440" w:type="dxa"/>
            <w:vAlign w:val="center"/>
          </w:tcPr>
          <w:p w:rsidR="00092C8E" w:rsidRPr="008527EA" w:rsidP="00092C8E" w14:paraId="64CE3F73" w14:textId="0C2C2785">
            <w:pPr>
              <w:jc w:val="center"/>
              <w:rPr>
                <w:rFonts w:cs="Arial"/>
              </w:rPr>
            </w:pPr>
            <w:r w:rsidRPr="000E304B">
              <w:rPr>
                <w:rFonts w:eastAsia="Times New Roman" w:cs="Arial"/>
                <w:sz w:val="20"/>
                <w:szCs w:val="20"/>
              </w:rPr>
              <w:t>5 minutes</w:t>
            </w:r>
          </w:p>
        </w:tc>
        <w:tc>
          <w:tcPr>
            <w:tcW w:w="1125" w:type="dxa"/>
            <w:vAlign w:val="center"/>
          </w:tcPr>
          <w:p w:rsidR="00092C8E" w:rsidRPr="008527EA" w:rsidP="00092C8E" w14:paraId="610DD453" w14:textId="47C0E95F">
            <w:pPr>
              <w:jc w:val="center"/>
              <w:rPr>
                <w:rFonts w:cs="Arial"/>
              </w:rPr>
            </w:pPr>
            <w:r w:rsidRPr="000E304B">
              <w:rPr>
                <w:rFonts w:eastAsia="Times New Roman" w:cs="Arial"/>
                <w:sz w:val="20"/>
                <w:szCs w:val="20"/>
              </w:rPr>
              <w:t>6.75 hours</w:t>
            </w:r>
          </w:p>
        </w:tc>
        <w:tc>
          <w:tcPr>
            <w:tcW w:w="1200" w:type="dxa"/>
            <w:shd w:val="clear" w:color="auto" w:fill="auto"/>
            <w:vAlign w:val="center"/>
          </w:tcPr>
          <w:p w:rsidR="00092C8E" w:rsidRPr="008527EA" w:rsidP="00092C8E" w14:paraId="4BD1725E" w14:textId="5370EAE7">
            <w:pPr>
              <w:jc w:val="center"/>
              <w:rPr>
                <w:rFonts w:cs="Arial"/>
              </w:rPr>
            </w:pPr>
            <w:r>
              <w:rPr>
                <w:color w:val="000000"/>
                <w:sz w:val="20"/>
                <w:szCs w:val="20"/>
              </w:rPr>
              <w:t xml:space="preserve">$9.54 </w:t>
            </w:r>
          </w:p>
        </w:tc>
        <w:tc>
          <w:tcPr>
            <w:tcW w:w="1155" w:type="dxa"/>
            <w:shd w:val="clear" w:color="auto" w:fill="auto"/>
            <w:vAlign w:val="center"/>
          </w:tcPr>
          <w:p w:rsidR="00092C8E" w:rsidRPr="008527EA" w:rsidP="00092C8E" w14:paraId="0A02BFAB" w14:textId="2DF07FC1">
            <w:pPr>
              <w:jc w:val="center"/>
              <w:rPr>
                <w:rFonts w:cs="Arial"/>
              </w:rPr>
            </w:pPr>
            <w:r>
              <w:rPr>
                <w:color w:val="000000"/>
                <w:sz w:val="20"/>
                <w:szCs w:val="20"/>
              </w:rPr>
              <w:t xml:space="preserve">$773 </w:t>
            </w:r>
          </w:p>
        </w:tc>
      </w:tr>
      <w:tr w14:paraId="06E8C97E" w14:textId="77777777" w:rsidTr="002B49FF">
        <w:tblPrEx>
          <w:tblW w:w="9360" w:type="dxa"/>
          <w:tblLayout w:type="fixed"/>
          <w:tblLook w:val="04A0"/>
        </w:tblPrEx>
        <w:trPr>
          <w:trHeight w:val="435"/>
        </w:trPr>
        <w:tc>
          <w:tcPr>
            <w:tcW w:w="1155" w:type="dxa"/>
            <w:vMerge/>
            <w:vAlign w:val="center"/>
          </w:tcPr>
          <w:p w:rsidR="00092C8E" w:rsidRPr="000E304B" w:rsidP="00092C8E" w14:paraId="08F956D0" w14:textId="77777777">
            <w:pPr>
              <w:rPr>
                <w:rFonts w:cs="Arial"/>
              </w:rPr>
            </w:pPr>
          </w:p>
        </w:tc>
        <w:tc>
          <w:tcPr>
            <w:tcW w:w="2040" w:type="dxa"/>
            <w:vAlign w:val="center"/>
          </w:tcPr>
          <w:p w:rsidR="00092C8E" w:rsidRPr="008527EA" w:rsidP="00092C8E" w14:paraId="7EB86A38" w14:textId="6C65B1C3">
            <w:pPr>
              <w:jc w:val="center"/>
              <w:rPr>
                <w:rFonts w:cs="Arial"/>
              </w:rPr>
            </w:pPr>
            <w:r w:rsidRPr="000E304B">
              <w:rPr>
                <w:rFonts w:eastAsia="Times New Roman" w:cs="Arial"/>
                <w:sz w:val="20"/>
                <w:szCs w:val="20"/>
              </w:rPr>
              <w:t>Review of polymer exemptions for CBI</w:t>
            </w:r>
          </w:p>
        </w:tc>
        <w:tc>
          <w:tcPr>
            <w:tcW w:w="1245" w:type="dxa"/>
            <w:vAlign w:val="center"/>
          </w:tcPr>
          <w:p w:rsidR="00092C8E" w:rsidRPr="008527EA" w:rsidP="00092C8E" w14:paraId="64315D10" w14:textId="0CEAC762">
            <w:pPr>
              <w:jc w:val="center"/>
              <w:rPr>
                <w:rFonts w:cs="Arial"/>
              </w:rPr>
            </w:pPr>
            <w:r w:rsidRPr="000E304B">
              <w:rPr>
                <w:rFonts w:eastAsia="Times New Roman" w:cs="Arial"/>
                <w:sz w:val="20"/>
                <w:szCs w:val="20"/>
              </w:rPr>
              <w:t>12</w:t>
            </w:r>
          </w:p>
        </w:tc>
        <w:tc>
          <w:tcPr>
            <w:tcW w:w="1440" w:type="dxa"/>
            <w:vAlign w:val="center"/>
          </w:tcPr>
          <w:p w:rsidR="00092C8E" w:rsidRPr="008527EA" w:rsidP="00092C8E" w14:paraId="066DE966" w14:textId="3756A816">
            <w:pPr>
              <w:jc w:val="center"/>
              <w:rPr>
                <w:rFonts w:cs="Arial"/>
              </w:rPr>
            </w:pPr>
            <w:r w:rsidRPr="000E304B">
              <w:rPr>
                <w:rFonts w:eastAsia="Times New Roman" w:cs="Arial"/>
                <w:sz w:val="20"/>
                <w:szCs w:val="20"/>
              </w:rPr>
              <w:t>30 minutes</w:t>
            </w:r>
          </w:p>
        </w:tc>
        <w:tc>
          <w:tcPr>
            <w:tcW w:w="1125" w:type="dxa"/>
            <w:vAlign w:val="center"/>
          </w:tcPr>
          <w:p w:rsidR="00092C8E" w:rsidRPr="008527EA" w:rsidP="00092C8E" w14:paraId="01DAFDDA" w14:textId="2281C91E">
            <w:pPr>
              <w:jc w:val="center"/>
              <w:rPr>
                <w:rFonts w:cs="Arial"/>
              </w:rPr>
            </w:pPr>
            <w:r w:rsidRPr="000E304B">
              <w:rPr>
                <w:rFonts w:eastAsia="Times New Roman" w:cs="Arial"/>
                <w:sz w:val="20"/>
                <w:szCs w:val="20"/>
              </w:rPr>
              <w:t>6 hours</w:t>
            </w:r>
          </w:p>
        </w:tc>
        <w:tc>
          <w:tcPr>
            <w:tcW w:w="1200" w:type="dxa"/>
            <w:shd w:val="clear" w:color="auto" w:fill="auto"/>
            <w:vAlign w:val="center"/>
          </w:tcPr>
          <w:p w:rsidR="00092C8E" w:rsidRPr="008527EA" w:rsidP="00092C8E" w14:paraId="25E021CD" w14:textId="7E61CECD">
            <w:pPr>
              <w:jc w:val="center"/>
              <w:rPr>
                <w:rFonts w:cs="Arial"/>
              </w:rPr>
            </w:pPr>
            <w:r>
              <w:rPr>
                <w:color w:val="000000"/>
                <w:sz w:val="20"/>
                <w:szCs w:val="20"/>
              </w:rPr>
              <w:t xml:space="preserve">$57.24 </w:t>
            </w:r>
          </w:p>
        </w:tc>
        <w:tc>
          <w:tcPr>
            <w:tcW w:w="1155" w:type="dxa"/>
            <w:shd w:val="clear" w:color="auto" w:fill="auto"/>
            <w:vAlign w:val="center"/>
          </w:tcPr>
          <w:p w:rsidR="00092C8E" w:rsidRPr="008527EA" w:rsidP="00092C8E" w14:paraId="03C4ABC5" w14:textId="09477773">
            <w:pPr>
              <w:jc w:val="center"/>
              <w:rPr>
                <w:rFonts w:eastAsia="Times New Roman" w:cs="Arial"/>
                <w:sz w:val="20"/>
                <w:szCs w:val="20"/>
              </w:rPr>
            </w:pPr>
            <w:r>
              <w:rPr>
                <w:color w:val="000000"/>
                <w:sz w:val="20"/>
                <w:szCs w:val="20"/>
              </w:rPr>
              <w:t xml:space="preserve">$687 </w:t>
            </w:r>
          </w:p>
        </w:tc>
      </w:tr>
      <w:tr w14:paraId="368D0C2E" w14:textId="77777777" w:rsidTr="002B49FF">
        <w:tblPrEx>
          <w:tblW w:w="9360" w:type="dxa"/>
          <w:tblLayout w:type="fixed"/>
          <w:tblLook w:val="04A0"/>
        </w:tblPrEx>
        <w:trPr>
          <w:trHeight w:val="750"/>
        </w:trPr>
        <w:tc>
          <w:tcPr>
            <w:tcW w:w="3195" w:type="dxa"/>
            <w:gridSpan w:val="2"/>
            <w:vAlign w:val="center"/>
          </w:tcPr>
          <w:p w:rsidR="00092C8E" w:rsidRPr="008527EA" w:rsidP="00092C8E" w14:paraId="751FDA6E" w14:textId="35DC9CBC">
            <w:pPr>
              <w:rPr>
                <w:rFonts w:cs="Arial"/>
              </w:rPr>
            </w:pPr>
            <w:r w:rsidRPr="000E304B">
              <w:rPr>
                <w:rFonts w:eastAsia="Times New Roman" w:cs="Arial"/>
                <w:sz w:val="20"/>
                <w:szCs w:val="20"/>
              </w:rPr>
              <w:t>Maintaining Company Contact Information</w:t>
            </w:r>
          </w:p>
        </w:tc>
        <w:tc>
          <w:tcPr>
            <w:tcW w:w="1245" w:type="dxa"/>
            <w:vAlign w:val="center"/>
          </w:tcPr>
          <w:p w:rsidR="00092C8E" w:rsidRPr="008527EA" w:rsidP="00092C8E" w14:paraId="3F79A41D" w14:textId="04783D49">
            <w:pPr>
              <w:jc w:val="center"/>
              <w:rPr>
                <w:rFonts w:cs="Arial"/>
              </w:rPr>
            </w:pPr>
            <w:r w:rsidRPr="000E304B">
              <w:rPr>
                <w:rFonts w:eastAsia="Times New Roman" w:cs="Arial"/>
                <w:sz w:val="20"/>
                <w:szCs w:val="20"/>
              </w:rPr>
              <w:t>66</w:t>
            </w:r>
          </w:p>
        </w:tc>
        <w:tc>
          <w:tcPr>
            <w:tcW w:w="1440" w:type="dxa"/>
            <w:vAlign w:val="center"/>
          </w:tcPr>
          <w:p w:rsidR="00092C8E" w:rsidRPr="008527EA" w:rsidP="00092C8E" w14:paraId="61FC9810" w14:textId="228DEAB1">
            <w:pPr>
              <w:jc w:val="center"/>
              <w:rPr>
                <w:rFonts w:cs="Arial"/>
              </w:rPr>
            </w:pPr>
            <w:r w:rsidRPr="000E304B">
              <w:rPr>
                <w:rFonts w:eastAsia="Times New Roman" w:cs="Arial"/>
                <w:sz w:val="20"/>
                <w:szCs w:val="20"/>
              </w:rPr>
              <w:t>2 hours</w:t>
            </w:r>
          </w:p>
        </w:tc>
        <w:tc>
          <w:tcPr>
            <w:tcW w:w="1125" w:type="dxa"/>
            <w:vAlign w:val="center"/>
          </w:tcPr>
          <w:p w:rsidR="00092C8E" w:rsidRPr="008527EA" w:rsidP="00092C8E" w14:paraId="2F0E9C70" w14:textId="39C6DA00">
            <w:pPr>
              <w:jc w:val="center"/>
              <w:rPr>
                <w:rFonts w:cs="Arial"/>
              </w:rPr>
            </w:pPr>
            <w:r w:rsidRPr="000E304B">
              <w:rPr>
                <w:rFonts w:eastAsia="Times New Roman" w:cs="Arial"/>
                <w:sz w:val="20"/>
                <w:szCs w:val="20"/>
              </w:rPr>
              <w:t>132 hours</w:t>
            </w:r>
          </w:p>
        </w:tc>
        <w:tc>
          <w:tcPr>
            <w:tcW w:w="1200" w:type="dxa"/>
            <w:shd w:val="clear" w:color="auto" w:fill="auto"/>
            <w:vAlign w:val="center"/>
          </w:tcPr>
          <w:p w:rsidR="00092C8E" w:rsidRPr="008527EA" w:rsidP="00092C8E" w14:paraId="1BA203C9" w14:textId="15BE3CB0">
            <w:pPr>
              <w:jc w:val="center"/>
              <w:rPr>
                <w:rFonts w:cs="Arial"/>
              </w:rPr>
            </w:pPr>
            <w:r>
              <w:rPr>
                <w:color w:val="000000"/>
                <w:sz w:val="20"/>
                <w:szCs w:val="20"/>
              </w:rPr>
              <w:t xml:space="preserve">$228.96 </w:t>
            </w:r>
          </w:p>
        </w:tc>
        <w:tc>
          <w:tcPr>
            <w:tcW w:w="1155" w:type="dxa"/>
            <w:shd w:val="clear" w:color="auto" w:fill="auto"/>
            <w:vAlign w:val="center"/>
          </w:tcPr>
          <w:p w:rsidR="00092C8E" w:rsidRPr="008527EA" w:rsidP="00092C8E" w14:paraId="04DE9A8E" w14:textId="3E2AF179">
            <w:pPr>
              <w:jc w:val="center"/>
              <w:rPr>
                <w:rFonts w:eastAsia="Times New Roman" w:cs="Arial"/>
                <w:sz w:val="20"/>
                <w:szCs w:val="20"/>
              </w:rPr>
            </w:pPr>
            <w:r>
              <w:rPr>
                <w:color w:val="000000"/>
                <w:sz w:val="20"/>
                <w:szCs w:val="20"/>
              </w:rPr>
              <w:t xml:space="preserve">$15,111 </w:t>
            </w:r>
          </w:p>
        </w:tc>
      </w:tr>
      <w:tr w14:paraId="62C388A5" w14:textId="77777777" w:rsidTr="002B49FF">
        <w:tblPrEx>
          <w:tblW w:w="9360" w:type="dxa"/>
          <w:tblLayout w:type="fixed"/>
          <w:tblLook w:val="04A0"/>
        </w:tblPrEx>
        <w:trPr>
          <w:trHeight w:val="60"/>
        </w:trPr>
        <w:tc>
          <w:tcPr>
            <w:tcW w:w="8205" w:type="dxa"/>
            <w:gridSpan w:val="6"/>
            <w:vAlign w:val="center"/>
          </w:tcPr>
          <w:p w:rsidR="65B731DA" w:rsidRPr="008527EA" w:rsidP="000E304B" w14:paraId="01C5EB6B" w14:textId="107E7804">
            <w:pPr>
              <w:jc w:val="center"/>
              <w:rPr>
                <w:rFonts w:cs="Arial"/>
              </w:rPr>
            </w:pPr>
            <w:r w:rsidRPr="000E304B">
              <w:rPr>
                <w:rFonts w:eastAsia="Times New Roman" w:cs="Arial"/>
                <w:b/>
                <w:bCs/>
                <w:sz w:val="22"/>
              </w:rPr>
              <w:t>Total Annual Cost Savings                              518 hours</w:t>
            </w:r>
          </w:p>
        </w:tc>
        <w:tc>
          <w:tcPr>
            <w:tcW w:w="1155" w:type="dxa"/>
            <w:vAlign w:val="center"/>
          </w:tcPr>
          <w:p w:rsidR="65B731DA" w:rsidRPr="008527EA" w14:paraId="4021063E" w14:textId="70E31A2A">
            <w:pPr>
              <w:jc w:val="center"/>
              <w:rPr>
                <w:rFonts w:cs="Arial"/>
              </w:rPr>
            </w:pPr>
            <w:r w:rsidRPr="632416FA">
              <w:rPr>
                <w:rFonts w:eastAsia="Times New Roman" w:cs="Arial"/>
                <w:b/>
                <w:bCs/>
                <w:sz w:val="22"/>
              </w:rPr>
              <w:t>$</w:t>
            </w:r>
            <w:r w:rsidR="00092C8E">
              <w:rPr>
                <w:rFonts w:eastAsia="Times New Roman" w:cs="Arial"/>
                <w:b/>
                <w:bCs/>
                <w:sz w:val="22"/>
              </w:rPr>
              <w:t>75,710</w:t>
            </w:r>
          </w:p>
        </w:tc>
      </w:tr>
    </w:tbl>
    <w:p w:rsidR="5D40FB0A" w14:paraId="4AE9CD05" w14:textId="6E5E29CB">
      <w:r w:rsidRPr="65B731DA">
        <w:rPr>
          <w:rFonts w:ascii="Times New Roman" w:eastAsia="Times New Roman" w:hAnsi="Times New Roman" w:cs="Times New Roman"/>
          <w:sz w:val="16"/>
          <w:szCs w:val="16"/>
        </w:rPr>
        <w:t xml:space="preserve">Note: Values may not sum due to rounding. Costs are rounded to the nearest penny for </w:t>
      </w:r>
      <w:r w:rsidRPr="65B731DA">
        <w:rPr>
          <w:rFonts w:ascii="Times New Roman" w:eastAsia="Times New Roman" w:hAnsi="Times New Roman" w:cs="Times New Roman"/>
          <w:sz w:val="16"/>
          <w:szCs w:val="16"/>
        </w:rPr>
        <w:t>display purposes.</w:t>
      </w:r>
    </w:p>
    <w:p w:rsidR="00BD1BAB" w:rsidP="00BC00F6" w14:paraId="3AB88F5C" w14:textId="2007565A">
      <w:pPr>
        <w:pStyle w:val="Heading2"/>
        <w:numPr>
          <w:ilvl w:val="0"/>
          <w:numId w:val="0"/>
        </w:numPr>
        <w:ind w:left="360" w:hanging="450"/>
      </w:pPr>
      <w:r>
        <w:t xml:space="preserve">15. </w:t>
      </w:r>
      <w:r w:rsidR="4FB6272D">
        <w:t xml:space="preserve">Explain the reasons for any program changes or adjustments reported in </w:t>
      </w:r>
      <w:r w:rsidR="3ACBAAC9">
        <w:t>hour or cost burden</w:t>
      </w:r>
      <w:r w:rsidR="4FB6272D">
        <w:t>.</w:t>
      </w:r>
    </w:p>
    <w:p w:rsidR="002D4226" w:rsidRPr="002D4226" w:rsidP="00C944AF" w14:paraId="3BBF40A7" w14:textId="09AE44AA">
      <w:r>
        <w:t>This is a new data collection activity resulting from the Frank R. Lautenberg Chemical Safety for the 21st Century Act. As such, the change being implemented in this ICR period is the addition of new burden and cost for these activities, as presented in Ta</w:t>
      </w:r>
      <w:r>
        <w:t xml:space="preserve">ble </w:t>
      </w:r>
      <w:r w:rsidR="0FB424C6">
        <w:t>4</w:t>
      </w:r>
      <w:r>
        <w:t>. The total burden to industry for this ICR period is</w:t>
      </w:r>
      <w:r w:rsidR="135CA6DF">
        <w:t xml:space="preserve"> approximately</w:t>
      </w:r>
      <w:r>
        <w:t xml:space="preserve"> </w:t>
      </w:r>
      <w:r w:rsidR="406F3BA1">
        <w:t>3,</w:t>
      </w:r>
      <w:r w:rsidR="0214DC43">
        <w:t>991</w:t>
      </w:r>
      <w:r>
        <w:t xml:space="preserve"> hours</w:t>
      </w:r>
      <w:r w:rsidR="406F3BA1">
        <w:t>. This burden is comprised of</w:t>
      </w:r>
      <w:r>
        <w:t xml:space="preserve"> a one-time </w:t>
      </w:r>
      <w:r w:rsidR="135CA6DF">
        <w:t>burden</w:t>
      </w:r>
      <w:r>
        <w:t xml:space="preserve"> </w:t>
      </w:r>
      <w:r w:rsidR="135CA6DF">
        <w:t>of 2,</w:t>
      </w:r>
      <w:r w:rsidR="0214DC43">
        <w:t>945</w:t>
      </w:r>
      <w:r w:rsidR="135CA6DF">
        <w:t xml:space="preserve"> hours in the first year after </w:t>
      </w:r>
      <w:r>
        <w:t xml:space="preserve">the rule </w:t>
      </w:r>
      <w:r w:rsidR="135CA6DF">
        <w:t>is</w:t>
      </w:r>
      <w:r>
        <w:t xml:space="preserve"> finalized</w:t>
      </w:r>
      <w:r w:rsidR="135CA6DF">
        <w:t xml:space="preserve"> and an annual, ongoing burden</w:t>
      </w:r>
      <w:r w:rsidR="6DB8A63E">
        <w:t xml:space="preserve"> of </w:t>
      </w:r>
      <w:r w:rsidR="0C7C1424">
        <w:t>523</w:t>
      </w:r>
      <w:r w:rsidR="6DB8A63E">
        <w:t xml:space="preserve"> hours in each following year.</w:t>
      </w:r>
      <w:r w:rsidR="0DEDEE70">
        <w:t xml:space="preserve"> The total cost to industry for this ICR period is approximately $</w:t>
      </w:r>
      <w:r w:rsidR="00092C8E">
        <w:t>363,988</w:t>
      </w:r>
      <w:r w:rsidR="0DEDEE70">
        <w:t>. This cost is comprised of a one-time cost of $</w:t>
      </w:r>
      <w:r w:rsidR="0C7C1424">
        <w:t>2</w:t>
      </w:r>
      <w:r w:rsidR="00092C8E">
        <w:t>72,804</w:t>
      </w:r>
      <w:r w:rsidR="0DEDEE70">
        <w:t xml:space="preserve"> in the first year after the rule is finalized and an annual, ongoing cost of $</w:t>
      </w:r>
      <w:r w:rsidR="00092C8E">
        <w:t>45,592</w:t>
      </w:r>
      <w:r w:rsidR="0DEDEE70">
        <w:t xml:space="preserve"> in each following year.</w:t>
      </w:r>
    </w:p>
    <w:p w:rsidR="00A640A9" w:rsidP="00BC00F6" w14:paraId="67020DB0" w14:textId="1C5AF0DB">
      <w:pPr>
        <w:pStyle w:val="Heading2"/>
        <w:numPr>
          <w:ilvl w:val="0"/>
          <w:numId w:val="0"/>
        </w:numPr>
        <w:ind w:left="-180"/>
      </w:pPr>
      <w:r>
        <w:t xml:space="preserve">16. </w:t>
      </w:r>
      <w:r w:rsidR="08E0E8B1">
        <w:t>For collections whose results will be published, outline the plans for tabulation and publication.</w:t>
      </w:r>
      <w:r w:rsidR="3ACBAAC9">
        <w:t xml:space="preserve"> Address any complex analytical techniques that will be used. Provide the time schedule for the entire project, including beginning and ending dates of the collection of information, completion of report, publication dates, and other actions.</w:t>
      </w:r>
    </w:p>
    <w:p w:rsidR="002D4226" w:rsidRPr="002D4226" w:rsidP="002D4226" w14:paraId="2B9CDD22" w14:textId="552EDFF9">
      <w:pPr>
        <w:rPr>
          <w:lang w:bidi="en-US"/>
        </w:rPr>
      </w:pPr>
      <w:r>
        <w:rPr>
          <w:lang w:bidi="en-US"/>
        </w:rPr>
        <w:t xml:space="preserve">Not applicable. </w:t>
      </w:r>
    </w:p>
    <w:p w:rsidR="00D278E1" w:rsidP="00BC00F6" w14:paraId="3C058E98" w14:textId="495F88C1">
      <w:pPr>
        <w:pStyle w:val="Heading2"/>
        <w:numPr>
          <w:ilvl w:val="0"/>
          <w:numId w:val="0"/>
        </w:numPr>
        <w:ind w:left="-180"/>
      </w:pPr>
      <w:r>
        <w:t xml:space="preserve">17. </w:t>
      </w:r>
      <w:r w:rsidR="69DF7A6F">
        <w:t>If</w:t>
      </w:r>
      <w:r w:rsidR="08E0E8B1">
        <w:t xml:space="preserve"> seeking approval to not display the expiration date for OMB approval of the information collection, explain the reasons why display would be inappropriate.</w:t>
      </w:r>
    </w:p>
    <w:p w:rsidR="002D4226" w:rsidRPr="002D4226" w:rsidP="002D4226" w14:paraId="4CF4C329" w14:textId="4328B7D3">
      <w:pPr>
        <w:rPr>
          <w:lang w:bidi="en-US"/>
        </w:rPr>
      </w:pPr>
      <w:r>
        <w:rPr>
          <w:lang w:bidi="en-US"/>
        </w:rPr>
        <w:t>No</w:t>
      </w:r>
      <w:r>
        <w:rPr>
          <w:lang w:bidi="en-US"/>
        </w:rPr>
        <w:t xml:space="preserve">t applicable. </w:t>
      </w:r>
    </w:p>
    <w:p w:rsidR="005D6FB8" w:rsidP="00BC00F6" w14:paraId="380B6953" w14:textId="5CC2174D">
      <w:pPr>
        <w:pStyle w:val="Heading2"/>
        <w:numPr>
          <w:ilvl w:val="0"/>
          <w:numId w:val="0"/>
        </w:numPr>
        <w:ind w:left="360" w:hanging="450"/>
      </w:pPr>
      <w:r>
        <w:t xml:space="preserve">18. </w:t>
      </w:r>
      <w:r w:rsidR="08E0E8B1">
        <w:t xml:space="preserve">Explain each exception to the certification statement identified in </w:t>
      </w:r>
      <w:r w:rsidR="3ACBAAC9">
        <w:t>“Certification for Paperwork Reduction Act Submissions.”</w:t>
      </w:r>
    </w:p>
    <w:p w:rsidR="00F9414F" w:rsidRPr="00F9414F" w:rsidP="00F9414F" w14:paraId="7A92DE02" w14:textId="17841CC7">
      <w:r w:rsidRPr="00F9414F">
        <w:t xml:space="preserve">EPA does not request an exception to the certification of this information collection. </w:t>
      </w:r>
    </w:p>
    <w:p w:rsidR="00A640A9" w:rsidP="002059F4" w14:paraId="4CFB748D" w14:textId="22D4FE42">
      <w:pPr>
        <w:pStyle w:val="Heading1"/>
      </w:pPr>
      <w:r>
        <w:t>Supplemental information</w:t>
      </w:r>
      <w:r>
        <w:t xml:space="preserve"> </w:t>
      </w:r>
    </w:p>
    <w:p w:rsidR="007312D5" w:rsidRPr="007312D5" w:rsidP="007312D5" w14:paraId="562232C4" w14:textId="06153FA5">
      <w:pPr>
        <w:rPr>
          <w:szCs w:val="24"/>
          <w:u w:val="single"/>
        </w:rPr>
      </w:pPr>
      <w:r w:rsidRPr="007312D5">
        <w:rPr>
          <w:szCs w:val="24"/>
          <w:u w:val="single"/>
        </w:rPr>
        <w:t xml:space="preserve">PRA Burden Statement </w:t>
      </w:r>
    </w:p>
    <w:p w:rsidR="007312D5" w:rsidP="007312D5" w14:paraId="61EB4D0A" w14:textId="7443CDBD">
      <w:pPr>
        <w:rPr>
          <w:rFonts w:cs="Arial"/>
          <w:b/>
          <w:bCs/>
          <w:szCs w:val="24"/>
        </w:rPr>
      </w:pPr>
      <w:r>
        <w:rPr>
          <w:szCs w:val="24"/>
        </w:rPr>
        <w:t>This collection of information is approved by OMB under the Paperwork Reduction Act, 44 U.S.C. 3501 et seq</w:t>
      </w:r>
      <w:r w:rsidRPr="001F77EC">
        <w:rPr>
          <w:szCs w:val="24"/>
        </w:rPr>
        <w:t>. (OMB Control No. 2070-</w:t>
      </w:r>
      <w:r>
        <w:rPr>
          <w:szCs w:val="24"/>
        </w:rPr>
        <w:t>022</w:t>
      </w:r>
      <w:r w:rsidR="005303F8">
        <w:rPr>
          <w:szCs w:val="24"/>
        </w:rPr>
        <w:t>3</w:t>
      </w:r>
      <w:r w:rsidRPr="001F77EC">
        <w:rPr>
          <w:szCs w:val="24"/>
        </w:rPr>
        <w:t xml:space="preserve">). Responses to this collection of information are mandatory for certain persons, as specified at </w:t>
      </w:r>
      <w:r>
        <w:rPr>
          <w:szCs w:val="24"/>
        </w:rPr>
        <w:t>40 CFR 7</w:t>
      </w:r>
      <w:r w:rsidR="00D603A7">
        <w:rPr>
          <w:szCs w:val="24"/>
        </w:rPr>
        <w:t>04, 716, 717, 720, 721, 723, 725, 790</w:t>
      </w:r>
      <w:r w:rsidRPr="001F77EC">
        <w:rPr>
          <w:szCs w:val="24"/>
        </w:rPr>
        <w:t>. An agency may not conduct or sponsor, and a person is not required to respond to, a collection of information u</w:t>
      </w:r>
      <w:r w:rsidRPr="001F77EC">
        <w:rPr>
          <w:szCs w:val="24"/>
        </w:rPr>
        <w:t xml:space="preserve">nless it displays a currently valid OMB control number. The public reporting and recordkeeping burden for this collection of information is estimated to be </w:t>
      </w:r>
      <w:r w:rsidR="00D603A7">
        <w:rPr>
          <w:szCs w:val="24"/>
        </w:rPr>
        <w:t>between</w:t>
      </w:r>
      <w:r w:rsidR="00D603A7">
        <w:rPr>
          <w:bCs/>
          <w:szCs w:val="24"/>
        </w:rPr>
        <w:t xml:space="preserve"> 14</w:t>
      </w:r>
      <w:r w:rsidRPr="00D603A7" w:rsidR="00D603A7">
        <w:rPr>
          <w:bCs/>
          <w:szCs w:val="24"/>
        </w:rPr>
        <w:t xml:space="preserve"> to 525.85</w:t>
      </w:r>
      <w:r w:rsidR="00D603A7">
        <w:rPr>
          <w:szCs w:val="24"/>
        </w:rPr>
        <w:t xml:space="preserve"> </w:t>
      </w:r>
      <w:r w:rsidRPr="001F77EC" w:rsidR="00D603A7">
        <w:rPr>
          <w:szCs w:val="24"/>
        </w:rPr>
        <w:t>hours</w:t>
      </w:r>
      <w:r w:rsidRPr="001F77EC">
        <w:rPr>
          <w:szCs w:val="24"/>
        </w:rPr>
        <w:t xml:space="preserve"> per response. Send comments on the Agency’s need for this information, th</w:t>
      </w:r>
      <w:r w:rsidRPr="001F77EC">
        <w:rPr>
          <w:szCs w:val="24"/>
        </w:rPr>
        <w:t>e accuracy of the provided burden estimates and any suggested methods for minimizing respondent burden to the Regulatory Support Division Director, U.S. Environmental Protection Agency (2821T), 1200 Pennsylvania Ave., NW, Washington, D.C. 20460. Include th</w:t>
      </w:r>
      <w:r w:rsidRPr="001F77EC">
        <w:rPr>
          <w:szCs w:val="24"/>
        </w:rPr>
        <w:t>e OMB control number in any correspondence. Do not send the completed form to this address.</w:t>
      </w:r>
    </w:p>
    <w:p w:rsidR="00EF407B" w:rsidP="00EF407B" w14:paraId="241343C3" w14:textId="17C35CE4">
      <w:pPr>
        <w:pStyle w:val="Heading1"/>
      </w:pPr>
      <w:r>
        <w:t>List of Attachments</w:t>
      </w:r>
    </w:p>
    <w:p w:rsidR="0026304B" w:rsidP="0026304B" w14:paraId="4BA9D995" w14:textId="53B8F29C">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The docket fo</w:t>
      </w:r>
      <w:r w:rsidRPr="00FD497D">
        <w:rPr>
          <w:lang w:bidi="en-US"/>
        </w:rPr>
        <w:t xml:space="preserve">r </w:t>
      </w:r>
      <w:r>
        <w:rPr>
          <w:lang w:bidi="en-US"/>
        </w:rPr>
        <w:t xml:space="preserve">this ICR </w:t>
      </w:r>
      <w:r w:rsidRPr="00FD497D">
        <w:rPr>
          <w:lang w:bidi="en-US"/>
        </w:rPr>
        <w:t xml:space="preserve">is accessible electronically through </w:t>
      </w:r>
      <w:hyperlink r:id="rId11" w:history="1">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w:t>
      </w:r>
      <w:r w:rsidR="002D4226">
        <w:rPr>
          <w:rFonts w:cs="Arial"/>
          <w:szCs w:val="24"/>
        </w:rPr>
        <w:t>OPPT</w:t>
      </w:r>
      <w:r>
        <w:rPr>
          <w:rFonts w:cs="Arial"/>
          <w:szCs w:val="24"/>
        </w:rPr>
        <w:t>-</w:t>
      </w:r>
      <w:r w:rsidR="002D4226">
        <w:rPr>
          <w:rFonts w:cs="Arial"/>
          <w:szCs w:val="24"/>
        </w:rPr>
        <w:t>202</w:t>
      </w:r>
      <w:r w:rsidR="00224874">
        <w:rPr>
          <w:rFonts w:cs="Arial"/>
          <w:szCs w:val="24"/>
        </w:rPr>
        <w:t>1</w:t>
      </w:r>
      <w:r>
        <w:rPr>
          <w:rFonts w:cs="Arial"/>
          <w:szCs w:val="24"/>
        </w:rPr>
        <w:t>-</w:t>
      </w:r>
      <w:r w:rsidR="00224874">
        <w:rPr>
          <w:rFonts w:cs="Arial"/>
          <w:szCs w:val="24"/>
        </w:rPr>
        <w:t>0419</w:t>
      </w:r>
      <w:r>
        <w:rPr>
          <w:lang w:bidi="en-US"/>
        </w:rPr>
        <w:t>.</w:t>
      </w:r>
    </w:p>
    <w:tbl>
      <w:tblPr>
        <w:tblStyle w:val="TableGrid"/>
        <w:tblW w:w="0" w:type="auto"/>
        <w:tblLook w:val="04A0"/>
      </w:tblPr>
      <w:tblGrid>
        <w:gridCol w:w="670"/>
        <w:gridCol w:w="8680"/>
      </w:tblGrid>
      <w:tr w14:paraId="3C28984B" w14:textId="77777777" w:rsidTr="55AE17AB">
        <w:tblPrEx>
          <w:tblW w:w="0" w:type="auto"/>
          <w:tblLook w:val="04A0"/>
        </w:tblPrEx>
        <w:tc>
          <w:tcPr>
            <w:tcW w:w="670" w:type="dxa"/>
          </w:tcPr>
          <w:p w:rsidR="0026304B" w:rsidRPr="0026304B" w:rsidP="0026304B" w14:paraId="20CF178A" w14:textId="5677487C">
            <w:pPr>
              <w:widowControl w:val="0"/>
              <w:spacing w:before="40" w:after="40" w:line="240" w:lineRule="auto"/>
              <w:rPr>
                <w:b/>
                <w:bCs/>
                <w:lang w:bidi="en-US"/>
              </w:rPr>
            </w:pPr>
            <w:r w:rsidRPr="0026304B">
              <w:rPr>
                <w:b/>
                <w:bCs/>
                <w:lang w:bidi="en-US"/>
              </w:rPr>
              <w:t>Ref.</w:t>
            </w:r>
          </w:p>
        </w:tc>
        <w:tc>
          <w:tcPr>
            <w:tcW w:w="8680" w:type="dxa"/>
          </w:tcPr>
          <w:p w:rsidR="0026304B" w:rsidRPr="0026304B" w:rsidP="0026304B" w14:paraId="43C6C962" w14:textId="794020C3">
            <w:pPr>
              <w:widowControl w:val="0"/>
              <w:spacing w:before="40" w:after="40" w:line="240" w:lineRule="auto"/>
              <w:rPr>
                <w:b/>
                <w:bCs/>
                <w:lang w:bidi="en-US"/>
              </w:rPr>
            </w:pPr>
            <w:r w:rsidRPr="0026304B">
              <w:rPr>
                <w:b/>
                <w:bCs/>
                <w:lang w:bidi="en-US"/>
              </w:rPr>
              <w:t xml:space="preserve">Title </w:t>
            </w:r>
          </w:p>
        </w:tc>
      </w:tr>
      <w:tr w14:paraId="653EF079" w14:textId="77777777" w:rsidTr="55AE17AB">
        <w:tblPrEx>
          <w:tblW w:w="0" w:type="auto"/>
          <w:tblLook w:val="04A0"/>
        </w:tblPrEx>
        <w:tc>
          <w:tcPr>
            <w:tcW w:w="670" w:type="dxa"/>
          </w:tcPr>
          <w:p w:rsidR="0026304B" w:rsidP="0026304B" w14:paraId="244D5D03" w14:textId="3D501ABF">
            <w:pPr>
              <w:widowControl w:val="0"/>
              <w:spacing w:before="40" w:after="40" w:line="240" w:lineRule="auto"/>
              <w:rPr>
                <w:lang w:bidi="en-US"/>
              </w:rPr>
            </w:pPr>
            <w:r>
              <w:rPr>
                <w:lang w:bidi="en-US"/>
              </w:rPr>
              <w:t>1.</w:t>
            </w:r>
          </w:p>
        </w:tc>
        <w:tc>
          <w:tcPr>
            <w:tcW w:w="8680" w:type="dxa"/>
          </w:tcPr>
          <w:p w:rsidR="0026304B" w:rsidP="0026304B" w14:paraId="46F5F82F" w14:textId="27D6AEE5">
            <w:pPr>
              <w:widowControl w:val="0"/>
              <w:spacing w:before="40" w:after="40" w:line="240" w:lineRule="auto"/>
              <w:rPr>
                <w:lang w:bidi="en-US"/>
              </w:rPr>
            </w:pPr>
            <w:r w:rsidRPr="55AE17AB">
              <w:rPr>
                <w:lang w:bidi="en-US"/>
              </w:rPr>
              <w:t>Final</w:t>
            </w:r>
            <w:r w:rsidRPr="55AE17AB" w:rsidR="64B44F88">
              <w:rPr>
                <w:lang w:bidi="en-US"/>
              </w:rPr>
              <w:t xml:space="preserve"> Rule</w:t>
            </w:r>
          </w:p>
        </w:tc>
      </w:tr>
      <w:tr w14:paraId="7037AADA" w14:textId="77777777" w:rsidTr="55AE17AB">
        <w:tblPrEx>
          <w:tblW w:w="0" w:type="auto"/>
          <w:tblLook w:val="04A0"/>
        </w:tblPrEx>
        <w:tc>
          <w:tcPr>
            <w:tcW w:w="670" w:type="dxa"/>
          </w:tcPr>
          <w:p w:rsidR="00DF2D99" w:rsidP="0026304B" w14:paraId="60DEBA7E" w14:textId="0DF52D2D">
            <w:pPr>
              <w:widowControl w:val="0"/>
              <w:spacing w:before="40" w:after="40" w:line="240" w:lineRule="auto"/>
              <w:rPr>
                <w:lang w:bidi="en-US"/>
              </w:rPr>
            </w:pPr>
            <w:r>
              <w:rPr>
                <w:lang w:bidi="en-US"/>
              </w:rPr>
              <w:t xml:space="preserve">2. </w:t>
            </w:r>
          </w:p>
        </w:tc>
        <w:tc>
          <w:tcPr>
            <w:tcW w:w="8680" w:type="dxa"/>
          </w:tcPr>
          <w:p w:rsidR="00DF2D99" w:rsidRPr="7A77DD14" w:rsidP="0026304B" w14:paraId="5BA55195" w14:textId="0D9563F9">
            <w:pPr>
              <w:widowControl w:val="0"/>
              <w:spacing w:before="40" w:after="40" w:line="240" w:lineRule="auto"/>
              <w:rPr>
                <w:lang w:bidi="en-US"/>
              </w:rPr>
            </w:pPr>
            <w:r>
              <w:rPr>
                <w:lang w:bidi="en-US"/>
              </w:rPr>
              <w:t xml:space="preserve">CDX User Guides – TSCA Section 4, 5, 8(c), 8(e), 8(d) </w:t>
            </w:r>
            <w:r>
              <w:rPr>
                <w:lang w:bidi="en-US"/>
              </w:rPr>
              <w:t>and 12(b)</w:t>
            </w:r>
          </w:p>
        </w:tc>
      </w:tr>
      <w:tr w14:paraId="31CCB964" w14:textId="77777777" w:rsidTr="55AE17AB">
        <w:tblPrEx>
          <w:tblW w:w="0" w:type="auto"/>
          <w:tblLook w:val="04A0"/>
        </w:tblPrEx>
        <w:tc>
          <w:tcPr>
            <w:tcW w:w="670" w:type="dxa"/>
          </w:tcPr>
          <w:p w:rsidR="00DF2D99" w:rsidP="0026304B" w14:paraId="1794D19E" w14:textId="14A47977">
            <w:pPr>
              <w:widowControl w:val="0"/>
              <w:spacing w:before="40" w:after="40" w:line="240" w:lineRule="auto"/>
              <w:rPr>
                <w:lang w:bidi="en-US"/>
              </w:rPr>
            </w:pPr>
            <w:r>
              <w:rPr>
                <w:lang w:bidi="en-US"/>
              </w:rPr>
              <w:t xml:space="preserve">3. </w:t>
            </w:r>
          </w:p>
        </w:tc>
        <w:tc>
          <w:tcPr>
            <w:tcW w:w="8680" w:type="dxa"/>
          </w:tcPr>
          <w:p w:rsidR="00DF2D99" w:rsidP="0026304B" w14:paraId="433A61F5" w14:textId="562BFFD2">
            <w:pPr>
              <w:widowControl w:val="0"/>
              <w:spacing w:before="40" w:after="40" w:line="240" w:lineRule="auto"/>
              <w:rPr>
                <w:lang w:bidi="en-US"/>
              </w:rPr>
            </w:pPr>
            <w:r w:rsidRPr="002D6CA0">
              <w:t xml:space="preserve">Economic Analysis for the </w:t>
            </w:r>
            <w:r w:rsidR="006A224D">
              <w:t>Final</w:t>
            </w:r>
            <w:r w:rsidRPr="002D6CA0">
              <w:t xml:space="preserve"> Rule: Procedures for Review of CBI Claims</w:t>
            </w:r>
          </w:p>
        </w:tc>
      </w:tr>
      <w:tr w14:paraId="084AB9C2" w14:textId="77777777" w:rsidTr="55AE17AB">
        <w:tblPrEx>
          <w:tblW w:w="0" w:type="auto"/>
          <w:tblLook w:val="04A0"/>
        </w:tblPrEx>
        <w:tc>
          <w:tcPr>
            <w:tcW w:w="670" w:type="dxa"/>
          </w:tcPr>
          <w:p w:rsidR="009B2158" w:rsidP="0026304B" w14:paraId="70A3877C" w14:textId="6AF691A3">
            <w:pPr>
              <w:widowControl w:val="0"/>
              <w:spacing w:before="40" w:after="40" w:line="240" w:lineRule="auto"/>
              <w:rPr>
                <w:lang w:bidi="en-US"/>
              </w:rPr>
            </w:pPr>
            <w:r>
              <w:rPr>
                <w:lang w:bidi="en-US"/>
              </w:rPr>
              <w:t>4</w:t>
            </w:r>
          </w:p>
        </w:tc>
        <w:tc>
          <w:tcPr>
            <w:tcW w:w="8680" w:type="dxa"/>
          </w:tcPr>
          <w:p w:rsidR="009B2158" w:rsidRPr="002D6CA0" w:rsidP="0026304B" w14:paraId="4C919695" w14:textId="72CB7A8D">
            <w:pPr>
              <w:widowControl w:val="0"/>
              <w:spacing w:before="40" w:after="40" w:line="240" w:lineRule="auto"/>
            </w:pPr>
            <w:r w:rsidRPr="009B2158">
              <w:t>Enforcement and Compliance Communication Submission and General Communication</w:t>
            </w:r>
          </w:p>
        </w:tc>
      </w:tr>
      <w:tr w14:paraId="706C0A0E" w14:textId="77777777" w:rsidTr="55AE17AB">
        <w:tblPrEx>
          <w:tblW w:w="0" w:type="auto"/>
          <w:tblLook w:val="04A0"/>
        </w:tblPrEx>
        <w:tc>
          <w:tcPr>
            <w:tcW w:w="670" w:type="dxa"/>
          </w:tcPr>
          <w:p w:rsidR="009B2158" w:rsidP="0026304B" w14:paraId="04398DCE" w14:textId="103DFF26">
            <w:pPr>
              <w:widowControl w:val="0"/>
              <w:spacing w:before="40" w:after="40" w:line="240" w:lineRule="auto"/>
              <w:rPr>
                <w:lang w:bidi="en-US"/>
              </w:rPr>
            </w:pPr>
            <w:r>
              <w:rPr>
                <w:lang w:bidi="en-US"/>
              </w:rPr>
              <w:t>5</w:t>
            </w:r>
          </w:p>
        </w:tc>
        <w:tc>
          <w:tcPr>
            <w:tcW w:w="8680" w:type="dxa"/>
          </w:tcPr>
          <w:p w:rsidR="009B2158" w:rsidRPr="009B2158" w:rsidP="0026304B" w14:paraId="2F01BAE7" w14:textId="1C9479CF">
            <w:pPr>
              <w:widowControl w:val="0"/>
              <w:spacing w:before="40" w:after="40" w:line="240" w:lineRule="auto"/>
            </w:pPr>
            <w:r w:rsidRPr="009B2158">
              <w:t>Mic</w:t>
            </w:r>
            <w:r>
              <w:t xml:space="preserve">robial </w:t>
            </w:r>
            <w:r w:rsidRPr="009B2158">
              <w:t>Commercial Activity Notice (MCAN) (EPA Form 7710-25)</w:t>
            </w:r>
          </w:p>
        </w:tc>
      </w:tr>
      <w:tr w14:paraId="42DF8B87" w14:textId="77777777" w:rsidTr="55AE17AB">
        <w:tblPrEx>
          <w:tblW w:w="0" w:type="auto"/>
          <w:tblLook w:val="04A0"/>
        </w:tblPrEx>
        <w:tc>
          <w:tcPr>
            <w:tcW w:w="670" w:type="dxa"/>
          </w:tcPr>
          <w:p w:rsidR="009B2158" w:rsidP="0026304B" w14:paraId="2005FD05" w14:textId="3571FBB2">
            <w:pPr>
              <w:widowControl w:val="0"/>
              <w:spacing w:before="40" w:after="40" w:line="240" w:lineRule="auto"/>
              <w:rPr>
                <w:lang w:bidi="en-US"/>
              </w:rPr>
            </w:pPr>
            <w:r>
              <w:rPr>
                <w:lang w:bidi="en-US"/>
              </w:rPr>
              <w:t>6</w:t>
            </w:r>
          </w:p>
        </w:tc>
        <w:tc>
          <w:tcPr>
            <w:tcW w:w="8680" w:type="dxa"/>
          </w:tcPr>
          <w:p w:rsidR="009B2158" w:rsidRPr="009B2158" w:rsidP="0026304B" w14:paraId="20C86536" w14:textId="49427986">
            <w:pPr>
              <w:widowControl w:val="0"/>
              <w:spacing w:before="40" w:after="40" w:line="240" w:lineRule="auto"/>
            </w:pPr>
            <w:r w:rsidRPr="009B2158">
              <w:t>Section 4 Sub</w:t>
            </w:r>
            <w:r>
              <w:t>m</w:t>
            </w:r>
            <w:r w:rsidRPr="009B2158">
              <w:t>iss</w:t>
            </w:r>
            <w:r w:rsidRPr="009B2158">
              <w:t>ion</w:t>
            </w:r>
            <w:r>
              <w:t xml:space="preserve">s </w:t>
            </w:r>
            <w:r w:rsidRPr="009B2158" w:rsidR="00D54B4C">
              <w:t>(EPA Form 9600-034)</w:t>
            </w:r>
            <w:r w:rsidR="00862DBC">
              <w:t xml:space="preserve"> </w:t>
            </w:r>
            <w:r w:rsidR="00C72A0F">
              <w:t xml:space="preserve">Test Orders, Test Rules, ECAs, and </w:t>
            </w:r>
            <w:r w:rsidR="00D54B4C">
              <w:t xml:space="preserve">40 CFR </w:t>
            </w:r>
            <w:r w:rsidR="00C72A0F">
              <w:t xml:space="preserve">766 </w:t>
            </w:r>
          </w:p>
        </w:tc>
      </w:tr>
      <w:tr w14:paraId="17FD4DF4" w14:textId="77777777" w:rsidTr="55AE17AB">
        <w:tblPrEx>
          <w:tblW w:w="0" w:type="auto"/>
          <w:tblLook w:val="04A0"/>
        </w:tblPrEx>
        <w:tc>
          <w:tcPr>
            <w:tcW w:w="670" w:type="dxa"/>
          </w:tcPr>
          <w:p w:rsidR="009B2158" w:rsidP="0026304B" w14:paraId="4CADF1D7" w14:textId="70D1998D">
            <w:pPr>
              <w:widowControl w:val="0"/>
              <w:spacing w:before="40" w:after="40" w:line="240" w:lineRule="auto"/>
              <w:rPr>
                <w:lang w:bidi="en-US"/>
              </w:rPr>
            </w:pPr>
            <w:r>
              <w:rPr>
                <w:lang w:bidi="en-US"/>
              </w:rPr>
              <w:t>7</w:t>
            </w:r>
          </w:p>
        </w:tc>
        <w:tc>
          <w:tcPr>
            <w:tcW w:w="8680" w:type="dxa"/>
          </w:tcPr>
          <w:p w:rsidR="009B2158" w:rsidRPr="009B2158" w:rsidP="0026304B" w14:paraId="4823944E" w14:textId="6F87D94D">
            <w:pPr>
              <w:widowControl w:val="0"/>
              <w:spacing w:before="40" w:after="40" w:line="240" w:lineRule="auto"/>
            </w:pPr>
            <w:r w:rsidRPr="009B2158">
              <w:t>Premanufacture Notice (EPA No. 7710-25);</w:t>
            </w:r>
          </w:p>
        </w:tc>
      </w:tr>
      <w:tr w14:paraId="2B366BBA" w14:textId="77777777" w:rsidTr="55AE17AB">
        <w:tblPrEx>
          <w:tblW w:w="0" w:type="auto"/>
          <w:tblLook w:val="04A0"/>
        </w:tblPrEx>
        <w:tc>
          <w:tcPr>
            <w:tcW w:w="670" w:type="dxa"/>
          </w:tcPr>
          <w:p w:rsidR="009B2158" w:rsidP="0026304B" w14:paraId="3464FA06" w14:textId="33FCB7C6">
            <w:pPr>
              <w:widowControl w:val="0"/>
              <w:spacing w:before="40" w:after="40" w:line="240" w:lineRule="auto"/>
              <w:rPr>
                <w:lang w:bidi="en-US"/>
              </w:rPr>
            </w:pPr>
            <w:r>
              <w:rPr>
                <w:lang w:bidi="en-US"/>
              </w:rPr>
              <w:t>8</w:t>
            </w:r>
          </w:p>
        </w:tc>
        <w:tc>
          <w:tcPr>
            <w:tcW w:w="8680" w:type="dxa"/>
          </w:tcPr>
          <w:p w:rsidR="009B2158" w:rsidRPr="009B2158" w:rsidP="0026304B" w14:paraId="20D87613" w14:textId="42DF4357">
            <w:pPr>
              <w:widowControl w:val="0"/>
              <w:spacing w:before="40" w:after="40" w:line="240" w:lineRule="auto"/>
            </w:pPr>
            <w:r w:rsidRPr="009B2158">
              <w:t xml:space="preserve">EPA Initiated Risk Evaluation (EPA Form </w:t>
            </w:r>
            <w:r w:rsidR="00570CF3">
              <w:t>9600-03</w:t>
            </w:r>
            <w:r w:rsidR="003A7735">
              <w:t>6</w:t>
            </w:r>
            <w:r w:rsidRPr="009B2158">
              <w:t>)</w:t>
            </w:r>
            <w:r>
              <w:t xml:space="preserve"> and </w:t>
            </w:r>
            <w:r w:rsidRPr="009B2158">
              <w:t>Risk Evaluation (EPA Form 9600-03</w:t>
            </w:r>
            <w:r w:rsidR="003A7735">
              <w:t>6</w:t>
            </w:r>
            <w:r w:rsidRPr="009B2158">
              <w:t>);</w:t>
            </w:r>
          </w:p>
        </w:tc>
      </w:tr>
      <w:tr w14:paraId="5B0020DD" w14:textId="77777777" w:rsidTr="55AE17AB">
        <w:tblPrEx>
          <w:tblW w:w="0" w:type="auto"/>
          <w:tblLook w:val="04A0"/>
        </w:tblPrEx>
        <w:tc>
          <w:tcPr>
            <w:tcW w:w="670" w:type="dxa"/>
          </w:tcPr>
          <w:p w:rsidR="009B2158" w:rsidP="0026304B" w14:paraId="26A9BB25" w14:textId="01230305">
            <w:pPr>
              <w:widowControl w:val="0"/>
              <w:spacing w:before="40" w:after="40" w:line="240" w:lineRule="auto"/>
              <w:rPr>
                <w:lang w:bidi="en-US"/>
              </w:rPr>
            </w:pPr>
            <w:r>
              <w:rPr>
                <w:lang w:bidi="en-US"/>
              </w:rPr>
              <w:t>9</w:t>
            </w:r>
          </w:p>
        </w:tc>
        <w:tc>
          <w:tcPr>
            <w:tcW w:w="8680" w:type="dxa"/>
          </w:tcPr>
          <w:p w:rsidR="009B2158" w:rsidRPr="009B2158" w:rsidP="0026304B" w14:paraId="587D53AE" w14:textId="7E9A3997">
            <w:pPr>
              <w:widowControl w:val="0"/>
              <w:spacing w:before="40" w:after="40" w:line="240" w:lineRule="auto"/>
            </w:pPr>
            <w:r w:rsidRPr="009B2158">
              <w:t xml:space="preserve">Notice of Commencement of Manufacture or Import </w:t>
            </w:r>
            <w:r>
              <w:t xml:space="preserve">(NOC) </w:t>
            </w:r>
            <w:r w:rsidRPr="009B2158">
              <w:t>(EPA Form 7710-25);</w:t>
            </w:r>
          </w:p>
        </w:tc>
      </w:tr>
      <w:tr w14:paraId="754CC20A" w14:textId="77777777" w:rsidTr="55AE17AB">
        <w:tblPrEx>
          <w:tblW w:w="0" w:type="auto"/>
          <w:tblLook w:val="04A0"/>
        </w:tblPrEx>
        <w:tc>
          <w:tcPr>
            <w:tcW w:w="670" w:type="dxa"/>
          </w:tcPr>
          <w:p w:rsidR="009B2158" w:rsidP="0026304B" w14:paraId="03885A88" w14:textId="6A1D0145">
            <w:pPr>
              <w:widowControl w:val="0"/>
              <w:spacing w:before="40" w:after="40" w:line="240" w:lineRule="auto"/>
              <w:rPr>
                <w:lang w:bidi="en-US"/>
              </w:rPr>
            </w:pPr>
            <w:r>
              <w:rPr>
                <w:lang w:bidi="en-US"/>
              </w:rPr>
              <w:t>10</w:t>
            </w:r>
          </w:p>
        </w:tc>
        <w:tc>
          <w:tcPr>
            <w:tcW w:w="8680" w:type="dxa"/>
          </w:tcPr>
          <w:p w:rsidR="009B2158" w:rsidRPr="009B2158" w:rsidP="0026304B" w14:paraId="2105C469" w14:textId="5D0C9DAA">
            <w:pPr>
              <w:widowControl w:val="0"/>
              <w:spacing w:before="40" w:after="40" w:line="240" w:lineRule="auto"/>
            </w:pPr>
            <w:r>
              <w:t>Premanufacture Review Notice (PMN) (EPA Form 7710-</w:t>
            </w:r>
            <w:r w:rsidR="00C72A0F">
              <w:t>012)</w:t>
            </w:r>
          </w:p>
        </w:tc>
      </w:tr>
      <w:tr w14:paraId="333C5C6B" w14:textId="77777777" w:rsidTr="55AE17AB">
        <w:tblPrEx>
          <w:tblW w:w="0" w:type="auto"/>
          <w:tblLook w:val="04A0"/>
        </w:tblPrEx>
        <w:tc>
          <w:tcPr>
            <w:tcW w:w="670" w:type="dxa"/>
          </w:tcPr>
          <w:p w:rsidR="009B2158" w:rsidP="0026304B" w14:paraId="23E74557" w14:textId="00475EE3">
            <w:pPr>
              <w:widowControl w:val="0"/>
              <w:spacing w:before="40" w:after="40" w:line="240" w:lineRule="auto"/>
              <w:rPr>
                <w:lang w:bidi="en-US"/>
              </w:rPr>
            </w:pPr>
            <w:r>
              <w:rPr>
                <w:lang w:bidi="en-US"/>
              </w:rPr>
              <w:t>12</w:t>
            </w:r>
          </w:p>
        </w:tc>
        <w:tc>
          <w:tcPr>
            <w:tcW w:w="8680" w:type="dxa"/>
          </w:tcPr>
          <w:p w:rsidR="009B2158" w:rsidRPr="009B2158" w:rsidP="009B2158" w14:paraId="7A5BEA67" w14:textId="2E7959FB">
            <w:pPr>
              <w:spacing w:after="0" w:line="240" w:lineRule="auto"/>
              <w:rPr>
                <w:rFonts w:cs="Arial"/>
                <w:color w:val="000000"/>
                <w:szCs w:val="24"/>
              </w:rPr>
            </w:pPr>
            <w:r w:rsidRPr="009B2158">
              <w:rPr>
                <w:rFonts w:cs="Arial"/>
                <w:color w:val="000000"/>
                <w:szCs w:val="24"/>
              </w:rPr>
              <w:t>TSCA Section 12(b) Export Notification</w:t>
            </w:r>
            <w:r>
              <w:rPr>
                <w:rFonts w:cs="Arial"/>
                <w:color w:val="000000"/>
                <w:szCs w:val="24"/>
              </w:rPr>
              <w:t xml:space="preserve"> (EPA Form 9600-0</w:t>
            </w:r>
            <w:r w:rsidR="00C72A0F">
              <w:rPr>
                <w:rFonts w:cs="Arial"/>
                <w:color w:val="000000"/>
                <w:szCs w:val="24"/>
              </w:rPr>
              <w:t>31)</w:t>
            </w:r>
          </w:p>
        </w:tc>
      </w:tr>
      <w:tr w14:paraId="3FC7F2AE" w14:textId="77777777" w:rsidTr="55AE17AB">
        <w:tblPrEx>
          <w:tblW w:w="0" w:type="auto"/>
          <w:tblLook w:val="04A0"/>
        </w:tblPrEx>
        <w:tc>
          <w:tcPr>
            <w:tcW w:w="670" w:type="dxa"/>
          </w:tcPr>
          <w:p w:rsidR="009B2158" w:rsidP="0026304B" w14:paraId="03D00254" w14:textId="73CB0358">
            <w:pPr>
              <w:widowControl w:val="0"/>
              <w:spacing w:before="40" w:after="40" w:line="240" w:lineRule="auto"/>
              <w:rPr>
                <w:lang w:bidi="en-US"/>
              </w:rPr>
            </w:pPr>
            <w:r>
              <w:rPr>
                <w:lang w:bidi="en-US"/>
              </w:rPr>
              <w:t>13</w:t>
            </w:r>
          </w:p>
        </w:tc>
        <w:tc>
          <w:tcPr>
            <w:tcW w:w="8680" w:type="dxa"/>
          </w:tcPr>
          <w:p w:rsidR="009B2158" w:rsidRPr="009B2158" w:rsidP="009B2158" w14:paraId="5DF5F514" w14:textId="125FD1EC">
            <w:pPr>
              <w:spacing w:after="0" w:line="240" w:lineRule="auto"/>
              <w:rPr>
                <w:rFonts w:cs="Arial"/>
                <w:color w:val="000000"/>
                <w:szCs w:val="24"/>
              </w:rPr>
            </w:pPr>
            <w:r w:rsidRPr="009B2158">
              <w:rPr>
                <w:rFonts w:cs="Arial"/>
                <w:color w:val="000000"/>
                <w:szCs w:val="24"/>
              </w:rPr>
              <w:t xml:space="preserve">Section 8(d) Health and Safety Data Reporting </w:t>
            </w:r>
            <w:r>
              <w:rPr>
                <w:rFonts w:cs="Arial"/>
                <w:color w:val="000000"/>
                <w:szCs w:val="24"/>
              </w:rPr>
              <w:t xml:space="preserve">(EPA Form </w:t>
            </w:r>
            <w:r>
              <w:rPr>
                <w:rFonts w:cs="Arial"/>
                <w:color w:val="000000"/>
                <w:szCs w:val="24"/>
              </w:rPr>
              <w:t>9600-032)</w:t>
            </w:r>
          </w:p>
        </w:tc>
      </w:tr>
      <w:tr w14:paraId="7832E2BD" w14:textId="77777777" w:rsidTr="55AE17AB">
        <w:tblPrEx>
          <w:tblW w:w="0" w:type="auto"/>
          <w:tblLook w:val="04A0"/>
        </w:tblPrEx>
        <w:tc>
          <w:tcPr>
            <w:tcW w:w="670" w:type="dxa"/>
          </w:tcPr>
          <w:p w:rsidR="009B2158" w:rsidP="0026304B" w14:paraId="798158B5" w14:textId="5D08CF1D">
            <w:pPr>
              <w:widowControl w:val="0"/>
              <w:spacing w:before="40" w:after="40" w:line="240" w:lineRule="auto"/>
              <w:rPr>
                <w:lang w:bidi="en-US"/>
              </w:rPr>
            </w:pPr>
            <w:r>
              <w:rPr>
                <w:lang w:bidi="en-US"/>
              </w:rPr>
              <w:t>14</w:t>
            </w:r>
          </w:p>
        </w:tc>
        <w:tc>
          <w:tcPr>
            <w:tcW w:w="8680" w:type="dxa"/>
          </w:tcPr>
          <w:p w:rsidR="009B2158" w:rsidRPr="009B2158" w:rsidP="009B2158" w14:paraId="72350CA4" w14:textId="60B31920">
            <w:pPr>
              <w:spacing w:after="0" w:line="240" w:lineRule="auto"/>
              <w:rPr>
                <w:rFonts w:cs="Arial"/>
                <w:szCs w:val="24"/>
              </w:rPr>
            </w:pPr>
            <w:r w:rsidRPr="009B2158">
              <w:rPr>
                <w:rFonts w:cs="Arial"/>
                <w:color w:val="000000"/>
                <w:szCs w:val="24"/>
              </w:rPr>
              <w:t xml:space="preserve">Section 8(e) Notice </w:t>
            </w:r>
            <w:r>
              <w:rPr>
                <w:rFonts w:cs="Arial"/>
                <w:color w:val="000000"/>
                <w:szCs w:val="24"/>
              </w:rPr>
              <w:t>(EPA Form 9600-030)</w:t>
            </w:r>
          </w:p>
        </w:tc>
      </w:tr>
      <w:tr w14:paraId="22F67F04" w14:textId="77777777" w:rsidTr="55AE17AB">
        <w:tblPrEx>
          <w:tblW w:w="0" w:type="auto"/>
          <w:tblLook w:val="04A0"/>
        </w:tblPrEx>
        <w:tc>
          <w:tcPr>
            <w:tcW w:w="670" w:type="dxa"/>
          </w:tcPr>
          <w:p w:rsidR="009B2158" w:rsidP="0026304B" w14:paraId="2CC2F0FD" w14:textId="7BFF7FFC">
            <w:pPr>
              <w:widowControl w:val="0"/>
              <w:spacing w:before="40" w:after="40" w:line="240" w:lineRule="auto"/>
              <w:rPr>
                <w:lang w:bidi="en-US"/>
              </w:rPr>
            </w:pPr>
            <w:r>
              <w:rPr>
                <w:lang w:bidi="en-US"/>
              </w:rPr>
              <w:t>15</w:t>
            </w:r>
          </w:p>
        </w:tc>
        <w:tc>
          <w:tcPr>
            <w:tcW w:w="8680" w:type="dxa"/>
          </w:tcPr>
          <w:p w:rsidR="009B2158" w:rsidRPr="009B2158" w:rsidP="009B2158" w14:paraId="4DA3E0DE" w14:textId="5277D2CD">
            <w:pPr>
              <w:spacing w:after="0" w:line="240" w:lineRule="auto"/>
              <w:rPr>
                <w:rFonts w:cs="Arial"/>
                <w:szCs w:val="24"/>
              </w:rPr>
            </w:pPr>
            <w:r w:rsidRPr="009B2158">
              <w:rPr>
                <w:rFonts w:cs="Arial"/>
                <w:color w:val="000000"/>
                <w:szCs w:val="24"/>
              </w:rPr>
              <w:t xml:space="preserve">Mercury Electronic Reporting </w:t>
            </w:r>
            <w:r>
              <w:rPr>
                <w:rFonts w:cs="Arial"/>
                <w:color w:val="000000"/>
                <w:szCs w:val="24"/>
              </w:rPr>
              <w:t>(9600-035)</w:t>
            </w:r>
          </w:p>
        </w:tc>
      </w:tr>
      <w:tr w14:paraId="17535831" w14:textId="77777777" w:rsidTr="55AE17AB">
        <w:tblPrEx>
          <w:tblW w:w="0" w:type="auto"/>
          <w:tblLook w:val="04A0"/>
        </w:tblPrEx>
        <w:tc>
          <w:tcPr>
            <w:tcW w:w="670" w:type="dxa"/>
          </w:tcPr>
          <w:p w:rsidR="009B2158" w:rsidP="0026304B" w14:paraId="233464EE" w14:textId="3F49AF32">
            <w:pPr>
              <w:widowControl w:val="0"/>
              <w:spacing w:before="40" w:after="40" w:line="240" w:lineRule="auto"/>
              <w:rPr>
                <w:lang w:bidi="en-US"/>
              </w:rPr>
            </w:pPr>
            <w:r>
              <w:rPr>
                <w:lang w:bidi="en-US"/>
              </w:rPr>
              <w:t>16</w:t>
            </w:r>
          </w:p>
        </w:tc>
        <w:tc>
          <w:tcPr>
            <w:tcW w:w="8680" w:type="dxa"/>
          </w:tcPr>
          <w:p w:rsidR="009B2158" w:rsidRPr="009B2158" w:rsidP="009B2158" w14:paraId="2C10B097" w14:textId="736B0047">
            <w:pPr>
              <w:spacing w:after="0" w:line="240" w:lineRule="auto"/>
              <w:rPr>
                <w:rFonts w:cs="Arial"/>
                <w:color w:val="000000"/>
                <w:szCs w:val="24"/>
              </w:rPr>
            </w:pPr>
            <w:r w:rsidRPr="009B2158">
              <w:t>Polymer Exemption (EPA Form 9600-033)</w:t>
            </w:r>
          </w:p>
        </w:tc>
      </w:tr>
      <w:tr w14:paraId="353AD40E" w14:textId="77777777" w:rsidTr="55AE17AB">
        <w:tblPrEx>
          <w:tblW w:w="0" w:type="auto"/>
          <w:tblLook w:val="04A0"/>
        </w:tblPrEx>
        <w:tc>
          <w:tcPr>
            <w:tcW w:w="670" w:type="dxa"/>
          </w:tcPr>
          <w:p w:rsidR="00D54B4C" w:rsidP="0026304B" w14:paraId="56942FDB" w14:textId="55993C22">
            <w:pPr>
              <w:widowControl w:val="0"/>
              <w:spacing w:before="40" w:after="40" w:line="240" w:lineRule="auto"/>
              <w:rPr>
                <w:lang w:bidi="en-US"/>
              </w:rPr>
            </w:pPr>
            <w:r>
              <w:rPr>
                <w:lang w:bidi="en-US"/>
              </w:rPr>
              <w:t xml:space="preserve">17 </w:t>
            </w:r>
          </w:p>
        </w:tc>
        <w:tc>
          <w:tcPr>
            <w:tcW w:w="8680" w:type="dxa"/>
          </w:tcPr>
          <w:p w:rsidR="00D54B4C" w:rsidRPr="009B2158" w:rsidP="009B2158" w14:paraId="0DFCC5BE" w14:textId="550D1E0A">
            <w:pPr>
              <w:spacing w:after="0" w:line="240" w:lineRule="auto"/>
            </w:pPr>
            <w:r>
              <w:t>Formaldehyde Title VI (EPA Form 9600-049) – Annual Laboratory Report, Annual Product Report, and Failure to Comply, Third Party Annual Report, Third Party Failure to Comply Quarterly Test, Third Party Quality Control Limit Exceedance, and Third Party Reduc</w:t>
            </w:r>
            <w:r>
              <w:t xml:space="preserve">ed Testing and Exemption Notification  </w:t>
            </w:r>
          </w:p>
        </w:tc>
      </w:tr>
    </w:tbl>
    <w:p w:rsidR="0026304B" w:rsidRPr="0026304B" w:rsidP="0026304B" w14:paraId="402D83F5" w14:textId="77777777">
      <w:pPr>
        <w:rPr>
          <w:lang w:bidi="en-US"/>
        </w:rPr>
      </w:pPr>
    </w:p>
    <w:sectPr w:rsidSect="002059F4">
      <w:footerReference w:type="defaul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544466"/>
      <w:docPartObj>
        <w:docPartGallery w:val="Page Numbers (Bottom of Page)"/>
        <w:docPartUnique/>
      </w:docPartObj>
    </w:sdtPr>
    <w:sdtContent>
      <w:sdt>
        <w:sdtPr>
          <w:id w:val="1728636285"/>
          <w:docPartObj>
            <w:docPartGallery w:val="Page Numbers (Top of Page)"/>
            <w:docPartUnique/>
          </w:docPartObj>
        </w:sdtPr>
        <w:sdtContent>
          <w:p w:rsidR="006C05AA" w:rsidP="009505AD" w14:paraId="1FDD3C08" w14:textId="1B37931B">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Pr>
                <w:b/>
                <w:bCs/>
                <w:noProof/>
                <w:sz w:val="20"/>
                <w:szCs w:val="20"/>
              </w:rPr>
              <w:t>21</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05AA" w:rsidP="009505AD" w14:paraId="79EB01F2" w14:textId="72537F53">
    <w:pPr>
      <w:pStyle w:val="Footer"/>
      <w:spacing w:before="120"/>
      <w:jc w:val="center"/>
    </w:pPr>
    <w:sdt>
      <w:sdtPr>
        <w:id w:val="1988427682"/>
        <w:docPartObj>
          <w:docPartGallery w:val="Page Numbers (Top of Page)"/>
          <w:docPartUnique/>
        </w:docPartObj>
      </w:sdtPr>
      <w:sdtContent>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Pr>
            <w:b/>
            <w:bCs/>
            <w:noProof/>
            <w:sz w:val="20"/>
            <w:szCs w:val="20"/>
          </w:rPr>
          <w:t>1</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Pr>
            <w:b/>
            <w:bCs/>
            <w:noProof/>
            <w:sz w:val="20"/>
            <w:szCs w:val="20"/>
          </w:rPr>
          <w:t>21</w:t>
        </w:r>
        <w:r w:rsidRPr="009505AD">
          <w:rPr>
            <w:b/>
            <w:bCs/>
            <w:sz w:val="20"/>
            <w:szCs w:val="20"/>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0B42CC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E91808"/>
    <w:multiLevelType w:val="multilevel"/>
    <w:tmpl w:val="5F0CC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D1985"/>
    <w:multiLevelType w:val="hybridMultilevel"/>
    <w:tmpl w:val="D7882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DB4DC2"/>
    <w:multiLevelType w:val="hybridMultilevel"/>
    <w:tmpl w:val="88408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305E64"/>
    <w:multiLevelType w:val="hybridMultilevel"/>
    <w:tmpl w:val="CBC03F5C"/>
    <w:lvl w:ilvl="0">
      <w:start w:val="1"/>
      <w:numFmt w:val="lowerLetter"/>
      <w:pStyle w:val="Heading3"/>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3E772C"/>
    <w:multiLevelType w:val="singleLevel"/>
    <w:tmpl w:val="F8F202EA"/>
    <w:lvl w:ilvl="0">
      <w:start w:val="1"/>
      <w:numFmt w:val="lowerLetter"/>
      <w:lvlText w:val="(%1)"/>
      <w:lvlJc w:val="left"/>
      <w:pPr>
        <w:ind w:left="720" w:hanging="360"/>
      </w:pPr>
      <w:rPr>
        <w:rFonts w:ascii="Times New Roman" w:hAnsi="Times New Roman" w:cs="Times New Roman" w:hint="default"/>
        <w:b/>
        <w:bCs/>
      </w:rPr>
    </w:lvl>
  </w:abstractNum>
  <w:abstractNum w:abstractNumId="6">
    <w:nsid w:val="1B8C116D"/>
    <w:multiLevelType w:val="multilevel"/>
    <w:tmpl w:val="4FE22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96465C"/>
    <w:multiLevelType w:val="hybridMultilevel"/>
    <w:tmpl w:val="128A9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2F4D8E"/>
    <w:multiLevelType w:val="multilevel"/>
    <w:tmpl w:val="2236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813E02"/>
    <w:multiLevelType w:val="hybridMultilevel"/>
    <w:tmpl w:val="49221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426AA2"/>
    <w:multiLevelType w:val="multilevel"/>
    <w:tmpl w:val="4B42B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F2479C"/>
    <w:multiLevelType w:val="hybridMultilevel"/>
    <w:tmpl w:val="013E1DE4"/>
    <w:lvl w:ilvl="0">
      <w:start w:val="1"/>
      <w:numFmt w:val="lowerLetter"/>
      <w:lvlText w:val="(%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9929B6"/>
    <w:multiLevelType w:val="multilevel"/>
    <w:tmpl w:val="CCD21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AC746A"/>
    <w:multiLevelType w:val="hybridMultilevel"/>
    <w:tmpl w:val="CF1AD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5">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9173705"/>
    <w:multiLevelType w:val="hybridMultilevel"/>
    <w:tmpl w:val="01A45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C76930"/>
    <w:multiLevelType w:val="multilevel"/>
    <w:tmpl w:val="4730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F50E05"/>
    <w:multiLevelType w:val="multilevel"/>
    <w:tmpl w:val="F4225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F816E0"/>
    <w:multiLevelType w:val="hybridMultilevel"/>
    <w:tmpl w:val="976EF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0A6383"/>
    <w:multiLevelType w:val="hybridMultilevel"/>
    <w:tmpl w:val="D04EB4FE"/>
    <w:lvl w:ilvl="0">
      <w:start w:val="1"/>
      <w:numFmt w:val="decimal"/>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C527F15"/>
    <w:multiLevelType w:val="hybridMultilevel"/>
    <w:tmpl w:val="EC2C0850"/>
    <w:lvl w:ilvl="0">
      <w:start w:val="1"/>
      <w:numFmt w:val="decimal"/>
      <w:pStyle w:val="Heading2"/>
      <w:lvlText w:val="%1."/>
      <w:lvlJc w:val="center"/>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58E4B35"/>
    <w:multiLevelType w:val="multilevel"/>
    <w:tmpl w:val="CF42C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117015"/>
    <w:multiLevelType w:val="hybridMultilevel"/>
    <w:tmpl w:val="5494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327EF4"/>
    <w:multiLevelType w:val="multilevel"/>
    <w:tmpl w:val="4D36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602B9A"/>
    <w:multiLevelType w:val="hybridMultilevel"/>
    <w:tmpl w:val="F0F80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C1157D"/>
    <w:multiLevelType w:val="hybridMultilevel"/>
    <w:tmpl w:val="0A50E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2167328">
    <w:abstractNumId w:val="19"/>
  </w:num>
  <w:num w:numId="2" w16cid:durableId="1733580141">
    <w:abstractNumId w:val="14"/>
  </w:num>
  <w:num w:numId="3" w16cid:durableId="851341549">
    <w:abstractNumId w:val="15"/>
  </w:num>
  <w:num w:numId="4" w16cid:durableId="1724135375">
    <w:abstractNumId w:val="21"/>
  </w:num>
  <w:num w:numId="5" w16cid:durableId="613945097">
    <w:abstractNumId w:val="4"/>
  </w:num>
  <w:num w:numId="6" w16cid:durableId="755782208">
    <w:abstractNumId w:val="4"/>
    <w:lvlOverride w:ilvl="0">
      <w:startOverride w:val="1"/>
    </w:lvlOverride>
  </w:num>
  <w:num w:numId="7" w16cid:durableId="477578570">
    <w:abstractNumId w:val="4"/>
    <w:lvlOverride w:ilvl="0">
      <w:startOverride w:val="1"/>
    </w:lvlOverride>
  </w:num>
  <w:num w:numId="8" w16cid:durableId="50202628">
    <w:abstractNumId w:val="2"/>
  </w:num>
  <w:num w:numId="9" w16cid:durableId="1619407973">
    <w:abstractNumId w:val="0"/>
  </w:num>
  <w:num w:numId="10" w16cid:durableId="709232855">
    <w:abstractNumId w:val="17"/>
  </w:num>
  <w:num w:numId="11" w16cid:durableId="1296252482">
    <w:abstractNumId w:val="1"/>
  </w:num>
  <w:num w:numId="12" w16cid:durableId="1848640961">
    <w:abstractNumId w:val="12"/>
  </w:num>
  <w:num w:numId="13" w16cid:durableId="618684207">
    <w:abstractNumId w:val="6"/>
  </w:num>
  <w:num w:numId="14" w16cid:durableId="138770007">
    <w:abstractNumId w:val="10"/>
  </w:num>
  <w:num w:numId="15" w16cid:durableId="1286889942">
    <w:abstractNumId w:val="22"/>
  </w:num>
  <w:num w:numId="16" w16cid:durableId="284965797">
    <w:abstractNumId w:val="24"/>
  </w:num>
  <w:num w:numId="17" w16cid:durableId="498279756">
    <w:abstractNumId w:val="18"/>
  </w:num>
  <w:num w:numId="18" w16cid:durableId="1995378491">
    <w:abstractNumId w:val="20"/>
  </w:num>
  <w:num w:numId="19" w16cid:durableId="655568502">
    <w:abstractNumId w:val="11"/>
  </w:num>
  <w:num w:numId="20" w16cid:durableId="1381788800">
    <w:abstractNumId w:val="26"/>
  </w:num>
  <w:num w:numId="21" w16cid:durableId="365910122">
    <w:abstractNumId w:val="16"/>
  </w:num>
  <w:num w:numId="22" w16cid:durableId="1534419314">
    <w:abstractNumId w:val="8"/>
  </w:num>
  <w:num w:numId="23" w16cid:durableId="547886473">
    <w:abstractNumId w:val="7"/>
  </w:num>
  <w:num w:numId="24" w16cid:durableId="2036926960">
    <w:abstractNumId w:val="13"/>
  </w:num>
  <w:num w:numId="25" w16cid:durableId="1702702777">
    <w:abstractNumId w:val="25"/>
  </w:num>
  <w:num w:numId="26" w16cid:durableId="114448722">
    <w:abstractNumId w:val="23"/>
  </w:num>
  <w:num w:numId="27" w16cid:durableId="454450303">
    <w:abstractNumId w:val="5"/>
  </w:num>
  <w:num w:numId="28" w16cid:durableId="225459305">
    <w:abstractNumId w:val="9"/>
  </w:num>
  <w:num w:numId="29" w16cid:durableId="97217243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2F89"/>
    <w:rsid w:val="0000670B"/>
    <w:rsid w:val="00006A5D"/>
    <w:rsid w:val="00006B5B"/>
    <w:rsid w:val="000173B9"/>
    <w:rsid w:val="00021F9A"/>
    <w:rsid w:val="0003181D"/>
    <w:rsid w:val="00034709"/>
    <w:rsid w:val="000372EB"/>
    <w:rsid w:val="00040B66"/>
    <w:rsid w:val="000453DB"/>
    <w:rsid w:val="000475FD"/>
    <w:rsid w:val="00055226"/>
    <w:rsid w:val="00061DFC"/>
    <w:rsid w:val="0006464F"/>
    <w:rsid w:val="000647C9"/>
    <w:rsid w:val="000656A4"/>
    <w:rsid w:val="0006776B"/>
    <w:rsid w:val="00073171"/>
    <w:rsid w:val="00076CBA"/>
    <w:rsid w:val="00086DC2"/>
    <w:rsid w:val="00092C8E"/>
    <w:rsid w:val="00094F2F"/>
    <w:rsid w:val="00097C0A"/>
    <w:rsid w:val="000A76D7"/>
    <w:rsid w:val="000B67B6"/>
    <w:rsid w:val="000C71E0"/>
    <w:rsid w:val="000D5E31"/>
    <w:rsid w:val="000E304B"/>
    <w:rsid w:val="000E4CE8"/>
    <w:rsid w:val="000E598F"/>
    <w:rsid w:val="000F0FF8"/>
    <w:rsid w:val="000F3685"/>
    <w:rsid w:val="000F3824"/>
    <w:rsid w:val="000F4061"/>
    <w:rsid w:val="00103B2E"/>
    <w:rsid w:val="00107247"/>
    <w:rsid w:val="0012070B"/>
    <w:rsid w:val="00120736"/>
    <w:rsid w:val="00126678"/>
    <w:rsid w:val="001278AD"/>
    <w:rsid w:val="001300B1"/>
    <w:rsid w:val="001331DE"/>
    <w:rsid w:val="00136860"/>
    <w:rsid w:val="00136C5B"/>
    <w:rsid w:val="001441E4"/>
    <w:rsid w:val="00144A27"/>
    <w:rsid w:val="001506AC"/>
    <w:rsid w:val="0016005C"/>
    <w:rsid w:val="00161ED7"/>
    <w:rsid w:val="00163F27"/>
    <w:rsid w:val="00171AD2"/>
    <w:rsid w:val="00174CD9"/>
    <w:rsid w:val="00183A5E"/>
    <w:rsid w:val="0018575F"/>
    <w:rsid w:val="00186F29"/>
    <w:rsid w:val="00192218"/>
    <w:rsid w:val="001A0481"/>
    <w:rsid w:val="001A1740"/>
    <w:rsid w:val="001A4073"/>
    <w:rsid w:val="001A4BBA"/>
    <w:rsid w:val="001B27EF"/>
    <w:rsid w:val="001B35E7"/>
    <w:rsid w:val="001B45B0"/>
    <w:rsid w:val="001B53C7"/>
    <w:rsid w:val="001C10BE"/>
    <w:rsid w:val="001C3187"/>
    <w:rsid w:val="001C477D"/>
    <w:rsid w:val="001D639D"/>
    <w:rsid w:val="001E0DDA"/>
    <w:rsid w:val="001E5236"/>
    <w:rsid w:val="001E7871"/>
    <w:rsid w:val="001F77EC"/>
    <w:rsid w:val="001F7900"/>
    <w:rsid w:val="002059F4"/>
    <w:rsid w:val="002061D9"/>
    <w:rsid w:val="002105BE"/>
    <w:rsid w:val="00214D98"/>
    <w:rsid w:val="00215B24"/>
    <w:rsid w:val="002232C7"/>
    <w:rsid w:val="00224874"/>
    <w:rsid w:val="0022704E"/>
    <w:rsid w:val="0023602B"/>
    <w:rsid w:val="00246C9D"/>
    <w:rsid w:val="0025091C"/>
    <w:rsid w:val="0026304B"/>
    <w:rsid w:val="00263F84"/>
    <w:rsid w:val="00270500"/>
    <w:rsid w:val="00271002"/>
    <w:rsid w:val="00271285"/>
    <w:rsid w:val="00284D80"/>
    <w:rsid w:val="002910C3"/>
    <w:rsid w:val="002917DB"/>
    <w:rsid w:val="00294EAC"/>
    <w:rsid w:val="002A3714"/>
    <w:rsid w:val="002A688D"/>
    <w:rsid w:val="002B1BFE"/>
    <w:rsid w:val="002B290C"/>
    <w:rsid w:val="002B49FF"/>
    <w:rsid w:val="002C15B1"/>
    <w:rsid w:val="002D4226"/>
    <w:rsid w:val="002D46D6"/>
    <w:rsid w:val="002D4FF2"/>
    <w:rsid w:val="002D6CA0"/>
    <w:rsid w:val="002E0AD2"/>
    <w:rsid w:val="002E1ED1"/>
    <w:rsid w:val="002E3A57"/>
    <w:rsid w:val="002F07ED"/>
    <w:rsid w:val="002F0984"/>
    <w:rsid w:val="002F21F7"/>
    <w:rsid w:val="002F4E42"/>
    <w:rsid w:val="00301217"/>
    <w:rsid w:val="003041B0"/>
    <w:rsid w:val="00310D2D"/>
    <w:rsid w:val="00323D18"/>
    <w:rsid w:val="00341D6A"/>
    <w:rsid w:val="00351A21"/>
    <w:rsid w:val="00361788"/>
    <w:rsid w:val="003645F8"/>
    <w:rsid w:val="00370838"/>
    <w:rsid w:val="00374A8F"/>
    <w:rsid w:val="00374F1F"/>
    <w:rsid w:val="00377490"/>
    <w:rsid w:val="00380237"/>
    <w:rsid w:val="003832B9"/>
    <w:rsid w:val="003845EA"/>
    <w:rsid w:val="003853DC"/>
    <w:rsid w:val="00391C7B"/>
    <w:rsid w:val="0039388A"/>
    <w:rsid w:val="00393ED4"/>
    <w:rsid w:val="003951A1"/>
    <w:rsid w:val="00395C2C"/>
    <w:rsid w:val="003A6B3A"/>
    <w:rsid w:val="003A7735"/>
    <w:rsid w:val="003A7F8C"/>
    <w:rsid w:val="003C48A3"/>
    <w:rsid w:val="003C53C0"/>
    <w:rsid w:val="003D096C"/>
    <w:rsid w:val="003D09E2"/>
    <w:rsid w:val="003E219D"/>
    <w:rsid w:val="003E2F88"/>
    <w:rsid w:val="003E5CB4"/>
    <w:rsid w:val="003F1A38"/>
    <w:rsid w:val="003F7C93"/>
    <w:rsid w:val="0042191A"/>
    <w:rsid w:val="00433DB3"/>
    <w:rsid w:val="00454E62"/>
    <w:rsid w:val="0045503C"/>
    <w:rsid w:val="00456853"/>
    <w:rsid w:val="00461214"/>
    <w:rsid w:val="00467B2C"/>
    <w:rsid w:val="00483711"/>
    <w:rsid w:val="0049003D"/>
    <w:rsid w:val="004917AF"/>
    <w:rsid w:val="004A08B0"/>
    <w:rsid w:val="004A0907"/>
    <w:rsid w:val="004A106F"/>
    <w:rsid w:val="004A7019"/>
    <w:rsid w:val="004A73E2"/>
    <w:rsid w:val="004C2DAC"/>
    <w:rsid w:val="004C3EE4"/>
    <w:rsid w:val="004C446F"/>
    <w:rsid w:val="004F05FB"/>
    <w:rsid w:val="004F61AC"/>
    <w:rsid w:val="00502D91"/>
    <w:rsid w:val="00503A14"/>
    <w:rsid w:val="00515F16"/>
    <w:rsid w:val="00520A06"/>
    <w:rsid w:val="005303F8"/>
    <w:rsid w:val="00534AA1"/>
    <w:rsid w:val="00534E85"/>
    <w:rsid w:val="00536F90"/>
    <w:rsid w:val="00551637"/>
    <w:rsid w:val="00555904"/>
    <w:rsid w:val="005645B8"/>
    <w:rsid w:val="00566EA2"/>
    <w:rsid w:val="00570CF3"/>
    <w:rsid w:val="00575DC0"/>
    <w:rsid w:val="005774D9"/>
    <w:rsid w:val="00582155"/>
    <w:rsid w:val="0059087E"/>
    <w:rsid w:val="0059088B"/>
    <w:rsid w:val="00593698"/>
    <w:rsid w:val="0059573C"/>
    <w:rsid w:val="00595EF1"/>
    <w:rsid w:val="005C0520"/>
    <w:rsid w:val="005C61F8"/>
    <w:rsid w:val="005D2AFC"/>
    <w:rsid w:val="005D4161"/>
    <w:rsid w:val="005D6FB8"/>
    <w:rsid w:val="005E09E7"/>
    <w:rsid w:val="005E5CE9"/>
    <w:rsid w:val="005F0454"/>
    <w:rsid w:val="005F68B5"/>
    <w:rsid w:val="005F768A"/>
    <w:rsid w:val="006032C2"/>
    <w:rsid w:val="00614476"/>
    <w:rsid w:val="006147C0"/>
    <w:rsid w:val="00614E74"/>
    <w:rsid w:val="00617519"/>
    <w:rsid w:val="00630001"/>
    <w:rsid w:val="0063003D"/>
    <w:rsid w:val="00634338"/>
    <w:rsid w:val="00640F2C"/>
    <w:rsid w:val="0064734A"/>
    <w:rsid w:val="00655EA0"/>
    <w:rsid w:val="00660C25"/>
    <w:rsid w:val="00666FEA"/>
    <w:rsid w:val="00677BEE"/>
    <w:rsid w:val="00681B6A"/>
    <w:rsid w:val="00685364"/>
    <w:rsid w:val="0068667F"/>
    <w:rsid w:val="006943C3"/>
    <w:rsid w:val="006A00A7"/>
    <w:rsid w:val="006A07BE"/>
    <w:rsid w:val="006A224D"/>
    <w:rsid w:val="006A54E4"/>
    <w:rsid w:val="006B1081"/>
    <w:rsid w:val="006B3C71"/>
    <w:rsid w:val="006B52E1"/>
    <w:rsid w:val="006C05AA"/>
    <w:rsid w:val="006C10AB"/>
    <w:rsid w:val="006C337B"/>
    <w:rsid w:val="006C44E5"/>
    <w:rsid w:val="006C61E2"/>
    <w:rsid w:val="006D7E61"/>
    <w:rsid w:val="006E0C6E"/>
    <w:rsid w:val="006E0CC2"/>
    <w:rsid w:val="006E1E3C"/>
    <w:rsid w:val="006E328F"/>
    <w:rsid w:val="006F046C"/>
    <w:rsid w:val="006F15AE"/>
    <w:rsid w:val="006F3735"/>
    <w:rsid w:val="006F51AE"/>
    <w:rsid w:val="00702877"/>
    <w:rsid w:val="00705CAC"/>
    <w:rsid w:val="00710616"/>
    <w:rsid w:val="00712CB3"/>
    <w:rsid w:val="0073054C"/>
    <w:rsid w:val="007312D5"/>
    <w:rsid w:val="00745FFA"/>
    <w:rsid w:val="00750E9C"/>
    <w:rsid w:val="0075411E"/>
    <w:rsid w:val="007733B8"/>
    <w:rsid w:val="00773DB2"/>
    <w:rsid w:val="00791AE0"/>
    <w:rsid w:val="00792002"/>
    <w:rsid w:val="0079430B"/>
    <w:rsid w:val="007958A1"/>
    <w:rsid w:val="007A01E7"/>
    <w:rsid w:val="007A0D9F"/>
    <w:rsid w:val="007A23B4"/>
    <w:rsid w:val="007A3C9E"/>
    <w:rsid w:val="007A3DE7"/>
    <w:rsid w:val="007B244D"/>
    <w:rsid w:val="007B3187"/>
    <w:rsid w:val="007C1C2E"/>
    <w:rsid w:val="007D07C8"/>
    <w:rsid w:val="007E0AFB"/>
    <w:rsid w:val="007E1376"/>
    <w:rsid w:val="007E5C80"/>
    <w:rsid w:val="007E6EA1"/>
    <w:rsid w:val="007F3A69"/>
    <w:rsid w:val="00824849"/>
    <w:rsid w:val="00831D58"/>
    <w:rsid w:val="008527EA"/>
    <w:rsid w:val="00853D25"/>
    <w:rsid w:val="008572A8"/>
    <w:rsid w:val="00862DBC"/>
    <w:rsid w:val="00863C6D"/>
    <w:rsid w:val="008645F4"/>
    <w:rsid w:val="008651BF"/>
    <w:rsid w:val="00867A3E"/>
    <w:rsid w:val="008713BC"/>
    <w:rsid w:val="008806B3"/>
    <w:rsid w:val="008817D2"/>
    <w:rsid w:val="00884BB8"/>
    <w:rsid w:val="008851E4"/>
    <w:rsid w:val="00885220"/>
    <w:rsid w:val="00897D7E"/>
    <w:rsid w:val="008A094B"/>
    <w:rsid w:val="008A237D"/>
    <w:rsid w:val="008B4A1D"/>
    <w:rsid w:val="008C31D3"/>
    <w:rsid w:val="008C4709"/>
    <w:rsid w:val="008D3C69"/>
    <w:rsid w:val="00921329"/>
    <w:rsid w:val="0093316B"/>
    <w:rsid w:val="00945215"/>
    <w:rsid w:val="009464FA"/>
    <w:rsid w:val="0094705A"/>
    <w:rsid w:val="009500C7"/>
    <w:rsid w:val="009505AD"/>
    <w:rsid w:val="00954332"/>
    <w:rsid w:val="009767E8"/>
    <w:rsid w:val="009803E7"/>
    <w:rsid w:val="009863DF"/>
    <w:rsid w:val="00990160"/>
    <w:rsid w:val="00993D9E"/>
    <w:rsid w:val="009A6E31"/>
    <w:rsid w:val="009A6EFA"/>
    <w:rsid w:val="009A7738"/>
    <w:rsid w:val="009A7DD1"/>
    <w:rsid w:val="009B2158"/>
    <w:rsid w:val="009B3F56"/>
    <w:rsid w:val="009B4E79"/>
    <w:rsid w:val="009B5CB8"/>
    <w:rsid w:val="009C0580"/>
    <w:rsid w:val="009C0A7C"/>
    <w:rsid w:val="009D1902"/>
    <w:rsid w:val="009D6242"/>
    <w:rsid w:val="009D64C8"/>
    <w:rsid w:val="009E6FE6"/>
    <w:rsid w:val="009F0D69"/>
    <w:rsid w:val="009F52D6"/>
    <w:rsid w:val="00A042D3"/>
    <w:rsid w:val="00A07A9B"/>
    <w:rsid w:val="00A13E06"/>
    <w:rsid w:val="00A15DA9"/>
    <w:rsid w:val="00A20E41"/>
    <w:rsid w:val="00A33137"/>
    <w:rsid w:val="00A41EA1"/>
    <w:rsid w:val="00A457F8"/>
    <w:rsid w:val="00A46F3E"/>
    <w:rsid w:val="00A47159"/>
    <w:rsid w:val="00A56015"/>
    <w:rsid w:val="00A605F5"/>
    <w:rsid w:val="00A62217"/>
    <w:rsid w:val="00A62F80"/>
    <w:rsid w:val="00A640A9"/>
    <w:rsid w:val="00A72919"/>
    <w:rsid w:val="00A85561"/>
    <w:rsid w:val="00A85B28"/>
    <w:rsid w:val="00A92DD1"/>
    <w:rsid w:val="00AA7A7A"/>
    <w:rsid w:val="00AB29A7"/>
    <w:rsid w:val="00AB7ED9"/>
    <w:rsid w:val="00AC368D"/>
    <w:rsid w:val="00AC605F"/>
    <w:rsid w:val="00AD2BE1"/>
    <w:rsid w:val="00AD7842"/>
    <w:rsid w:val="00AE1E93"/>
    <w:rsid w:val="00AE47C0"/>
    <w:rsid w:val="00AF2ED0"/>
    <w:rsid w:val="00AF7129"/>
    <w:rsid w:val="00B002FA"/>
    <w:rsid w:val="00B04C54"/>
    <w:rsid w:val="00B10468"/>
    <w:rsid w:val="00B1352E"/>
    <w:rsid w:val="00B23162"/>
    <w:rsid w:val="00B23E36"/>
    <w:rsid w:val="00B25143"/>
    <w:rsid w:val="00B253ED"/>
    <w:rsid w:val="00B262D4"/>
    <w:rsid w:val="00B30872"/>
    <w:rsid w:val="00B31BD4"/>
    <w:rsid w:val="00B33E4E"/>
    <w:rsid w:val="00B440E8"/>
    <w:rsid w:val="00B50BAB"/>
    <w:rsid w:val="00B5462B"/>
    <w:rsid w:val="00B57BED"/>
    <w:rsid w:val="00B61ECA"/>
    <w:rsid w:val="00B63A76"/>
    <w:rsid w:val="00B76216"/>
    <w:rsid w:val="00B764D1"/>
    <w:rsid w:val="00B867BD"/>
    <w:rsid w:val="00B9682D"/>
    <w:rsid w:val="00B969BA"/>
    <w:rsid w:val="00BA527C"/>
    <w:rsid w:val="00BB0C2C"/>
    <w:rsid w:val="00BB7017"/>
    <w:rsid w:val="00BC00F6"/>
    <w:rsid w:val="00BC370A"/>
    <w:rsid w:val="00BC687D"/>
    <w:rsid w:val="00BC6D25"/>
    <w:rsid w:val="00BC7A0C"/>
    <w:rsid w:val="00BD1A1F"/>
    <w:rsid w:val="00BD1BAB"/>
    <w:rsid w:val="00BE461C"/>
    <w:rsid w:val="00BF04C3"/>
    <w:rsid w:val="00C0168B"/>
    <w:rsid w:val="00C01896"/>
    <w:rsid w:val="00C04817"/>
    <w:rsid w:val="00C06667"/>
    <w:rsid w:val="00C068EE"/>
    <w:rsid w:val="00C12EA2"/>
    <w:rsid w:val="00C13C64"/>
    <w:rsid w:val="00C17334"/>
    <w:rsid w:val="00C237E2"/>
    <w:rsid w:val="00C23CAF"/>
    <w:rsid w:val="00C347DE"/>
    <w:rsid w:val="00C42EF5"/>
    <w:rsid w:val="00C455D4"/>
    <w:rsid w:val="00C500DC"/>
    <w:rsid w:val="00C5240E"/>
    <w:rsid w:val="00C54440"/>
    <w:rsid w:val="00C56605"/>
    <w:rsid w:val="00C569A2"/>
    <w:rsid w:val="00C60793"/>
    <w:rsid w:val="00C608C8"/>
    <w:rsid w:val="00C61D56"/>
    <w:rsid w:val="00C624CE"/>
    <w:rsid w:val="00C6353F"/>
    <w:rsid w:val="00C7069B"/>
    <w:rsid w:val="00C720D3"/>
    <w:rsid w:val="00C72A0F"/>
    <w:rsid w:val="00C72EAE"/>
    <w:rsid w:val="00C81FAD"/>
    <w:rsid w:val="00C8374D"/>
    <w:rsid w:val="00C84271"/>
    <w:rsid w:val="00C944AF"/>
    <w:rsid w:val="00CB3B90"/>
    <w:rsid w:val="00CB6A40"/>
    <w:rsid w:val="00CC1DD7"/>
    <w:rsid w:val="00CC4D3C"/>
    <w:rsid w:val="00CC5E3D"/>
    <w:rsid w:val="00CC7356"/>
    <w:rsid w:val="00CD536C"/>
    <w:rsid w:val="00CD7E9D"/>
    <w:rsid w:val="00CE4BAD"/>
    <w:rsid w:val="00CF074F"/>
    <w:rsid w:val="00CF6DC8"/>
    <w:rsid w:val="00D01870"/>
    <w:rsid w:val="00D01D4C"/>
    <w:rsid w:val="00D025F8"/>
    <w:rsid w:val="00D0290A"/>
    <w:rsid w:val="00D03BFF"/>
    <w:rsid w:val="00D13943"/>
    <w:rsid w:val="00D24130"/>
    <w:rsid w:val="00D278E1"/>
    <w:rsid w:val="00D41D82"/>
    <w:rsid w:val="00D43D4F"/>
    <w:rsid w:val="00D51B35"/>
    <w:rsid w:val="00D53902"/>
    <w:rsid w:val="00D54B4C"/>
    <w:rsid w:val="00D603A7"/>
    <w:rsid w:val="00D61693"/>
    <w:rsid w:val="00D63099"/>
    <w:rsid w:val="00D630AA"/>
    <w:rsid w:val="00D643D0"/>
    <w:rsid w:val="00D73EEB"/>
    <w:rsid w:val="00D80D21"/>
    <w:rsid w:val="00D81736"/>
    <w:rsid w:val="00D83509"/>
    <w:rsid w:val="00D85CD3"/>
    <w:rsid w:val="00D91CD9"/>
    <w:rsid w:val="00D923B8"/>
    <w:rsid w:val="00DA23D8"/>
    <w:rsid w:val="00DB1319"/>
    <w:rsid w:val="00DB1F1B"/>
    <w:rsid w:val="00DB62F8"/>
    <w:rsid w:val="00DC6056"/>
    <w:rsid w:val="00DC6905"/>
    <w:rsid w:val="00DD3644"/>
    <w:rsid w:val="00DD3B69"/>
    <w:rsid w:val="00DD52A5"/>
    <w:rsid w:val="00DE2410"/>
    <w:rsid w:val="00DE4F46"/>
    <w:rsid w:val="00DE5258"/>
    <w:rsid w:val="00DE5415"/>
    <w:rsid w:val="00DF2D99"/>
    <w:rsid w:val="00DF591D"/>
    <w:rsid w:val="00E00E93"/>
    <w:rsid w:val="00E01005"/>
    <w:rsid w:val="00E01C47"/>
    <w:rsid w:val="00E101E9"/>
    <w:rsid w:val="00E13704"/>
    <w:rsid w:val="00E14613"/>
    <w:rsid w:val="00E2464B"/>
    <w:rsid w:val="00E276A3"/>
    <w:rsid w:val="00E27EDB"/>
    <w:rsid w:val="00E30005"/>
    <w:rsid w:val="00E30863"/>
    <w:rsid w:val="00E30CAA"/>
    <w:rsid w:val="00E3719C"/>
    <w:rsid w:val="00E4046A"/>
    <w:rsid w:val="00E43FAE"/>
    <w:rsid w:val="00E453DD"/>
    <w:rsid w:val="00E644F5"/>
    <w:rsid w:val="00E65592"/>
    <w:rsid w:val="00E666B4"/>
    <w:rsid w:val="00E84AAF"/>
    <w:rsid w:val="00E902FC"/>
    <w:rsid w:val="00E91451"/>
    <w:rsid w:val="00E92A66"/>
    <w:rsid w:val="00EA107A"/>
    <w:rsid w:val="00EC352F"/>
    <w:rsid w:val="00ED4AC4"/>
    <w:rsid w:val="00EE2A4B"/>
    <w:rsid w:val="00EF407B"/>
    <w:rsid w:val="00EF5826"/>
    <w:rsid w:val="00EF5A45"/>
    <w:rsid w:val="00EF6576"/>
    <w:rsid w:val="00F04CCB"/>
    <w:rsid w:val="00F12CC9"/>
    <w:rsid w:val="00F17A59"/>
    <w:rsid w:val="00F31907"/>
    <w:rsid w:val="00F3615D"/>
    <w:rsid w:val="00F4329E"/>
    <w:rsid w:val="00F47DAC"/>
    <w:rsid w:val="00F47EF1"/>
    <w:rsid w:val="00F55868"/>
    <w:rsid w:val="00F856DE"/>
    <w:rsid w:val="00F856E3"/>
    <w:rsid w:val="00F87F6D"/>
    <w:rsid w:val="00F91120"/>
    <w:rsid w:val="00F9414F"/>
    <w:rsid w:val="00FA07C5"/>
    <w:rsid w:val="00FA21C9"/>
    <w:rsid w:val="00FA63CC"/>
    <w:rsid w:val="00FB4638"/>
    <w:rsid w:val="00FD497D"/>
    <w:rsid w:val="00FE0584"/>
    <w:rsid w:val="00FE7BA8"/>
    <w:rsid w:val="00FF699A"/>
    <w:rsid w:val="00FF6AD0"/>
    <w:rsid w:val="00FF701C"/>
    <w:rsid w:val="00FF794A"/>
    <w:rsid w:val="019FB251"/>
    <w:rsid w:val="0214DC43"/>
    <w:rsid w:val="02CC6414"/>
    <w:rsid w:val="04116374"/>
    <w:rsid w:val="0443BFDE"/>
    <w:rsid w:val="046D4024"/>
    <w:rsid w:val="047BFB92"/>
    <w:rsid w:val="04FE3817"/>
    <w:rsid w:val="063C2255"/>
    <w:rsid w:val="077BAD82"/>
    <w:rsid w:val="07973E1B"/>
    <w:rsid w:val="08E0E8B1"/>
    <w:rsid w:val="0A9ADC41"/>
    <w:rsid w:val="0C4F1EA5"/>
    <w:rsid w:val="0C7C1424"/>
    <w:rsid w:val="0CB80AFD"/>
    <w:rsid w:val="0CF1DC60"/>
    <w:rsid w:val="0D42D8C4"/>
    <w:rsid w:val="0DEDEE70"/>
    <w:rsid w:val="0F61D55C"/>
    <w:rsid w:val="0FB424C6"/>
    <w:rsid w:val="1043E27C"/>
    <w:rsid w:val="107DDC59"/>
    <w:rsid w:val="11FCA014"/>
    <w:rsid w:val="121B2CDA"/>
    <w:rsid w:val="12784327"/>
    <w:rsid w:val="1334B707"/>
    <w:rsid w:val="135CA6DF"/>
    <w:rsid w:val="13B57D1B"/>
    <w:rsid w:val="15ED3496"/>
    <w:rsid w:val="1643F2BA"/>
    <w:rsid w:val="16B998B0"/>
    <w:rsid w:val="17187073"/>
    <w:rsid w:val="189209B9"/>
    <w:rsid w:val="197CB131"/>
    <w:rsid w:val="1C9BFCF2"/>
    <w:rsid w:val="1F908279"/>
    <w:rsid w:val="1FBB939E"/>
    <w:rsid w:val="200B7A7E"/>
    <w:rsid w:val="20129648"/>
    <w:rsid w:val="203CB03B"/>
    <w:rsid w:val="212C52DA"/>
    <w:rsid w:val="21AE66A9"/>
    <w:rsid w:val="21DB2A6E"/>
    <w:rsid w:val="22C8233B"/>
    <w:rsid w:val="2338EBE6"/>
    <w:rsid w:val="24BF63D8"/>
    <w:rsid w:val="2684C209"/>
    <w:rsid w:val="277A0236"/>
    <w:rsid w:val="27F7049A"/>
    <w:rsid w:val="285F2C3D"/>
    <w:rsid w:val="2992D4FB"/>
    <w:rsid w:val="2994FE08"/>
    <w:rsid w:val="2A10D065"/>
    <w:rsid w:val="2CBA68DB"/>
    <w:rsid w:val="2CC1EC8D"/>
    <w:rsid w:val="2D456559"/>
    <w:rsid w:val="2D7716B2"/>
    <w:rsid w:val="2E56393C"/>
    <w:rsid w:val="2E90E5C0"/>
    <w:rsid w:val="2F1B126B"/>
    <w:rsid w:val="2F4E2A14"/>
    <w:rsid w:val="2F943C7C"/>
    <w:rsid w:val="303E88F0"/>
    <w:rsid w:val="3109FFC7"/>
    <w:rsid w:val="32350F37"/>
    <w:rsid w:val="33F59478"/>
    <w:rsid w:val="34C6BF24"/>
    <w:rsid w:val="35024B7E"/>
    <w:rsid w:val="359379CA"/>
    <w:rsid w:val="3704D09B"/>
    <w:rsid w:val="370E7313"/>
    <w:rsid w:val="377E7FC1"/>
    <w:rsid w:val="3ACBAAC9"/>
    <w:rsid w:val="3BE982BF"/>
    <w:rsid w:val="3C587ECE"/>
    <w:rsid w:val="3D1C7400"/>
    <w:rsid w:val="3D49DD6B"/>
    <w:rsid w:val="3E306AE5"/>
    <w:rsid w:val="3EDC686C"/>
    <w:rsid w:val="3F9436B5"/>
    <w:rsid w:val="3FAB91EC"/>
    <w:rsid w:val="4063E3F1"/>
    <w:rsid w:val="406F3BA1"/>
    <w:rsid w:val="40BC5112"/>
    <w:rsid w:val="4288B7D5"/>
    <w:rsid w:val="44022D97"/>
    <w:rsid w:val="44E38C10"/>
    <w:rsid w:val="453973E4"/>
    <w:rsid w:val="45BE8B4D"/>
    <w:rsid w:val="480FF422"/>
    <w:rsid w:val="481B2CD2"/>
    <w:rsid w:val="49E94413"/>
    <w:rsid w:val="4AB691F4"/>
    <w:rsid w:val="4B1BC37D"/>
    <w:rsid w:val="4DC10184"/>
    <w:rsid w:val="4DEE8B2C"/>
    <w:rsid w:val="4FB6272D"/>
    <w:rsid w:val="504A6595"/>
    <w:rsid w:val="50762221"/>
    <w:rsid w:val="50C2567A"/>
    <w:rsid w:val="52C6C373"/>
    <w:rsid w:val="53496902"/>
    <w:rsid w:val="5357BAE2"/>
    <w:rsid w:val="53ADC2E3"/>
    <w:rsid w:val="5534A9C8"/>
    <w:rsid w:val="5547130C"/>
    <w:rsid w:val="555E7DE1"/>
    <w:rsid w:val="55AE17AB"/>
    <w:rsid w:val="56776A09"/>
    <w:rsid w:val="593D0322"/>
    <w:rsid w:val="59BE5146"/>
    <w:rsid w:val="5A390848"/>
    <w:rsid w:val="5BD18062"/>
    <w:rsid w:val="5C3A7079"/>
    <w:rsid w:val="5D0038D0"/>
    <w:rsid w:val="5D40FB0A"/>
    <w:rsid w:val="5DF76AD2"/>
    <w:rsid w:val="622E012B"/>
    <w:rsid w:val="632416FA"/>
    <w:rsid w:val="64B44F88"/>
    <w:rsid w:val="64B52968"/>
    <w:rsid w:val="64DDD515"/>
    <w:rsid w:val="65B731DA"/>
    <w:rsid w:val="65F08696"/>
    <w:rsid w:val="670A1A74"/>
    <w:rsid w:val="67298E06"/>
    <w:rsid w:val="67AA473E"/>
    <w:rsid w:val="6829B79C"/>
    <w:rsid w:val="68DC91E5"/>
    <w:rsid w:val="69DF7A6F"/>
    <w:rsid w:val="6A4E9E92"/>
    <w:rsid w:val="6ACD21DD"/>
    <w:rsid w:val="6BF0F579"/>
    <w:rsid w:val="6DB8A63E"/>
    <w:rsid w:val="6EF98C62"/>
    <w:rsid w:val="704DF5C6"/>
    <w:rsid w:val="70986FB0"/>
    <w:rsid w:val="72FFAC4F"/>
    <w:rsid w:val="73F760B9"/>
    <w:rsid w:val="744A6B51"/>
    <w:rsid w:val="75693933"/>
    <w:rsid w:val="760C0B48"/>
    <w:rsid w:val="763AD820"/>
    <w:rsid w:val="77A9672E"/>
    <w:rsid w:val="785ABC3E"/>
    <w:rsid w:val="78CE4229"/>
    <w:rsid w:val="794B7027"/>
    <w:rsid w:val="79B5003B"/>
    <w:rsid w:val="7A77DD14"/>
    <w:rsid w:val="7D282A46"/>
    <w:rsid w:val="7D28B0F4"/>
    <w:rsid w:val="7EB962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15:docId w15:val="{CFCC7331-3E35-435E-887E-3C838D9B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917DB"/>
    <w:pPr>
      <w:numPr>
        <w:numId w:val="4"/>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5"/>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2"/>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917DB"/>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basedOn w:val="Normal"/>
    <w:link w:val="FootnoteTextChar"/>
    <w:unhideWhenUsed/>
    <w:qFormat/>
    <w:rsid w:val="005645B8"/>
    <w:pPr>
      <w:spacing w:after="0" w:line="240" w:lineRule="auto"/>
    </w:pPr>
    <w:rPr>
      <w:sz w:val="20"/>
      <w:szCs w:val="20"/>
    </w:rPr>
  </w:style>
  <w:style w:type="character" w:customStyle="1" w:styleId="FootnoteTextChar">
    <w:name w:val="Footnote Text Char"/>
    <w:basedOn w:val="DefaultParagraphFont"/>
    <w:link w:val="FootnoteText"/>
    <w:rsid w:val="005645B8"/>
    <w:rPr>
      <w:rFonts w:ascii="Arial" w:hAnsi="Arial"/>
      <w:sz w:val="20"/>
      <w:szCs w:val="20"/>
    </w:rPr>
  </w:style>
  <w:style w:type="character" w:styleId="FootnoteReference">
    <w:name w:val="footnote reference"/>
    <w:basedOn w:val="DefaultParagraphFont"/>
    <w:uiPriority w:val="99"/>
    <w:unhideWhenUsed/>
    <w:qFormat/>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paragraph" w:styleId="ListBullet">
    <w:name w:val="List Bullet"/>
    <w:basedOn w:val="Normal"/>
    <w:unhideWhenUsed/>
    <w:qFormat/>
    <w:rsid w:val="006B3C71"/>
    <w:pPr>
      <w:widowControl w:val="0"/>
      <w:numPr>
        <w:numId w:val="9"/>
      </w:numPr>
      <w:autoSpaceDE w:val="0"/>
      <w:autoSpaceDN w:val="0"/>
      <w:adjustRightInd w:val="0"/>
      <w:spacing w:after="240" w:line="240" w:lineRule="auto"/>
    </w:pPr>
    <w:rPr>
      <w:rFonts w:ascii="Times New Roman" w:eastAsia="Times New Roman" w:hAnsi="Times New Roman" w:cs="Times New Roman"/>
      <w:szCs w:val="24"/>
    </w:rPr>
  </w:style>
  <w:style w:type="paragraph" w:customStyle="1" w:styleId="psection-1">
    <w:name w:val="psection-1"/>
    <w:basedOn w:val="Normal"/>
    <w:rsid w:val="0063003D"/>
    <w:pPr>
      <w:spacing w:before="150" w:after="150" w:line="240" w:lineRule="auto"/>
    </w:pPr>
    <w:rPr>
      <w:rFonts w:ascii="Times New Roman" w:eastAsia="Times New Roman" w:hAnsi="Times New Roman" w:cs="Times New Roman"/>
      <w:szCs w:val="24"/>
    </w:rPr>
  </w:style>
  <w:style w:type="paragraph" w:customStyle="1" w:styleId="psection-2">
    <w:name w:val="psection-2"/>
    <w:basedOn w:val="Normal"/>
    <w:rsid w:val="0063003D"/>
    <w:pPr>
      <w:spacing w:after="150" w:line="240" w:lineRule="auto"/>
      <w:ind w:left="240"/>
    </w:pPr>
    <w:rPr>
      <w:rFonts w:ascii="Times New Roman" w:eastAsia="Times New Roman" w:hAnsi="Times New Roman" w:cs="Times New Roman"/>
      <w:szCs w:val="24"/>
    </w:rPr>
  </w:style>
  <w:style w:type="paragraph" w:customStyle="1" w:styleId="psection-3">
    <w:name w:val="psection-3"/>
    <w:basedOn w:val="Normal"/>
    <w:rsid w:val="0063003D"/>
    <w:pPr>
      <w:spacing w:after="150" w:line="240" w:lineRule="auto"/>
      <w:ind w:left="480"/>
    </w:pPr>
    <w:rPr>
      <w:rFonts w:ascii="Times New Roman" w:eastAsia="Times New Roman" w:hAnsi="Times New Roman" w:cs="Times New Roman"/>
      <w:szCs w:val="24"/>
    </w:rPr>
  </w:style>
  <w:style w:type="character" w:customStyle="1" w:styleId="et031">
    <w:name w:val="et031"/>
    <w:basedOn w:val="DefaultParagraphFont"/>
    <w:rsid w:val="0063003D"/>
    <w:rPr>
      <w:i/>
      <w:iCs/>
    </w:rPr>
  </w:style>
  <w:style w:type="character" w:customStyle="1" w:styleId="normaltextrun">
    <w:name w:val="normaltextrun"/>
    <w:basedOn w:val="DefaultParagraphFont"/>
    <w:rsid w:val="00AC368D"/>
  </w:style>
  <w:style w:type="character" w:customStyle="1" w:styleId="eop">
    <w:name w:val="eop"/>
    <w:basedOn w:val="DefaultParagraphFont"/>
    <w:rsid w:val="00AC368D"/>
  </w:style>
  <w:style w:type="paragraph" w:customStyle="1" w:styleId="paragraph">
    <w:name w:val="paragraph"/>
    <w:basedOn w:val="Normal"/>
    <w:rsid w:val="00FA07C5"/>
    <w:pPr>
      <w:spacing w:before="100" w:beforeAutospacing="1" w:after="100" w:afterAutospacing="1" w:line="240" w:lineRule="auto"/>
    </w:pPr>
    <w:rPr>
      <w:rFonts w:ascii="Times New Roman" w:eastAsia="Times New Roman" w:hAnsi="Times New Roman" w:cs="Times New Roman"/>
      <w:szCs w:val="24"/>
    </w:rPr>
  </w:style>
  <w:style w:type="character" w:customStyle="1" w:styleId="spellingerror">
    <w:name w:val="spellingerror"/>
    <w:basedOn w:val="DefaultParagraphFont"/>
    <w:rsid w:val="00FA07C5"/>
  </w:style>
  <w:style w:type="paragraph" w:styleId="NormalWeb">
    <w:name w:val="Normal (Web)"/>
    <w:basedOn w:val="Normal"/>
    <w:uiPriority w:val="99"/>
    <w:unhideWhenUsed/>
    <w:rsid w:val="00685364"/>
    <w:rPr>
      <w:rFonts w:ascii="Times New Roman" w:hAnsi="Times New Roman" w:cs="Times New Roman"/>
      <w:szCs w:val="24"/>
    </w:rPr>
  </w:style>
  <w:style w:type="character" w:styleId="Strong">
    <w:name w:val="Strong"/>
    <w:basedOn w:val="DefaultParagraphFont"/>
    <w:uiPriority w:val="22"/>
    <w:qFormat/>
    <w:rsid w:val="00E644F5"/>
    <w:rPr>
      <w:b/>
      <w:bCs/>
    </w:rPr>
  </w:style>
  <w:style w:type="character" w:customStyle="1" w:styleId="NoSpacingChar">
    <w:name w:val="No Spacing Char"/>
    <w:basedOn w:val="DefaultParagraphFont"/>
    <w:link w:val="NoSpacing"/>
    <w:uiPriority w:val="1"/>
    <w:locked/>
    <w:rsid w:val="002B1BFE"/>
  </w:style>
  <w:style w:type="paragraph" w:customStyle="1" w:styleId="Level1">
    <w:name w:val="Level 1"/>
    <w:rsid w:val="006C44E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basedOn w:val="DefaultParagraphFont"/>
    <w:uiPriority w:val="20"/>
    <w:qFormat/>
    <w:rsid w:val="00002F89"/>
    <w:rPr>
      <w:i/>
      <w:iCs/>
    </w:rPr>
  </w:style>
  <w:style w:type="character" w:styleId="FollowedHyperlink">
    <w:name w:val="FollowedHyperlink"/>
    <w:basedOn w:val="DefaultParagraphFont"/>
    <w:uiPriority w:val="99"/>
    <w:semiHidden/>
    <w:unhideWhenUsed/>
    <w:rsid w:val="000E304B"/>
    <w:rPr>
      <w:color w:val="954F72" w:themeColor="followedHyperlink"/>
      <w:u w:val="single"/>
    </w:rPr>
  </w:style>
  <w:style w:type="paragraph" w:customStyle="1" w:styleId="LTableTextAbt">
    <w:name w:val="(L)Table Text Abt"/>
    <w:link w:val="LTableTextAbtChar"/>
    <w:uiPriority w:val="12"/>
    <w:qFormat/>
    <w:rsid w:val="00055226"/>
    <w:pPr>
      <w:keepNext/>
      <w:keepLines/>
      <w:spacing w:before="20" w:after="20" w:line="480" w:lineRule="auto"/>
    </w:pPr>
    <w:rPr>
      <w:rFonts w:ascii="Times New Roman" w:hAnsi="Times New Roman" w:cs="Times New Roman"/>
      <w:bCs/>
      <w:color w:val="000000"/>
      <w:sz w:val="18"/>
      <w:szCs w:val="20"/>
    </w:rPr>
  </w:style>
  <w:style w:type="character" w:customStyle="1" w:styleId="LTableTextAbtChar">
    <w:name w:val="(L)Table Text Abt Char"/>
    <w:link w:val="LTableTextAbt"/>
    <w:uiPriority w:val="12"/>
    <w:rsid w:val="00055226"/>
    <w:rPr>
      <w:rFonts w:ascii="Times New Roman" w:hAnsi="Times New Roman" w:cs="Times New Roman"/>
      <w:bCs/>
      <w:color w:val="000000"/>
      <w:sz w:val="18"/>
      <w:szCs w:val="20"/>
    </w:rPr>
  </w:style>
  <w:style w:type="paragraph" w:customStyle="1" w:styleId="RTableTextAbt">
    <w:name w:val="(R) Table Text Abt"/>
    <w:link w:val="RTableTextAbtChar"/>
    <w:uiPriority w:val="14"/>
    <w:qFormat/>
    <w:rsid w:val="00055226"/>
    <w:pPr>
      <w:spacing w:line="480" w:lineRule="auto"/>
      <w:jc w:val="right"/>
    </w:pPr>
    <w:rPr>
      <w:rFonts w:ascii="Times New Roman" w:hAnsi="Times New Roman" w:cs="Times New Roman"/>
      <w:bCs/>
      <w:color w:val="000000"/>
      <w:sz w:val="18"/>
      <w:szCs w:val="20"/>
    </w:rPr>
  </w:style>
  <w:style w:type="character" w:customStyle="1" w:styleId="RTableTextAbtChar">
    <w:name w:val="(R) Table Text Abt Char"/>
    <w:basedOn w:val="LTableTextAbtChar"/>
    <w:link w:val="RTableTextAbt"/>
    <w:uiPriority w:val="14"/>
    <w:rsid w:val="00055226"/>
    <w:rPr>
      <w:rFonts w:ascii="Times New Roman" w:hAnsi="Times New Roman" w:cs="Times New Roman"/>
      <w:bCs/>
      <w:color w:val="000000"/>
      <w:sz w:val="18"/>
      <w:szCs w:val="20"/>
    </w:rPr>
  </w:style>
  <w:style w:type="paragraph" w:customStyle="1" w:styleId="TableSubtitle">
    <w:name w:val="TableSubtitle"/>
    <w:basedOn w:val="Normal"/>
    <w:qFormat/>
    <w:rsid w:val="00055226"/>
    <w:pPr>
      <w:keepNext/>
      <w:keepLines/>
      <w:autoSpaceDE w:val="0"/>
      <w:autoSpaceDN w:val="0"/>
      <w:adjustRightInd w:val="0"/>
      <w:spacing w:after="160" w:line="480" w:lineRule="auto"/>
      <w:jc w:val="center"/>
    </w:pPr>
    <w:rPr>
      <w:rFonts w:ascii="Arial Narrow" w:eastAsia="Times New Roman" w:hAnsi="Arial Narrow" w:cs="Arial"/>
      <w:b/>
      <w:bCs/>
      <w:color w:val="FFFFFF" w:themeColor="background1"/>
      <w:sz w:val="20"/>
      <w:szCs w:val="20"/>
    </w:rPr>
  </w:style>
  <w:style w:type="paragraph" w:customStyle="1" w:styleId="TableTitleA">
    <w:name w:val="TableTitleA"/>
    <w:basedOn w:val="Normal"/>
    <w:link w:val="TableTitleAChar"/>
    <w:qFormat/>
    <w:rsid w:val="00055226"/>
    <w:pPr>
      <w:keepNext/>
      <w:spacing w:after="20" w:line="480" w:lineRule="auto"/>
    </w:pPr>
    <w:rPr>
      <w:rFonts w:ascii="Arial Bold" w:eastAsia="Times New Roman" w:hAnsi="Arial Bold" w:cs="Times New Roman"/>
      <w:sz w:val="20"/>
      <w:szCs w:val="24"/>
    </w:rPr>
  </w:style>
  <w:style w:type="character" w:customStyle="1" w:styleId="TableTitleAChar">
    <w:name w:val="TableTitleA Char"/>
    <w:basedOn w:val="DefaultParagraphFont"/>
    <w:link w:val="TableTitleA"/>
    <w:rsid w:val="00055226"/>
    <w:rPr>
      <w:rFonts w:ascii="Arial Bold" w:eastAsia="Times New Roman" w:hAnsi="Arial Bold" w:cs="Times New Roman"/>
      <w:sz w:val="20"/>
      <w:szCs w:val="24"/>
    </w:rPr>
  </w:style>
  <w:style w:type="paragraph" w:customStyle="1" w:styleId="CTableTextAbt">
    <w:name w:val="(C)Table Text Abt"/>
    <w:link w:val="CTableTextAbtChar"/>
    <w:uiPriority w:val="13"/>
    <w:qFormat/>
    <w:rsid w:val="00055226"/>
    <w:pPr>
      <w:spacing w:line="480" w:lineRule="auto"/>
      <w:jc w:val="center"/>
    </w:pPr>
    <w:rPr>
      <w:rFonts w:ascii="Times New Roman" w:hAnsi="Times New Roman" w:cs="Times New Roman"/>
      <w:bCs/>
      <w:color w:val="000000"/>
      <w:sz w:val="18"/>
      <w:szCs w:val="20"/>
    </w:rPr>
  </w:style>
  <w:style w:type="character" w:customStyle="1" w:styleId="CTableTextAbtChar">
    <w:name w:val="(C)Table Text Abt Char"/>
    <w:basedOn w:val="DefaultParagraphFont"/>
    <w:link w:val="CTableTextAbt"/>
    <w:uiPriority w:val="13"/>
    <w:rsid w:val="00055226"/>
    <w:rPr>
      <w:rFonts w:ascii="Times New Roman" w:hAnsi="Times New Roman" w:cs="Times New Roman"/>
      <w:bCs/>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bo.gov/sites/default/files/112th-congress-2011-2012/workingpaper/2012-04fedbenefitswp0.pdf" TargetMode="External" /><Relationship Id="rId11" Type="http://schemas.openxmlformats.org/officeDocument/2006/relationships/hyperlink" Target="http://www.regulations.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opm.gov/policy-data-oversight/pay-leave/salaries-wages/salary-tables/pdf/2022/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ategoryDescription xmlns="http://schemas.microsoft.com/sharepoint.v3" xsi:nil="true"/>
    <SharedWithUsers xmlns="a5d1ca4e-0a3f-4119-b619-e20b93ebd1aa">
      <UserInfo>
        <DisplayName>Brinkhuis, Randall</DisplayName>
        <AccountId>17</AccountId>
        <AccountType/>
      </UserInfo>
      <UserInfo>
        <DisplayName>Alwood, Jim</DisplayName>
        <AccountId>25</AccountId>
        <AccountType/>
      </UserInfo>
      <UserInfo>
        <DisplayName>Barkas, Jessica</DisplayName>
        <AccountId>3175</AccountId>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4268</FRN_x0020_List_x0020_Item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C352BF3C-EFB3-4D0B-BFA3-852C0732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44B56-BA86-4284-B1F7-B5381B365F4F}">
  <ds:schemaRefs>
    <ds:schemaRef ds:uri="http://schemas.microsoft.com/office/2006/documentManagement/types"/>
    <ds:schemaRef ds:uri="9a50e4ce-b6ec-4690-8f1f-bcfa060d877d"/>
    <ds:schemaRef ds:uri="http://schemas.microsoft.com/sharepoint/v3/fields"/>
    <ds:schemaRef ds:uri="http://purl.org/dc/elements/1.1/"/>
    <ds:schemaRef ds:uri="http://purl.org/dc/term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a5d1ca4e-0a3f-4119-b619-e20b93ebd1aa"/>
    <ds:schemaRef ds:uri="http://purl.org/dc/dcmitype/"/>
    <ds:schemaRef ds:uri="4ffa91fb-a0ff-4ac5-b2db-65c790d184a4"/>
    <ds:schemaRef ds:uri="http://schemas.microsoft.com/sharepoint/v3"/>
    <ds:schemaRef ds:uri="http://www.w3.org/XML/1998/namespace"/>
    <ds:schemaRef ds:uri="118f882f-1e32-4cf2-ad69-9de43d57f4c6"/>
  </ds:schemaRefs>
</ds:datastoreItem>
</file>

<file path=customXml/itemProps3.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4.xml><?xml version="1.0" encoding="utf-8"?>
<ds:datastoreItem xmlns:ds="http://schemas.openxmlformats.org/officeDocument/2006/customXml" ds:itemID="{7828E6B4-C36A-4D5F-8D91-DEC5684B954D}">
  <ds:schemaRefs>
    <ds:schemaRef ds:uri="http://schemas.openxmlformats.org/officeDocument/2006/bibliography"/>
  </ds:schemaRefs>
</ds:datastoreItem>
</file>

<file path=customXml/itemProps5.xml><?xml version="1.0" encoding="utf-8"?>
<ds:datastoreItem xmlns:ds="http://schemas.openxmlformats.org/officeDocument/2006/customXml" ds:itemID="{0A8375B5-05CB-4846-8DE0-6783098B2E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8098</Words>
  <Characters>45512</Characters>
  <Application>Microsoft Office Word</Application>
  <DocSecurity>0</DocSecurity>
  <Lines>1197</Lines>
  <Paragraphs>558</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53052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Comments;siu.carolyn@epa.gov</dc:creator>
  <cp:lastModifiedBy>Schultz, Eric</cp:lastModifiedBy>
  <cp:revision>3</cp:revision>
  <dcterms:created xsi:type="dcterms:W3CDTF">2023-06-15T21:04:00Z</dcterms:created>
  <dcterms:modified xsi:type="dcterms:W3CDTF">2023-06-15T21:41:00Z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GrammarlyDocumentId">
    <vt:lpwstr>ef43ca1559f6016b4955d9d04278a49684f476b5dfe00f84ab013a904d5383e4</vt:lpwstr>
  </property>
  <property fmtid="{D5CDD505-2E9C-101B-9397-08002B2CF9AE}" pid="6" name="TaxKeyword">
    <vt:lpwstr/>
  </property>
</Properties>
</file>