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706C9" w:rsidRPr="006E2136" w:rsidP="00F87A6F" w14:paraId="0A463515" w14:textId="77777777">
      <w:pPr>
        <w:pStyle w:val="Title"/>
        <w:rPr>
          <w:rFonts w:ascii="Times New Roman" w:hAnsi="Times New Roman"/>
          <w:u w:val="none"/>
        </w:rPr>
      </w:pPr>
      <w:r w:rsidRPr="006E2136">
        <w:rPr>
          <w:rFonts w:ascii="Times New Roman" w:hAnsi="Times New Roman"/>
          <w:u w:val="none"/>
        </w:rPr>
        <w:t>Department of Transportation</w:t>
      </w:r>
    </w:p>
    <w:p w:rsidR="007706C9" w:rsidRPr="006E2136" w:rsidP="00F87A6F" w14:paraId="0A463516" w14:textId="77777777">
      <w:pPr>
        <w:pStyle w:val="Title"/>
        <w:rPr>
          <w:rFonts w:ascii="Times New Roman" w:hAnsi="Times New Roman"/>
        </w:rPr>
      </w:pPr>
      <w:r w:rsidRPr="006E2136">
        <w:rPr>
          <w:rFonts w:ascii="Times New Roman" w:hAnsi="Times New Roman"/>
          <w:u w:val="none"/>
        </w:rPr>
        <w:t>Office of the Chief Information Officer</w:t>
      </w:r>
    </w:p>
    <w:p w:rsidR="007706C9" w:rsidP="00F87A6F" w14:paraId="0A463517" w14:textId="77777777">
      <w:pPr>
        <w:pStyle w:val="Title"/>
        <w:rPr>
          <w:rFonts w:ascii="Times New Roman" w:hAnsi="Times New Roman"/>
          <w:u w:val="none"/>
        </w:rPr>
      </w:pPr>
      <w:r>
        <w:rPr>
          <w:rFonts w:ascii="Times New Roman" w:hAnsi="Times New Roman"/>
          <w:u w:val="none"/>
        </w:rPr>
        <w:t>Supporting Statement</w:t>
      </w:r>
    </w:p>
    <w:p w:rsidR="00B90EEC" w:rsidRPr="006E2136" w:rsidP="00F87A6F" w14:paraId="0A463518" w14:textId="77777777">
      <w:pPr>
        <w:pStyle w:val="Title"/>
        <w:rPr>
          <w:rFonts w:ascii="Times New Roman" w:hAnsi="Times New Roman"/>
        </w:rPr>
      </w:pPr>
    </w:p>
    <w:p w:rsidR="007706C9" w:rsidRPr="0049274D" w:rsidP="00F87A6F" w14:paraId="0A463519" w14:textId="77777777">
      <w:pPr>
        <w:jc w:val="center"/>
        <w:rPr>
          <w:bCs/>
        </w:rPr>
      </w:pPr>
      <w:r w:rsidRPr="0049274D">
        <w:rPr>
          <w:bCs/>
        </w:rPr>
        <w:t>Hazardous Materials Incident Reports</w:t>
      </w:r>
    </w:p>
    <w:p w:rsidR="007706C9" w:rsidRPr="0049274D" w:rsidP="00F87A6F" w14:paraId="0A46351A" w14:textId="77777777">
      <w:pPr>
        <w:jc w:val="center"/>
        <w:rPr>
          <w:bCs/>
        </w:rPr>
      </w:pPr>
      <w:r w:rsidRPr="0049274D">
        <w:rPr>
          <w:bCs/>
        </w:rPr>
        <w:t>OMB Control No. 2137-0039</w:t>
      </w:r>
    </w:p>
    <w:p w:rsidR="00D307D3" w:rsidP="00F87A6F" w14:paraId="0A46351B" w14:textId="77777777">
      <w:pPr>
        <w:jc w:val="center"/>
        <w:rPr>
          <w:b/>
          <w:bCs/>
        </w:rPr>
      </w:pPr>
    </w:p>
    <w:p w:rsidR="00D307D3" w:rsidRPr="00D307D3" w:rsidP="00F87A6F" w14:paraId="0A46351C" w14:textId="2DA6645D">
      <w:pPr>
        <w:jc w:val="center"/>
        <w:rPr>
          <w:bCs/>
        </w:rPr>
      </w:pPr>
      <w:r w:rsidRPr="00D307D3">
        <w:rPr>
          <w:bCs/>
        </w:rPr>
        <w:t xml:space="preserve">(Expiration Date: </w:t>
      </w:r>
      <w:r w:rsidR="00F10DA9">
        <w:rPr>
          <w:bCs/>
        </w:rPr>
        <w:t>July</w:t>
      </w:r>
      <w:r w:rsidRPr="00D307D3" w:rsidR="002A28F8">
        <w:rPr>
          <w:bCs/>
        </w:rPr>
        <w:t xml:space="preserve"> </w:t>
      </w:r>
      <w:r w:rsidRPr="00D307D3">
        <w:rPr>
          <w:bCs/>
        </w:rPr>
        <w:t>3</w:t>
      </w:r>
      <w:r w:rsidR="00F10DA9">
        <w:rPr>
          <w:bCs/>
        </w:rPr>
        <w:t>1</w:t>
      </w:r>
      <w:r w:rsidRPr="00D307D3">
        <w:rPr>
          <w:bCs/>
        </w:rPr>
        <w:t xml:space="preserve">, </w:t>
      </w:r>
      <w:r w:rsidR="002A28F8">
        <w:rPr>
          <w:bCs/>
        </w:rPr>
        <w:t>202</w:t>
      </w:r>
      <w:r w:rsidR="00F10DA9">
        <w:rPr>
          <w:bCs/>
        </w:rPr>
        <w:t>3</w:t>
      </w:r>
      <w:r w:rsidRPr="00D307D3">
        <w:rPr>
          <w:bCs/>
        </w:rPr>
        <w:t>)</w:t>
      </w:r>
    </w:p>
    <w:p w:rsidR="00386FF3" w:rsidRPr="00F52CF2" w14:paraId="0A46351D" w14:textId="77777777">
      <w:pPr>
        <w:rPr>
          <w:color w:val="0000FF"/>
        </w:rPr>
      </w:pPr>
    </w:p>
    <w:p w:rsidR="00386FF3" w:rsidRPr="00F52CF2" w14:paraId="0A46351E" w14:textId="77777777">
      <w:pPr>
        <w:rPr>
          <w:color w:val="0000FF"/>
        </w:rPr>
      </w:pPr>
    </w:p>
    <w:p w:rsidR="007706C9" w:rsidRPr="006E2136" w:rsidP="00C83E39" w14:paraId="0A46351F" w14:textId="77777777">
      <w:pPr>
        <w:pStyle w:val="Subtitle"/>
        <w:rPr>
          <w:rFonts w:ascii="Times New Roman" w:hAnsi="Times New Roman"/>
        </w:rPr>
      </w:pPr>
      <w:r w:rsidRPr="006E2136">
        <w:rPr>
          <w:rFonts w:ascii="Times New Roman" w:hAnsi="Times New Roman"/>
        </w:rPr>
        <w:t>I</w:t>
      </w:r>
      <w:r>
        <w:rPr>
          <w:rFonts w:ascii="Times New Roman" w:hAnsi="Times New Roman"/>
        </w:rPr>
        <w:t>ntroduction</w:t>
      </w:r>
    </w:p>
    <w:p w:rsidR="007706C9" w:rsidP="00C83E39" w14:paraId="0A463520" w14:textId="77777777">
      <w:pPr>
        <w:rPr>
          <w:color w:val="0000FF"/>
        </w:rPr>
      </w:pPr>
    </w:p>
    <w:p w:rsidR="007706C9" w:rsidRPr="00E9232B" w:rsidP="00C118CC" w14:paraId="0A463522" w14:textId="2C316724">
      <w:r w:rsidRPr="006E2136">
        <w:t xml:space="preserve">This is to request the Office of Management and Budget (OMB) </w:t>
      </w:r>
      <w:r w:rsidR="00C97A58">
        <w:t>renewal of</w:t>
      </w:r>
      <w:r w:rsidRPr="006E2136">
        <w:t xml:space="preserve"> the information collection </w:t>
      </w:r>
      <w:r w:rsidRPr="005E54E0">
        <w:t>titled, “</w:t>
      </w:r>
      <w:r w:rsidRPr="005E54E0" w:rsidR="005E54E0">
        <w:rPr>
          <w:bCs/>
        </w:rPr>
        <w:t>Hazardous Materials Incident Reports</w:t>
      </w:r>
      <w:r>
        <w:t>”</w:t>
      </w:r>
      <w:r w:rsidRPr="00334915">
        <w:t xml:space="preserve"> </w:t>
      </w:r>
      <w:r w:rsidR="00C97A58">
        <w:t>[</w:t>
      </w:r>
      <w:r w:rsidRPr="00334915">
        <w:t xml:space="preserve">OMB </w:t>
      </w:r>
      <w:r w:rsidRPr="00E9232B">
        <w:t>Control No. 2137-</w:t>
      </w:r>
      <w:r w:rsidRPr="00E9232B" w:rsidR="005E54E0">
        <w:t>0039</w:t>
      </w:r>
      <w:r>
        <w:rPr>
          <w:rStyle w:val="FootnoteReference"/>
        </w:rPr>
        <w:footnoteReference w:id="3"/>
      </w:r>
      <w:r w:rsidR="00C97A58">
        <w:t>]</w:t>
      </w:r>
      <w:r w:rsidRPr="00E9232B">
        <w:t xml:space="preserve">, which is currently due to expire on </w:t>
      </w:r>
      <w:r w:rsidR="001D2964">
        <w:t>July 31, 2023</w:t>
      </w:r>
      <w:r w:rsidRPr="00E9232B">
        <w:t xml:space="preserve">.  </w:t>
      </w:r>
      <w:r w:rsidR="003B0AA4">
        <w:t xml:space="preserve">This information collection </w:t>
      </w:r>
      <w:r w:rsidR="00C97A58">
        <w:t xml:space="preserve">was created from an </w:t>
      </w:r>
      <w:r w:rsidR="003B0AA4">
        <w:t>October 31, 1970</w:t>
      </w:r>
      <w:r w:rsidR="00C97A58">
        <w:t>, final rule</w:t>
      </w:r>
      <w:r>
        <w:rPr>
          <w:rStyle w:val="FootnoteReference"/>
        </w:rPr>
        <w:footnoteReference w:id="4"/>
      </w:r>
      <w:r w:rsidR="008A4C31">
        <w:t xml:space="preserve"> </w:t>
      </w:r>
      <w:r w:rsidR="002E74DE">
        <w:t>titled</w:t>
      </w:r>
      <w:r w:rsidR="001D5DCF">
        <w:t>,</w:t>
      </w:r>
      <w:r w:rsidR="002E74DE">
        <w:t xml:space="preserve"> </w:t>
      </w:r>
      <w:r w:rsidR="003B0AA4">
        <w:t>“Reports of Hazardous Materials Incidents</w:t>
      </w:r>
      <w:r w:rsidR="002E74DE">
        <w:t>,</w:t>
      </w:r>
      <w:r w:rsidR="003B0AA4">
        <w:t>”</w:t>
      </w:r>
      <w:r w:rsidR="00C97A58">
        <w:t xml:space="preserve"> [HM-36, 35 FR 16836] </w:t>
      </w:r>
      <w:r w:rsidR="003B0AA4">
        <w:t xml:space="preserve">which established the hazardous materials incident reporting requirements.  </w:t>
      </w:r>
      <w:r w:rsidRPr="00E9232B" w:rsidR="00E9232B">
        <w:t>This information collection was most recently updated as the result of a December 3, 2003</w:t>
      </w:r>
      <w:r w:rsidR="00C97A58">
        <w:t>,</w:t>
      </w:r>
      <w:r w:rsidRPr="00E9232B" w:rsidR="00E9232B">
        <w:t xml:space="preserve"> </w:t>
      </w:r>
      <w:r w:rsidR="00786EBE">
        <w:t>final rule</w:t>
      </w:r>
      <w:r>
        <w:rPr>
          <w:rStyle w:val="FootnoteReference"/>
        </w:rPr>
        <w:footnoteReference w:id="5"/>
      </w:r>
      <w:r w:rsidR="00065535">
        <w:t xml:space="preserve"> </w:t>
      </w:r>
      <w:r w:rsidRPr="00E9232B" w:rsidR="00E9232B">
        <w:t>titled</w:t>
      </w:r>
      <w:r w:rsidR="001D5DCF">
        <w:t>,</w:t>
      </w:r>
      <w:r w:rsidRPr="00E9232B" w:rsidR="00E9232B">
        <w:t xml:space="preserve"> “Hazardous Materials: Revisions to Incident Reporting Requirements and the Hazardous Materials Incident Report Form</w:t>
      </w:r>
      <w:r w:rsidR="002E74DE">
        <w:t>,</w:t>
      </w:r>
      <w:r w:rsidRPr="00E9232B" w:rsidR="00E9232B">
        <w:t>”</w:t>
      </w:r>
      <w:r w:rsidR="00C97A58">
        <w:t xml:space="preserve"> </w:t>
      </w:r>
      <w:r w:rsidRPr="00E9232B" w:rsidR="00C97A58">
        <w:t>[</w:t>
      </w:r>
      <w:r w:rsidR="00C97A58">
        <w:t xml:space="preserve">HM-229; </w:t>
      </w:r>
      <w:r w:rsidRPr="00E9232B" w:rsidR="00C97A58">
        <w:t>68</w:t>
      </w:r>
      <w:r w:rsidR="00C97A58">
        <w:t> </w:t>
      </w:r>
      <w:r w:rsidRPr="00E9232B" w:rsidR="00C97A58">
        <w:t>FR</w:t>
      </w:r>
      <w:r w:rsidR="00C97A58">
        <w:t> </w:t>
      </w:r>
      <w:r w:rsidRPr="00E9232B" w:rsidR="00C97A58">
        <w:t>67746]</w:t>
      </w:r>
      <w:r w:rsidRPr="00E9232B" w:rsidR="00E9232B">
        <w:t xml:space="preserve"> which established the form current</w:t>
      </w:r>
      <w:r w:rsidR="00D3416C">
        <w:t xml:space="preserve"> process </w:t>
      </w:r>
      <w:r w:rsidRPr="00E9232B" w:rsidR="00E9232B">
        <w:t>to collect hazardous material</w:t>
      </w:r>
      <w:r w:rsidR="00C908E2">
        <w:t>s</w:t>
      </w:r>
      <w:r w:rsidRPr="00E9232B" w:rsidR="00E9232B">
        <w:t xml:space="preserve"> incident data</w:t>
      </w:r>
      <w:r w:rsidRPr="00E9232B">
        <w:t>.</w:t>
      </w:r>
    </w:p>
    <w:p w:rsidR="00E9232B" w:rsidRPr="00E9232B" w:rsidP="00C83E39" w14:paraId="0A463523" w14:textId="77777777"/>
    <w:p w:rsidR="00E9232B" w:rsidRPr="00E9232B" w:rsidP="00C83E39" w14:paraId="0A463524"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b/>
          <w:bCs/>
        </w:rPr>
      </w:pPr>
      <w:r w:rsidRPr="00E9232B">
        <w:rPr>
          <w:b/>
          <w:bCs/>
          <w:u w:val="single"/>
        </w:rPr>
        <w:t>Part A. Justification</w:t>
      </w:r>
      <w:r w:rsidRPr="00907DDA">
        <w:rPr>
          <w:b/>
          <w:bCs/>
          <w:u w:val="single"/>
        </w:rPr>
        <w:t>.</w:t>
      </w:r>
    </w:p>
    <w:p w:rsidR="00386FF3" w:rsidRPr="00E9232B" w:rsidP="00C83E39" w14:paraId="0A463525" w14:textId="77777777">
      <w:r w:rsidRPr="00E9232B">
        <w:t xml:space="preserve">      </w:t>
      </w:r>
    </w:p>
    <w:p w:rsidR="00E83473" w:rsidP="00C83E39" w14:paraId="0A463527" w14:textId="77777777">
      <w:pPr>
        <w:pStyle w:val="1AutoList1"/>
        <w:numPr>
          <w:ilvl w:val="0"/>
          <w:numId w:val="37"/>
        </w:numPr>
        <w:rPr>
          <w:rFonts w:ascii="Times New Roman" w:hAnsi="Times New Roman"/>
          <w:sz w:val="24"/>
          <w:u w:val="single"/>
        </w:rPr>
      </w:pPr>
      <w:r w:rsidRPr="00E9232B">
        <w:rPr>
          <w:rFonts w:ascii="Times New Roman" w:hAnsi="Times New Roman"/>
          <w:sz w:val="24"/>
          <w:u w:val="single"/>
        </w:rPr>
        <w:t>Circumstances tha</w:t>
      </w:r>
      <w:r w:rsidRPr="00E9232B">
        <w:rPr>
          <w:rFonts w:ascii="Times New Roman" w:hAnsi="Times New Roman"/>
          <w:sz w:val="24"/>
          <w:u w:val="single"/>
        </w:rPr>
        <w:t xml:space="preserve">t make the collection necessary.  </w:t>
      </w:r>
    </w:p>
    <w:p w:rsidR="004B3519" w:rsidRPr="00E9232B" w:rsidP="004B3519" w14:paraId="64A25B13" w14:textId="77777777">
      <w:pPr>
        <w:pStyle w:val="1AutoList1"/>
        <w:ind w:firstLine="0"/>
        <w:rPr>
          <w:rFonts w:ascii="Times New Roman" w:hAnsi="Times New Roman"/>
          <w:sz w:val="24"/>
          <w:u w:val="single"/>
        </w:rPr>
      </w:pPr>
    </w:p>
    <w:p w:rsidR="00D3416C" w:rsidP="00EE70E9" w14:paraId="0A46352D" w14:textId="7A4229BB">
      <w:pPr>
        <w:ind w:right="-720"/>
      </w:pPr>
      <w:r w:rsidRPr="00E9232B">
        <w:t>This is a request for</w:t>
      </w:r>
      <w:r w:rsidR="00C83E39">
        <w:t xml:space="preserve"> </w:t>
      </w:r>
      <w:r>
        <w:t>renewal</w:t>
      </w:r>
      <w:r w:rsidRPr="00E9232B" w:rsidR="00FF1FA5">
        <w:t xml:space="preserve"> </w:t>
      </w:r>
      <w:r w:rsidRPr="00E9232B">
        <w:t xml:space="preserve">of an existing approval under OMB </w:t>
      </w:r>
      <w:r w:rsidRPr="00E9232B" w:rsidR="00A47CE0">
        <w:t>Control</w:t>
      </w:r>
      <w:r w:rsidR="00C83E39">
        <w:t xml:space="preserve"> </w:t>
      </w:r>
      <w:r w:rsidRPr="00E9232B" w:rsidR="00A47CE0">
        <w:t xml:space="preserve">No. </w:t>
      </w:r>
      <w:r w:rsidRPr="00E9232B">
        <w:t>2137-0039</w:t>
      </w:r>
      <w:r w:rsidRPr="00E9232B" w:rsidR="0045026F">
        <w:t xml:space="preserve">.  </w:t>
      </w:r>
      <w:r w:rsidRPr="00E9232B" w:rsidR="00A47CE0">
        <w:t>T</w:t>
      </w:r>
      <w:r w:rsidRPr="00E9232B">
        <w:t xml:space="preserve">his collection is applicable upon occurrence of incidents as prescribed in 49 CFR 171.15 and 171.16. </w:t>
      </w:r>
      <w:r w:rsidR="00C83E39">
        <w:t xml:space="preserve"> </w:t>
      </w:r>
      <w:r w:rsidRPr="00E9232B">
        <w:t>A Hazardous Materials Incident Report, DOT Form F 5800.1, must be completed when there is a release of a hazardous material during transportation.  This information collection supports the Departmental Strategic Goal for Safety</w:t>
      </w:r>
      <w:r w:rsidRPr="00E9232B" w:rsidR="00651F33">
        <w:t xml:space="preserve">.  </w:t>
      </w:r>
      <w:r w:rsidRPr="00E9232B">
        <w:t>These regulations are set forth under the Federal hazardous materials transportation law (</w:t>
      </w:r>
      <w:r w:rsidRPr="00E9232B" w:rsidR="005D7997">
        <w:t>49</w:t>
      </w:r>
      <w:r w:rsidR="005D7997">
        <w:t> </w:t>
      </w:r>
      <w:r w:rsidRPr="00E9232B">
        <w:t>U.S.C. 5101</w:t>
      </w:r>
      <w:r w:rsidR="005872EA">
        <w:t>–</w:t>
      </w:r>
      <w:r w:rsidRPr="00E9232B">
        <w:t>5127)</w:t>
      </w:r>
    </w:p>
    <w:p w:rsidR="004B3519" w:rsidRPr="00E9232B" w:rsidP="004B3519" w14:paraId="740B670D" w14:textId="77777777">
      <w:pPr>
        <w:ind w:left="-720" w:right="-720"/>
      </w:pPr>
    </w:p>
    <w:p w:rsidR="00386FF3" w:rsidRPr="00E9232B" w:rsidP="00C83E39" w14:paraId="0A46352E" w14:textId="77777777">
      <w:pPr>
        <w:tabs>
          <w:tab w:val="left" w:pos="720"/>
        </w:tabs>
        <w:ind w:left="720" w:hanging="720"/>
      </w:pPr>
      <w:r w:rsidRPr="00E9232B">
        <w:t xml:space="preserve">2. </w:t>
      </w:r>
      <w:r w:rsidRPr="00E9232B">
        <w:tab/>
      </w:r>
      <w:r w:rsidRPr="00E9232B">
        <w:rPr>
          <w:u w:val="single"/>
        </w:rPr>
        <w:t>How, by whom, and for what purpose the information used</w:t>
      </w:r>
      <w:r w:rsidRPr="00907DDA">
        <w:rPr>
          <w:u w:val="single"/>
        </w:rPr>
        <w:t>.</w:t>
      </w:r>
      <w:r w:rsidRPr="00E9232B">
        <w:t xml:space="preserve">  </w:t>
      </w:r>
    </w:p>
    <w:p w:rsidR="00386FF3" w:rsidRPr="00E9232B" w:rsidP="00C83E39" w14:paraId="0A46352F" w14:textId="77777777"/>
    <w:p w:rsidR="00386FF3" w:rsidRPr="00E9232B" w:rsidP="00C118CC" w14:paraId="0A463530" w14:textId="77777777">
      <w:pPr>
        <w:ind w:right="-720"/>
      </w:pPr>
      <w:r w:rsidRPr="00E9232B">
        <w:t xml:space="preserve">This information collection requirement enhances the </w:t>
      </w:r>
      <w:r w:rsidRPr="00E9232B" w:rsidR="005B0333">
        <w:t>Department</w:t>
      </w:r>
      <w:r w:rsidR="005B0333">
        <w:t>’</w:t>
      </w:r>
      <w:r w:rsidRPr="00E9232B" w:rsidR="005B0333">
        <w:t xml:space="preserve">s </w:t>
      </w:r>
      <w:r w:rsidRPr="00E9232B">
        <w:t>ability</w:t>
      </w:r>
      <w:r w:rsidR="00C83E39">
        <w:t xml:space="preserve"> </w:t>
      </w:r>
      <w:r w:rsidRPr="00E9232B" w:rsidR="00561B86">
        <w:t>to use the data and information reported by carriers to: (1) evaluate the effectiveness of the existing regulations and industry operating procedures; (2) determine the need for regulatory changes to cover changing transportation safety problems</w:t>
      </w:r>
      <w:r w:rsidR="005B0333">
        <w:t>;</w:t>
      </w:r>
      <w:r w:rsidRPr="00E9232B" w:rsidR="00561B86">
        <w:t xml:space="preserve"> and (3) identify major problem areas that should receive priority </w:t>
      </w:r>
      <w:r w:rsidRPr="00E9232B" w:rsidR="00561B86">
        <w:t xml:space="preserve">attention.  In addition, both the government and industry use this information to chart trends, identify problems and training inadequacies, evaluate packagings, and assess ways to reduce releases.  </w:t>
      </w:r>
      <w:r w:rsidRPr="00E9232B">
        <w:t>The requirement applies to all interstate and intrastate carriers engaged in the transportation of hazardous materials by rail, air, vessel, and highway.</w:t>
      </w:r>
    </w:p>
    <w:p w:rsidR="006D6802" w:rsidRPr="00E9232B" w:rsidP="00C118CC" w14:paraId="0A463531" w14:textId="77777777"/>
    <w:p w:rsidR="006D6802" w:rsidRPr="00E9232B" w:rsidP="00C118CC" w14:paraId="0A463532" w14:textId="77777777">
      <w:pPr>
        <w:ind w:right="-720"/>
      </w:pPr>
      <w:r w:rsidRPr="00E9232B">
        <w:t xml:space="preserve">The hazardous materials transportation safety program relies on DOT Form F 5800.1 to gather basic information on incidents that occur during transportation.  </w:t>
      </w:r>
      <w:r w:rsidRPr="00E9232B">
        <w:t xml:space="preserve">The prescribed form provides meaningful, accurate, and comprehensive information relative to causes and effects associated with hazardous material releases.  The form provides the user with a variety of describing factors leading to the release of a hazardous material.   </w:t>
      </w:r>
    </w:p>
    <w:p w:rsidR="008B6657" w:rsidRPr="00E9232B" w:rsidP="00C118CC" w14:paraId="0A463533" w14:textId="77777777"/>
    <w:p w:rsidR="008B6657" w:rsidRPr="00E9232B" w:rsidP="00C118CC" w14:paraId="0A463534" w14:textId="3B72FA6E">
      <w:pPr>
        <w:ind w:right="-720"/>
      </w:pPr>
      <w:r>
        <w:t>In the</w:t>
      </w:r>
      <w:r w:rsidRPr="00E9232B">
        <w:t xml:space="preserve"> </w:t>
      </w:r>
      <w:r w:rsidRPr="00E9232B">
        <w:t>HM-229 Final Rul</w:t>
      </w:r>
      <w:r w:rsidR="002E3A8D">
        <w:t>e, P</w:t>
      </w:r>
      <w:r>
        <w:t>HMSA</w:t>
      </w:r>
      <w:r w:rsidRPr="00E9232B">
        <w:t xml:space="preserve"> revised the Hazardous Materials Incident Report Form</w:t>
      </w:r>
      <w:r w:rsidR="005B0333">
        <w:t>,</w:t>
      </w:r>
      <w:r w:rsidRPr="00E9232B">
        <w:t xml:space="preserve"> DOT Form F 5800.1.  </w:t>
      </w:r>
      <w:r>
        <w:t xml:space="preserve">This </w:t>
      </w:r>
      <w:r w:rsidR="005B0333">
        <w:t xml:space="preserve">represented </w:t>
      </w:r>
      <w:r>
        <w:t xml:space="preserve">the first change </w:t>
      </w:r>
      <w:r w:rsidR="005B0333">
        <w:t xml:space="preserve">made </w:t>
      </w:r>
      <w:r>
        <w:t xml:space="preserve">to the incident form since 1989.  </w:t>
      </w:r>
      <w:r w:rsidRPr="00E9232B" w:rsidR="00386FF3">
        <w:t xml:space="preserve">The major changes </w:t>
      </w:r>
      <w:r>
        <w:t>in</w:t>
      </w:r>
      <w:r w:rsidRPr="00E9232B">
        <w:t xml:space="preserve"> </w:t>
      </w:r>
      <w:r>
        <w:t>the</w:t>
      </w:r>
      <w:r w:rsidRPr="00E9232B">
        <w:t xml:space="preserve"> </w:t>
      </w:r>
      <w:r w:rsidRPr="00E9232B" w:rsidR="00386FF3">
        <w:t>HM-229 Final Rule included: (1) collecting more specific information on the incident reporting form; (2) expanding reporting exceptions; (3) expanding reporting requirements to persons other than carriers; (4) reporting undeclared shipments of hazardous materials; (5) notifying shippers of incidents; and (6) reporting non-release incidents involving bulk packages.</w:t>
      </w:r>
      <w:r w:rsidR="008B1288">
        <w:t xml:space="preserve"> </w:t>
      </w:r>
      <w:r w:rsidRPr="00E9232B" w:rsidR="00386FF3">
        <w:t xml:space="preserve"> These revisions were intended to increase the usefulness of data collected for risk analysis and management by government and industry and, where possible, provide relie</w:t>
      </w:r>
      <w:r w:rsidRPr="00E9232B">
        <w:t>f from regulatory requirements.</w:t>
      </w:r>
    </w:p>
    <w:p w:rsidR="008B6657" w:rsidP="00907DDA" w14:paraId="23FE6CAC" w14:textId="77777777">
      <w:pPr>
        <w:jc w:val="both"/>
      </w:pPr>
    </w:p>
    <w:p w:rsidR="00386FF3" w:rsidRPr="00E9232B" w:rsidP="00C118CC" w14:paraId="0A463537" w14:textId="05011D6C">
      <w:pPr>
        <w:ind w:right="-720"/>
      </w:pPr>
      <w:r>
        <w:t>Although the incident report form</w:t>
      </w:r>
      <w:r w:rsidR="2362A208">
        <w:t xml:space="preserve"> prior to the HM-229 Final Rule</w:t>
      </w:r>
      <w:r>
        <w:t xml:space="preserve"> provided useful information and </w:t>
      </w:r>
      <w:r w:rsidR="587F3B23">
        <w:t>wa</w:t>
      </w:r>
      <w:r>
        <w:t>s generally recognized as being fundamentally sound,</w:t>
      </w:r>
      <w:r w:rsidR="2362A208">
        <w:t xml:space="preserve"> there was obvious</w:t>
      </w:r>
      <w:r>
        <w:t xml:space="preserve"> room for improvement.  </w:t>
      </w:r>
      <w:r w:rsidR="2362A208">
        <w:t>T</w:t>
      </w:r>
      <w:r>
        <w:t>he opportunity existed to obtain better, more detailed information on events with potentially greater consequences</w:t>
      </w:r>
      <w:r w:rsidR="5EDC7E19">
        <w:t>.  A National Transportation Safety Board (NTSB) r</w:t>
      </w:r>
      <w:r w:rsidR="571D2756">
        <w:t>e</w:t>
      </w:r>
      <w:r>
        <w:t>commendation (Recommendation H-92-6</w:t>
      </w:r>
      <w:r>
        <w:rPr>
          <w:rStyle w:val="FootnoteReference"/>
        </w:rPr>
        <w:footnoteReference w:id="6"/>
      </w:r>
      <w:r>
        <w:t>) concerning data collection suggest</w:t>
      </w:r>
      <w:r w:rsidR="587F3B23">
        <w:t>ed</w:t>
      </w:r>
      <w:r w:rsidR="3E445AF8">
        <w:t xml:space="preserve"> the</w:t>
      </w:r>
      <w:r w:rsidR="587F3B23">
        <w:t xml:space="preserve"> e</w:t>
      </w:r>
      <w:r>
        <w:t xml:space="preserve">stablishment of a program to collect information necessary to identify patterns of cargo tank equipment failures, including the reporting of all accidents (even when there is no release of a hazardous material) involving DOT specification cargo tanks.  In addition, </w:t>
      </w:r>
      <w:r w:rsidR="7DE3C191">
        <w:t xml:space="preserve">a second </w:t>
      </w:r>
      <w:r>
        <w:t xml:space="preserve">NTSB </w:t>
      </w:r>
      <w:r w:rsidR="7DE3C191">
        <w:t xml:space="preserve">recommendation (Recommendation </w:t>
      </w:r>
      <w:r>
        <w:t>R-89-52</w:t>
      </w:r>
      <w:r>
        <w:rPr>
          <w:rStyle w:val="FootnoteReference"/>
        </w:rPr>
        <w:footnoteReference w:id="7"/>
      </w:r>
      <w:r w:rsidR="7DE3C191">
        <w:t>)</w:t>
      </w:r>
      <w:r>
        <w:t xml:space="preserve"> </w:t>
      </w:r>
      <w:r w:rsidR="587F3B23">
        <w:t xml:space="preserve">ensured </w:t>
      </w:r>
      <w:r>
        <w:t>that there is formal feedback from carriers to shippers when an incident has occurred.  Revising the DOT Form F 5800.1 offered a viable way to implement these recommendation</w:t>
      </w:r>
      <w:r w:rsidR="587F3B23">
        <w:t>s</w:t>
      </w:r>
      <w:r>
        <w:t xml:space="preserve"> </w:t>
      </w:r>
      <w:r w:rsidR="7DE3C191">
        <w:t xml:space="preserve">and provided the opportunity </w:t>
      </w:r>
      <w:r>
        <w:t>to obtain a more complete profile of accident scenarios, including “success stories,” through which packaging integrity issues can be more thoroughly evaluated.</w:t>
      </w:r>
    </w:p>
    <w:p w:rsidR="00386FF3" w:rsidRPr="00E9232B" w:rsidP="00C118CC" w14:paraId="0A463538" w14:textId="77777777"/>
    <w:p w:rsidR="00386FF3" w:rsidRPr="00E9232B" w:rsidP="00C118CC" w14:paraId="0A463539" w14:textId="0C8E06A1">
      <w:pPr>
        <w:ind w:right="-720"/>
      </w:pPr>
      <w:r>
        <w:t>There is a two-year record retention requirement under § 171.16</w:t>
      </w:r>
      <w:r w:rsidR="53B343BF">
        <w:t xml:space="preserve"> of the Hazardous Materials Regulations (HMR; 49 CFR Parts 171-180)</w:t>
      </w:r>
      <w:r>
        <w:t xml:space="preserve"> retained at the </w:t>
      </w:r>
      <w:r w:rsidR="4E6B928C">
        <w:t xml:space="preserve">carrier’s </w:t>
      </w:r>
      <w:r>
        <w:t>principal place of business or at a place authorized and approved by an agency of the Department of Transportation (DOT).  Under the requirement in § 171.21</w:t>
      </w:r>
      <w:r w:rsidR="117DBA8F">
        <w:t xml:space="preserve">, </w:t>
      </w:r>
      <w:r>
        <w:t>a carrier who is responsible for reporting an incident under § 171.16 will make all records and information pertaining to the incident available to an authorized representative of DOT upon request.  DOT views the incident report form to be of significant importance</w:t>
      </w:r>
      <w:r w:rsidR="4E6B928C">
        <w:t>,</w:t>
      </w:r>
      <w:r>
        <w:t xml:space="preserve"> </w:t>
      </w:r>
      <w:r w:rsidR="00791480">
        <w:t>because</w:t>
      </w:r>
      <w:r>
        <w:t xml:space="preserve"> in</w:t>
      </w:r>
      <w:r w:rsidR="7D586FA6">
        <w:t xml:space="preserve"> cases where</w:t>
      </w:r>
      <w:r>
        <w:t xml:space="preserve"> an incident report </w:t>
      </w:r>
      <w:r w:rsidR="212CC418">
        <w:t>is</w:t>
      </w:r>
      <w:r>
        <w:t xml:space="preserve"> sent to </w:t>
      </w:r>
      <w:r w:rsidR="059A46E7">
        <w:t>PHMSA</w:t>
      </w:r>
      <w:r>
        <w:t xml:space="preserve"> by certified </w:t>
      </w:r>
      <w:r>
        <w:t xml:space="preserve">mail, the only practical way a carrier can show compliance with the requirement (when we have not received a report) is </w:t>
      </w:r>
      <w:r w:rsidR="5AE27B86">
        <w:t xml:space="preserve">by retaining </w:t>
      </w:r>
      <w:r>
        <w:t>a copy of the report in the</w:t>
      </w:r>
      <w:r w:rsidR="5AE27B86">
        <w:t>ir</w:t>
      </w:r>
      <w:r>
        <w:t xml:space="preserve"> files.  DOT representatives visit motor </w:t>
      </w:r>
      <w:r w:rsidR="7C22F6A5">
        <w:t xml:space="preserve">carriers’ </w:t>
      </w:r>
      <w:r>
        <w:t xml:space="preserve">principal places of business when it has been determined that the carrier is in an </w:t>
      </w:r>
      <w:r w:rsidR="7C22F6A5">
        <w:t>“</w:t>
      </w:r>
      <w:r>
        <w:t>unsatisfactory</w:t>
      </w:r>
      <w:r w:rsidR="7C22F6A5">
        <w:t xml:space="preserve">” </w:t>
      </w:r>
      <w:r>
        <w:t xml:space="preserve">or </w:t>
      </w:r>
      <w:r w:rsidR="7C22F6A5">
        <w:t>“</w:t>
      </w:r>
      <w:r>
        <w:t>conditional</w:t>
      </w:r>
      <w:r w:rsidR="7C22F6A5">
        <w:t xml:space="preserve">” </w:t>
      </w:r>
      <w:r>
        <w:t>state of safety compliance.</w:t>
      </w:r>
    </w:p>
    <w:p w:rsidR="00386FF3" w:rsidRPr="00E9232B" w:rsidP="00C118CC" w14:paraId="0A46353A" w14:textId="77777777"/>
    <w:p w:rsidR="00D3416C" w:rsidP="00C118CC" w14:paraId="0A46353B" w14:textId="1305455E">
      <w:pPr>
        <w:ind w:right="-720"/>
      </w:pPr>
      <w:r>
        <w:t>PHMSA is cognizant of the burden often imposed by regulatory requirements.  As we develop</w:t>
      </w:r>
      <w:r w:rsidR="0B966CCF">
        <w:t>ed c</w:t>
      </w:r>
      <w:r>
        <w:t xml:space="preserve">hanges to the incident reporting requirements, we </w:t>
      </w:r>
      <w:r w:rsidR="23EF03E6">
        <w:t xml:space="preserve">strive to </w:t>
      </w:r>
      <w:r w:rsidR="0B966CCF">
        <w:t xml:space="preserve">minimize </w:t>
      </w:r>
      <w:r>
        <w:t xml:space="preserve">any additional burden associated with the revised requirements. For instance, </w:t>
      </w:r>
      <w:r w:rsidR="0B966CCF">
        <w:t xml:space="preserve">in the HM-229 Final Rule,  </w:t>
      </w:r>
      <w:r>
        <w:t>exceptions</w:t>
      </w:r>
      <w:r w:rsidR="66D3052E">
        <w:t xml:space="preserve"> were added</w:t>
      </w:r>
      <w:r>
        <w:t xml:space="preserve"> to reporting requirements for small releases of materials that pose the least hazard where sufficient data already exists to manage risk.  Further, we </w:t>
      </w:r>
      <w:r w:rsidR="0B966CCF">
        <w:t xml:space="preserve">deleted </w:t>
      </w:r>
      <w:r>
        <w:t>certain data fields that ask for information readily obtainable from other sources</w:t>
      </w:r>
      <w:r w:rsidR="525F8B4E">
        <w:t xml:space="preserve"> (i.e</w:t>
      </w:r>
      <w:r>
        <w:t>.</w:t>
      </w:r>
      <w:r w:rsidR="525F8B4E">
        <w:t>, l</w:t>
      </w:r>
      <w:r>
        <w:t>and use at the incident site</w:t>
      </w:r>
      <w:r w:rsidR="525F8B4E">
        <w:t>)</w:t>
      </w:r>
      <w:r w:rsidR="3CD1D991">
        <w:t>.</w:t>
      </w:r>
    </w:p>
    <w:p w:rsidR="00386FF3" w:rsidRPr="00E9232B" w:rsidP="00C118CC" w14:paraId="0A46353C" w14:textId="77777777">
      <w:pPr>
        <w:ind w:right="-720"/>
      </w:pPr>
    </w:p>
    <w:p w:rsidR="00386FF3" w:rsidP="00C118CC" w14:paraId="0A46353D" w14:textId="649F1B5D">
      <w:pPr>
        <w:ind w:right="-720"/>
      </w:pPr>
      <w:r>
        <w:t>The revised form was designed for rapid completion and is almost entirely self-explanatory.  The regulations allow 30</w:t>
      </w:r>
      <w:r w:rsidR="329D66ED">
        <w:t xml:space="preserve"> </w:t>
      </w:r>
      <w:r>
        <w:t>days to report an incident.  Our conclusion</w:t>
      </w:r>
      <w:r w:rsidR="7206EFE8">
        <w:t xml:space="preserve"> is</w:t>
      </w:r>
      <w:r>
        <w:t xml:space="preserve"> that rapid completion of an incident report is possible based on industry personnel hav</w:t>
      </w:r>
      <w:r w:rsidR="6EFF72F6">
        <w:t>ing the correct</w:t>
      </w:r>
      <w:r>
        <w:t xml:space="preserve"> training in the hazardous materials regulations concerning hazard identification, placards, labels, markings, etc.  The form is designed to facilitate its completion by providing a </w:t>
      </w:r>
      <w:r w:rsidR="329D66ED">
        <w:t>“</w:t>
      </w:r>
      <w:r>
        <w:t>check list</w:t>
      </w:r>
      <w:r w:rsidR="329D66ED">
        <w:t xml:space="preserve">” </w:t>
      </w:r>
      <w:r>
        <w:t>to describe the circumstances leading to the incident.</w:t>
      </w:r>
    </w:p>
    <w:p w:rsidR="00252806" w:rsidP="00C118CC" w14:paraId="0A46353E" w14:textId="77777777">
      <w:pPr>
        <w:ind w:right="-720"/>
      </w:pPr>
    </w:p>
    <w:p w:rsidR="00252806" w:rsidP="00C118CC" w14:paraId="0A46353F" w14:textId="758AD2AF">
      <w:pPr>
        <w:ind w:right="-720"/>
      </w:pPr>
      <w:r>
        <w:t>For the purposes of this</w:t>
      </w:r>
      <w:r w:rsidR="46A633D7">
        <w:t xml:space="preserve"> OMB control number PHMSA </w:t>
      </w:r>
      <w:r>
        <w:t>accounts for</w:t>
      </w:r>
      <w:r w:rsidR="46A633D7">
        <w:t xml:space="preserve"> </w:t>
      </w:r>
      <w:r>
        <w:t>th</w:t>
      </w:r>
      <w:r w:rsidR="2E95188D">
        <w:t xml:space="preserve">e following </w:t>
      </w:r>
      <w:r w:rsidR="46A633D7">
        <w:t xml:space="preserve"> information collections</w:t>
      </w:r>
      <w:r>
        <w:t>:</w:t>
      </w:r>
    </w:p>
    <w:p w:rsidR="00252806" w:rsidP="00C118CC" w14:paraId="0A463540" w14:textId="77777777">
      <w:pPr>
        <w:ind w:right="-720"/>
      </w:pPr>
    </w:p>
    <w:p w:rsidR="00252806" w:rsidP="00C118CC" w14:paraId="0A463541" w14:textId="77777777">
      <w:pPr>
        <w:numPr>
          <w:ilvl w:val="0"/>
          <w:numId w:val="44"/>
        </w:numPr>
        <w:ind w:right="-720"/>
      </w:pPr>
      <w:r w:rsidRPr="00252806">
        <w:t>Section 171.15</w:t>
      </w:r>
      <w:r w:rsidR="00D3416C">
        <w:t xml:space="preserve"> - </w:t>
      </w:r>
      <w:r w:rsidRPr="00252806">
        <w:t>Telephone Notifications</w:t>
      </w:r>
    </w:p>
    <w:p w:rsidR="00252806" w:rsidP="00C118CC" w14:paraId="0A463542" w14:textId="77777777">
      <w:pPr>
        <w:ind w:right="-720"/>
      </w:pPr>
    </w:p>
    <w:p w:rsidR="00252806" w:rsidP="00C118CC" w14:paraId="0A463543" w14:textId="1626D4DB">
      <w:pPr>
        <w:ind w:right="-720"/>
      </w:pPr>
      <w:r>
        <w:t>This information collection requires that as soon as practical</w:t>
      </w:r>
      <w:r w:rsidR="4BE6E332">
        <w:t>,</w:t>
      </w:r>
      <w:r>
        <w:t xml:space="preserve"> but no later than 12 hours after the occurrence of </w:t>
      </w:r>
      <w:r w:rsidR="411CF206">
        <w:t xml:space="preserve">a </w:t>
      </w:r>
      <w:r w:rsidR="3CD1D991">
        <w:t xml:space="preserve">certain </w:t>
      </w:r>
      <w:r>
        <w:t>hazardous materials incident occurs, each person in physical possession of the hazardous material must provide notice by telephone to the National Response Center (NRC).</w:t>
      </w:r>
    </w:p>
    <w:p w:rsidR="00252806" w:rsidP="00C118CC" w14:paraId="0A463544" w14:textId="77777777">
      <w:pPr>
        <w:ind w:right="-720"/>
      </w:pPr>
    </w:p>
    <w:p w:rsidR="00252806" w:rsidP="00C118CC" w14:paraId="0A463545" w14:textId="48EA1D86">
      <w:pPr>
        <w:numPr>
          <w:ilvl w:val="0"/>
          <w:numId w:val="44"/>
        </w:numPr>
        <w:ind w:right="-720"/>
      </w:pPr>
      <w:r>
        <w:t xml:space="preserve">Section 171.16 - </w:t>
      </w:r>
      <w:r w:rsidRPr="00252806">
        <w:t>Incident Reports</w:t>
      </w:r>
      <w:r w:rsidR="00E74C7B">
        <w:t xml:space="preserve"> (Paper Submission plus Electronic Submissions)</w:t>
      </w:r>
    </w:p>
    <w:p w:rsidR="00252806" w:rsidP="00C118CC" w14:paraId="0A463546" w14:textId="77777777">
      <w:pPr>
        <w:ind w:right="-720"/>
      </w:pPr>
    </w:p>
    <w:p w:rsidR="00252806" w:rsidP="00C118CC" w14:paraId="0A463548" w14:textId="69C17BAF">
      <w:pPr>
        <w:ind w:right="-720"/>
      </w:pPr>
      <w:r>
        <w:t xml:space="preserve">This information collection requires that each person in physical possession of a hazardous material at the time  any incident occurs during transportation (including loading, unloading, and temporary storage) must submit a Hazardous Materials Incident Report on DOT Form F 5800.1.  </w:t>
      </w:r>
      <w:r w:rsidR="3E94D81A">
        <w:t>An individual may file the incident report either via paper or electronic submission.</w:t>
      </w:r>
    </w:p>
    <w:p w:rsidR="00D307D3" w:rsidRPr="00E9232B" w:rsidP="00565166" w14:paraId="0A463549" w14:textId="77777777"/>
    <w:p w:rsidR="00386FF3" w:rsidRPr="00E9232B" w:rsidP="00C83E39" w14:paraId="0A46354A" w14:textId="77777777">
      <w:pPr>
        <w:tabs>
          <w:tab w:val="left" w:pos="720"/>
        </w:tabs>
        <w:ind w:left="720" w:hanging="720"/>
      </w:pPr>
      <w:r>
        <w:t>3.</w:t>
      </w:r>
      <w:r>
        <w:tab/>
      </w:r>
      <w:r w:rsidRPr="6DF02737" w:rsidR="2A0D62F0">
        <w:rPr>
          <w:u w:val="single"/>
        </w:rPr>
        <w:t>Extent of automated information collection.</w:t>
      </w:r>
      <w:r w:rsidRPr="6DF02737" w:rsidR="2A0D62F0">
        <w:rPr>
          <w:b/>
          <w:bCs/>
        </w:rPr>
        <w:t xml:space="preserve">  </w:t>
      </w:r>
    </w:p>
    <w:p w:rsidR="00386FF3" w:rsidRPr="00E9232B" w:rsidP="00C83E39" w14:paraId="0A46354B" w14:textId="77777777"/>
    <w:p w:rsidR="00386FF3" w:rsidRPr="00E9232B" w:rsidP="00C118CC" w14:paraId="0A46354C" w14:textId="77777777">
      <w:pPr>
        <w:ind w:right="-720"/>
      </w:pPr>
      <w:r w:rsidRPr="00E9232B">
        <w:t xml:space="preserve">The burden </w:t>
      </w:r>
      <w:r w:rsidR="00193811">
        <w:t xml:space="preserve">of this information collection </w:t>
      </w:r>
      <w:r w:rsidRPr="00E9232B">
        <w:t xml:space="preserve">has been made as simple as possible. </w:t>
      </w:r>
      <w:r w:rsidR="00193811">
        <w:t xml:space="preserve"> </w:t>
      </w:r>
      <w:r w:rsidRPr="00E9232B">
        <w:t xml:space="preserve">Many reports are developed </w:t>
      </w:r>
      <w:r w:rsidR="00783444">
        <w:t>electronically</w:t>
      </w:r>
      <w:r w:rsidRPr="00E9232B">
        <w:t xml:space="preserve"> and make use of information gathered for other agency reporting requirements.  Accordingly, the estimate</w:t>
      </w:r>
      <w:r w:rsidR="006E35C1">
        <w:t xml:space="preserve">d </w:t>
      </w:r>
      <w:r w:rsidRPr="00E9232B">
        <w:t xml:space="preserve">length of time required to prepare an incident report is 1.6 hours per written report and 0.8 hours per </w:t>
      </w:r>
      <w:r w:rsidRPr="00E9232B" w:rsidR="000D6DE5">
        <w:t>electronically</w:t>
      </w:r>
      <w:r w:rsidR="000D6DE5">
        <w:t>-</w:t>
      </w:r>
      <w:r w:rsidRPr="00E9232B">
        <w:t xml:space="preserve">filed report.  The Government Paperwork Elimination Act directs agencies to allow the option of electronic filing and recordkeeping by October 2003, when practicable. </w:t>
      </w:r>
      <w:r w:rsidR="00AE009D">
        <w:t xml:space="preserve"> </w:t>
      </w:r>
      <w:r w:rsidRPr="00E9232B">
        <w:t>Fully electronic filing of the DOT Form F 5800.1 is currently authorized and fully operational</w:t>
      </w:r>
      <w:r w:rsidRPr="00E9232B" w:rsidR="0057561F">
        <w:t>.</w:t>
      </w:r>
      <w:r w:rsidRPr="00E9232B">
        <w:t xml:space="preserve"> </w:t>
      </w:r>
    </w:p>
    <w:p w:rsidR="00783444" w:rsidRPr="00E9232B" w:rsidP="00C83E39" w14:paraId="0A46354E" w14:textId="77777777"/>
    <w:p w:rsidR="00386FF3" w:rsidRPr="00E9232B" w:rsidP="00C83E39" w14:paraId="0A46354F" w14:textId="77777777">
      <w:pPr>
        <w:tabs>
          <w:tab w:val="left" w:pos="720"/>
        </w:tabs>
        <w:ind w:left="720" w:hanging="720"/>
      </w:pPr>
      <w:r w:rsidRPr="00E9232B">
        <w:t>4.</w:t>
      </w:r>
      <w:r w:rsidRPr="00E9232B">
        <w:tab/>
      </w:r>
      <w:r w:rsidRPr="00E9232B">
        <w:rPr>
          <w:u w:val="single"/>
        </w:rPr>
        <w:t>Efforts to identify duplication.</w:t>
      </w:r>
      <w:r w:rsidRPr="00E9232B">
        <w:t xml:space="preserve">  </w:t>
      </w:r>
    </w:p>
    <w:p w:rsidR="00386FF3" w:rsidRPr="00E9232B" w:rsidP="00C83E39" w14:paraId="0A463550" w14:textId="77777777"/>
    <w:p w:rsidR="00386FF3" w:rsidP="00C83E39" w14:paraId="0A463552" w14:textId="635E7EDE">
      <w:r>
        <w:t xml:space="preserve">Similar reports are required by other administrations.  However, these reports do not contain sufficient detail (e.g., the hazardous material, shipping container, and the nature of the container failure) to effectively evaluate the regulations.  </w:t>
      </w:r>
      <w:r w:rsidR="3E94D81A">
        <w:t>Additionally</w:t>
      </w:r>
      <w:r>
        <w:t>, the reports made to other administrations are filed only when an accident occurs.  PHMSA is interested in all incidents where there is a release of a hazardous material, whether or not there is a vehicle accident involved.</w:t>
      </w:r>
    </w:p>
    <w:p w:rsidR="00783444" w:rsidRPr="00E9232B" w:rsidP="00C83E39" w14:paraId="0A463553" w14:textId="77777777"/>
    <w:p w:rsidR="00386FF3" w:rsidRPr="00E9232B" w:rsidP="00C83E39" w14:paraId="0A463554" w14:textId="77777777">
      <w:pPr>
        <w:tabs>
          <w:tab w:val="left" w:pos="720"/>
        </w:tabs>
        <w:ind w:left="720" w:hanging="720"/>
      </w:pPr>
      <w:r w:rsidRPr="00E9232B">
        <w:t>5.</w:t>
      </w:r>
      <w:r w:rsidRPr="00E9232B">
        <w:tab/>
      </w:r>
      <w:r w:rsidRPr="006E2136" w:rsidR="00E9232B">
        <w:rPr>
          <w:bCs/>
          <w:u w:val="single"/>
        </w:rPr>
        <w:t>Efforts to minimize the burden on small businesses</w:t>
      </w:r>
      <w:r w:rsidRPr="006B25B4" w:rsidR="00E9232B">
        <w:rPr>
          <w:bCs/>
          <w:u w:val="single"/>
        </w:rPr>
        <w:t>.</w:t>
      </w:r>
      <w:r w:rsidRPr="006E2136" w:rsidR="00E9232B">
        <w:rPr>
          <w:b/>
          <w:bCs/>
        </w:rPr>
        <w:t xml:space="preserve">  </w:t>
      </w:r>
    </w:p>
    <w:p w:rsidR="00386FF3" w:rsidRPr="00E9232B" w:rsidP="00C83E39" w14:paraId="0A463555" w14:textId="77777777"/>
    <w:p w:rsidR="00783444" w:rsidP="00C83E39" w14:paraId="0A463557" w14:textId="5513B955">
      <w:r w:rsidRPr="00103882">
        <w:t>PHMSA periodically reviews the collection of this information to ensure that the amount of information needed is kept to a minimum.</w:t>
      </w:r>
    </w:p>
    <w:p w:rsidR="00AE009D" w:rsidRPr="00E9232B" w:rsidP="00C83E39" w14:paraId="0A463558" w14:textId="77777777"/>
    <w:p w:rsidR="00386FF3" w:rsidRPr="00E9232B" w:rsidP="00C83E39" w14:paraId="0A463559" w14:textId="77777777">
      <w:pPr>
        <w:tabs>
          <w:tab w:val="left" w:pos="720"/>
        </w:tabs>
        <w:ind w:left="720" w:hanging="720"/>
      </w:pPr>
      <w:r w:rsidRPr="00E9232B">
        <w:t>6.</w:t>
      </w:r>
      <w:r w:rsidRPr="00E9232B">
        <w:tab/>
      </w:r>
      <w:r w:rsidRPr="006E2136" w:rsidR="00E9232B">
        <w:rPr>
          <w:bCs/>
          <w:u w:val="single"/>
        </w:rPr>
        <w:t>Impact of less frequent collection of information</w:t>
      </w:r>
      <w:r w:rsidRPr="006B25B4" w:rsidR="00E9232B">
        <w:rPr>
          <w:bCs/>
          <w:u w:val="single"/>
        </w:rPr>
        <w:t>.</w:t>
      </w:r>
      <w:r w:rsidRPr="006E2136" w:rsidR="00E9232B">
        <w:rPr>
          <w:b/>
          <w:bCs/>
          <w:u w:val="single"/>
        </w:rPr>
        <w:t xml:space="preserve">  </w:t>
      </w:r>
    </w:p>
    <w:p w:rsidR="00386FF3" w:rsidRPr="00E9232B" w:rsidP="00C83E39" w14:paraId="0A46355A" w14:textId="77777777"/>
    <w:p w:rsidR="00386FF3" w:rsidRPr="00E9232B" w:rsidP="00907DDA" w14:paraId="0A46355B" w14:textId="77777777">
      <w:pPr>
        <w:ind w:right="-720"/>
      </w:pPr>
      <w:r>
        <w:t xml:space="preserve">Without this information PHMSA would not </w:t>
      </w:r>
      <w:r w:rsidR="491EFCFD">
        <w:t>be able to identify where unsafe practices of hazardous materials transportation exit.  PHMSA uses incident reporting data to analyze where safety gaps exist in hazardous materials transportation.</w:t>
      </w:r>
    </w:p>
    <w:p w:rsidR="00386FF3" w:rsidP="00C83E39" w14:paraId="0A46355C" w14:textId="77777777"/>
    <w:p w:rsidR="00386FF3" w:rsidRPr="00E9232B" w:rsidP="00C83E39" w14:paraId="0A46355F" w14:textId="77777777">
      <w:pPr>
        <w:pStyle w:val="1AutoList1"/>
        <w:numPr>
          <w:ilvl w:val="0"/>
          <w:numId w:val="38"/>
        </w:numPr>
        <w:rPr>
          <w:rFonts w:ascii="Times New Roman" w:hAnsi="Times New Roman"/>
          <w:sz w:val="24"/>
        </w:rPr>
      </w:pPr>
      <w:r w:rsidRPr="00E9232B">
        <w:rPr>
          <w:rFonts w:ascii="Times New Roman" w:hAnsi="Times New Roman"/>
          <w:sz w:val="24"/>
          <w:u w:val="single"/>
        </w:rPr>
        <w:t xml:space="preserve">Special </w:t>
      </w:r>
      <w:r w:rsidRPr="00CC7529">
        <w:rPr>
          <w:rFonts w:ascii="Times New Roman" w:hAnsi="Times New Roman"/>
          <w:sz w:val="24"/>
          <w:u w:val="single"/>
        </w:rPr>
        <w:t>circumstances affecting conduct of information</w:t>
      </w:r>
      <w:r w:rsidRPr="00907DDA">
        <w:rPr>
          <w:rFonts w:ascii="Times New Roman" w:hAnsi="Times New Roman"/>
          <w:sz w:val="24"/>
          <w:u w:val="single"/>
        </w:rPr>
        <w:t xml:space="preserve"> </w:t>
      </w:r>
      <w:r w:rsidRPr="00CC7529">
        <w:rPr>
          <w:rFonts w:ascii="Times New Roman" w:hAnsi="Times New Roman"/>
          <w:sz w:val="24"/>
          <w:u w:val="single"/>
        </w:rPr>
        <w:t>collection</w:t>
      </w:r>
      <w:r w:rsidRPr="00E9232B">
        <w:rPr>
          <w:rFonts w:ascii="Times New Roman" w:hAnsi="Times New Roman"/>
          <w:sz w:val="24"/>
          <w:u w:val="single"/>
        </w:rPr>
        <w:t xml:space="preserve"> activity.</w:t>
      </w:r>
    </w:p>
    <w:p w:rsidR="00386FF3" w:rsidRPr="00E9232B" w:rsidP="00C83E39" w14:paraId="0A463560" w14:textId="77777777"/>
    <w:p w:rsidR="00386FF3" w:rsidRPr="00E9232B" w:rsidP="00907DDA" w14:paraId="0A463561" w14:textId="77777777">
      <w:pPr>
        <w:ind w:right="-720"/>
        <w:jc w:val="both"/>
      </w:pPr>
      <w:r w:rsidRPr="00E9232B">
        <w:t>This collection of information is generally conducted in a manner consistent with the guidelines in 5 CFR 1320.5(d)(2).</w:t>
      </w:r>
    </w:p>
    <w:p w:rsidR="00386FF3" w:rsidRPr="00E9232B" w:rsidP="00E67749" w14:paraId="0A463563" w14:textId="6EB2DE4C">
      <w:pPr>
        <w:tabs>
          <w:tab w:val="left" w:pos="720"/>
        </w:tabs>
      </w:pPr>
      <w:r w:rsidRPr="00E9232B">
        <w:tab/>
      </w:r>
    </w:p>
    <w:p w:rsidR="00386FF3" w:rsidRPr="00E9232B" w:rsidP="00C83E39" w14:paraId="0A463564" w14:textId="77777777">
      <w:pPr>
        <w:tabs>
          <w:tab w:val="left" w:pos="720"/>
        </w:tabs>
        <w:ind w:left="720" w:hanging="720"/>
      </w:pPr>
      <w:r w:rsidRPr="00E9232B">
        <w:t>8.</w:t>
      </w:r>
      <w:r w:rsidRPr="00E9232B">
        <w:tab/>
      </w:r>
      <w:r w:rsidRPr="006E2136" w:rsidR="00E9232B">
        <w:rPr>
          <w:bCs/>
          <w:u w:val="single"/>
        </w:rPr>
        <w:t>Compliance with 5 CFR 1320.8</w:t>
      </w:r>
      <w:r w:rsidR="00E9232B">
        <w:rPr>
          <w:bCs/>
          <w:u w:val="single"/>
        </w:rPr>
        <w:t>.</w:t>
      </w:r>
      <w:r w:rsidRPr="006E2136" w:rsidR="00E9232B">
        <w:rPr>
          <w:b/>
          <w:bCs/>
        </w:rPr>
        <w:t xml:space="preserve">  </w:t>
      </w:r>
    </w:p>
    <w:p w:rsidR="00604C93" w:rsidP="00604C93" w14:paraId="516053A3"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604C93" w:rsidRPr="000D6E32" w:rsidP="000D6E32" w14:paraId="77756FED" w14:textId="43EC903A">
      <w:r>
        <w:rPr>
          <w:rStyle w:val="normaltextrun"/>
        </w:rPr>
        <w:t xml:space="preserve">A 60-Day Notice and Request for comments was published in the Federal Register on March </w:t>
      </w:r>
      <w:r w:rsidR="00EE641A">
        <w:rPr>
          <w:rStyle w:val="normaltextrun"/>
        </w:rPr>
        <w:t>22</w:t>
      </w:r>
      <w:r>
        <w:rPr>
          <w:rStyle w:val="normaltextrun"/>
        </w:rPr>
        <w:t>, 202</w:t>
      </w:r>
      <w:r w:rsidR="00EE641A">
        <w:rPr>
          <w:rStyle w:val="normaltextrun"/>
        </w:rPr>
        <w:t>3</w:t>
      </w:r>
      <w:r>
        <w:rPr>
          <w:rStyle w:val="normaltextrun"/>
        </w:rPr>
        <w:t xml:space="preserve"> [</w:t>
      </w:r>
      <w:r w:rsidRPr="000D6E32" w:rsidR="000D6E32">
        <w:rPr>
          <w:rStyle w:val="normaltextrun"/>
        </w:rPr>
        <w:t>88 FR 17295</w:t>
      </w:r>
      <w:r>
        <w:rPr>
          <w:rStyle w:val="normaltextrun"/>
        </w:rPr>
        <w:t>] under Docket No. PHMSA-</w:t>
      </w:r>
      <w:r w:rsidR="000D6E32">
        <w:rPr>
          <w:rStyle w:val="normaltextrun"/>
        </w:rPr>
        <w:t>2023</w:t>
      </w:r>
      <w:r>
        <w:rPr>
          <w:rStyle w:val="normaltextrun"/>
        </w:rPr>
        <w:t>-</w:t>
      </w:r>
      <w:r w:rsidR="005E5896">
        <w:rPr>
          <w:rStyle w:val="normaltextrun"/>
        </w:rPr>
        <w:t>0007</w:t>
      </w:r>
      <w:r>
        <w:rPr>
          <w:rStyle w:val="normaltextrun"/>
        </w:rPr>
        <w:t xml:space="preserve"> (Notice No. </w:t>
      </w:r>
      <w:r w:rsidR="005E5896">
        <w:rPr>
          <w:rStyle w:val="normaltextrun"/>
        </w:rPr>
        <w:t>23</w:t>
      </w:r>
      <w:r>
        <w:rPr>
          <w:rStyle w:val="normaltextrun"/>
        </w:rPr>
        <w:t>-0</w:t>
      </w:r>
      <w:r w:rsidR="005E5896">
        <w:rPr>
          <w:rStyle w:val="normaltextrun"/>
        </w:rPr>
        <w:t>2</w:t>
      </w:r>
      <w:r>
        <w:rPr>
          <w:rStyle w:val="normaltextrun"/>
        </w:rPr>
        <w:t xml:space="preserve">).   The comment period closed on </w:t>
      </w:r>
      <w:r w:rsidR="00BD74AF">
        <w:rPr>
          <w:rStyle w:val="normaltextrun"/>
        </w:rPr>
        <w:t>May</w:t>
      </w:r>
      <w:r>
        <w:rPr>
          <w:rStyle w:val="normaltextrun"/>
        </w:rPr>
        <w:t xml:space="preserve"> </w:t>
      </w:r>
      <w:r w:rsidR="00BD74AF">
        <w:rPr>
          <w:rStyle w:val="normaltextrun"/>
        </w:rPr>
        <w:t>22</w:t>
      </w:r>
      <w:r>
        <w:rPr>
          <w:rStyle w:val="normaltextrun"/>
        </w:rPr>
        <w:t>, 202</w:t>
      </w:r>
      <w:r w:rsidR="00BD74AF">
        <w:rPr>
          <w:rStyle w:val="normaltextrun"/>
        </w:rPr>
        <w:t>3</w:t>
      </w:r>
      <w:r>
        <w:rPr>
          <w:rStyle w:val="normaltextrun"/>
        </w:rPr>
        <w:t>.  PHMSA received no comments to this notice. </w:t>
      </w:r>
      <w:r>
        <w:rPr>
          <w:rStyle w:val="eop"/>
        </w:rPr>
        <w:t> </w:t>
      </w:r>
    </w:p>
    <w:p w:rsidR="00604C93" w:rsidP="00604C93" w14:paraId="6F53BD86"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783444" w:rsidRPr="00E67749" w:rsidP="00E67749" w14:paraId="0A463567" w14:textId="5B4F3575">
      <w:pPr>
        <w:pStyle w:val="paragraph"/>
        <w:spacing w:before="0" w:beforeAutospacing="0" w:after="0" w:afterAutospacing="0"/>
        <w:textAlignment w:val="baseline"/>
        <w:rPr>
          <w:rFonts w:ascii="Segoe UI" w:hAnsi="Segoe UI" w:cs="Segoe UI"/>
          <w:sz w:val="18"/>
          <w:szCs w:val="18"/>
        </w:rPr>
      </w:pPr>
      <w:r>
        <w:rPr>
          <w:rStyle w:val="normaltextrun"/>
        </w:rPr>
        <w:t xml:space="preserve">A 30-Day Notice and Request for comments on the renewal of this information collection was published in the Federal </w:t>
      </w:r>
      <w:r w:rsidRPr="00337E9E">
        <w:rPr>
          <w:rStyle w:val="normaltextrun"/>
        </w:rPr>
        <w:t xml:space="preserve">Register on </w:t>
      </w:r>
      <w:r w:rsidRPr="00337E9E" w:rsidR="00BD74AF">
        <w:rPr>
          <w:rStyle w:val="normaltextrun"/>
        </w:rPr>
        <w:t>June</w:t>
      </w:r>
      <w:r w:rsidRPr="00337E9E">
        <w:rPr>
          <w:rStyle w:val="normaltextrun"/>
        </w:rPr>
        <w:t xml:space="preserve"> </w:t>
      </w:r>
      <w:r w:rsidRPr="00337E9E" w:rsidR="573DD850">
        <w:rPr>
          <w:rStyle w:val="normaltextrun"/>
        </w:rPr>
        <w:t>21</w:t>
      </w:r>
      <w:r w:rsidRPr="00337E9E">
        <w:rPr>
          <w:rStyle w:val="normaltextrun"/>
        </w:rPr>
        <w:t xml:space="preserve">, </w:t>
      </w:r>
      <w:r w:rsidRPr="00337E9E" w:rsidR="4104137C">
        <w:rPr>
          <w:rStyle w:val="normaltextrun"/>
        </w:rPr>
        <w:t>2023</w:t>
      </w:r>
      <w:r w:rsidRPr="00337E9E">
        <w:rPr>
          <w:rStyle w:val="normaltextrun"/>
        </w:rPr>
        <w:t xml:space="preserve"> [</w:t>
      </w:r>
      <w:r w:rsidRPr="00337E9E" w:rsidR="00BD74AF">
        <w:rPr>
          <w:rStyle w:val="normaltextrun"/>
        </w:rPr>
        <w:t>88</w:t>
      </w:r>
      <w:r w:rsidRPr="00337E9E">
        <w:rPr>
          <w:rStyle w:val="normaltextrun"/>
        </w:rPr>
        <w:t xml:space="preserve"> FR </w:t>
      </w:r>
      <w:r w:rsidRPr="00337E9E" w:rsidR="64608356">
        <w:rPr>
          <w:rStyle w:val="normaltextrun"/>
        </w:rPr>
        <w:t>40372</w:t>
      </w:r>
      <w:r w:rsidRPr="00337E9E">
        <w:rPr>
          <w:rStyle w:val="normaltextrun"/>
        </w:rPr>
        <w:t>] also under Docket No. PHMSA-</w:t>
      </w:r>
      <w:r w:rsidRPr="00337E9E" w:rsidR="00BD74AF">
        <w:rPr>
          <w:rStyle w:val="normaltextrun"/>
        </w:rPr>
        <w:t>2023</w:t>
      </w:r>
      <w:r w:rsidRPr="00337E9E">
        <w:rPr>
          <w:rStyle w:val="normaltextrun"/>
        </w:rPr>
        <w:t>-00</w:t>
      </w:r>
      <w:r w:rsidRPr="00337E9E" w:rsidR="00BD74AF">
        <w:rPr>
          <w:rStyle w:val="normaltextrun"/>
        </w:rPr>
        <w:t>07</w:t>
      </w:r>
      <w:r w:rsidRPr="00337E9E">
        <w:rPr>
          <w:rStyle w:val="normaltextrun"/>
        </w:rPr>
        <w:t xml:space="preserve"> (Notice No. </w:t>
      </w:r>
      <w:r w:rsidRPr="00337E9E" w:rsidR="00BD74AF">
        <w:rPr>
          <w:rStyle w:val="normaltextrun"/>
        </w:rPr>
        <w:t>23</w:t>
      </w:r>
      <w:r w:rsidRPr="00337E9E">
        <w:rPr>
          <w:rStyle w:val="normaltextrun"/>
        </w:rPr>
        <w:t>-</w:t>
      </w:r>
      <w:r w:rsidRPr="00337E9E" w:rsidR="21F1FA42">
        <w:rPr>
          <w:rStyle w:val="normaltextrun"/>
        </w:rPr>
        <w:t>08</w:t>
      </w:r>
      <w:r w:rsidRPr="00337E9E">
        <w:rPr>
          <w:rStyle w:val="normaltextrun"/>
        </w:rPr>
        <w:t>).</w:t>
      </w:r>
      <w:r>
        <w:rPr>
          <w:rStyle w:val="normaltextrun"/>
        </w:rPr>
        <w:t xml:space="preserve">  </w:t>
      </w:r>
    </w:p>
    <w:p w:rsidR="000316F8" w:rsidRPr="00E9232B" w:rsidP="00C83E39" w14:paraId="0A463568" w14:textId="77777777"/>
    <w:p w:rsidR="00386FF3" w:rsidRPr="00E9232B" w:rsidP="00C83E39" w14:paraId="0A46356A" w14:textId="77777777">
      <w:pPr>
        <w:pStyle w:val="1AutoList1"/>
        <w:numPr>
          <w:ilvl w:val="0"/>
          <w:numId w:val="39"/>
        </w:numPr>
        <w:rPr>
          <w:rFonts w:ascii="Times New Roman" w:hAnsi="Times New Roman"/>
          <w:sz w:val="24"/>
        </w:rPr>
      </w:pPr>
      <w:r w:rsidRPr="006E2136">
        <w:rPr>
          <w:rFonts w:ascii="Times New Roman" w:hAnsi="Times New Roman"/>
          <w:bCs/>
          <w:sz w:val="24"/>
          <w:u w:val="single"/>
        </w:rPr>
        <w:t>Payments or gifts to respondents.</w:t>
      </w:r>
      <w:r w:rsidRPr="006E2136">
        <w:rPr>
          <w:rFonts w:ascii="Times New Roman" w:hAnsi="Times New Roman"/>
          <w:b/>
          <w:bCs/>
          <w:sz w:val="24"/>
        </w:rPr>
        <w:t xml:space="preserve">  </w:t>
      </w:r>
    </w:p>
    <w:p w:rsidR="00386FF3" w:rsidRPr="00E9232B" w:rsidP="00C83E39" w14:paraId="0A46356B" w14:textId="77777777"/>
    <w:p w:rsidR="00386FF3" w:rsidRPr="00E9232B" w:rsidP="00C118CC" w14:paraId="0A46356C" w14:textId="77777777">
      <w:pPr>
        <w:ind w:right="-720"/>
      </w:pPr>
      <w:r w:rsidRPr="00E9232B">
        <w:t>There is no payment or gift provided to respondents associated with this collection of information.</w:t>
      </w:r>
    </w:p>
    <w:p w:rsidR="00783444" w:rsidRPr="00E9232B" w:rsidP="00C83E39" w14:paraId="0A46356E" w14:textId="77777777"/>
    <w:p w:rsidR="00386FF3" w:rsidRPr="00E9232B" w:rsidP="00C83E39" w14:paraId="0A46356F" w14:textId="77777777">
      <w:pPr>
        <w:tabs>
          <w:tab w:val="left" w:pos="720"/>
        </w:tabs>
        <w:ind w:left="720" w:hanging="720"/>
      </w:pPr>
      <w:r w:rsidRPr="00E9232B">
        <w:t>10.</w:t>
      </w:r>
      <w:r w:rsidRPr="00E9232B">
        <w:tab/>
      </w:r>
      <w:r w:rsidRPr="006E2136" w:rsidR="00D879F4">
        <w:rPr>
          <w:bCs/>
          <w:u w:val="single"/>
        </w:rPr>
        <w:t>Assurance of confidentiality</w:t>
      </w:r>
      <w:r w:rsidR="00D879F4">
        <w:rPr>
          <w:bCs/>
          <w:u w:val="single"/>
        </w:rPr>
        <w:t>.</w:t>
      </w:r>
      <w:r w:rsidRPr="00E9232B">
        <w:t xml:space="preserve"> </w:t>
      </w:r>
    </w:p>
    <w:p w:rsidR="00386FF3" w:rsidRPr="00E9232B" w:rsidP="00C83E39" w14:paraId="0A463570" w14:textId="77777777"/>
    <w:p w:rsidR="00053EC5" w:rsidP="00C83E39" w14:paraId="0A463571" w14:textId="77777777">
      <w:r w:rsidRPr="00053EC5">
        <w:t>None of the data collected contain personally identifiable information (PII) or business confidential information.  Therefore, PHMSA provides no guarantees of confidentiality to applicants.</w:t>
      </w:r>
    </w:p>
    <w:p w:rsidR="00386FF3" w:rsidRPr="00E9232B" w:rsidP="00C83E39" w14:paraId="0A463573" w14:textId="77777777"/>
    <w:p w:rsidR="00386FF3" w:rsidRPr="00E9232B" w:rsidP="00C118CC" w14:paraId="0A463574" w14:textId="77777777">
      <w:pPr>
        <w:keepNext/>
        <w:keepLines/>
        <w:tabs>
          <w:tab w:val="left" w:pos="720"/>
        </w:tabs>
        <w:ind w:left="720" w:hanging="720"/>
        <w:rPr>
          <w:u w:val="single"/>
        </w:rPr>
      </w:pPr>
      <w:r w:rsidRPr="00E9232B">
        <w:t>11.</w:t>
      </w:r>
      <w:r w:rsidRPr="00E9232B">
        <w:tab/>
      </w:r>
      <w:r w:rsidRPr="006E2136" w:rsidR="00D879F4">
        <w:rPr>
          <w:bCs/>
          <w:u w:val="single"/>
        </w:rPr>
        <w:t>Justification for collection of sensitive information</w:t>
      </w:r>
      <w:r w:rsidR="00D879F4">
        <w:rPr>
          <w:bCs/>
          <w:u w:val="single"/>
        </w:rPr>
        <w:t>.</w:t>
      </w:r>
    </w:p>
    <w:p w:rsidR="00386FF3" w:rsidRPr="00E9232B" w:rsidP="00C118CC" w14:paraId="0A463575" w14:textId="77777777">
      <w:pPr>
        <w:keepNext/>
        <w:keepLines/>
        <w:rPr>
          <w:u w:val="single"/>
        </w:rPr>
      </w:pPr>
    </w:p>
    <w:p w:rsidR="00053EC5" w:rsidP="00C83E39" w14:paraId="0A463576" w14:textId="77777777">
      <w:r w:rsidRPr="00053EC5">
        <w:t>Not applicable.  This collection of information requires no sensitive information.</w:t>
      </w:r>
    </w:p>
    <w:p w:rsidR="00386FF3" w:rsidRPr="00E9232B" w:rsidP="00C83E39" w14:paraId="0A463578" w14:textId="77777777"/>
    <w:p w:rsidR="00E83473" w:rsidP="00C83E39" w14:paraId="0A463579" w14:textId="77777777">
      <w:r w:rsidRPr="00E9232B">
        <w:t>12.</w:t>
      </w:r>
      <w:r w:rsidRPr="00E9232B">
        <w:tab/>
      </w:r>
      <w:r w:rsidRPr="006E2136" w:rsidR="00D879F4">
        <w:rPr>
          <w:bCs/>
          <w:u w:val="single"/>
        </w:rPr>
        <w:t>Estimate of burden hours for information requested</w:t>
      </w:r>
      <w:r w:rsidR="00D879F4">
        <w:rPr>
          <w:bCs/>
          <w:u w:val="single"/>
        </w:rPr>
        <w:t>.</w:t>
      </w:r>
      <w:r w:rsidRPr="006E2136" w:rsidR="00D879F4">
        <w:t xml:space="preserve">  </w:t>
      </w:r>
    </w:p>
    <w:tbl>
      <w:tblPr>
        <w:tblpPr w:leftFromText="180" w:rightFromText="180" w:vertAnchor="text" w:horzAnchor="margin" w:tblpXSpec="center" w:tblpY="206"/>
        <w:tblW w:w="8160" w:type="dxa"/>
        <w:tblCellMar>
          <w:top w:w="15" w:type="dxa"/>
          <w:bottom w:w="15" w:type="dxa"/>
        </w:tblCellMar>
        <w:tblLook w:val="04A0"/>
      </w:tblPr>
      <w:tblGrid>
        <w:gridCol w:w="1890"/>
        <w:gridCol w:w="1682"/>
        <w:gridCol w:w="1628"/>
        <w:gridCol w:w="1420"/>
        <w:gridCol w:w="1540"/>
      </w:tblGrid>
      <w:tr w14:paraId="0A46357F" w14:textId="77777777" w:rsidTr="18F7C5E9">
        <w:tblPrEx>
          <w:tblW w:w="8160" w:type="dxa"/>
          <w:tblCellMar>
            <w:top w:w="15" w:type="dxa"/>
            <w:bottom w:w="15" w:type="dxa"/>
          </w:tblCellMar>
          <w:tblLook w:val="04A0"/>
        </w:tblPrEx>
        <w:trPr>
          <w:trHeight w:val="560"/>
        </w:trPr>
        <w:tc>
          <w:tcPr>
            <w:tcW w:w="1890" w:type="dxa"/>
            <w:tcBorders>
              <w:top w:val="single" w:sz="4" w:space="0" w:color="auto"/>
              <w:left w:val="single" w:sz="4" w:space="0" w:color="auto"/>
              <w:bottom w:val="single" w:sz="4" w:space="0" w:color="auto"/>
              <w:right w:val="single" w:sz="4" w:space="0" w:color="auto"/>
            </w:tcBorders>
            <w:vAlign w:val="bottom"/>
            <w:hideMark/>
          </w:tcPr>
          <w:p w:rsidR="00565166" w:rsidRPr="001139A7" w:rsidP="00565166" w14:paraId="0A46357A" w14:textId="77777777">
            <w:pPr>
              <w:jc w:val="center"/>
              <w:rPr>
                <w:b/>
                <w:bCs/>
                <w:color w:val="000000"/>
                <w:u w:val="single"/>
              </w:rPr>
            </w:pPr>
            <w:r w:rsidRPr="001139A7">
              <w:rPr>
                <w:b/>
                <w:bCs/>
                <w:color w:val="000000"/>
                <w:u w:val="single"/>
              </w:rPr>
              <w:t>Total Number of Respondents</w:t>
            </w:r>
          </w:p>
        </w:tc>
        <w:tc>
          <w:tcPr>
            <w:tcW w:w="1682" w:type="dxa"/>
            <w:tcBorders>
              <w:top w:val="single" w:sz="4" w:space="0" w:color="auto"/>
              <w:left w:val="single" w:sz="4" w:space="0" w:color="auto"/>
              <w:bottom w:val="single" w:sz="4" w:space="0" w:color="auto"/>
              <w:right w:val="single" w:sz="4" w:space="0" w:color="auto"/>
            </w:tcBorders>
            <w:vAlign w:val="bottom"/>
            <w:hideMark/>
          </w:tcPr>
          <w:p w:rsidR="00565166" w:rsidRPr="001139A7" w:rsidP="00565166" w14:paraId="0A46357B" w14:textId="77777777">
            <w:pPr>
              <w:jc w:val="center"/>
              <w:rPr>
                <w:b/>
                <w:bCs/>
                <w:color w:val="000000"/>
                <w:u w:val="single"/>
              </w:rPr>
            </w:pPr>
            <w:r w:rsidRPr="001139A7">
              <w:rPr>
                <w:b/>
                <w:bCs/>
                <w:color w:val="000000"/>
                <w:u w:val="single"/>
              </w:rPr>
              <w:t>Total Number of Responses</w:t>
            </w:r>
          </w:p>
        </w:tc>
        <w:tc>
          <w:tcPr>
            <w:tcW w:w="1628" w:type="dxa"/>
            <w:tcBorders>
              <w:top w:val="single" w:sz="4" w:space="0" w:color="auto"/>
              <w:left w:val="single" w:sz="4" w:space="0" w:color="auto"/>
              <w:bottom w:val="single" w:sz="4" w:space="0" w:color="auto"/>
              <w:right w:val="single" w:sz="4" w:space="0" w:color="auto"/>
            </w:tcBorders>
            <w:vAlign w:val="bottom"/>
            <w:hideMark/>
          </w:tcPr>
          <w:p w:rsidR="00565166" w:rsidRPr="001139A7" w:rsidP="00565166" w14:paraId="0A46357C" w14:textId="77777777">
            <w:pPr>
              <w:jc w:val="center"/>
              <w:rPr>
                <w:b/>
                <w:bCs/>
                <w:color w:val="000000"/>
                <w:u w:val="single"/>
              </w:rPr>
            </w:pPr>
            <w:r w:rsidRPr="001139A7">
              <w:rPr>
                <w:b/>
                <w:bCs/>
                <w:color w:val="000000"/>
                <w:u w:val="single"/>
              </w:rPr>
              <w:t>Total Burden Hours</w:t>
            </w:r>
          </w:p>
        </w:tc>
        <w:tc>
          <w:tcPr>
            <w:tcW w:w="1420" w:type="dxa"/>
            <w:tcBorders>
              <w:top w:val="single" w:sz="4" w:space="0" w:color="auto"/>
              <w:left w:val="single" w:sz="4" w:space="0" w:color="auto"/>
              <w:bottom w:val="single" w:sz="4" w:space="0" w:color="auto"/>
              <w:right w:val="single" w:sz="4" w:space="0" w:color="auto"/>
            </w:tcBorders>
            <w:vAlign w:val="bottom"/>
            <w:hideMark/>
          </w:tcPr>
          <w:p w:rsidR="00565166" w:rsidRPr="001139A7" w:rsidP="00565166" w14:paraId="0A46357D" w14:textId="77777777">
            <w:pPr>
              <w:jc w:val="center"/>
              <w:rPr>
                <w:b/>
                <w:bCs/>
                <w:color w:val="000000"/>
                <w:u w:val="single"/>
              </w:rPr>
            </w:pPr>
            <w:r w:rsidRPr="001139A7">
              <w:rPr>
                <w:b/>
                <w:bCs/>
                <w:color w:val="000000"/>
                <w:u w:val="single"/>
              </w:rPr>
              <w:t>Total Salary Cost</w:t>
            </w:r>
          </w:p>
        </w:tc>
        <w:tc>
          <w:tcPr>
            <w:tcW w:w="1540" w:type="dxa"/>
            <w:tcBorders>
              <w:top w:val="single" w:sz="4" w:space="0" w:color="auto"/>
              <w:left w:val="single" w:sz="4" w:space="0" w:color="auto"/>
              <w:bottom w:val="single" w:sz="4" w:space="0" w:color="auto"/>
              <w:right w:val="single" w:sz="4" w:space="0" w:color="auto"/>
            </w:tcBorders>
            <w:vAlign w:val="bottom"/>
          </w:tcPr>
          <w:p w:rsidR="00565166" w:rsidRPr="001139A7" w:rsidP="00565166" w14:paraId="0A46357E" w14:textId="77777777">
            <w:pPr>
              <w:jc w:val="center"/>
              <w:rPr>
                <w:b/>
                <w:bCs/>
                <w:color w:val="000000"/>
                <w:u w:val="single"/>
              </w:rPr>
            </w:pPr>
            <w:r>
              <w:rPr>
                <w:b/>
                <w:bCs/>
                <w:color w:val="000000"/>
                <w:u w:val="single"/>
              </w:rPr>
              <w:t>Total Burden Cost</w:t>
            </w:r>
          </w:p>
        </w:tc>
      </w:tr>
      <w:tr w14:paraId="0A463585" w14:textId="77777777" w:rsidTr="18F7C5E9">
        <w:tblPrEx>
          <w:tblW w:w="8160" w:type="dxa"/>
          <w:tblCellMar>
            <w:top w:w="15" w:type="dxa"/>
            <w:bottom w:w="15" w:type="dxa"/>
          </w:tblCellMar>
          <w:tblLook w:val="04A0"/>
        </w:tblPrEx>
        <w:trPr>
          <w:trHeight w:val="315"/>
        </w:trPr>
        <w:tc>
          <w:tcPr>
            <w:tcW w:w="1890" w:type="dxa"/>
            <w:tcBorders>
              <w:top w:val="single" w:sz="4" w:space="0" w:color="auto"/>
              <w:left w:val="single" w:sz="4" w:space="0" w:color="auto"/>
              <w:bottom w:val="single" w:sz="4" w:space="0" w:color="auto"/>
              <w:right w:val="single" w:sz="4" w:space="0" w:color="auto"/>
            </w:tcBorders>
            <w:noWrap/>
            <w:vAlign w:val="bottom"/>
            <w:hideMark/>
          </w:tcPr>
          <w:p w:rsidR="00565166" w:rsidRPr="00EB75A1" w:rsidP="00565166" w14:paraId="0A463580" w14:textId="39A9F79F">
            <w:pPr>
              <w:jc w:val="center"/>
              <w:rPr>
                <w:color w:val="000000"/>
              </w:rPr>
            </w:pPr>
            <w:r>
              <w:rPr>
                <w:color w:val="000000"/>
              </w:rPr>
              <w:t>518</w:t>
            </w:r>
          </w:p>
        </w:tc>
        <w:tc>
          <w:tcPr>
            <w:tcW w:w="1682" w:type="dxa"/>
            <w:tcBorders>
              <w:top w:val="single" w:sz="4" w:space="0" w:color="auto"/>
              <w:left w:val="single" w:sz="4" w:space="0" w:color="auto"/>
              <w:bottom w:val="single" w:sz="4" w:space="0" w:color="auto"/>
              <w:right w:val="single" w:sz="4" w:space="0" w:color="auto"/>
            </w:tcBorders>
            <w:noWrap/>
            <w:vAlign w:val="bottom"/>
            <w:hideMark/>
          </w:tcPr>
          <w:p w:rsidR="00565166" w:rsidRPr="00EB75A1" w:rsidP="00565166" w14:paraId="0A463581" w14:textId="7DB6472F">
            <w:pPr>
              <w:jc w:val="center"/>
              <w:rPr>
                <w:color w:val="000000"/>
              </w:rPr>
            </w:pPr>
            <w:r>
              <w:rPr>
                <w:color w:val="000000"/>
              </w:rPr>
              <w:t>23,324</w:t>
            </w:r>
          </w:p>
        </w:tc>
        <w:tc>
          <w:tcPr>
            <w:tcW w:w="1628" w:type="dxa"/>
            <w:tcBorders>
              <w:top w:val="single" w:sz="4" w:space="0" w:color="auto"/>
              <w:left w:val="single" w:sz="4" w:space="0" w:color="auto"/>
              <w:bottom w:val="single" w:sz="4" w:space="0" w:color="auto"/>
              <w:right w:val="single" w:sz="4" w:space="0" w:color="auto"/>
            </w:tcBorders>
            <w:noWrap/>
            <w:vAlign w:val="bottom"/>
            <w:hideMark/>
          </w:tcPr>
          <w:p w:rsidR="00565166" w:rsidRPr="00EB75A1" w:rsidP="00565166" w14:paraId="0A463582" w14:textId="57D35854">
            <w:pPr>
              <w:jc w:val="center"/>
              <w:rPr>
                <w:color w:val="000000"/>
              </w:rPr>
            </w:pPr>
            <w:r>
              <w:rPr>
                <w:color w:val="000000"/>
              </w:rPr>
              <w:t>20,454</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565166" w:rsidRPr="00EB75A1" w:rsidP="00565166" w14:paraId="0A463583" w14:textId="760A9594">
            <w:pPr>
              <w:jc w:val="center"/>
              <w:rPr>
                <w:color w:val="000000"/>
              </w:rPr>
            </w:pPr>
            <w:r w:rsidRPr="18F7C5E9">
              <w:rPr>
                <w:color w:val="000000" w:themeColor="text1"/>
              </w:rPr>
              <w:t>$</w:t>
            </w:r>
            <w:r w:rsidRPr="18F7C5E9" w:rsidR="6819D613">
              <w:rPr>
                <w:color w:val="000000" w:themeColor="text1"/>
              </w:rPr>
              <w:t>6</w:t>
            </w:r>
            <w:r w:rsidRPr="18F7C5E9" w:rsidR="0E1D14B5">
              <w:rPr>
                <w:color w:val="000000" w:themeColor="text1"/>
              </w:rPr>
              <w:t>26,099.39</w:t>
            </w:r>
          </w:p>
        </w:tc>
        <w:tc>
          <w:tcPr>
            <w:tcW w:w="1540" w:type="dxa"/>
            <w:tcBorders>
              <w:top w:val="single" w:sz="4" w:space="0" w:color="auto"/>
              <w:left w:val="single" w:sz="4" w:space="0" w:color="auto"/>
              <w:bottom w:val="single" w:sz="4" w:space="0" w:color="auto"/>
              <w:right w:val="single" w:sz="4" w:space="0" w:color="auto"/>
            </w:tcBorders>
            <w:vAlign w:val="bottom"/>
          </w:tcPr>
          <w:p w:rsidR="00565166" w:rsidRPr="00EB75A1" w:rsidP="00565166" w14:paraId="0A463584" w14:textId="77777777">
            <w:pPr>
              <w:jc w:val="center"/>
              <w:rPr>
                <w:color w:val="000000"/>
              </w:rPr>
            </w:pPr>
            <w:r>
              <w:rPr>
                <w:color w:val="000000"/>
              </w:rPr>
              <w:t>$0</w:t>
            </w:r>
          </w:p>
        </w:tc>
      </w:tr>
    </w:tbl>
    <w:p w:rsidR="00565166" w:rsidP="00C83E39" w14:paraId="0A463586" w14:textId="77777777"/>
    <w:p w:rsidR="00565166" w:rsidP="00C83E39" w14:paraId="0A463587" w14:textId="77777777">
      <w:r>
        <w:rPr>
          <w:b/>
        </w:rPr>
        <w:t>1)  Section 171.15 – Telephone Notifications</w:t>
      </w:r>
    </w:p>
    <w:p w:rsidR="00565166" w:rsidP="00C83E39" w14:paraId="0A463588" w14:textId="77777777"/>
    <w:p w:rsidR="00565166" w:rsidP="00565166" w14:paraId="0A463589" w14:textId="424F53D3">
      <w:pPr>
        <w:ind w:right="-720"/>
      </w:pPr>
      <w:r>
        <w:t>Based on data submitted to PHMSA</w:t>
      </w:r>
      <w:r w:rsidRPr="0077689A">
        <w:t xml:space="preserve">, </w:t>
      </w:r>
      <w:r w:rsidR="00F864DD">
        <w:t>716</w:t>
      </w:r>
      <w:r>
        <w:t xml:space="preserve"> telephonic notifications are made each year</w:t>
      </w:r>
      <w:r w:rsidRPr="0077689A">
        <w:t>.  PHMSA estimates that paperwork burden for</w:t>
      </w:r>
      <w:r>
        <w:t xml:space="preserve"> each inspection will take 4.8</w:t>
      </w:r>
      <w:r w:rsidRPr="0077689A">
        <w:t xml:space="preserve"> </w:t>
      </w:r>
      <w:r w:rsidR="002430BE">
        <w:t xml:space="preserve">minutes per response, </w:t>
      </w:r>
      <w:r w:rsidRPr="0077689A">
        <w:t xml:space="preserve">for a total of </w:t>
      </w:r>
      <w:r w:rsidR="00F864DD">
        <w:t>57</w:t>
      </w:r>
      <w:r w:rsidRPr="0077689A">
        <w:t xml:space="preserve"> burden hours (</w:t>
      </w:r>
      <w:r w:rsidR="00F864DD">
        <w:t>716</w:t>
      </w:r>
      <w:r>
        <w:t xml:space="preserve"> responses x </w:t>
      </w:r>
      <w:r w:rsidR="002430BE">
        <w:t>4.</w:t>
      </w:r>
      <w:r>
        <w:t>8</w:t>
      </w:r>
      <w:r w:rsidRPr="0077689A">
        <w:t xml:space="preserve"> </w:t>
      </w:r>
      <w:r w:rsidR="002430BE">
        <w:t>minutes</w:t>
      </w:r>
      <w:r w:rsidRPr="0077689A">
        <w:t xml:space="preserve"> per response).  Each</w:t>
      </w:r>
      <w:r w:rsidR="002430BE">
        <w:t xml:space="preserve"> person filing the incident report</w:t>
      </w:r>
      <w:r w:rsidRPr="0077689A">
        <w:t xml:space="preserve"> i</w:t>
      </w:r>
      <w:r w:rsidR="002430BE">
        <w:t>s expected to make</w:t>
      </w:r>
      <w:r w:rsidRPr="0077689A">
        <w:t xml:space="preserve"> $</w:t>
      </w:r>
      <w:r w:rsidR="00B635BB">
        <w:t>30.61</w:t>
      </w:r>
      <w:r w:rsidRPr="0077689A">
        <w:t xml:space="preserve"> per hour</w:t>
      </w:r>
      <w:r w:rsidR="002430BE">
        <w:t>,</w:t>
      </w:r>
      <w:r w:rsidR="009724D7">
        <w:t xml:space="preserve"> </w:t>
      </w:r>
      <w:r w:rsidRPr="0077689A">
        <w:t>for a total salary cost of $</w:t>
      </w:r>
      <w:r>
        <w:t>1,</w:t>
      </w:r>
      <w:r w:rsidR="00B635BB">
        <w:t xml:space="preserve">753 </w:t>
      </w:r>
      <w:r w:rsidRPr="0077689A">
        <w:t>($</w:t>
      </w:r>
      <w:r w:rsidR="00B635BB">
        <w:t>30.61</w:t>
      </w:r>
      <w:r>
        <w:rPr>
          <w:rStyle w:val="FootnoteReference"/>
        </w:rPr>
        <w:footnoteReference w:id="8"/>
      </w:r>
      <w:r w:rsidR="00FE083A">
        <w:t xml:space="preserve"> </w:t>
      </w:r>
      <w:r w:rsidRPr="0077689A">
        <w:t xml:space="preserve">x </w:t>
      </w:r>
      <w:r w:rsidR="00F864DD">
        <w:t>57</w:t>
      </w:r>
      <w:r w:rsidRPr="0077689A">
        <w:t xml:space="preserve"> burden hours).  There are no out of pocket cost associated with this information collection.</w:t>
      </w:r>
    </w:p>
    <w:p w:rsidR="00565166" w:rsidP="00565166" w14:paraId="0A46358A" w14:textId="77777777">
      <w:pPr>
        <w:ind w:right="-720"/>
      </w:pPr>
    </w:p>
    <w:tbl>
      <w:tblPr>
        <w:tblW w:w="10381" w:type="dxa"/>
        <w:jc w:val="center"/>
        <w:tblLayout w:type="fixed"/>
        <w:tblLook w:val="04A0"/>
      </w:tblPr>
      <w:tblGrid>
        <w:gridCol w:w="1261"/>
        <w:gridCol w:w="1150"/>
        <w:gridCol w:w="1306"/>
        <w:gridCol w:w="1228"/>
        <w:gridCol w:w="1094"/>
        <w:gridCol w:w="1017"/>
        <w:gridCol w:w="805"/>
        <w:gridCol w:w="900"/>
        <w:gridCol w:w="810"/>
        <w:gridCol w:w="810"/>
      </w:tblGrid>
      <w:tr w14:paraId="0A463595" w14:textId="77777777" w:rsidTr="00C118CC">
        <w:tblPrEx>
          <w:tblW w:w="10381" w:type="dxa"/>
          <w:jc w:val="center"/>
          <w:tblLayout w:type="fixed"/>
          <w:tblLook w:val="04A0"/>
        </w:tblPrEx>
        <w:trPr>
          <w:trHeight w:val="792"/>
          <w:jc w:val="center"/>
        </w:trPr>
        <w:tc>
          <w:tcPr>
            <w:tcW w:w="1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5166" w:rsidRPr="00C118CC" w14:paraId="0A46358B" w14:textId="77777777">
            <w:pPr>
              <w:jc w:val="center"/>
              <w:rPr>
                <w:bCs/>
                <w:color w:val="000000"/>
                <w:sz w:val="20"/>
                <w:szCs w:val="20"/>
                <w:u w:val="single"/>
              </w:rPr>
            </w:pPr>
            <w:r w:rsidRPr="00C118CC">
              <w:rPr>
                <w:bCs/>
                <w:color w:val="000000"/>
                <w:sz w:val="20"/>
                <w:szCs w:val="20"/>
                <w:u w:val="single"/>
              </w:rPr>
              <w:t>Information Collection</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565166" w:rsidRPr="00C118CC" w14:paraId="0A46358C" w14:textId="77777777">
            <w:pPr>
              <w:jc w:val="center"/>
              <w:rPr>
                <w:bCs/>
                <w:color w:val="000000"/>
                <w:sz w:val="20"/>
                <w:szCs w:val="20"/>
                <w:u w:val="single"/>
              </w:rPr>
            </w:pPr>
            <w:r w:rsidRPr="00C118CC">
              <w:rPr>
                <w:bCs/>
                <w:color w:val="000000"/>
                <w:sz w:val="20"/>
                <w:szCs w:val="20"/>
                <w:u w:val="single"/>
              </w:rPr>
              <w:t>Regulation</w:t>
            </w:r>
          </w:p>
        </w:tc>
        <w:tc>
          <w:tcPr>
            <w:tcW w:w="1306" w:type="dxa"/>
            <w:tcBorders>
              <w:top w:val="single" w:sz="4" w:space="0" w:color="auto"/>
              <w:left w:val="nil"/>
              <w:bottom w:val="single" w:sz="4" w:space="0" w:color="auto"/>
              <w:right w:val="single" w:sz="4" w:space="0" w:color="auto"/>
            </w:tcBorders>
            <w:shd w:val="clear" w:color="auto" w:fill="auto"/>
            <w:vAlign w:val="bottom"/>
            <w:hideMark/>
          </w:tcPr>
          <w:p w:rsidR="00565166" w:rsidRPr="00C118CC" w14:paraId="0A46358D" w14:textId="77777777">
            <w:pPr>
              <w:jc w:val="center"/>
              <w:rPr>
                <w:bCs/>
                <w:color w:val="000000"/>
                <w:sz w:val="20"/>
                <w:szCs w:val="20"/>
                <w:u w:val="single"/>
              </w:rPr>
            </w:pPr>
            <w:r w:rsidRPr="00C118CC">
              <w:rPr>
                <w:bCs/>
                <w:color w:val="000000"/>
                <w:sz w:val="20"/>
                <w:szCs w:val="20"/>
                <w:u w:val="single"/>
              </w:rPr>
              <w:t>Total Respondents</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rsidR="00565166" w:rsidRPr="00C118CC" w14:paraId="0A46358E" w14:textId="77777777">
            <w:pPr>
              <w:jc w:val="center"/>
              <w:rPr>
                <w:bCs/>
                <w:color w:val="000000"/>
                <w:sz w:val="20"/>
                <w:szCs w:val="20"/>
                <w:u w:val="single"/>
              </w:rPr>
            </w:pPr>
            <w:r w:rsidRPr="00C118CC">
              <w:rPr>
                <w:bCs/>
                <w:color w:val="000000"/>
                <w:sz w:val="20"/>
                <w:szCs w:val="20"/>
                <w:u w:val="single"/>
              </w:rPr>
              <w:t>Reponses per Respondent</w:t>
            </w:r>
          </w:p>
        </w:tc>
        <w:tc>
          <w:tcPr>
            <w:tcW w:w="1094" w:type="dxa"/>
            <w:tcBorders>
              <w:top w:val="single" w:sz="4" w:space="0" w:color="auto"/>
              <w:left w:val="nil"/>
              <w:bottom w:val="single" w:sz="4" w:space="0" w:color="auto"/>
              <w:right w:val="single" w:sz="4" w:space="0" w:color="auto"/>
            </w:tcBorders>
            <w:shd w:val="clear" w:color="auto" w:fill="auto"/>
            <w:vAlign w:val="bottom"/>
            <w:hideMark/>
          </w:tcPr>
          <w:p w:rsidR="00565166" w:rsidRPr="00C118CC" w14:paraId="0A46358F" w14:textId="77777777">
            <w:pPr>
              <w:jc w:val="center"/>
              <w:rPr>
                <w:bCs/>
                <w:color w:val="000000"/>
                <w:sz w:val="20"/>
                <w:szCs w:val="20"/>
                <w:u w:val="single"/>
              </w:rPr>
            </w:pPr>
            <w:r w:rsidRPr="00C118CC">
              <w:rPr>
                <w:bCs/>
                <w:color w:val="000000"/>
                <w:sz w:val="20"/>
                <w:szCs w:val="20"/>
                <w:u w:val="single"/>
              </w:rPr>
              <w:t>Annual Responses</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565166" w:rsidRPr="00C118CC" w14:paraId="0A463590" w14:textId="77777777">
            <w:pPr>
              <w:jc w:val="center"/>
              <w:rPr>
                <w:bCs/>
                <w:color w:val="000000"/>
                <w:sz w:val="20"/>
                <w:szCs w:val="20"/>
                <w:u w:val="single"/>
              </w:rPr>
            </w:pPr>
            <w:r w:rsidRPr="00C118CC">
              <w:rPr>
                <w:bCs/>
                <w:color w:val="000000"/>
                <w:sz w:val="20"/>
                <w:szCs w:val="20"/>
                <w:u w:val="single"/>
              </w:rPr>
              <w:t>Minutes per Response</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565166" w:rsidRPr="00C118CC" w14:paraId="0A463591" w14:textId="77777777">
            <w:pPr>
              <w:jc w:val="center"/>
              <w:rPr>
                <w:bCs/>
                <w:color w:val="000000"/>
                <w:sz w:val="20"/>
                <w:szCs w:val="20"/>
                <w:u w:val="single"/>
              </w:rPr>
            </w:pPr>
            <w:r w:rsidRPr="00C118CC">
              <w:rPr>
                <w:bCs/>
                <w:color w:val="000000"/>
                <w:sz w:val="20"/>
                <w:szCs w:val="20"/>
                <w:u w:val="single"/>
              </w:rPr>
              <w:t>Annual Burden Hours</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565166" w:rsidRPr="00C118CC" w14:paraId="0A463592" w14:textId="77777777">
            <w:pPr>
              <w:jc w:val="center"/>
              <w:rPr>
                <w:bCs/>
                <w:color w:val="000000"/>
                <w:sz w:val="20"/>
                <w:szCs w:val="20"/>
                <w:u w:val="single"/>
              </w:rPr>
            </w:pPr>
            <w:r w:rsidRPr="00C118CC">
              <w:rPr>
                <w:bCs/>
                <w:color w:val="000000"/>
                <w:sz w:val="20"/>
                <w:szCs w:val="20"/>
                <w:u w:val="single"/>
              </w:rPr>
              <w:t>Salary Cost per Hour</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565166" w:rsidRPr="00C118CC" w14:paraId="0A463593" w14:textId="77777777">
            <w:pPr>
              <w:jc w:val="center"/>
              <w:rPr>
                <w:bCs/>
                <w:color w:val="000000"/>
                <w:sz w:val="20"/>
                <w:szCs w:val="20"/>
                <w:u w:val="single"/>
              </w:rPr>
            </w:pPr>
            <w:r w:rsidRPr="00C118CC">
              <w:rPr>
                <w:bCs/>
                <w:color w:val="000000"/>
                <w:sz w:val="20"/>
                <w:szCs w:val="20"/>
                <w:u w:val="single"/>
              </w:rPr>
              <w:t>Total Salary Cost</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565166" w:rsidRPr="00C118CC" w14:paraId="0A463594" w14:textId="77777777">
            <w:pPr>
              <w:jc w:val="center"/>
              <w:rPr>
                <w:bCs/>
                <w:color w:val="000000"/>
                <w:sz w:val="20"/>
                <w:szCs w:val="20"/>
                <w:u w:val="single"/>
              </w:rPr>
            </w:pPr>
            <w:r w:rsidRPr="00C118CC">
              <w:rPr>
                <w:bCs/>
                <w:color w:val="000000"/>
                <w:sz w:val="20"/>
                <w:szCs w:val="20"/>
                <w:u w:val="single"/>
              </w:rPr>
              <w:t>Annual Burden Cost</w:t>
            </w:r>
          </w:p>
        </w:tc>
      </w:tr>
      <w:tr w14:paraId="0A4635A0" w14:textId="77777777" w:rsidTr="00C118CC">
        <w:tblPrEx>
          <w:tblW w:w="10381" w:type="dxa"/>
          <w:jc w:val="center"/>
          <w:tblLayout w:type="fixed"/>
          <w:tblLook w:val="04A0"/>
        </w:tblPrEx>
        <w:trPr>
          <w:trHeight w:val="264"/>
          <w:jc w:val="center"/>
        </w:trPr>
        <w:tc>
          <w:tcPr>
            <w:tcW w:w="1261" w:type="dxa"/>
            <w:tcBorders>
              <w:top w:val="nil"/>
              <w:left w:val="single" w:sz="4" w:space="0" w:color="auto"/>
              <w:bottom w:val="single" w:sz="4" w:space="0" w:color="auto"/>
              <w:right w:val="single" w:sz="4" w:space="0" w:color="auto"/>
            </w:tcBorders>
            <w:shd w:val="clear" w:color="auto" w:fill="auto"/>
            <w:vAlign w:val="bottom"/>
            <w:hideMark/>
          </w:tcPr>
          <w:p w:rsidR="00565166" w:rsidRPr="00565166" w14:paraId="0A463596" w14:textId="77777777">
            <w:pPr>
              <w:rPr>
                <w:color w:val="000000"/>
                <w:sz w:val="20"/>
                <w:szCs w:val="20"/>
              </w:rPr>
            </w:pPr>
            <w:r w:rsidRPr="00565166">
              <w:rPr>
                <w:color w:val="000000"/>
                <w:sz w:val="20"/>
                <w:szCs w:val="20"/>
              </w:rPr>
              <w:t>Telephone Notifications</w:t>
            </w:r>
          </w:p>
        </w:tc>
        <w:tc>
          <w:tcPr>
            <w:tcW w:w="1150" w:type="dxa"/>
            <w:tcBorders>
              <w:top w:val="nil"/>
              <w:left w:val="nil"/>
              <w:bottom w:val="single" w:sz="4" w:space="0" w:color="auto"/>
              <w:right w:val="single" w:sz="4" w:space="0" w:color="auto"/>
            </w:tcBorders>
            <w:shd w:val="clear" w:color="auto" w:fill="auto"/>
            <w:noWrap/>
            <w:vAlign w:val="bottom"/>
            <w:hideMark/>
          </w:tcPr>
          <w:p w:rsidR="00565166" w:rsidRPr="00565166" w14:paraId="0A463597" w14:textId="77777777">
            <w:pPr>
              <w:jc w:val="center"/>
              <w:rPr>
                <w:color w:val="000000"/>
                <w:sz w:val="20"/>
                <w:szCs w:val="20"/>
              </w:rPr>
            </w:pPr>
            <w:r w:rsidRPr="00565166">
              <w:rPr>
                <w:color w:val="000000"/>
                <w:sz w:val="20"/>
                <w:szCs w:val="20"/>
              </w:rPr>
              <w:t>§ 171.15</w:t>
            </w:r>
          </w:p>
        </w:tc>
        <w:tc>
          <w:tcPr>
            <w:tcW w:w="1306" w:type="dxa"/>
            <w:tcBorders>
              <w:top w:val="nil"/>
              <w:left w:val="nil"/>
              <w:bottom w:val="single" w:sz="4" w:space="0" w:color="auto"/>
              <w:right w:val="single" w:sz="4" w:space="0" w:color="auto"/>
            </w:tcBorders>
            <w:shd w:val="clear" w:color="auto" w:fill="auto"/>
            <w:noWrap/>
            <w:vAlign w:val="bottom"/>
            <w:hideMark/>
          </w:tcPr>
          <w:p w:rsidR="00565166" w:rsidRPr="00565166" w14:paraId="0A463598" w14:textId="2C61DB4B">
            <w:pPr>
              <w:jc w:val="right"/>
              <w:rPr>
                <w:color w:val="000000"/>
                <w:sz w:val="20"/>
                <w:szCs w:val="20"/>
              </w:rPr>
            </w:pPr>
            <w:r>
              <w:rPr>
                <w:color w:val="000000"/>
                <w:sz w:val="20"/>
                <w:szCs w:val="20"/>
              </w:rPr>
              <w:t>180</w:t>
            </w:r>
          </w:p>
        </w:tc>
        <w:tc>
          <w:tcPr>
            <w:tcW w:w="1228" w:type="dxa"/>
            <w:tcBorders>
              <w:top w:val="nil"/>
              <w:left w:val="nil"/>
              <w:bottom w:val="single" w:sz="4" w:space="0" w:color="auto"/>
              <w:right w:val="single" w:sz="4" w:space="0" w:color="auto"/>
            </w:tcBorders>
            <w:shd w:val="clear" w:color="auto" w:fill="auto"/>
            <w:noWrap/>
            <w:vAlign w:val="bottom"/>
            <w:hideMark/>
          </w:tcPr>
          <w:p w:rsidR="00565166" w:rsidRPr="00565166" w14:paraId="0A463599" w14:textId="42C85574">
            <w:pPr>
              <w:jc w:val="right"/>
              <w:rPr>
                <w:color w:val="000000"/>
                <w:sz w:val="20"/>
                <w:szCs w:val="20"/>
              </w:rPr>
            </w:pPr>
            <w:r>
              <w:rPr>
                <w:color w:val="000000"/>
                <w:sz w:val="20"/>
                <w:szCs w:val="20"/>
              </w:rPr>
              <w:t>4</w:t>
            </w:r>
          </w:p>
        </w:tc>
        <w:tc>
          <w:tcPr>
            <w:tcW w:w="1094" w:type="dxa"/>
            <w:tcBorders>
              <w:top w:val="nil"/>
              <w:left w:val="nil"/>
              <w:bottom w:val="single" w:sz="4" w:space="0" w:color="auto"/>
              <w:right w:val="single" w:sz="4" w:space="0" w:color="auto"/>
            </w:tcBorders>
            <w:shd w:val="clear" w:color="auto" w:fill="auto"/>
            <w:noWrap/>
            <w:vAlign w:val="bottom"/>
            <w:hideMark/>
          </w:tcPr>
          <w:p w:rsidR="00565166" w:rsidRPr="00565166" w14:paraId="0A46359A" w14:textId="0F91CF4F">
            <w:pPr>
              <w:jc w:val="right"/>
              <w:rPr>
                <w:color w:val="000000"/>
                <w:sz w:val="20"/>
                <w:szCs w:val="20"/>
              </w:rPr>
            </w:pPr>
            <w:r>
              <w:rPr>
                <w:color w:val="000000"/>
                <w:sz w:val="20"/>
                <w:szCs w:val="20"/>
              </w:rPr>
              <w:t>716</w:t>
            </w:r>
          </w:p>
        </w:tc>
        <w:tc>
          <w:tcPr>
            <w:tcW w:w="1017" w:type="dxa"/>
            <w:tcBorders>
              <w:top w:val="nil"/>
              <w:left w:val="nil"/>
              <w:bottom w:val="single" w:sz="4" w:space="0" w:color="auto"/>
              <w:right w:val="single" w:sz="4" w:space="0" w:color="auto"/>
            </w:tcBorders>
            <w:shd w:val="clear" w:color="auto" w:fill="auto"/>
            <w:noWrap/>
            <w:vAlign w:val="bottom"/>
            <w:hideMark/>
          </w:tcPr>
          <w:p w:rsidR="00565166" w:rsidRPr="00565166" w14:paraId="0A46359B" w14:textId="77777777">
            <w:pPr>
              <w:jc w:val="right"/>
              <w:rPr>
                <w:color w:val="000000"/>
                <w:sz w:val="20"/>
                <w:szCs w:val="20"/>
              </w:rPr>
            </w:pPr>
            <w:r w:rsidRPr="00565166">
              <w:rPr>
                <w:color w:val="000000"/>
                <w:sz w:val="20"/>
                <w:szCs w:val="20"/>
              </w:rPr>
              <w:t>4.8</w:t>
            </w:r>
          </w:p>
        </w:tc>
        <w:tc>
          <w:tcPr>
            <w:tcW w:w="805" w:type="dxa"/>
            <w:tcBorders>
              <w:top w:val="nil"/>
              <w:left w:val="nil"/>
              <w:bottom w:val="single" w:sz="4" w:space="0" w:color="auto"/>
              <w:right w:val="single" w:sz="4" w:space="0" w:color="auto"/>
            </w:tcBorders>
            <w:shd w:val="clear" w:color="auto" w:fill="auto"/>
            <w:noWrap/>
            <w:vAlign w:val="bottom"/>
            <w:hideMark/>
          </w:tcPr>
          <w:p w:rsidR="00565166" w:rsidRPr="00565166" w14:paraId="0A46359C" w14:textId="57393085">
            <w:pPr>
              <w:jc w:val="right"/>
              <w:rPr>
                <w:color w:val="000000"/>
                <w:sz w:val="20"/>
                <w:szCs w:val="20"/>
              </w:rPr>
            </w:pPr>
            <w:r>
              <w:rPr>
                <w:color w:val="000000"/>
                <w:sz w:val="20"/>
                <w:szCs w:val="20"/>
              </w:rPr>
              <w:t>57</w:t>
            </w:r>
          </w:p>
        </w:tc>
        <w:tc>
          <w:tcPr>
            <w:tcW w:w="900" w:type="dxa"/>
            <w:tcBorders>
              <w:top w:val="nil"/>
              <w:left w:val="nil"/>
              <w:bottom w:val="single" w:sz="4" w:space="0" w:color="auto"/>
              <w:right w:val="single" w:sz="4" w:space="0" w:color="auto"/>
            </w:tcBorders>
            <w:shd w:val="clear" w:color="auto" w:fill="auto"/>
            <w:noWrap/>
            <w:vAlign w:val="bottom"/>
            <w:hideMark/>
          </w:tcPr>
          <w:p w:rsidR="00565166" w:rsidRPr="00565166" w14:paraId="0A46359D" w14:textId="04D38CA2">
            <w:pPr>
              <w:jc w:val="right"/>
              <w:rPr>
                <w:color w:val="000000"/>
                <w:sz w:val="20"/>
                <w:szCs w:val="20"/>
              </w:rPr>
            </w:pPr>
            <w:r w:rsidRPr="00565166">
              <w:rPr>
                <w:color w:val="000000"/>
                <w:sz w:val="20"/>
                <w:szCs w:val="20"/>
              </w:rPr>
              <w:t>$</w:t>
            </w:r>
            <w:r w:rsidR="008C5EFD">
              <w:rPr>
                <w:color w:val="000000"/>
                <w:sz w:val="20"/>
                <w:szCs w:val="20"/>
              </w:rPr>
              <w:t>30.61</w:t>
            </w:r>
          </w:p>
        </w:tc>
        <w:tc>
          <w:tcPr>
            <w:tcW w:w="810" w:type="dxa"/>
            <w:tcBorders>
              <w:top w:val="nil"/>
              <w:left w:val="nil"/>
              <w:bottom w:val="single" w:sz="4" w:space="0" w:color="auto"/>
              <w:right w:val="single" w:sz="4" w:space="0" w:color="auto"/>
            </w:tcBorders>
            <w:shd w:val="clear" w:color="auto" w:fill="auto"/>
            <w:noWrap/>
            <w:vAlign w:val="bottom"/>
            <w:hideMark/>
          </w:tcPr>
          <w:p w:rsidR="00565166" w:rsidRPr="00565166" w14:paraId="0A46359E" w14:textId="42C6C325">
            <w:pPr>
              <w:jc w:val="right"/>
              <w:rPr>
                <w:color w:val="000000"/>
                <w:sz w:val="20"/>
                <w:szCs w:val="20"/>
              </w:rPr>
            </w:pPr>
            <w:r w:rsidRPr="00565166">
              <w:rPr>
                <w:color w:val="000000"/>
                <w:sz w:val="20"/>
                <w:szCs w:val="20"/>
              </w:rPr>
              <w:t>$1,</w:t>
            </w:r>
            <w:r w:rsidR="00B635BB">
              <w:rPr>
                <w:color w:val="000000"/>
                <w:sz w:val="20"/>
                <w:szCs w:val="20"/>
              </w:rPr>
              <w:t>753</w:t>
            </w:r>
          </w:p>
        </w:tc>
        <w:tc>
          <w:tcPr>
            <w:tcW w:w="810" w:type="dxa"/>
            <w:tcBorders>
              <w:top w:val="nil"/>
              <w:left w:val="nil"/>
              <w:bottom w:val="single" w:sz="4" w:space="0" w:color="auto"/>
              <w:right w:val="single" w:sz="4" w:space="0" w:color="auto"/>
            </w:tcBorders>
            <w:shd w:val="clear" w:color="auto" w:fill="auto"/>
            <w:noWrap/>
            <w:vAlign w:val="bottom"/>
            <w:hideMark/>
          </w:tcPr>
          <w:p w:rsidR="00565166" w:rsidRPr="00565166" w14:paraId="0A46359F" w14:textId="77777777">
            <w:pPr>
              <w:jc w:val="right"/>
              <w:rPr>
                <w:color w:val="000000"/>
                <w:sz w:val="20"/>
                <w:szCs w:val="20"/>
              </w:rPr>
            </w:pPr>
            <w:r w:rsidRPr="00565166">
              <w:rPr>
                <w:color w:val="000000"/>
                <w:sz w:val="20"/>
                <w:szCs w:val="20"/>
              </w:rPr>
              <w:t>$0</w:t>
            </w:r>
          </w:p>
        </w:tc>
      </w:tr>
    </w:tbl>
    <w:p w:rsidR="0077689A" w:rsidP="00C118CC" w14:paraId="0A4635A1" w14:textId="77777777">
      <w:pPr>
        <w:ind w:right="-720"/>
        <w:jc w:val="both"/>
      </w:pPr>
    </w:p>
    <w:p w:rsidR="00565166" w:rsidRPr="00C118CC" w:rsidP="00C118CC" w14:paraId="0A4635A2" w14:textId="77777777">
      <w:pPr>
        <w:ind w:right="-720"/>
        <w:jc w:val="both"/>
        <w:rPr>
          <w:b/>
        </w:rPr>
      </w:pPr>
      <w:r>
        <w:rPr>
          <w:b/>
        </w:rPr>
        <w:t>2)  Section 171.16 – Incident Reports</w:t>
      </w:r>
    </w:p>
    <w:p w:rsidR="00565166" w:rsidP="00C118CC" w14:paraId="0A4635A3" w14:textId="77777777">
      <w:pPr>
        <w:ind w:right="-720"/>
        <w:jc w:val="both"/>
      </w:pPr>
    </w:p>
    <w:p w:rsidR="00565166" w:rsidP="00C118CC" w14:paraId="0A4635A5" w14:textId="57CE548F">
      <w:pPr>
        <w:ind w:right="-720"/>
      </w:pPr>
      <w:r w:rsidRPr="004A2E3B">
        <w:t xml:space="preserve">Based on data submitted to PHMSA, </w:t>
      </w:r>
      <w:r w:rsidR="02EC321E">
        <w:t>22,608</w:t>
      </w:r>
      <w:r w:rsidR="4663981F">
        <w:t xml:space="preserve"> incident reports are submitted to (</w:t>
      </w:r>
      <w:r w:rsidR="231D8D0E">
        <w:t>2,888</w:t>
      </w:r>
      <w:r w:rsidR="4663981F">
        <w:t xml:space="preserve"> paper and </w:t>
      </w:r>
      <w:r w:rsidR="231D8D0E">
        <w:t>19,720</w:t>
      </w:r>
      <w:r w:rsidR="4663981F">
        <w:t xml:space="preserve"> electronic) </w:t>
      </w:r>
      <w:r w:rsidRPr="004A2E3B">
        <w:t>each year.  PHMSA estimates that</w:t>
      </w:r>
      <w:r w:rsidRPr="004A2E3B" w:rsidR="501BED01">
        <w:t xml:space="preserve"> the</w:t>
      </w:r>
      <w:r w:rsidRPr="004A2E3B">
        <w:t xml:space="preserve"> paperwork burden for</w:t>
      </w:r>
      <w:r>
        <w:t xml:space="preserve"> </w:t>
      </w:r>
      <w:r w:rsidR="4663981F">
        <w:t>paper submission</w:t>
      </w:r>
      <w:r w:rsidR="3C0A426A">
        <w:t>s</w:t>
      </w:r>
      <w:r w:rsidR="4663981F">
        <w:t xml:space="preserve"> is 1.6 hours per response and for electronic submission</w:t>
      </w:r>
      <w:r w:rsidR="50E0CC1C">
        <w:t>s</w:t>
      </w:r>
      <w:r w:rsidR="4663981F">
        <w:t xml:space="preserve"> 0.8 hours per response.  In total, incident reports </w:t>
      </w:r>
      <w:r w:rsidR="1DDB0AC2">
        <w:t>account for</w:t>
      </w:r>
      <w:r w:rsidR="4663981F">
        <w:t xml:space="preserve"> </w:t>
      </w:r>
      <w:r w:rsidR="1DDB0AC2">
        <w:t>20,397</w:t>
      </w:r>
      <w:r w:rsidR="4663981F">
        <w:t xml:space="preserve"> </w:t>
      </w:r>
      <w:r w:rsidR="1DDB0AC2">
        <w:t>burden hours</w:t>
      </w:r>
      <w:r w:rsidR="4663981F">
        <w:t xml:space="preserve"> (</w:t>
      </w:r>
      <w:r w:rsidR="2732526F">
        <w:t>2,888</w:t>
      </w:r>
      <w:r w:rsidR="4663981F">
        <w:t xml:space="preserve"> annual</w:t>
      </w:r>
      <w:r w:rsidR="2732526F">
        <w:t xml:space="preserve"> burden hours for</w:t>
      </w:r>
      <w:r w:rsidR="4663981F">
        <w:t xml:space="preserve"> paper </w:t>
      </w:r>
      <w:r w:rsidR="2732526F">
        <w:t>submissions</w:t>
      </w:r>
      <w:r w:rsidR="4663981F">
        <w:t xml:space="preserve"> x 1.6 hours per response + </w:t>
      </w:r>
      <w:r w:rsidR="2732526F">
        <w:t>19,720</w:t>
      </w:r>
      <w:r w:rsidR="4663981F">
        <w:t xml:space="preserve"> annual</w:t>
      </w:r>
      <w:r w:rsidR="2732526F">
        <w:t xml:space="preserve"> burden hours for</w:t>
      </w:r>
      <w:r w:rsidR="4663981F">
        <w:t xml:space="preserve"> electronic </w:t>
      </w:r>
      <w:r w:rsidR="2732526F">
        <w:t>submissions</w:t>
      </w:r>
      <w:r w:rsidR="4663981F">
        <w:t xml:space="preserve"> x 0.8 hours per response)</w:t>
      </w:r>
      <w:r w:rsidRPr="004A2E3B">
        <w:t xml:space="preserve">.  Each </w:t>
      </w:r>
      <w:r w:rsidR="4663981F">
        <w:t>person filing the incident report</w:t>
      </w:r>
      <w:r w:rsidRPr="004A2E3B">
        <w:t xml:space="preserve"> is expected to </w:t>
      </w:r>
      <w:r w:rsidR="4663981F">
        <w:t>make</w:t>
      </w:r>
      <w:r w:rsidRPr="004A2E3B">
        <w:t xml:space="preserve"> $</w:t>
      </w:r>
      <w:r w:rsidR="0077D1A3">
        <w:t>30.61</w:t>
      </w:r>
      <w:r>
        <w:rPr>
          <w:rStyle w:val="FootnoteReference"/>
        </w:rPr>
        <w:footnoteReference w:id="9"/>
      </w:r>
      <w:r w:rsidR="00FE083A">
        <w:t xml:space="preserve"> </w:t>
      </w:r>
      <w:r w:rsidR="4663981F">
        <w:t>per hour,</w:t>
      </w:r>
      <w:r w:rsidRPr="004A2E3B">
        <w:t xml:space="preserve"> for a total salary cost of $</w:t>
      </w:r>
      <w:r w:rsidR="0077D1A3">
        <w:t>624,356</w:t>
      </w:r>
      <w:r w:rsidRPr="004A2E3B">
        <w:t xml:space="preserve"> (</w:t>
      </w:r>
      <w:r w:rsidR="02532F17">
        <w:t>20,397</w:t>
      </w:r>
      <w:r w:rsidR="4663981F">
        <w:t xml:space="preserve"> annual burden hours x $</w:t>
      </w:r>
      <w:r w:rsidR="0077D1A3">
        <w:t>30.61</w:t>
      </w:r>
      <w:r w:rsidRPr="004A2E3B">
        <w:t>).  There are no out of pocket cost associated with this information collection.</w:t>
      </w:r>
    </w:p>
    <w:tbl>
      <w:tblPr>
        <w:tblW w:w="10561" w:type="dxa"/>
        <w:jc w:val="center"/>
        <w:tblLayout w:type="fixed"/>
        <w:tblLook w:val="04A0"/>
      </w:tblPr>
      <w:tblGrid>
        <w:gridCol w:w="1350"/>
        <w:gridCol w:w="1125"/>
        <w:gridCol w:w="1290"/>
        <w:gridCol w:w="1185"/>
        <w:gridCol w:w="1110"/>
        <w:gridCol w:w="1050"/>
        <w:gridCol w:w="810"/>
        <w:gridCol w:w="765"/>
        <w:gridCol w:w="1030"/>
        <w:gridCol w:w="846"/>
      </w:tblGrid>
      <w:tr w14:paraId="0A4635B0" w14:textId="77777777" w:rsidTr="00EE70E9">
        <w:tblPrEx>
          <w:tblW w:w="10561" w:type="dxa"/>
          <w:jc w:val="center"/>
          <w:tblLayout w:type="fixed"/>
          <w:tblLook w:val="04A0"/>
        </w:tblPrEx>
        <w:trPr>
          <w:trHeight w:val="792"/>
          <w:jc w:val="center"/>
        </w:trPr>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5166" w:rsidRPr="00C118CC" w:rsidP="00C118CC" w14:paraId="0A4635A6" w14:textId="77777777">
            <w:pPr>
              <w:keepNext/>
              <w:keepLines/>
              <w:jc w:val="center"/>
              <w:rPr>
                <w:bCs/>
                <w:color w:val="000000"/>
                <w:sz w:val="20"/>
                <w:szCs w:val="20"/>
                <w:u w:val="single"/>
              </w:rPr>
            </w:pPr>
            <w:r w:rsidRPr="00C118CC">
              <w:rPr>
                <w:bCs/>
                <w:color w:val="000000"/>
                <w:sz w:val="20"/>
                <w:szCs w:val="20"/>
                <w:u w:val="single"/>
              </w:rPr>
              <w:t>Information Collection</w:t>
            </w:r>
          </w:p>
        </w:tc>
        <w:tc>
          <w:tcPr>
            <w:tcW w:w="1125" w:type="dxa"/>
            <w:tcBorders>
              <w:top w:val="single" w:sz="4" w:space="0" w:color="auto"/>
              <w:left w:val="nil"/>
              <w:bottom w:val="single" w:sz="4" w:space="0" w:color="auto"/>
              <w:right w:val="single" w:sz="4" w:space="0" w:color="auto"/>
            </w:tcBorders>
            <w:shd w:val="clear" w:color="auto" w:fill="auto"/>
            <w:vAlign w:val="bottom"/>
            <w:hideMark/>
          </w:tcPr>
          <w:p w:rsidR="00565166" w:rsidRPr="00C118CC" w:rsidP="00C118CC" w14:paraId="0A4635A7" w14:textId="77777777">
            <w:pPr>
              <w:keepNext/>
              <w:keepLines/>
              <w:jc w:val="center"/>
              <w:rPr>
                <w:bCs/>
                <w:color w:val="000000"/>
                <w:sz w:val="20"/>
                <w:szCs w:val="20"/>
                <w:u w:val="single"/>
              </w:rPr>
            </w:pPr>
            <w:r w:rsidRPr="00C118CC">
              <w:rPr>
                <w:bCs/>
                <w:color w:val="000000"/>
                <w:sz w:val="20"/>
                <w:szCs w:val="20"/>
                <w:u w:val="single"/>
              </w:rPr>
              <w:t>Regulation</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565166" w:rsidRPr="00C118CC" w:rsidP="00C118CC" w14:paraId="0A4635A8" w14:textId="77777777">
            <w:pPr>
              <w:keepNext/>
              <w:keepLines/>
              <w:jc w:val="center"/>
              <w:rPr>
                <w:bCs/>
                <w:color w:val="000000"/>
                <w:sz w:val="20"/>
                <w:szCs w:val="20"/>
                <w:u w:val="single"/>
              </w:rPr>
            </w:pPr>
            <w:r w:rsidRPr="00C118CC">
              <w:rPr>
                <w:bCs/>
                <w:color w:val="000000"/>
                <w:sz w:val="20"/>
                <w:szCs w:val="20"/>
                <w:u w:val="single"/>
              </w:rPr>
              <w:t>Total Respondents</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rsidR="00565166" w:rsidRPr="00C118CC" w:rsidP="00C118CC" w14:paraId="0A4635A9" w14:textId="77777777">
            <w:pPr>
              <w:keepNext/>
              <w:keepLines/>
              <w:jc w:val="center"/>
              <w:rPr>
                <w:bCs/>
                <w:color w:val="000000"/>
                <w:sz w:val="20"/>
                <w:szCs w:val="20"/>
                <w:u w:val="single"/>
              </w:rPr>
            </w:pPr>
            <w:r w:rsidRPr="00C118CC">
              <w:rPr>
                <w:bCs/>
                <w:color w:val="000000"/>
                <w:sz w:val="20"/>
                <w:szCs w:val="20"/>
                <w:u w:val="single"/>
              </w:rPr>
              <w:t>Reponses per Respondent</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565166" w:rsidRPr="00C118CC" w:rsidP="00C118CC" w14:paraId="0A4635AA" w14:textId="77777777">
            <w:pPr>
              <w:keepNext/>
              <w:keepLines/>
              <w:jc w:val="center"/>
              <w:rPr>
                <w:bCs/>
                <w:color w:val="000000"/>
                <w:sz w:val="20"/>
                <w:szCs w:val="20"/>
                <w:u w:val="single"/>
              </w:rPr>
            </w:pPr>
            <w:r w:rsidRPr="00C118CC">
              <w:rPr>
                <w:bCs/>
                <w:color w:val="000000"/>
                <w:sz w:val="20"/>
                <w:szCs w:val="20"/>
                <w:u w:val="single"/>
              </w:rPr>
              <w:t>Annual Responses</w:t>
            </w:r>
          </w:p>
        </w:tc>
        <w:tc>
          <w:tcPr>
            <w:tcW w:w="1050" w:type="dxa"/>
            <w:tcBorders>
              <w:top w:val="single" w:sz="4" w:space="0" w:color="auto"/>
              <w:left w:val="nil"/>
              <w:bottom w:val="single" w:sz="4" w:space="0" w:color="auto"/>
              <w:right w:val="single" w:sz="4" w:space="0" w:color="auto"/>
            </w:tcBorders>
            <w:shd w:val="clear" w:color="auto" w:fill="auto"/>
            <w:vAlign w:val="bottom"/>
            <w:hideMark/>
          </w:tcPr>
          <w:p w:rsidR="00565166" w:rsidRPr="00C118CC" w:rsidP="00C118CC" w14:paraId="0A4635AB" w14:textId="77777777">
            <w:pPr>
              <w:keepNext/>
              <w:keepLines/>
              <w:jc w:val="center"/>
              <w:rPr>
                <w:bCs/>
                <w:color w:val="000000"/>
                <w:sz w:val="20"/>
                <w:szCs w:val="20"/>
                <w:u w:val="single"/>
              </w:rPr>
            </w:pPr>
            <w:r w:rsidRPr="00C118CC">
              <w:rPr>
                <w:bCs/>
                <w:color w:val="000000"/>
                <w:sz w:val="20"/>
                <w:szCs w:val="20"/>
                <w:u w:val="single"/>
              </w:rPr>
              <w:t>Hours per Response</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565166" w:rsidRPr="00C118CC" w:rsidP="00C118CC" w14:paraId="0A4635AC" w14:textId="77777777">
            <w:pPr>
              <w:keepNext/>
              <w:keepLines/>
              <w:jc w:val="center"/>
              <w:rPr>
                <w:bCs/>
                <w:color w:val="000000"/>
                <w:sz w:val="20"/>
                <w:szCs w:val="20"/>
                <w:u w:val="single"/>
              </w:rPr>
            </w:pPr>
            <w:r w:rsidRPr="00C118CC">
              <w:rPr>
                <w:bCs/>
                <w:color w:val="000000"/>
                <w:sz w:val="20"/>
                <w:szCs w:val="20"/>
                <w:u w:val="single"/>
              </w:rPr>
              <w:t>Annual Burden Hours</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565166" w:rsidRPr="00C118CC" w:rsidP="00C118CC" w14:paraId="0A4635AD" w14:textId="77777777">
            <w:pPr>
              <w:keepNext/>
              <w:keepLines/>
              <w:jc w:val="center"/>
              <w:rPr>
                <w:bCs/>
                <w:color w:val="000000"/>
                <w:sz w:val="20"/>
                <w:szCs w:val="20"/>
                <w:u w:val="single"/>
              </w:rPr>
            </w:pPr>
            <w:r w:rsidRPr="00C118CC">
              <w:rPr>
                <w:bCs/>
                <w:color w:val="000000"/>
                <w:sz w:val="20"/>
                <w:szCs w:val="20"/>
                <w:u w:val="single"/>
              </w:rPr>
              <w:t>Salary Cost per Hour</w:t>
            </w:r>
          </w:p>
        </w:tc>
        <w:tc>
          <w:tcPr>
            <w:tcW w:w="1030" w:type="dxa"/>
            <w:tcBorders>
              <w:top w:val="single" w:sz="4" w:space="0" w:color="auto"/>
              <w:left w:val="nil"/>
              <w:bottom w:val="single" w:sz="4" w:space="0" w:color="auto"/>
              <w:right w:val="single" w:sz="4" w:space="0" w:color="auto"/>
            </w:tcBorders>
            <w:shd w:val="clear" w:color="auto" w:fill="auto"/>
            <w:vAlign w:val="bottom"/>
            <w:hideMark/>
          </w:tcPr>
          <w:p w:rsidR="00565166" w:rsidRPr="00C118CC" w:rsidP="00C118CC" w14:paraId="0A4635AE" w14:textId="77777777">
            <w:pPr>
              <w:keepNext/>
              <w:keepLines/>
              <w:jc w:val="center"/>
              <w:rPr>
                <w:bCs/>
                <w:color w:val="000000"/>
                <w:sz w:val="20"/>
                <w:szCs w:val="20"/>
                <w:u w:val="single"/>
              </w:rPr>
            </w:pPr>
            <w:r w:rsidRPr="00C118CC">
              <w:rPr>
                <w:bCs/>
                <w:color w:val="000000"/>
                <w:sz w:val="20"/>
                <w:szCs w:val="20"/>
                <w:u w:val="single"/>
              </w:rPr>
              <w:t>Total Salary Cost</w:t>
            </w:r>
          </w:p>
        </w:tc>
        <w:tc>
          <w:tcPr>
            <w:tcW w:w="846" w:type="dxa"/>
            <w:tcBorders>
              <w:top w:val="single" w:sz="4" w:space="0" w:color="auto"/>
              <w:left w:val="nil"/>
              <w:bottom w:val="single" w:sz="4" w:space="0" w:color="auto"/>
              <w:right w:val="single" w:sz="4" w:space="0" w:color="auto"/>
            </w:tcBorders>
            <w:shd w:val="clear" w:color="auto" w:fill="auto"/>
            <w:vAlign w:val="bottom"/>
            <w:hideMark/>
          </w:tcPr>
          <w:p w:rsidR="00565166" w:rsidRPr="00C118CC" w:rsidP="00C118CC" w14:paraId="0A4635AF" w14:textId="77777777">
            <w:pPr>
              <w:keepNext/>
              <w:keepLines/>
              <w:jc w:val="center"/>
              <w:rPr>
                <w:bCs/>
                <w:color w:val="000000"/>
                <w:sz w:val="20"/>
                <w:szCs w:val="20"/>
                <w:u w:val="single"/>
              </w:rPr>
            </w:pPr>
            <w:r w:rsidRPr="00C118CC">
              <w:rPr>
                <w:bCs/>
                <w:color w:val="000000"/>
                <w:sz w:val="20"/>
                <w:szCs w:val="20"/>
                <w:u w:val="single"/>
              </w:rPr>
              <w:t>Annual Burden Cost</w:t>
            </w:r>
          </w:p>
        </w:tc>
      </w:tr>
      <w:tr w14:paraId="0A4635BB" w14:textId="77777777" w:rsidTr="00EE70E9">
        <w:tblPrEx>
          <w:tblW w:w="10561" w:type="dxa"/>
          <w:jc w:val="center"/>
          <w:tblLayout w:type="fixed"/>
          <w:tblLook w:val="04A0"/>
        </w:tblPrEx>
        <w:trPr>
          <w:trHeight w:val="264"/>
          <w:jc w:val="center"/>
        </w:trPr>
        <w:tc>
          <w:tcPr>
            <w:tcW w:w="1350" w:type="dxa"/>
            <w:tcBorders>
              <w:top w:val="nil"/>
              <w:left w:val="single" w:sz="4" w:space="0" w:color="auto"/>
              <w:bottom w:val="single" w:sz="4" w:space="0" w:color="auto"/>
              <w:right w:val="single" w:sz="4" w:space="0" w:color="auto"/>
            </w:tcBorders>
            <w:shd w:val="clear" w:color="auto" w:fill="auto"/>
            <w:vAlign w:val="bottom"/>
            <w:hideMark/>
          </w:tcPr>
          <w:p w:rsidR="00565166" w:rsidRPr="00565166" w:rsidP="00C118CC" w14:paraId="0A4635B1" w14:textId="77777777">
            <w:pPr>
              <w:keepNext/>
              <w:keepLines/>
              <w:rPr>
                <w:color w:val="000000"/>
                <w:sz w:val="20"/>
                <w:szCs w:val="20"/>
              </w:rPr>
            </w:pPr>
            <w:r w:rsidRPr="00565166">
              <w:rPr>
                <w:color w:val="000000"/>
                <w:sz w:val="20"/>
                <w:szCs w:val="20"/>
              </w:rPr>
              <w:t>Paper Submission</w:t>
            </w:r>
          </w:p>
        </w:tc>
        <w:tc>
          <w:tcPr>
            <w:tcW w:w="1125" w:type="dxa"/>
            <w:tcBorders>
              <w:top w:val="nil"/>
              <w:left w:val="nil"/>
              <w:bottom w:val="single" w:sz="4" w:space="0" w:color="auto"/>
              <w:right w:val="single" w:sz="4" w:space="0" w:color="auto"/>
            </w:tcBorders>
            <w:shd w:val="clear" w:color="auto" w:fill="auto"/>
            <w:noWrap/>
            <w:vAlign w:val="bottom"/>
            <w:hideMark/>
          </w:tcPr>
          <w:p w:rsidR="00565166" w:rsidRPr="00565166" w:rsidP="00C118CC" w14:paraId="0A4635B2" w14:textId="77777777">
            <w:pPr>
              <w:keepNext/>
              <w:keepLines/>
              <w:rPr>
                <w:color w:val="000000"/>
                <w:sz w:val="20"/>
                <w:szCs w:val="20"/>
              </w:rPr>
            </w:pPr>
            <w:r w:rsidRPr="00565166">
              <w:rPr>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bottom"/>
            <w:hideMark/>
          </w:tcPr>
          <w:p w:rsidR="00565166" w:rsidRPr="00565166" w:rsidP="00C118CC" w14:paraId="0A4635B3" w14:textId="4FB2D4BD">
            <w:pPr>
              <w:keepNext/>
              <w:keepLines/>
              <w:jc w:val="right"/>
              <w:rPr>
                <w:color w:val="000000"/>
                <w:sz w:val="20"/>
                <w:szCs w:val="20"/>
              </w:rPr>
            </w:pPr>
            <w:r>
              <w:rPr>
                <w:color w:val="000000"/>
                <w:sz w:val="20"/>
                <w:szCs w:val="20"/>
              </w:rPr>
              <w:t>172</w:t>
            </w:r>
          </w:p>
        </w:tc>
        <w:tc>
          <w:tcPr>
            <w:tcW w:w="1185" w:type="dxa"/>
            <w:tcBorders>
              <w:top w:val="nil"/>
              <w:left w:val="nil"/>
              <w:bottom w:val="single" w:sz="4" w:space="0" w:color="auto"/>
              <w:right w:val="single" w:sz="4" w:space="0" w:color="auto"/>
            </w:tcBorders>
            <w:shd w:val="clear" w:color="auto" w:fill="auto"/>
            <w:noWrap/>
            <w:vAlign w:val="bottom"/>
            <w:hideMark/>
          </w:tcPr>
          <w:p w:rsidR="00565166" w:rsidRPr="00565166" w:rsidP="00C118CC" w14:paraId="0A4635B4" w14:textId="2FB18D12">
            <w:pPr>
              <w:keepNext/>
              <w:keepLines/>
              <w:jc w:val="right"/>
              <w:rPr>
                <w:color w:val="000000"/>
                <w:sz w:val="20"/>
                <w:szCs w:val="20"/>
              </w:rPr>
            </w:pPr>
            <w:r>
              <w:rPr>
                <w:color w:val="000000"/>
                <w:sz w:val="20"/>
                <w:szCs w:val="20"/>
              </w:rPr>
              <w:t>16.79</w:t>
            </w:r>
          </w:p>
        </w:tc>
        <w:tc>
          <w:tcPr>
            <w:tcW w:w="1110" w:type="dxa"/>
            <w:tcBorders>
              <w:top w:val="nil"/>
              <w:left w:val="nil"/>
              <w:bottom w:val="single" w:sz="4" w:space="0" w:color="auto"/>
              <w:right w:val="single" w:sz="4" w:space="0" w:color="auto"/>
            </w:tcBorders>
            <w:shd w:val="clear" w:color="auto" w:fill="auto"/>
            <w:noWrap/>
            <w:vAlign w:val="bottom"/>
            <w:hideMark/>
          </w:tcPr>
          <w:p w:rsidR="00565166" w:rsidRPr="00565166" w:rsidP="00C118CC" w14:paraId="0A4635B5" w14:textId="2D4966FF">
            <w:pPr>
              <w:keepNext/>
              <w:keepLines/>
              <w:jc w:val="right"/>
              <w:rPr>
                <w:color w:val="000000"/>
                <w:sz w:val="20"/>
                <w:szCs w:val="20"/>
              </w:rPr>
            </w:pPr>
            <w:r>
              <w:rPr>
                <w:color w:val="000000"/>
                <w:sz w:val="20"/>
                <w:szCs w:val="20"/>
              </w:rPr>
              <w:t>2,888</w:t>
            </w:r>
          </w:p>
        </w:tc>
        <w:tc>
          <w:tcPr>
            <w:tcW w:w="1050" w:type="dxa"/>
            <w:tcBorders>
              <w:top w:val="nil"/>
              <w:left w:val="nil"/>
              <w:bottom w:val="single" w:sz="4" w:space="0" w:color="auto"/>
              <w:right w:val="single" w:sz="4" w:space="0" w:color="auto"/>
            </w:tcBorders>
            <w:shd w:val="clear" w:color="auto" w:fill="auto"/>
            <w:noWrap/>
            <w:vAlign w:val="bottom"/>
            <w:hideMark/>
          </w:tcPr>
          <w:p w:rsidR="00565166" w:rsidRPr="00565166" w:rsidP="00C118CC" w14:paraId="0A4635B6" w14:textId="77777777">
            <w:pPr>
              <w:keepNext/>
              <w:keepLines/>
              <w:jc w:val="right"/>
              <w:rPr>
                <w:color w:val="000000"/>
                <w:sz w:val="20"/>
                <w:szCs w:val="20"/>
              </w:rPr>
            </w:pPr>
            <w:r w:rsidRPr="00565166">
              <w:rPr>
                <w:color w:val="000000"/>
                <w:sz w:val="20"/>
                <w:szCs w:val="20"/>
              </w:rPr>
              <w:t>1.6</w:t>
            </w:r>
          </w:p>
        </w:tc>
        <w:tc>
          <w:tcPr>
            <w:tcW w:w="810" w:type="dxa"/>
            <w:tcBorders>
              <w:top w:val="nil"/>
              <w:left w:val="nil"/>
              <w:bottom w:val="single" w:sz="4" w:space="0" w:color="auto"/>
              <w:right w:val="single" w:sz="4" w:space="0" w:color="auto"/>
            </w:tcBorders>
            <w:shd w:val="clear" w:color="auto" w:fill="auto"/>
            <w:noWrap/>
            <w:vAlign w:val="bottom"/>
            <w:hideMark/>
          </w:tcPr>
          <w:p w:rsidR="00565166" w:rsidRPr="00565166" w:rsidP="00C118CC" w14:paraId="0A4635B7" w14:textId="09CD1BBB">
            <w:pPr>
              <w:keepNext/>
              <w:keepLines/>
              <w:jc w:val="right"/>
              <w:rPr>
                <w:color w:val="000000"/>
                <w:sz w:val="20"/>
                <w:szCs w:val="20"/>
              </w:rPr>
            </w:pPr>
            <w:r>
              <w:rPr>
                <w:color w:val="000000"/>
                <w:sz w:val="20"/>
                <w:szCs w:val="20"/>
              </w:rPr>
              <w:t>4,621</w:t>
            </w:r>
          </w:p>
        </w:tc>
        <w:tc>
          <w:tcPr>
            <w:tcW w:w="765" w:type="dxa"/>
            <w:tcBorders>
              <w:top w:val="nil"/>
              <w:left w:val="nil"/>
              <w:bottom w:val="single" w:sz="4" w:space="0" w:color="auto"/>
              <w:right w:val="single" w:sz="4" w:space="0" w:color="auto"/>
            </w:tcBorders>
            <w:shd w:val="clear" w:color="auto" w:fill="auto"/>
            <w:noWrap/>
            <w:vAlign w:val="bottom"/>
            <w:hideMark/>
          </w:tcPr>
          <w:p w:rsidR="00565166" w:rsidRPr="00565166" w:rsidP="00C118CC" w14:paraId="0A4635B8" w14:textId="4FAB28B9">
            <w:pPr>
              <w:keepNext/>
              <w:keepLines/>
              <w:jc w:val="right"/>
              <w:rPr>
                <w:color w:val="000000"/>
                <w:sz w:val="20"/>
                <w:szCs w:val="20"/>
              </w:rPr>
            </w:pPr>
            <w:r w:rsidRPr="00565166">
              <w:rPr>
                <w:color w:val="000000"/>
                <w:sz w:val="20"/>
                <w:szCs w:val="20"/>
              </w:rPr>
              <w:t>$</w:t>
            </w:r>
            <w:r w:rsidR="008C5EFD">
              <w:rPr>
                <w:color w:val="000000"/>
                <w:sz w:val="20"/>
                <w:szCs w:val="20"/>
              </w:rPr>
              <w:t>30.61</w:t>
            </w:r>
          </w:p>
        </w:tc>
        <w:tc>
          <w:tcPr>
            <w:tcW w:w="1030" w:type="dxa"/>
            <w:tcBorders>
              <w:top w:val="nil"/>
              <w:left w:val="nil"/>
              <w:bottom w:val="single" w:sz="4" w:space="0" w:color="auto"/>
              <w:right w:val="single" w:sz="4" w:space="0" w:color="auto"/>
            </w:tcBorders>
            <w:shd w:val="clear" w:color="auto" w:fill="auto"/>
            <w:noWrap/>
            <w:vAlign w:val="bottom"/>
            <w:hideMark/>
          </w:tcPr>
          <w:p w:rsidR="00565166" w:rsidRPr="00565166" w:rsidP="00C118CC" w14:paraId="0A4635B9" w14:textId="74460EE8">
            <w:pPr>
              <w:keepNext/>
              <w:keepLines/>
              <w:jc w:val="right"/>
              <w:rPr>
                <w:color w:val="000000"/>
                <w:sz w:val="20"/>
                <w:szCs w:val="20"/>
              </w:rPr>
            </w:pPr>
            <w:r w:rsidRPr="00565166">
              <w:rPr>
                <w:color w:val="000000"/>
                <w:sz w:val="20"/>
                <w:szCs w:val="20"/>
              </w:rPr>
              <w:t>$</w:t>
            </w:r>
            <w:r w:rsidR="00B635BB">
              <w:rPr>
                <w:color w:val="000000"/>
                <w:sz w:val="20"/>
                <w:szCs w:val="20"/>
              </w:rPr>
              <w:t>141,442</w:t>
            </w:r>
          </w:p>
        </w:tc>
        <w:tc>
          <w:tcPr>
            <w:tcW w:w="846" w:type="dxa"/>
            <w:tcBorders>
              <w:top w:val="nil"/>
              <w:left w:val="nil"/>
              <w:bottom w:val="single" w:sz="4" w:space="0" w:color="auto"/>
              <w:right w:val="single" w:sz="4" w:space="0" w:color="auto"/>
            </w:tcBorders>
            <w:shd w:val="clear" w:color="auto" w:fill="auto"/>
            <w:noWrap/>
            <w:vAlign w:val="bottom"/>
            <w:hideMark/>
          </w:tcPr>
          <w:p w:rsidR="00565166" w:rsidRPr="00565166" w:rsidP="00C118CC" w14:paraId="0A4635BA" w14:textId="77777777">
            <w:pPr>
              <w:keepNext/>
              <w:keepLines/>
              <w:jc w:val="right"/>
              <w:rPr>
                <w:color w:val="000000"/>
                <w:sz w:val="20"/>
                <w:szCs w:val="20"/>
              </w:rPr>
            </w:pPr>
            <w:r w:rsidRPr="00565166">
              <w:rPr>
                <w:color w:val="000000"/>
                <w:sz w:val="20"/>
                <w:szCs w:val="20"/>
              </w:rPr>
              <w:t>$0</w:t>
            </w:r>
          </w:p>
        </w:tc>
      </w:tr>
      <w:tr w14:paraId="0A4635C6" w14:textId="77777777" w:rsidTr="00EE70E9">
        <w:tblPrEx>
          <w:tblW w:w="10561" w:type="dxa"/>
          <w:jc w:val="center"/>
          <w:tblLayout w:type="fixed"/>
          <w:tblLook w:val="04A0"/>
        </w:tblPrEx>
        <w:trPr>
          <w:trHeight w:val="264"/>
          <w:jc w:val="center"/>
        </w:trPr>
        <w:tc>
          <w:tcPr>
            <w:tcW w:w="1350" w:type="dxa"/>
            <w:tcBorders>
              <w:top w:val="nil"/>
              <w:left w:val="single" w:sz="4" w:space="0" w:color="auto"/>
              <w:bottom w:val="single" w:sz="4" w:space="0" w:color="auto"/>
              <w:right w:val="single" w:sz="4" w:space="0" w:color="auto"/>
            </w:tcBorders>
            <w:shd w:val="clear" w:color="auto" w:fill="auto"/>
            <w:vAlign w:val="bottom"/>
            <w:hideMark/>
          </w:tcPr>
          <w:p w:rsidR="00565166" w:rsidRPr="00565166" w:rsidP="00C118CC" w14:paraId="0A4635BC" w14:textId="77777777">
            <w:pPr>
              <w:keepNext/>
              <w:keepLines/>
              <w:rPr>
                <w:color w:val="000000"/>
                <w:sz w:val="20"/>
                <w:szCs w:val="20"/>
              </w:rPr>
            </w:pPr>
            <w:r w:rsidRPr="00565166">
              <w:rPr>
                <w:color w:val="000000"/>
                <w:sz w:val="20"/>
                <w:szCs w:val="20"/>
              </w:rPr>
              <w:t>Electronic Submission</w:t>
            </w:r>
          </w:p>
        </w:tc>
        <w:tc>
          <w:tcPr>
            <w:tcW w:w="1125" w:type="dxa"/>
            <w:tcBorders>
              <w:top w:val="nil"/>
              <w:left w:val="nil"/>
              <w:bottom w:val="single" w:sz="4" w:space="0" w:color="auto"/>
              <w:right w:val="single" w:sz="4" w:space="0" w:color="auto"/>
            </w:tcBorders>
            <w:shd w:val="clear" w:color="auto" w:fill="auto"/>
            <w:noWrap/>
            <w:vAlign w:val="bottom"/>
            <w:hideMark/>
          </w:tcPr>
          <w:p w:rsidR="00565166" w:rsidRPr="00565166" w:rsidP="00C118CC" w14:paraId="0A4635BD" w14:textId="77777777">
            <w:pPr>
              <w:keepNext/>
              <w:keepLines/>
              <w:rPr>
                <w:color w:val="000000"/>
                <w:sz w:val="20"/>
                <w:szCs w:val="20"/>
              </w:rPr>
            </w:pPr>
            <w:r w:rsidRPr="00565166">
              <w:rPr>
                <w:color w:val="000000"/>
                <w:sz w:val="20"/>
                <w:szCs w:val="20"/>
              </w:rPr>
              <w:t> </w:t>
            </w:r>
          </w:p>
        </w:tc>
        <w:tc>
          <w:tcPr>
            <w:tcW w:w="1290" w:type="dxa"/>
            <w:tcBorders>
              <w:top w:val="nil"/>
              <w:left w:val="nil"/>
              <w:bottom w:val="single" w:sz="4" w:space="0" w:color="auto"/>
              <w:right w:val="single" w:sz="4" w:space="0" w:color="auto"/>
            </w:tcBorders>
            <w:shd w:val="clear" w:color="auto" w:fill="auto"/>
            <w:noWrap/>
            <w:vAlign w:val="bottom"/>
            <w:hideMark/>
          </w:tcPr>
          <w:p w:rsidR="00565166" w:rsidRPr="00565166" w:rsidP="00C118CC" w14:paraId="0A4635BE" w14:textId="450B9F14">
            <w:pPr>
              <w:keepNext/>
              <w:keepLines/>
              <w:jc w:val="right"/>
              <w:rPr>
                <w:color w:val="000000"/>
                <w:sz w:val="20"/>
                <w:szCs w:val="20"/>
              </w:rPr>
            </w:pPr>
            <w:r>
              <w:rPr>
                <w:color w:val="000000"/>
                <w:sz w:val="20"/>
                <w:szCs w:val="20"/>
              </w:rPr>
              <w:t>166</w:t>
            </w:r>
          </w:p>
        </w:tc>
        <w:tc>
          <w:tcPr>
            <w:tcW w:w="1185" w:type="dxa"/>
            <w:tcBorders>
              <w:top w:val="nil"/>
              <w:left w:val="nil"/>
              <w:bottom w:val="single" w:sz="4" w:space="0" w:color="auto"/>
              <w:right w:val="single" w:sz="4" w:space="0" w:color="auto"/>
            </w:tcBorders>
            <w:shd w:val="clear" w:color="auto" w:fill="auto"/>
            <w:noWrap/>
            <w:vAlign w:val="bottom"/>
            <w:hideMark/>
          </w:tcPr>
          <w:p w:rsidR="00565166" w:rsidRPr="00565166" w:rsidP="00C118CC" w14:paraId="0A4635BF" w14:textId="32715C63">
            <w:pPr>
              <w:keepNext/>
              <w:keepLines/>
              <w:jc w:val="right"/>
              <w:rPr>
                <w:color w:val="000000"/>
                <w:sz w:val="20"/>
                <w:szCs w:val="20"/>
              </w:rPr>
            </w:pPr>
            <w:r>
              <w:rPr>
                <w:color w:val="000000"/>
                <w:sz w:val="20"/>
                <w:szCs w:val="20"/>
              </w:rPr>
              <w:t>118.79</w:t>
            </w:r>
          </w:p>
        </w:tc>
        <w:tc>
          <w:tcPr>
            <w:tcW w:w="1110" w:type="dxa"/>
            <w:tcBorders>
              <w:top w:val="nil"/>
              <w:left w:val="nil"/>
              <w:bottom w:val="single" w:sz="4" w:space="0" w:color="auto"/>
              <w:right w:val="single" w:sz="4" w:space="0" w:color="auto"/>
            </w:tcBorders>
            <w:shd w:val="clear" w:color="auto" w:fill="auto"/>
            <w:noWrap/>
            <w:vAlign w:val="bottom"/>
            <w:hideMark/>
          </w:tcPr>
          <w:p w:rsidR="00565166" w:rsidRPr="00565166" w:rsidP="00C118CC" w14:paraId="0A4635C0" w14:textId="068E722A">
            <w:pPr>
              <w:keepNext/>
              <w:keepLines/>
              <w:jc w:val="right"/>
              <w:rPr>
                <w:color w:val="000000"/>
                <w:sz w:val="20"/>
                <w:szCs w:val="20"/>
              </w:rPr>
            </w:pPr>
            <w:r>
              <w:rPr>
                <w:color w:val="000000"/>
                <w:sz w:val="20"/>
                <w:szCs w:val="20"/>
              </w:rPr>
              <w:t>19,720</w:t>
            </w:r>
          </w:p>
        </w:tc>
        <w:tc>
          <w:tcPr>
            <w:tcW w:w="1050" w:type="dxa"/>
            <w:tcBorders>
              <w:top w:val="nil"/>
              <w:left w:val="nil"/>
              <w:bottom w:val="single" w:sz="4" w:space="0" w:color="auto"/>
              <w:right w:val="single" w:sz="4" w:space="0" w:color="auto"/>
            </w:tcBorders>
            <w:shd w:val="clear" w:color="auto" w:fill="auto"/>
            <w:noWrap/>
            <w:vAlign w:val="bottom"/>
            <w:hideMark/>
          </w:tcPr>
          <w:p w:rsidR="00565166" w:rsidRPr="00565166" w:rsidP="00C118CC" w14:paraId="0A4635C1" w14:textId="77777777">
            <w:pPr>
              <w:keepNext/>
              <w:keepLines/>
              <w:jc w:val="right"/>
              <w:rPr>
                <w:color w:val="000000"/>
                <w:sz w:val="20"/>
                <w:szCs w:val="20"/>
              </w:rPr>
            </w:pPr>
            <w:r w:rsidRPr="00565166">
              <w:rPr>
                <w:color w:val="000000"/>
                <w:sz w:val="20"/>
                <w:szCs w:val="20"/>
              </w:rPr>
              <w:t>0.8</w:t>
            </w:r>
          </w:p>
        </w:tc>
        <w:tc>
          <w:tcPr>
            <w:tcW w:w="810" w:type="dxa"/>
            <w:tcBorders>
              <w:top w:val="nil"/>
              <w:left w:val="nil"/>
              <w:bottom w:val="single" w:sz="4" w:space="0" w:color="auto"/>
              <w:right w:val="single" w:sz="4" w:space="0" w:color="auto"/>
            </w:tcBorders>
            <w:shd w:val="clear" w:color="auto" w:fill="auto"/>
            <w:noWrap/>
            <w:vAlign w:val="bottom"/>
            <w:hideMark/>
          </w:tcPr>
          <w:p w:rsidR="00565166" w:rsidRPr="00565166" w:rsidP="00C118CC" w14:paraId="0A4635C2" w14:textId="3E5DFDDC">
            <w:pPr>
              <w:keepNext/>
              <w:keepLines/>
              <w:jc w:val="right"/>
              <w:rPr>
                <w:color w:val="000000"/>
                <w:sz w:val="20"/>
                <w:szCs w:val="20"/>
              </w:rPr>
            </w:pPr>
            <w:r>
              <w:rPr>
                <w:color w:val="000000"/>
                <w:sz w:val="20"/>
                <w:szCs w:val="20"/>
              </w:rPr>
              <w:t>15,776</w:t>
            </w:r>
          </w:p>
        </w:tc>
        <w:tc>
          <w:tcPr>
            <w:tcW w:w="765" w:type="dxa"/>
            <w:tcBorders>
              <w:top w:val="nil"/>
              <w:left w:val="nil"/>
              <w:bottom w:val="single" w:sz="4" w:space="0" w:color="auto"/>
              <w:right w:val="single" w:sz="4" w:space="0" w:color="auto"/>
            </w:tcBorders>
            <w:shd w:val="clear" w:color="auto" w:fill="auto"/>
            <w:noWrap/>
            <w:vAlign w:val="bottom"/>
            <w:hideMark/>
          </w:tcPr>
          <w:p w:rsidR="00565166" w:rsidRPr="00565166" w:rsidP="00C118CC" w14:paraId="0A4635C3" w14:textId="3EB6C1FB">
            <w:pPr>
              <w:keepNext/>
              <w:keepLines/>
              <w:jc w:val="right"/>
              <w:rPr>
                <w:color w:val="000000"/>
                <w:sz w:val="20"/>
                <w:szCs w:val="20"/>
              </w:rPr>
            </w:pPr>
            <w:r w:rsidRPr="00565166">
              <w:rPr>
                <w:color w:val="000000"/>
                <w:sz w:val="20"/>
                <w:szCs w:val="20"/>
              </w:rPr>
              <w:t>$</w:t>
            </w:r>
            <w:r w:rsidR="008C5EFD">
              <w:rPr>
                <w:color w:val="000000"/>
                <w:sz w:val="20"/>
                <w:szCs w:val="20"/>
              </w:rPr>
              <w:t>30.61</w:t>
            </w:r>
          </w:p>
        </w:tc>
        <w:tc>
          <w:tcPr>
            <w:tcW w:w="1030" w:type="dxa"/>
            <w:tcBorders>
              <w:top w:val="nil"/>
              <w:left w:val="nil"/>
              <w:bottom w:val="single" w:sz="4" w:space="0" w:color="auto"/>
              <w:right w:val="single" w:sz="4" w:space="0" w:color="auto"/>
            </w:tcBorders>
            <w:shd w:val="clear" w:color="auto" w:fill="auto"/>
            <w:noWrap/>
            <w:vAlign w:val="bottom"/>
            <w:hideMark/>
          </w:tcPr>
          <w:p w:rsidR="00565166" w:rsidRPr="00565166" w:rsidP="00C118CC" w14:paraId="0A4635C4" w14:textId="043CA303">
            <w:pPr>
              <w:keepNext/>
              <w:keepLines/>
              <w:jc w:val="right"/>
              <w:rPr>
                <w:color w:val="000000"/>
                <w:sz w:val="20"/>
                <w:szCs w:val="20"/>
              </w:rPr>
            </w:pPr>
            <w:r w:rsidRPr="00565166">
              <w:rPr>
                <w:color w:val="000000"/>
                <w:sz w:val="20"/>
                <w:szCs w:val="20"/>
              </w:rPr>
              <w:t>$</w:t>
            </w:r>
            <w:r w:rsidR="00B635BB">
              <w:rPr>
                <w:color w:val="000000"/>
                <w:sz w:val="20"/>
                <w:szCs w:val="20"/>
              </w:rPr>
              <w:t>482,903</w:t>
            </w:r>
          </w:p>
        </w:tc>
        <w:tc>
          <w:tcPr>
            <w:tcW w:w="846" w:type="dxa"/>
            <w:tcBorders>
              <w:top w:val="nil"/>
              <w:left w:val="nil"/>
              <w:bottom w:val="single" w:sz="4" w:space="0" w:color="auto"/>
              <w:right w:val="single" w:sz="4" w:space="0" w:color="auto"/>
            </w:tcBorders>
            <w:shd w:val="clear" w:color="auto" w:fill="auto"/>
            <w:noWrap/>
            <w:vAlign w:val="bottom"/>
            <w:hideMark/>
          </w:tcPr>
          <w:p w:rsidR="00565166" w:rsidRPr="00565166" w:rsidP="00C118CC" w14:paraId="0A4635C5" w14:textId="77777777">
            <w:pPr>
              <w:keepNext/>
              <w:keepLines/>
              <w:jc w:val="right"/>
              <w:rPr>
                <w:color w:val="000000"/>
                <w:sz w:val="20"/>
                <w:szCs w:val="20"/>
              </w:rPr>
            </w:pPr>
            <w:r w:rsidRPr="00565166">
              <w:rPr>
                <w:color w:val="000000"/>
                <w:sz w:val="20"/>
                <w:szCs w:val="20"/>
              </w:rPr>
              <w:t>$0</w:t>
            </w:r>
          </w:p>
        </w:tc>
      </w:tr>
      <w:tr w14:paraId="0A4635D1" w14:textId="77777777" w:rsidTr="00EE70E9">
        <w:tblPrEx>
          <w:tblW w:w="10561" w:type="dxa"/>
          <w:jc w:val="center"/>
          <w:tblLayout w:type="fixed"/>
          <w:tblLook w:val="04A0"/>
        </w:tblPrEx>
        <w:trPr>
          <w:trHeight w:val="264"/>
          <w:jc w:val="center"/>
        </w:trPr>
        <w:tc>
          <w:tcPr>
            <w:tcW w:w="1350" w:type="dxa"/>
            <w:tcBorders>
              <w:top w:val="nil"/>
              <w:left w:val="single" w:sz="4" w:space="0" w:color="auto"/>
              <w:bottom w:val="single" w:sz="4" w:space="0" w:color="auto"/>
              <w:right w:val="single" w:sz="4" w:space="0" w:color="auto"/>
            </w:tcBorders>
            <w:shd w:val="clear" w:color="auto" w:fill="auto"/>
            <w:vAlign w:val="bottom"/>
            <w:hideMark/>
          </w:tcPr>
          <w:p w:rsidR="00565166" w:rsidRPr="002430BE" w:rsidP="00C118CC" w14:paraId="0A4635C7" w14:textId="77777777">
            <w:pPr>
              <w:keepNext/>
              <w:keepLines/>
              <w:rPr>
                <w:b/>
                <w:bCs/>
                <w:color w:val="000000"/>
                <w:sz w:val="20"/>
                <w:szCs w:val="20"/>
              </w:rPr>
            </w:pPr>
            <w:r w:rsidRPr="002430BE">
              <w:rPr>
                <w:b/>
                <w:bCs/>
                <w:color w:val="000000"/>
                <w:sz w:val="20"/>
                <w:szCs w:val="20"/>
              </w:rPr>
              <w:t>Incident Reports</w:t>
            </w:r>
          </w:p>
        </w:tc>
        <w:tc>
          <w:tcPr>
            <w:tcW w:w="1125" w:type="dxa"/>
            <w:tcBorders>
              <w:top w:val="nil"/>
              <w:left w:val="nil"/>
              <w:bottom w:val="single" w:sz="4" w:space="0" w:color="auto"/>
              <w:right w:val="single" w:sz="4" w:space="0" w:color="auto"/>
            </w:tcBorders>
            <w:shd w:val="clear" w:color="auto" w:fill="auto"/>
            <w:noWrap/>
            <w:vAlign w:val="bottom"/>
            <w:hideMark/>
          </w:tcPr>
          <w:p w:rsidR="00565166" w:rsidRPr="00C118CC" w:rsidP="00C118CC" w14:paraId="0A4635C8" w14:textId="77777777">
            <w:pPr>
              <w:keepNext/>
              <w:keepLines/>
              <w:jc w:val="center"/>
              <w:rPr>
                <w:b/>
                <w:color w:val="000000"/>
                <w:sz w:val="20"/>
                <w:szCs w:val="20"/>
              </w:rPr>
            </w:pPr>
            <w:r w:rsidRPr="00C118CC">
              <w:rPr>
                <w:b/>
                <w:color w:val="000000"/>
                <w:sz w:val="20"/>
                <w:szCs w:val="20"/>
              </w:rPr>
              <w:t>§ 171.16</w:t>
            </w:r>
          </w:p>
        </w:tc>
        <w:tc>
          <w:tcPr>
            <w:tcW w:w="1290" w:type="dxa"/>
            <w:tcBorders>
              <w:top w:val="nil"/>
              <w:left w:val="nil"/>
              <w:bottom w:val="single" w:sz="4" w:space="0" w:color="auto"/>
              <w:right w:val="single" w:sz="4" w:space="0" w:color="auto"/>
            </w:tcBorders>
            <w:shd w:val="clear" w:color="auto" w:fill="auto"/>
            <w:noWrap/>
            <w:vAlign w:val="bottom"/>
            <w:hideMark/>
          </w:tcPr>
          <w:p w:rsidR="00565166" w:rsidRPr="00C118CC" w:rsidP="00C118CC" w14:paraId="0A4635C9" w14:textId="59E10C7F">
            <w:pPr>
              <w:keepNext/>
              <w:keepLines/>
              <w:jc w:val="right"/>
              <w:rPr>
                <w:b/>
                <w:color w:val="000000"/>
                <w:sz w:val="20"/>
                <w:szCs w:val="20"/>
              </w:rPr>
            </w:pPr>
            <w:r>
              <w:rPr>
                <w:b/>
                <w:color w:val="000000"/>
                <w:sz w:val="20"/>
                <w:szCs w:val="20"/>
              </w:rPr>
              <w:t>338</w:t>
            </w:r>
          </w:p>
        </w:tc>
        <w:tc>
          <w:tcPr>
            <w:tcW w:w="1185" w:type="dxa"/>
            <w:tcBorders>
              <w:top w:val="nil"/>
              <w:left w:val="nil"/>
              <w:bottom w:val="single" w:sz="4" w:space="0" w:color="auto"/>
              <w:right w:val="single" w:sz="4" w:space="0" w:color="auto"/>
            </w:tcBorders>
            <w:shd w:val="clear" w:color="auto" w:fill="auto"/>
            <w:noWrap/>
            <w:vAlign w:val="bottom"/>
            <w:hideMark/>
          </w:tcPr>
          <w:p w:rsidR="00565166" w:rsidRPr="00C118CC" w:rsidP="18F7C5E9" w14:paraId="0A4635CA" w14:textId="4A0D01E7">
            <w:pPr>
              <w:keepNext/>
              <w:keepLines/>
              <w:jc w:val="right"/>
              <w:rPr>
                <w:b/>
                <w:bCs/>
                <w:color w:val="000000"/>
                <w:sz w:val="20"/>
                <w:szCs w:val="20"/>
              </w:rPr>
            </w:pPr>
            <w:r>
              <w:rPr>
                <w:b/>
                <w:bCs/>
                <w:color w:val="000000" w:themeColor="text1"/>
                <w:sz w:val="20"/>
                <w:szCs w:val="20"/>
              </w:rPr>
              <w:t>66.88</w:t>
            </w:r>
            <w:r w:rsidRPr="18F7C5E9" w:rsidR="7C791271">
              <w:rPr>
                <w:b/>
                <w:bCs/>
                <w:color w:val="000000" w:themeColor="text1"/>
                <w:sz w:val="20"/>
                <w:szCs w:val="20"/>
              </w:rPr>
              <w:t> </w:t>
            </w:r>
          </w:p>
        </w:tc>
        <w:tc>
          <w:tcPr>
            <w:tcW w:w="1110" w:type="dxa"/>
            <w:tcBorders>
              <w:top w:val="nil"/>
              <w:left w:val="nil"/>
              <w:bottom w:val="single" w:sz="4" w:space="0" w:color="auto"/>
              <w:right w:val="single" w:sz="4" w:space="0" w:color="auto"/>
            </w:tcBorders>
            <w:shd w:val="clear" w:color="auto" w:fill="auto"/>
            <w:noWrap/>
            <w:vAlign w:val="bottom"/>
            <w:hideMark/>
          </w:tcPr>
          <w:p w:rsidR="00565166" w:rsidRPr="00C118CC" w:rsidP="00C118CC" w14:paraId="0A4635CB" w14:textId="0AC93E5B">
            <w:pPr>
              <w:keepNext/>
              <w:keepLines/>
              <w:jc w:val="right"/>
              <w:rPr>
                <w:b/>
                <w:color w:val="000000"/>
                <w:sz w:val="20"/>
                <w:szCs w:val="20"/>
              </w:rPr>
            </w:pPr>
            <w:r>
              <w:rPr>
                <w:b/>
                <w:color w:val="000000"/>
                <w:sz w:val="20"/>
                <w:szCs w:val="20"/>
              </w:rPr>
              <w:t>22,608</w:t>
            </w:r>
          </w:p>
        </w:tc>
        <w:tc>
          <w:tcPr>
            <w:tcW w:w="1050" w:type="dxa"/>
            <w:tcBorders>
              <w:top w:val="nil"/>
              <w:left w:val="nil"/>
              <w:bottom w:val="single" w:sz="4" w:space="0" w:color="auto"/>
              <w:right w:val="single" w:sz="4" w:space="0" w:color="auto"/>
            </w:tcBorders>
            <w:shd w:val="clear" w:color="auto" w:fill="auto"/>
            <w:noWrap/>
            <w:vAlign w:val="bottom"/>
            <w:hideMark/>
          </w:tcPr>
          <w:p w:rsidR="00565166" w:rsidRPr="00C118CC" w:rsidP="00C118CC" w14:paraId="0A4635CC" w14:textId="77777777">
            <w:pPr>
              <w:keepNext/>
              <w:keepLines/>
              <w:jc w:val="right"/>
              <w:rPr>
                <w:b/>
                <w:color w:val="000000"/>
                <w:sz w:val="20"/>
                <w:szCs w:val="20"/>
              </w:rPr>
            </w:pPr>
            <w:r w:rsidRPr="00C118CC">
              <w:rPr>
                <w:b/>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rsidR="00565166" w:rsidRPr="00C118CC" w:rsidP="00C118CC" w14:paraId="0A4635CD" w14:textId="2F3F0B05">
            <w:pPr>
              <w:keepNext/>
              <w:keepLines/>
              <w:jc w:val="right"/>
              <w:rPr>
                <w:b/>
                <w:color w:val="000000"/>
                <w:sz w:val="20"/>
                <w:szCs w:val="20"/>
              </w:rPr>
            </w:pPr>
            <w:r>
              <w:rPr>
                <w:b/>
                <w:color w:val="000000"/>
                <w:sz w:val="20"/>
                <w:szCs w:val="20"/>
              </w:rPr>
              <w:t>20,397</w:t>
            </w:r>
          </w:p>
        </w:tc>
        <w:tc>
          <w:tcPr>
            <w:tcW w:w="765" w:type="dxa"/>
            <w:tcBorders>
              <w:top w:val="nil"/>
              <w:left w:val="nil"/>
              <w:bottom w:val="single" w:sz="4" w:space="0" w:color="auto"/>
              <w:right w:val="single" w:sz="4" w:space="0" w:color="auto"/>
            </w:tcBorders>
            <w:shd w:val="clear" w:color="auto" w:fill="auto"/>
            <w:noWrap/>
            <w:vAlign w:val="bottom"/>
            <w:hideMark/>
          </w:tcPr>
          <w:p w:rsidR="00565166" w:rsidRPr="00C118CC" w:rsidP="00C118CC" w14:paraId="0A4635CE" w14:textId="77777777">
            <w:pPr>
              <w:keepNext/>
              <w:keepLines/>
              <w:jc w:val="right"/>
              <w:rPr>
                <w:b/>
                <w:color w:val="000000"/>
                <w:sz w:val="20"/>
                <w:szCs w:val="20"/>
              </w:rPr>
            </w:pPr>
            <w:r w:rsidRPr="00C118CC">
              <w:rPr>
                <w:b/>
                <w:color w:val="000000"/>
                <w:sz w:val="20"/>
                <w:szCs w:val="20"/>
              </w:rPr>
              <w:t> </w:t>
            </w:r>
          </w:p>
        </w:tc>
        <w:tc>
          <w:tcPr>
            <w:tcW w:w="1030" w:type="dxa"/>
            <w:tcBorders>
              <w:top w:val="nil"/>
              <w:left w:val="nil"/>
              <w:bottom w:val="single" w:sz="4" w:space="0" w:color="auto"/>
              <w:right w:val="single" w:sz="4" w:space="0" w:color="auto"/>
            </w:tcBorders>
            <w:shd w:val="clear" w:color="auto" w:fill="auto"/>
            <w:noWrap/>
            <w:vAlign w:val="bottom"/>
            <w:hideMark/>
          </w:tcPr>
          <w:p w:rsidR="00565166" w:rsidRPr="00C118CC" w:rsidP="00C118CC" w14:paraId="0A4635CF" w14:textId="254661FD">
            <w:pPr>
              <w:keepNext/>
              <w:keepLines/>
              <w:jc w:val="right"/>
              <w:rPr>
                <w:b/>
                <w:color w:val="000000"/>
                <w:sz w:val="20"/>
                <w:szCs w:val="20"/>
              </w:rPr>
            </w:pPr>
            <w:r w:rsidRPr="00C118CC">
              <w:rPr>
                <w:b/>
                <w:color w:val="000000"/>
                <w:sz w:val="20"/>
                <w:szCs w:val="20"/>
              </w:rPr>
              <w:t>$</w:t>
            </w:r>
            <w:r w:rsidR="00B635BB">
              <w:rPr>
                <w:b/>
                <w:color w:val="000000"/>
                <w:sz w:val="20"/>
                <w:szCs w:val="20"/>
              </w:rPr>
              <w:t>624,346</w:t>
            </w:r>
          </w:p>
        </w:tc>
        <w:tc>
          <w:tcPr>
            <w:tcW w:w="846" w:type="dxa"/>
            <w:tcBorders>
              <w:top w:val="nil"/>
              <w:left w:val="nil"/>
              <w:bottom w:val="single" w:sz="4" w:space="0" w:color="auto"/>
              <w:right w:val="single" w:sz="4" w:space="0" w:color="auto"/>
            </w:tcBorders>
            <w:shd w:val="clear" w:color="auto" w:fill="auto"/>
            <w:noWrap/>
            <w:vAlign w:val="bottom"/>
            <w:hideMark/>
          </w:tcPr>
          <w:p w:rsidR="00565166" w:rsidRPr="00C118CC" w:rsidP="00C118CC" w14:paraId="0A4635D0" w14:textId="77777777">
            <w:pPr>
              <w:keepNext/>
              <w:keepLines/>
              <w:jc w:val="right"/>
              <w:rPr>
                <w:b/>
                <w:color w:val="000000"/>
                <w:sz w:val="20"/>
                <w:szCs w:val="20"/>
              </w:rPr>
            </w:pPr>
            <w:r w:rsidRPr="00C118CC">
              <w:rPr>
                <w:b/>
                <w:color w:val="000000"/>
                <w:sz w:val="20"/>
                <w:szCs w:val="20"/>
              </w:rPr>
              <w:t>$0</w:t>
            </w:r>
          </w:p>
        </w:tc>
      </w:tr>
    </w:tbl>
    <w:p w:rsidR="00565166" w:rsidP="00C118CC" w14:paraId="0A4635D2" w14:textId="77777777">
      <w:pPr>
        <w:ind w:right="-720"/>
      </w:pPr>
    </w:p>
    <w:p w:rsidR="005614E6" w:rsidP="00907DDA" w14:paraId="0A4635D3" w14:textId="77777777">
      <w:pPr>
        <w:ind w:left="-720" w:right="-720"/>
        <w:jc w:val="both"/>
      </w:pPr>
    </w:p>
    <w:p w:rsidR="00386FF3" w:rsidRPr="00E9232B" w:rsidP="00C83E39" w14:paraId="0A4635D5" w14:textId="77777777">
      <w:pPr>
        <w:rPr>
          <w:u w:val="single"/>
        </w:rPr>
      </w:pPr>
      <w:r w:rsidRPr="00E9232B">
        <w:t>13.</w:t>
      </w:r>
      <w:r w:rsidRPr="00E9232B">
        <w:tab/>
      </w:r>
      <w:r w:rsidRPr="006E2136" w:rsidR="00D879F4">
        <w:rPr>
          <w:bCs/>
          <w:u w:val="single"/>
        </w:rPr>
        <w:t>Estimate of total annual costs to respondents</w:t>
      </w:r>
      <w:r w:rsidRPr="00907DDA" w:rsidR="00D879F4">
        <w:rPr>
          <w:bCs/>
          <w:u w:val="single"/>
        </w:rPr>
        <w:t>.</w:t>
      </w:r>
      <w:r w:rsidRPr="006E2136" w:rsidR="00D879F4">
        <w:rPr>
          <w:b/>
          <w:bCs/>
        </w:rPr>
        <w:t xml:space="preserve">  </w:t>
      </w:r>
    </w:p>
    <w:p w:rsidR="00386FF3" w:rsidRPr="00E9232B" w:rsidP="00C83E39" w14:paraId="0A4635D6" w14:textId="77777777">
      <w:pPr>
        <w:rPr>
          <w:u w:val="single"/>
        </w:rPr>
      </w:pPr>
    </w:p>
    <w:p w:rsidR="002A28F8" w:rsidP="00C83E39" w14:paraId="0A4635D7" w14:textId="77777777">
      <w:r w:rsidRPr="002A28F8">
        <w:t>PHMSA does not estimate any out-of-pocket expenses as identified above.</w:t>
      </w:r>
    </w:p>
    <w:p w:rsidR="00B46A19" w:rsidRPr="00E9232B" w:rsidP="00C83E39" w14:paraId="0A4635D9" w14:textId="77777777"/>
    <w:p w:rsidR="00386FF3" w:rsidRPr="00E9232B" w:rsidP="00C83E39" w14:paraId="0A4635DA" w14:textId="77777777">
      <w:pPr>
        <w:tabs>
          <w:tab w:val="left" w:pos="720"/>
        </w:tabs>
        <w:ind w:left="720" w:hanging="720"/>
        <w:rPr>
          <w:u w:val="single"/>
        </w:rPr>
      </w:pPr>
      <w:r w:rsidRPr="00E9232B">
        <w:t xml:space="preserve">14. </w:t>
      </w:r>
      <w:r w:rsidRPr="00E9232B">
        <w:tab/>
      </w:r>
      <w:r w:rsidRPr="006E2136" w:rsidR="00D879F4">
        <w:rPr>
          <w:bCs/>
          <w:u w:val="single"/>
        </w:rPr>
        <w:t>Estimate of cost to the Federal government.</w:t>
      </w:r>
      <w:r w:rsidRPr="006E2136" w:rsidR="00D879F4">
        <w:rPr>
          <w:b/>
          <w:bCs/>
        </w:rPr>
        <w:t xml:space="preserve"> </w:t>
      </w:r>
      <w:r w:rsidRPr="006E2136" w:rsidR="00D879F4">
        <w:rPr>
          <w:b/>
        </w:rPr>
        <w:t xml:space="preserve"> </w:t>
      </w:r>
    </w:p>
    <w:p w:rsidR="00386FF3" w:rsidRPr="00E9232B" w:rsidP="00C83E39" w14:paraId="0A4635DB" w14:textId="77777777"/>
    <w:p w:rsidR="00386FF3" w:rsidRPr="00C118CC" w:rsidP="00C83E39" w14:paraId="0A4635DC" w14:textId="77777777">
      <w:pPr>
        <w:rPr>
          <w:b/>
        </w:rPr>
      </w:pPr>
      <w:r w:rsidRPr="00C118CC">
        <w:rPr>
          <w:b/>
        </w:rPr>
        <w:t>Section 171.15</w:t>
      </w:r>
      <w:r w:rsidRPr="00C118CC" w:rsidR="002430BE">
        <w:rPr>
          <w:b/>
        </w:rPr>
        <w:t xml:space="preserve"> – Telephone Notifications</w:t>
      </w:r>
    </w:p>
    <w:p w:rsidR="00386FF3" w:rsidRPr="00E9232B" w:rsidP="00C83E39" w14:paraId="0A4635DD" w14:textId="77777777"/>
    <w:p w:rsidR="00386FF3" w:rsidRPr="00E9232B" w:rsidP="00C118CC" w14:paraId="0A4635DE" w14:textId="77777777">
      <w:pPr>
        <w:ind w:right="-720"/>
      </w:pPr>
      <w:r>
        <w:t>About 11% of the</w:t>
      </w:r>
      <w:r w:rsidRPr="00E9232B">
        <w:t xml:space="preserve"> telephone calls reporting hazardous materials transportation spills to the U.S. Coast Guard’s NRC will meet the telephonic reporting requirement (death, injury, evacuation, etc.).  The remaining reports will be made to satisfy </w:t>
      </w:r>
      <w:r w:rsidR="00266AD0">
        <w:t xml:space="preserve">the </w:t>
      </w:r>
      <w:r w:rsidRPr="00E9232B">
        <w:t>E</w:t>
      </w:r>
      <w:r w:rsidR="00266AD0">
        <w:t xml:space="preserve">nvironmental </w:t>
      </w:r>
      <w:r w:rsidRPr="00E9232B">
        <w:t>P</w:t>
      </w:r>
      <w:r w:rsidR="00266AD0">
        <w:t xml:space="preserve">rotection </w:t>
      </w:r>
      <w:r w:rsidRPr="00E9232B">
        <w:t>A</w:t>
      </w:r>
      <w:r w:rsidR="00266AD0">
        <w:t>gency</w:t>
      </w:r>
      <w:r w:rsidRPr="00E9232B">
        <w:t>’s</w:t>
      </w:r>
      <w:r w:rsidR="00266AD0">
        <w:t xml:space="preserve"> (EPA)</w:t>
      </w:r>
      <w:r w:rsidRPr="00E9232B">
        <w:t xml:space="preserve"> guidelines.</w:t>
      </w:r>
    </w:p>
    <w:p w:rsidR="00386FF3" w:rsidRPr="00E9232B" w:rsidP="00C83E39" w14:paraId="0A4635E1" w14:textId="77777777">
      <w:pPr>
        <w:rPr>
          <w:u w:val="single"/>
        </w:rPr>
      </w:pPr>
    </w:p>
    <w:p w:rsidR="002430BE" w:rsidRPr="00C118CC" w:rsidP="00C83E39" w14:paraId="0A4635E2" w14:textId="77777777">
      <w:pPr>
        <w:tabs>
          <w:tab w:val="left" w:pos="720"/>
        </w:tabs>
        <w:ind w:left="720" w:hanging="720"/>
        <w:rPr>
          <w:b/>
        </w:rPr>
      </w:pPr>
      <w:r w:rsidRPr="00C118CC">
        <w:rPr>
          <w:b/>
        </w:rPr>
        <w:t xml:space="preserve">Section 171.16 </w:t>
      </w:r>
      <w:r w:rsidRPr="00C118CC">
        <w:rPr>
          <w:b/>
        </w:rPr>
        <w:t>– Incident</w:t>
      </w:r>
      <w:r>
        <w:rPr>
          <w:b/>
        </w:rPr>
        <w:t xml:space="preserve"> Reporting</w:t>
      </w:r>
    </w:p>
    <w:p w:rsidR="00386FF3" w:rsidRPr="00E9232B" w:rsidP="00C118CC" w14:paraId="0A4635E3" w14:textId="77777777">
      <w:pPr>
        <w:tabs>
          <w:tab w:val="left" w:pos="720"/>
        </w:tabs>
        <w:ind w:left="720" w:hanging="720"/>
      </w:pPr>
    </w:p>
    <w:p w:rsidR="00386FF3" w:rsidRPr="00E9232B" w:rsidP="00C118CC" w14:paraId="0A4635E4" w14:textId="2ECA30C9">
      <w:pPr>
        <w:ind w:right="-720"/>
      </w:pPr>
      <w:r w:rsidRPr="00E9232B">
        <w:t>The projected estimated annualized cost to the Federal government is approximately $</w:t>
      </w:r>
      <w:r w:rsidR="00B724C6">
        <w:t>984,578</w:t>
      </w:r>
      <w:r w:rsidRPr="00E9232B">
        <w:t>.</w:t>
      </w:r>
      <w:r w:rsidRPr="00E9232B" w:rsidR="00BE5FB4">
        <w:t xml:space="preserve">  </w:t>
      </w:r>
      <w:r w:rsidRPr="00E9232B">
        <w:t xml:space="preserve">PHMSA estimates it will receive an average of </w:t>
      </w:r>
      <w:r w:rsidR="00252A4C">
        <w:t>22,608</w:t>
      </w:r>
      <w:r w:rsidRPr="00E9232B">
        <w:t xml:space="preserve"> reports annually.  The unit cost per incident report is calculated at $43.55</w:t>
      </w:r>
      <w:r w:rsidR="000A0763">
        <w:t>,</w:t>
      </w:r>
      <w:r w:rsidRPr="00E9232B">
        <w:t xml:space="preserve"> which includes programmatic costs associated with government personnel and overhead.</w:t>
      </w:r>
    </w:p>
    <w:p w:rsidR="002430BE" w:rsidRPr="00E9232B" w:rsidP="00C83E39" w14:paraId="0A4635E6" w14:textId="77777777"/>
    <w:p w:rsidR="00386FF3" w:rsidRPr="00E9232B" w:rsidP="00C83E39" w14:paraId="0A4635E7" w14:textId="77777777">
      <w:pPr>
        <w:tabs>
          <w:tab w:val="left" w:pos="720"/>
        </w:tabs>
        <w:ind w:left="720" w:hanging="720"/>
      </w:pPr>
      <w:r w:rsidRPr="00E9232B">
        <w:t>15.</w:t>
      </w:r>
      <w:r w:rsidRPr="00E9232B">
        <w:tab/>
      </w:r>
      <w:r w:rsidRPr="006E2136" w:rsidR="00D879F4">
        <w:rPr>
          <w:bCs/>
          <w:u w:val="single"/>
        </w:rPr>
        <w:t>Explanation of program changes or adjustments.</w:t>
      </w:r>
      <w:r w:rsidRPr="006E2136" w:rsidR="00D879F4">
        <w:rPr>
          <w:b/>
          <w:bCs/>
        </w:rPr>
        <w:t xml:space="preserve">  </w:t>
      </w:r>
    </w:p>
    <w:p w:rsidR="00386FF3" w:rsidRPr="00E9232B" w:rsidP="00C83E39" w14:paraId="0A4635E8" w14:textId="77777777"/>
    <w:p w:rsidR="002A43A3" w:rsidP="002A43A3" w14:paraId="6C7A2B8A" w14:textId="01B876A3">
      <w:pPr>
        <w:pStyle w:val="paragraph"/>
        <w:spacing w:before="0" w:beforeAutospacing="0" w:after="0" w:afterAutospacing="0"/>
        <w:textAlignment w:val="baseline"/>
        <w:rPr>
          <w:rFonts w:ascii="Segoe UI" w:hAnsi="Segoe UI" w:cs="Segoe UI"/>
          <w:sz w:val="18"/>
          <w:szCs w:val="18"/>
        </w:rPr>
      </w:pPr>
      <w:r>
        <w:rPr>
          <w:rStyle w:val="normaltextrun"/>
        </w:rPr>
        <w:t>There have been adjustments made to this collection, based on PHMSA’s evaluation of current data collection to more accurately reflect the burdens associated with these information collections.</w:t>
      </w:r>
      <w:r>
        <w:rPr>
          <w:rStyle w:val="eop"/>
        </w:rPr>
        <w:t> </w:t>
      </w:r>
    </w:p>
    <w:p w:rsidR="00295FC3" w:rsidP="00C83E39" w14:paraId="0A463608" w14:textId="77777777"/>
    <w:p w:rsidR="00386FF3" w:rsidRPr="00E9232B" w:rsidP="00C118CC" w14:paraId="0A46360B" w14:textId="77777777">
      <w:pPr>
        <w:pStyle w:val="1AutoList1"/>
        <w:keepNext/>
        <w:keepLines/>
        <w:numPr>
          <w:ilvl w:val="0"/>
          <w:numId w:val="40"/>
        </w:numPr>
        <w:rPr>
          <w:rFonts w:ascii="Times New Roman" w:hAnsi="Times New Roman"/>
          <w:sz w:val="24"/>
        </w:rPr>
      </w:pPr>
      <w:r w:rsidRPr="006E2136">
        <w:rPr>
          <w:rFonts w:ascii="Times New Roman" w:hAnsi="Times New Roman"/>
          <w:bCs/>
          <w:sz w:val="24"/>
          <w:u w:val="single"/>
        </w:rPr>
        <w:t>Publication of results of data collection.</w:t>
      </w:r>
      <w:r w:rsidRPr="006E2136">
        <w:rPr>
          <w:rFonts w:ascii="Times New Roman" w:hAnsi="Times New Roman"/>
          <w:b/>
          <w:sz w:val="24"/>
        </w:rPr>
        <w:t xml:space="preserve">  </w:t>
      </w:r>
    </w:p>
    <w:p w:rsidR="00386FF3" w:rsidRPr="00E9232B" w:rsidP="00C118CC" w14:paraId="0A46360C" w14:textId="77777777">
      <w:pPr>
        <w:keepNext/>
        <w:keepLines/>
      </w:pPr>
    </w:p>
    <w:p w:rsidR="00386FF3" w:rsidRPr="00E9232B" w:rsidP="00C118CC" w14:paraId="0A46360D" w14:textId="77777777">
      <w:pPr>
        <w:ind w:right="-720"/>
      </w:pPr>
      <w:r w:rsidRPr="00E9232B">
        <w:t xml:space="preserve">Incident data is published on the OHMS web site. </w:t>
      </w:r>
      <w:r w:rsidR="00841922">
        <w:t xml:space="preserve"> </w:t>
      </w:r>
      <w:r w:rsidRPr="00E9232B">
        <w:t xml:space="preserve">This information is available to the public, regulated community, </w:t>
      </w:r>
      <w:r w:rsidR="00841922">
        <w:t>S</w:t>
      </w:r>
      <w:r w:rsidRPr="00E9232B" w:rsidR="00841922">
        <w:t>tates</w:t>
      </w:r>
      <w:r w:rsidRPr="00E9232B">
        <w:t>, and other government agencies.</w:t>
      </w:r>
    </w:p>
    <w:p w:rsidR="002430BE" w:rsidRPr="00E9232B" w:rsidP="00C83E39" w14:paraId="0A46360F" w14:textId="77777777"/>
    <w:p w:rsidR="00386FF3" w:rsidRPr="00E9232B" w:rsidP="00907DDA" w14:paraId="0A463610" w14:textId="77777777">
      <w:pPr>
        <w:pStyle w:val="1AutoList1"/>
        <w:keepNext/>
        <w:keepLines/>
        <w:numPr>
          <w:ilvl w:val="0"/>
          <w:numId w:val="40"/>
        </w:numPr>
        <w:rPr>
          <w:rFonts w:ascii="Times New Roman" w:hAnsi="Times New Roman"/>
          <w:sz w:val="24"/>
        </w:rPr>
      </w:pPr>
      <w:r w:rsidRPr="00D879F4">
        <w:rPr>
          <w:rFonts w:ascii="Times New Roman" w:hAnsi="Times New Roman"/>
          <w:bCs/>
          <w:sz w:val="24"/>
          <w:u w:val="single"/>
        </w:rPr>
        <w:t>Approval for not displaying the expiration date of OMB approval.</w:t>
      </w:r>
    </w:p>
    <w:p w:rsidR="00386FF3" w:rsidRPr="00E9232B" w:rsidP="00907DDA" w14:paraId="0A463611" w14:textId="77777777">
      <w:pPr>
        <w:keepNext/>
        <w:keepLines/>
      </w:pPr>
    </w:p>
    <w:p w:rsidR="002A28F8" w:rsidP="00C83E39" w14:paraId="0A463612" w14:textId="77777777">
      <w:r w:rsidRPr="002A28F8">
        <w:t>This information collection’s OMB control number is prominently displayed in the HMR, specifically under § 171.6, and titled, “Control Numbers under the Paperwork Reduction Act.”</w:t>
      </w:r>
    </w:p>
    <w:p w:rsidR="00386FF3" w:rsidRPr="00E9232B" w:rsidP="00EE70E9" w14:paraId="0A463614" w14:textId="78AFC166">
      <w:pPr>
        <w:tabs>
          <w:tab w:val="left" w:pos="1348"/>
        </w:tabs>
      </w:pPr>
    </w:p>
    <w:p w:rsidR="00386FF3" w:rsidRPr="00E9232B" w:rsidP="00C83E39" w14:paraId="0A463615" w14:textId="77777777">
      <w:pPr>
        <w:pStyle w:val="1AutoList1"/>
        <w:numPr>
          <w:ilvl w:val="0"/>
          <w:numId w:val="40"/>
        </w:numPr>
        <w:rPr>
          <w:rFonts w:ascii="Times New Roman" w:hAnsi="Times New Roman"/>
          <w:sz w:val="24"/>
        </w:rPr>
      </w:pPr>
      <w:r w:rsidRPr="006E2136">
        <w:rPr>
          <w:rFonts w:ascii="Times New Roman" w:hAnsi="Times New Roman"/>
          <w:bCs/>
          <w:sz w:val="24"/>
          <w:u w:val="single"/>
        </w:rPr>
        <w:t>Exceptions to certification statement.</w:t>
      </w:r>
      <w:r w:rsidRPr="006E2136">
        <w:rPr>
          <w:rFonts w:ascii="Times New Roman" w:hAnsi="Times New Roman"/>
          <w:b/>
          <w:bCs/>
          <w:sz w:val="24"/>
        </w:rPr>
        <w:t xml:space="preserve">  </w:t>
      </w:r>
    </w:p>
    <w:p w:rsidR="00386FF3" w:rsidRPr="00E9232B" w:rsidP="00C83E39" w14:paraId="0A463616" w14:textId="77777777"/>
    <w:p w:rsidR="00CC005C" w:rsidRPr="00E9232B" w:rsidP="00C118CC" w14:paraId="0A463617" w14:textId="77777777">
      <w:pPr>
        <w:ind w:right="-720"/>
        <w:jc w:val="both"/>
      </w:pPr>
      <w:r w:rsidRPr="00E9232B">
        <w:t>There is no exception to PHMSA’s certification of this request for information collection approval.</w:t>
      </w:r>
    </w:p>
    <w:sectPr>
      <w:footerReference w:type="even" r:id="rId9"/>
      <w:footerReference w:type="default" r:id="rId10"/>
      <w:type w:val="continuous"/>
      <w:pgSz w:w="12240" w:h="15840"/>
      <w:pgMar w:top="1440" w:right="216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Letter Gothic 12cp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270E" w14:paraId="0A463623" w14:textId="77777777">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E270E" w14:paraId="0A46362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2967" w14:paraId="0A463625" w14:textId="77777777">
    <w:pPr>
      <w:pStyle w:val="Footer"/>
      <w:jc w:val="center"/>
    </w:pPr>
    <w:r>
      <w:fldChar w:fldCharType="begin"/>
    </w:r>
    <w:r>
      <w:instrText xml:space="preserve"> PAGE   \* MERGEFORMAT </w:instrText>
    </w:r>
    <w:r>
      <w:fldChar w:fldCharType="separate"/>
    </w:r>
    <w:r w:rsidR="00B958A3">
      <w:rPr>
        <w:noProof/>
      </w:rPr>
      <w:t>7</w:t>
    </w:r>
    <w:r>
      <w:rPr>
        <w:noProof/>
      </w:rPr>
      <w:fldChar w:fldCharType="end"/>
    </w:r>
  </w:p>
  <w:p w:rsidR="007E270E" w14:paraId="0A46362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5172F" w14:paraId="088624FE" w14:textId="77777777">
      <w:r>
        <w:separator/>
      </w:r>
    </w:p>
  </w:footnote>
  <w:footnote w:type="continuationSeparator" w:id="1">
    <w:p w:rsidR="0055172F" w14:paraId="1AE5D8C3" w14:textId="77777777">
      <w:r>
        <w:continuationSeparator/>
      </w:r>
    </w:p>
  </w:footnote>
  <w:footnote w:type="continuationNotice" w:id="2">
    <w:p w:rsidR="0055172F" w14:paraId="2ABD186B" w14:textId="77777777"/>
  </w:footnote>
  <w:footnote w:id="3">
    <w:p w:rsidR="007767EC" w14:paraId="4EB654EC" w14:textId="5F3CC9F3">
      <w:pPr>
        <w:pStyle w:val="FootnoteText"/>
      </w:pPr>
      <w:r>
        <w:rPr>
          <w:rStyle w:val="FootnoteReference"/>
        </w:rPr>
        <w:footnoteRef/>
      </w:r>
      <w:r>
        <w:t xml:space="preserve"> </w:t>
      </w:r>
      <w:hyperlink r:id="rId1" w:history="1">
        <w:r w:rsidRPr="00800BD0" w:rsidR="00800BD0">
          <w:rPr>
            <w:rStyle w:val="Hyperlink"/>
          </w:rPr>
          <w:t>OMB Control Number History (reginfo.gov)</w:t>
        </w:r>
      </w:hyperlink>
    </w:p>
  </w:footnote>
  <w:footnote w:id="4">
    <w:p w:rsidR="008A4C31" w14:paraId="3A7487D5" w14:textId="42021539">
      <w:pPr>
        <w:pStyle w:val="FootnoteText"/>
      </w:pPr>
      <w:r>
        <w:rPr>
          <w:rStyle w:val="FootnoteReference"/>
        </w:rPr>
        <w:footnoteRef/>
      </w:r>
      <w:r>
        <w:t xml:space="preserve"> </w:t>
      </w:r>
      <w:r>
        <w:t xml:space="preserve">“Reports of Hazardous Materials Incidents,” [HM-36, 35 FR 16836] </w:t>
      </w:r>
      <w:hyperlink r:id="rId2" w:history="1">
        <w:r w:rsidRPr="00EE70E9">
          <w:rPr>
            <w:rStyle w:val="Hyperlink"/>
          </w:rPr>
          <w:t>https://www.phmsa.dot.gov/sites/phmsa.dot.gov/files/docs/standards-rulemaking/rulemakings/archived-rulemakings/67616/35fr-16836.pdf</w:t>
        </w:r>
      </w:hyperlink>
    </w:p>
  </w:footnote>
  <w:footnote w:id="5">
    <w:p w:rsidR="00786EBE" w14:paraId="2D4E46AA" w14:textId="34B20735">
      <w:pPr>
        <w:pStyle w:val="FootnoteText"/>
      </w:pPr>
      <w:r>
        <w:rPr>
          <w:rStyle w:val="FootnoteReference"/>
        </w:rPr>
        <w:footnoteRef/>
      </w:r>
      <w:r>
        <w:t xml:space="preserve"> </w:t>
      </w:r>
      <w:r w:rsidRPr="001B40FD">
        <w:t xml:space="preserve">Hazardous Materials: </w:t>
      </w:r>
      <w:r w:rsidRPr="00E81075" w:rsidR="00E81075">
        <w:t>Revision to Regulations Governing Transportation and Unloading of Liquefied Compressed Gases</w:t>
      </w:r>
      <w:r w:rsidR="00CF17A6">
        <w:t xml:space="preserve">,” </w:t>
      </w:r>
      <w:r>
        <w:t xml:space="preserve">69 FR 30113. </w:t>
      </w:r>
      <w:hyperlink r:id="rId3" w:history="1">
        <w:r>
          <w:rPr>
            <w:rStyle w:val="Hyperlink"/>
          </w:rPr>
          <w:t>Federal Register :: Hazardous Materials: Revisions to Incident Reporting Requirements and the Hazardous Materials Incident Report Form; Correction</w:t>
        </w:r>
      </w:hyperlink>
    </w:p>
  </w:footnote>
  <w:footnote w:id="6">
    <w:p w:rsidR="003509DC" w14:paraId="40AC7BC0" w14:textId="10CB86F6">
      <w:pPr>
        <w:pStyle w:val="FootnoteText"/>
      </w:pPr>
      <w:r>
        <w:rPr>
          <w:rStyle w:val="FootnoteReference"/>
        </w:rPr>
        <w:footnoteRef/>
      </w:r>
      <w:r>
        <w:t xml:space="preserve"> Coughlin, Susan M. (1992). Safety Recommendation H-92-1 through -6. </w:t>
      </w:r>
      <w:r w:rsidRPr="00074D1D">
        <w:rPr>
          <w:i/>
          <w:iCs/>
        </w:rPr>
        <w:t>National Transportation Safety Board</w:t>
      </w:r>
      <w:r>
        <w:t xml:space="preserve">, 1-10. </w:t>
      </w:r>
      <w:hyperlink r:id="rId4" w:history="1">
        <w:r w:rsidRPr="009E0387">
          <w:rPr>
            <w:rStyle w:val="Hyperlink"/>
          </w:rPr>
          <w:t>(ntsb.gov)</w:t>
        </w:r>
      </w:hyperlink>
    </w:p>
  </w:footnote>
  <w:footnote w:id="7">
    <w:p w:rsidR="00226DA3" w14:paraId="16D26C9D" w14:textId="23054897">
      <w:pPr>
        <w:pStyle w:val="FootnoteText"/>
      </w:pPr>
      <w:r>
        <w:rPr>
          <w:rStyle w:val="FootnoteReference"/>
        </w:rPr>
        <w:footnoteRef/>
      </w:r>
      <w:r>
        <w:t xml:space="preserve"> Kolstad, James L. (1989). Safety Recommendation R-89-52- through -54. </w:t>
      </w:r>
      <w:r w:rsidRPr="00074D1D">
        <w:rPr>
          <w:i/>
          <w:iCs/>
        </w:rPr>
        <w:t>National Transportation Safety Board</w:t>
      </w:r>
      <w:r>
        <w:t xml:space="preserve">, 1-5. </w:t>
      </w:r>
      <w:hyperlink r:id="rId5" w:history="1">
        <w:r>
          <w:rPr>
            <w:rStyle w:val="Hyperlink"/>
          </w:rPr>
          <w:t>(ntsb.gov)</w:t>
        </w:r>
      </w:hyperlink>
    </w:p>
  </w:footnote>
  <w:footnote w:id="8">
    <w:p w:rsidR="00EE70E9" w:rsidRPr="00574435" w:rsidP="00EE70E9" w14:paraId="7E0DEF1D" w14:textId="6CD67216">
      <w:pPr>
        <w:rPr>
          <w:sz w:val="20"/>
          <w:szCs w:val="20"/>
        </w:rPr>
      </w:pPr>
      <w:r w:rsidRPr="00574435">
        <w:rPr>
          <w:rStyle w:val="FootnoteReference"/>
          <w:sz w:val="20"/>
          <w:szCs w:val="20"/>
        </w:rPr>
        <w:footnoteRef/>
      </w:r>
      <w:r w:rsidRPr="00574435">
        <w:rPr>
          <w:sz w:val="20"/>
          <w:szCs w:val="20"/>
        </w:rPr>
        <w:t xml:space="preserve"> </w:t>
      </w:r>
      <w:r w:rsidRPr="00C9385A" w:rsidR="00C9385A">
        <w:rPr>
          <w:sz w:val="20"/>
          <w:szCs w:val="20"/>
        </w:rPr>
        <w:t>Occupation labor rates based on 2022 Occupational and Employment Statistics Survey (OES) for “53-0000 Transportation and Material Moving Occupations.” https://www.bls.gov/oes/current/oes530000.htm. The mean hourly wage for this occupation ($21.12) is adjusted to reflect the total costs of employee compensation based on the BLS Employer Costs for Employee Compensation Summary, which indicates that wages for civilian workers are 69% of total compensation (total hourly compensation = mean hourly wage / wage % of total compensation). https://www.bls.gov/news.release/pdf/ecec.pdf.</w:t>
      </w:r>
    </w:p>
  </w:footnote>
  <w:footnote w:id="9">
    <w:p w:rsidR="00FE083A" w14:paraId="1EC9776D" w14:textId="29BF9227">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D0385"/>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1682DDE"/>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03D95DDF"/>
    <w:multiLevelType w:val="multilevel"/>
    <w:tmpl w:val="F1D8AD34"/>
    <w:lvl w:ilvl="0">
      <w:start w:val="17"/>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0D1E77B9"/>
    <w:multiLevelType w:val="multilevel"/>
    <w:tmpl w:val="55D08E5E"/>
    <w:lvl w:ilvl="0">
      <w:start w:val="13"/>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nsid w:val="141F1E6F"/>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nsid w:val="14C33533"/>
    <w:multiLevelType w:val="multilevel"/>
    <w:tmpl w:val="41502884"/>
    <w:lvl w:ilvl="0">
      <w:start w:val="15"/>
      <w:numFmt w:val="decimal"/>
      <w:lvlText w:val="%1."/>
      <w:legacy w:legacy="1" w:legacySpace="0" w:legacyIndent="720"/>
      <w:lvlJc w:val="left"/>
      <w:pPr>
        <w:ind w:left="720" w:hanging="720"/>
      </w:pPr>
    </w:lvl>
    <w:lvl w:ilvl="1">
      <w:start w:val="1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17CB0C91"/>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18291B64"/>
    <w:multiLevelType w:val="multilevel"/>
    <w:tmpl w:val="24A67D32"/>
    <w:lvl w:ilvl="0">
      <w:start w:val="5"/>
      <w:numFmt w:val="lowerLetter"/>
      <w:lvlText w:val="(%1)"/>
      <w:legacy w:legacy="1" w:legacySpace="0" w:legacyIndent="1440"/>
      <w:lvlJc w:val="left"/>
      <w:pPr>
        <w:ind w:left="1440" w:hanging="1440"/>
      </w:pPr>
    </w:lvl>
    <w:lvl w:ilvl="1">
      <w:start w:val="11"/>
      <w:numFmt w:val="lowerLetter"/>
      <w:lvlText w:val="(%2)"/>
      <w:legacy w:legacy="1" w:legacySpace="0" w:legacyIndent="1440"/>
      <w:lvlJc w:val="left"/>
      <w:pPr>
        <w:ind w:left="2880" w:hanging="1440"/>
      </w:pPr>
    </w:lvl>
    <w:lvl w:ilvl="2">
      <w:start w:val="1"/>
      <w:numFmt w:val="lowerLetter"/>
      <w:lvlText w:val="(%3)"/>
      <w:legacy w:legacy="1" w:legacySpace="0" w:legacyIndent="1440"/>
      <w:lvlJc w:val="left"/>
      <w:pPr>
        <w:ind w:left="4320" w:hanging="1440"/>
      </w:pPr>
    </w:lvl>
    <w:lvl w:ilvl="3">
      <w:start w:val="1"/>
      <w:numFmt w:val="lowerLetter"/>
      <w:lvlText w:val="(%4)"/>
      <w:legacy w:legacy="1" w:legacySpace="0" w:legacyIndent="1440"/>
      <w:lvlJc w:val="left"/>
      <w:pPr>
        <w:ind w:left="5760" w:hanging="1440"/>
      </w:pPr>
    </w:lvl>
    <w:lvl w:ilvl="4">
      <w:start w:val="1"/>
      <w:numFmt w:val="lowerLetter"/>
      <w:lvlText w:val="(%5)"/>
      <w:legacy w:legacy="1" w:legacySpace="0" w:legacyIndent="1440"/>
      <w:lvlJc w:val="left"/>
      <w:pPr>
        <w:ind w:left="7200" w:hanging="1440"/>
      </w:pPr>
    </w:lvl>
    <w:lvl w:ilvl="5">
      <w:start w:val="1"/>
      <w:numFmt w:val="lowerLetter"/>
      <w:lvlText w:val="(%6)"/>
      <w:legacy w:legacy="1" w:legacySpace="0" w:legacyIndent="1440"/>
      <w:lvlJc w:val="left"/>
      <w:pPr>
        <w:ind w:left="8640" w:hanging="1440"/>
      </w:pPr>
    </w:lvl>
    <w:lvl w:ilvl="6">
      <w:start w:val="1"/>
      <w:numFmt w:val="lowerLetter"/>
      <w:lvlText w:val="(%7)"/>
      <w:legacy w:legacy="1" w:legacySpace="0" w:legacyIndent="1440"/>
      <w:lvlJc w:val="left"/>
      <w:pPr>
        <w:ind w:left="10080" w:hanging="1440"/>
      </w:pPr>
    </w:lvl>
    <w:lvl w:ilvl="7">
      <w:start w:val="1"/>
      <w:numFmt w:val="lowerLetter"/>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8">
    <w:nsid w:val="1B460AB7"/>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1B5F97E1"/>
    <w:multiLevelType w:val="hybridMultilevel"/>
    <w:tmpl w:val="83A82C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CD7249E"/>
    <w:multiLevelType w:val="multilevel"/>
    <w:tmpl w:val="D7CC42EC"/>
    <w:lvl w:ilvl="0">
      <w:start w:val="7"/>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1D7538EE"/>
    <w:multiLevelType w:val="multilevel"/>
    <w:tmpl w:val="6FD4B512"/>
    <w:lvl w:ilvl="0">
      <w:start w:val="16"/>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208E224C"/>
    <w:multiLevelType w:val="multilevel"/>
    <w:tmpl w:val="6FD4B512"/>
    <w:lvl w:ilvl="0">
      <w:start w:val="16"/>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21754A79"/>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223744B1"/>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22956D32"/>
    <w:multiLevelType w:val="multilevel"/>
    <w:tmpl w:val="AE8CC89C"/>
    <w:lvl w:ilvl="0">
      <w:start w:val="9"/>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23D9036A"/>
    <w:multiLevelType w:val="multilevel"/>
    <w:tmpl w:val="610689E2"/>
    <w:lvl w:ilvl="0">
      <w:start w:val="13"/>
      <w:numFmt w:val="decimal"/>
      <w:lvlText w:val="%1."/>
      <w:legacy w:legacy="1" w:legacySpace="0" w:legacyIndent="720"/>
      <w:lvlJc w:val="left"/>
      <w:pPr>
        <w:ind w:left="720" w:hanging="720"/>
      </w:pPr>
    </w:lvl>
    <w:lvl w:ilvl="1">
      <w:start w:val="1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247C6C9E"/>
    <w:multiLevelType w:val="hybridMultilevel"/>
    <w:tmpl w:val="F99ECFA8"/>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8">
    <w:nsid w:val="26413F9C"/>
    <w:multiLevelType w:val="multilevel"/>
    <w:tmpl w:val="EB90991C"/>
    <w:lvl w:ilvl="0">
      <w:start w:val="13"/>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9">
    <w:nsid w:val="28DF38C2"/>
    <w:multiLevelType w:val="multilevel"/>
    <w:tmpl w:val="6FD4B512"/>
    <w:lvl w:ilvl="0">
      <w:start w:val="16"/>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29A273CE"/>
    <w:multiLevelType w:val="multilevel"/>
    <w:tmpl w:val="F1D8AD34"/>
    <w:lvl w:ilvl="0">
      <w:start w:val="17"/>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2A58298B"/>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30876C3C"/>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319D10E4"/>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32837753"/>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35AF2A59"/>
    <w:multiLevelType w:val="hybridMultilevel"/>
    <w:tmpl w:val="6C5EF0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62A1B7E"/>
    <w:multiLevelType w:val="multilevel"/>
    <w:tmpl w:val="AE8CC89C"/>
    <w:lvl w:ilvl="0">
      <w:start w:val="9"/>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41966ACE"/>
    <w:multiLevelType w:val="multilevel"/>
    <w:tmpl w:val="55D08E5E"/>
    <w:lvl w:ilvl="0">
      <w:start w:val="13"/>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49A87AC5"/>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4AC4152E"/>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4D5458CD"/>
    <w:multiLevelType w:val="multilevel"/>
    <w:tmpl w:val="EB90991C"/>
    <w:lvl w:ilvl="0">
      <w:start w:val="13"/>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31">
    <w:nsid w:val="519455DD"/>
    <w:multiLevelType w:val="multilevel"/>
    <w:tmpl w:val="D7CC42EC"/>
    <w:lvl w:ilvl="0">
      <w:start w:val="7"/>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nsid w:val="57E11895"/>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nsid w:val="5F074C53"/>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nsid w:val="608E61A8"/>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nsid w:val="60A26B4E"/>
    <w:multiLevelType w:val="multilevel"/>
    <w:tmpl w:val="6FD4B512"/>
    <w:lvl w:ilvl="0">
      <w:start w:val="16"/>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nsid w:val="67E5096F"/>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nsid w:val="695F2D3E"/>
    <w:multiLevelType w:val="multilevel"/>
    <w:tmpl w:val="AE8CC89C"/>
    <w:lvl w:ilvl="0">
      <w:start w:val="9"/>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nsid w:val="6C4C64BE"/>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9">
    <w:nsid w:val="6E1A26A0"/>
    <w:multiLevelType w:val="multilevel"/>
    <w:tmpl w:val="6FD4B512"/>
    <w:lvl w:ilvl="0">
      <w:start w:val="16"/>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0">
    <w:nsid w:val="70A41CB9"/>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1">
    <w:nsid w:val="727C5787"/>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2">
    <w:nsid w:val="789D7BB8"/>
    <w:multiLevelType w:val="multilevel"/>
    <w:tmpl w:val="6FD4B512"/>
    <w:lvl w:ilvl="0">
      <w:start w:val="16"/>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3">
    <w:nsid w:val="7FB226F3"/>
    <w:multiLevelType w:val="multilevel"/>
    <w:tmpl w:val="D7CC42EC"/>
    <w:lvl w:ilvl="0">
      <w:start w:val="7"/>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7"/>
  </w:num>
  <w:num w:numId="3">
    <w:abstractNumId w:val="16"/>
  </w:num>
  <w:num w:numId="4">
    <w:abstractNumId w:val="5"/>
  </w:num>
  <w:num w:numId="5">
    <w:abstractNumId w:val="21"/>
  </w:num>
  <w:num w:numId="6">
    <w:abstractNumId w:val="23"/>
  </w:num>
  <w:num w:numId="7">
    <w:abstractNumId w:val="41"/>
  </w:num>
  <w:num w:numId="8">
    <w:abstractNumId w:val="29"/>
  </w:num>
  <w:num w:numId="9">
    <w:abstractNumId w:val="14"/>
  </w:num>
  <w:num w:numId="10">
    <w:abstractNumId w:val="13"/>
  </w:num>
  <w:num w:numId="11">
    <w:abstractNumId w:val="28"/>
  </w:num>
  <w:num w:numId="12">
    <w:abstractNumId w:val="6"/>
  </w:num>
  <w:num w:numId="13">
    <w:abstractNumId w:val="40"/>
  </w:num>
  <w:num w:numId="14">
    <w:abstractNumId w:val="38"/>
  </w:num>
  <w:num w:numId="15">
    <w:abstractNumId w:val="4"/>
  </w:num>
  <w:num w:numId="16">
    <w:abstractNumId w:val="24"/>
  </w:num>
  <w:num w:numId="17">
    <w:abstractNumId w:val="22"/>
  </w:num>
  <w:num w:numId="18">
    <w:abstractNumId w:val="34"/>
  </w:num>
  <w:num w:numId="19">
    <w:abstractNumId w:val="8"/>
  </w:num>
  <w:num w:numId="20">
    <w:abstractNumId w:val="1"/>
  </w:num>
  <w:num w:numId="21">
    <w:abstractNumId w:val="0"/>
  </w:num>
  <w:num w:numId="22">
    <w:abstractNumId w:val="33"/>
  </w:num>
  <w:num w:numId="23">
    <w:abstractNumId w:val="27"/>
  </w:num>
  <w:num w:numId="24">
    <w:abstractNumId w:val="3"/>
  </w:num>
  <w:num w:numId="25">
    <w:abstractNumId w:val="10"/>
  </w:num>
  <w:num w:numId="26">
    <w:abstractNumId w:val="37"/>
  </w:num>
  <w:num w:numId="27">
    <w:abstractNumId w:val="30"/>
  </w:num>
  <w:num w:numId="28">
    <w:abstractNumId w:val="18"/>
  </w:num>
  <w:num w:numId="29">
    <w:abstractNumId w:val="2"/>
  </w:num>
  <w:num w:numId="30">
    <w:abstractNumId w:val="20"/>
  </w:num>
  <w:num w:numId="31">
    <w:abstractNumId w:val="32"/>
  </w:num>
  <w:num w:numId="32">
    <w:abstractNumId w:val="31"/>
  </w:num>
  <w:num w:numId="33">
    <w:abstractNumId w:val="15"/>
  </w:num>
  <w:num w:numId="34">
    <w:abstractNumId w:val="19"/>
  </w:num>
  <w:num w:numId="35">
    <w:abstractNumId w:val="42"/>
  </w:num>
  <w:num w:numId="36">
    <w:abstractNumId w:val="39"/>
  </w:num>
  <w:num w:numId="37">
    <w:abstractNumId w:val="36"/>
  </w:num>
  <w:num w:numId="38">
    <w:abstractNumId w:val="43"/>
  </w:num>
  <w:num w:numId="39">
    <w:abstractNumId w:val="26"/>
  </w:num>
  <w:num w:numId="40">
    <w:abstractNumId w:val="35"/>
  </w:num>
  <w:num w:numId="41">
    <w:abstractNumId w:val="12"/>
  </w:num>
  <w:num w:numId="42">
    <w:abstractNumId w:val="11"/>
  </w:num>
  <w:num w:numId="43">
    <w:abstractNumId w:val="17"/>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FF3"/>
    <w:rsid w:val="00012D08"/>
    <w:rsid w:val="000316F8"/>
    <w:rsid w:val="00036DF2"/>
    <w:rsid w:val="00043588"/>
    <w:rsid w:val="00046188"/>
    <w:rsid w:val="00053EC5"/>
    <w:rsid w:val="00065535"/>
    <w:rsid w:val="00074D1D"/>
    <w:rsid w:val="00086DA3"/>
    <w:rsid w:val="000A0763"/>
    <w:rsid w:val="000A15D9"/>
    <w:rsid w:val="000B249D"/>
    <w:rsid w:val="000C24DF"/>
    <w:rsid w:val="000C528A"/>
    <w:rsid w:val="000D6DE5"/>
    <w:rsid w:val="000D6E32"/>
    <w:rsid w:val="000E23FF"/>
    <w:rsid w:val="000E600D"/>
    <w:rsid w:val="000F3E62"/>
    <w:rsid w:val="00100BD0"/>
    <w:rsid w:val="00101384"/>
    <w:rsid w:val="00103882"/>
    <w:rsid w:val="001067AD"/>
    <w:rsid w:val="001139A7"/>
    <w:rsid w:val="00115253"/>
    <w:rsid w:val="00116AEE"/>
    <w:rsid w:val="001262CC"/>
    <w:rsid w:val="001314A6"/>
    <w:rsid w:val="001570F1"/>
    <w:rsid w:val="001647DB"/>
    <w:rsid w:val="0017248A"/>
    <w:rsid w:val="001772A3"/>
    <w:rsid w:val="00182A5B"/>
    <w:rsid w:val="0018459D"/>
    <w:rsid w:val="00184FA2"/>
    <w:rsid w:val="00193811"/>
    <w:rsid w:val="001A0813"/>
    <w:rsid w:val="001A1162"/>
    <w:rsid w:val="001A1B31"/>
    <w:rsid w:val="001A5010"/>
    <w:rsid w:val="001B40FD"/>
    <w:rsid w:val="001D2964"/>
    <w:rsid w:val="001D5DCF"/>
    <w:rsid w:val="00204757"/>
    <w:rsid w:val="0021522A"/>
    <w:rsid w:val="00226DA3"/>
    <w:rsid w:val="00232F1E"/>
    <w:rsid w:val="002367E2"/>
    <w:rsid w:val="002430BE"/>
    <w:rsid w:val="00251F4E"/>
    <w:rsid w:val="00252806"/>
    <w:rsid w:val="00252A4C"/>
    <w:rsid w:val="00253D70"/>
    <w:rsid w:val="00257986"/>
    <w:rsid w:val="00264506"/>
    <w:rsid w:val="00266AD0"/>
    <w:rsid w:val="00267EE6"/>
    <w:rsid w:val="002866EE"/>
    <w:rsid w:val="0028730A"/>
    <w:rsid w:val="00290F90"/>
    <w:rsid w:val="00295FC3"/>
    <w:rsid w:val="002A28F8"/>
    <w:rsid w:val="002A43A3"/>
    <w:rsid w:val="002C1B83"/>
    <w:rsid w:val="002C2159"/>
    <w:rsid w:val="002C3F48"/>
    <w:rsid w:val="002D5909"/>
    <w:rsid w:val="002E3A8D"/>
    <w:rsid w:val="002E4758"/>
    <w:rsid w:val="002E74DE"/>
    <w:rsid w:val="0030042B"/>
    <w:rsid w:val="003020D3"/>
    <w:rsid w:val="00310D7F"/>
    <w:rsid w:val="003263DE"/>
    <w:rsid w:val="003324E8"/>
    <w:rsid w:val="00332EA8"/>
    <w:rsid w:val="00333AAC"/>
    <w:rsid w:val="00334915"/>
    <w:rsid w:val="00337E9E"/>
    <w:rsid w:val="00340989"/>
    <w:rsid w:val="003509DC"/>
    <w:rsid w:val="00357E8D"/>
    <w:rsid w:val="003735CC"/>
    <w:rsid w:val="00373877"/>
    <w:rsid w:val="0037447C"/>
    <w:rsid w:val="00386FF3"/>
    <w:rsid w:val="00394D9B"/>
    <w:rsid w:val="003964B8"/>
    <w:rsid w:val="003B0AA4"/>
    <w:rsid w:val="003F0BD3"/>
    <w:rsid w:val="003F5632"/>
    <w:rsid w:val="00403569"/>
    <w:rsid w:val="00414591"/>
    <w:rsid w:val="00422CB9"/>
    <w:rsid w:val="0042436F"/>
    <w:rsid w:val="004254E7"/>
    <w:rsid w:val="00436A2B"/>
    <w:rsid w:val="0045026F"/>
    <w:rsid w:val="00452967"/>
    <w:rsid w:val="00452D41"/>
    <w:rsid w:val="004531B3"/>
    <w:rsid w:val="00454DB8"/>
    <w:rsid w:val="00465873"/>
    <w:rsid w:val="00480320"/>
    <w:rsid w:val="00490CB9"/>
    <w:rsid w:val="0049274D"/>
    <w:rsid w:val="00497257"/>
    <w:rsid w:val="004A1F2C"/>
    <w:rsid w:val="004A2E3B"/>
    <w:rsid w:val="004B3519"/>
    <w:rsid w:val="004C1303"/>
    <w:rsid w:val="004C1750"/>
    <w:rsid w:val="004C6B53"/>
    <w:rsid w:val="004E6F03"/>
    <w:rsid w:val="004F1AEA"/>
    <w:rsid w:val="005031A0"/>
    <w:rsid w:val="005214E0"/>
    <w:rsid w:val="00542BFF"/>
    <w:rsid w:val="00545848"/>
    <w:rsid w:val="0055172F"/>
    <w:rsid w:val="005614E6"/>
    <w:rsid w:val="00561B86"/>
    <w:rsid w:val="00565166"/>
    <w:rsid w:val="00574435"/>
    <w:rsid w:val="0057561F"/>
    <w:rsid w:val="00581952"/>
    <w:rsid w:val="005872EA"/>
    <w:rsid w:val="00595E94"/>
    <w:rsid w:val="005A1BE8"/>
    <w:rsid w:val="005B0333"/>
    <w:rsid w:val="005B77B1"/>
    <w:rsid w:val="005C2163"/>
    <w:rsid w:val="005D3E9E"/>
    <w:rsid w:val="005D7997"/>
    <w:rsid w:val="005E54E0"/>
    <w:rsid w:val="005E5896"/>
    <w:rsid w:val="005F24AC"/>
    <w:rsid w:val="00604C93"/>
    <w:rsid w:val="00616D99"/>
    <w:rsid w:val="00617CDD"/>
    <w:rsid w:val="0062707F"/>
    <w:rsid w:val="0062799B"/>
    <w:rsid w:val="00642BCF"/>
    <w:rsid w:val="00646CAB"/>
    <w:rsid w:val="00651F33"/>
    <w:rsid w:val="00655341"/>
    <w:rsid w:val="00665970"/>
    <w:rsid w:val="00673F1D"/>
    <w:rsid w:val="0068655C"/>
    <w:rsid w:val="00696FD0"/>
    <w:rsid w:val="006A2B96"/>
    <w:rsid w:val="006A5B94"/>
    <w:rsid w:val="006B25B4"/>
    <w:rsid w:val="006C0369"/>
    <w:rsid w:val="006C1575"/>
    <w:rsid w:val="006C4B5A"/>
    <w:rsid w:val="006D6802"/>
    <w:rsid w:val="006E0E0D"/>
    <w:rsid w:val="006E2136"/>
    <w:rsid w:val="006E35C1"/>
    <w:rsid w:val="006E65CD"/>
    <w:rsid w:val="006F1E60"/>
    <w:rsid w:val="006F4DC0"/>
    <w:rsid w:val="006F77B1"/>
    <w:rsid w:val="00706B32"/>
    <w:rsid w:val="00707550"/>
    <w:rsid w:val="0071248F"/>
    <w:rsid w:val="00716E00"/>
    <w:rsid w:val="0073208C"/>
    <w:rsid w:val="00732F31"/>
    <w:rsid w:val="00737093"/>
    <w:rsid w:val="00744F73"/>
    <w:rsid w:val="00754FDA"/>
    <w:rsid w:val="00766947"/>
    <w:rsid w:val="007706C9"/>
    <w:rsid w:val="007767EC"/>
    <w:rsid w:val="0077689A"/>
    <w:rsid w:val="00776BF7"/>
    <w:rsid w:val="0077D1A3"/>
    <w:rsid w:val="007800A7"/>
    <w:rsid w:val="00783444"/>
    <w:rsid w:val="00784AA6"/>
    <w:rsid w:val="00786EBE"/>
    <w:rsid w:val="00791480"/>
    <w:rsid w:val="007C7963"/>
    <w:rsid w:val="007E270E"/>
    <w:rsid w:val="007E2E12"/>
    <w:rsid w:val="007F78A6"/>
    <w:rsid w:val="0080087E"/>
    <w:rsid w:val="00800BD0"/>
    <w:rsid w:val="00801FC1"/>
    <w:rsid w:val="00807C07"/>
    <w:rsid w:val="00815320"/>
    <w:rsid w:val="0081737E"/>
    <w:rsid w:val="008349F4"/>
    <w:rsid w:val="00841922"/>
    <w:rsid w:val="00841C07"/>
    <w:rsid w:val="008732B5"/>
    <w:rsid w:val="00885D60"/>
    <w:rsid w:val="008A27DC"/>
    <w:rsid w:val="008A4819"/>
    <w:rsid w:val="008A4C31"/>
    <w:rsid w:val="008B1288"/>
    <w:rsid w:val="008B5AAC"/>
    <w:rsid w:val="008B6657"/>
    <w:rsid w:val="008B7825"/>
    <w:rsid w:val="008C5EFD"/>
    <w:rsid w:val="008C615F"/>
    <w:rsid w:val="008E51A2"/>
    <w:rsid w:val="008E738F"/>
    <w:rsid w:val="00907DDA"/>
    <w:rsid w:val="009321E0"/>
    <w:rsid w:val="00941B09"/>
    <w:rsid w:val="0095708F"/>
    <w:rsid w:val="00964135"/>
    <w:rsid w:val="009724D7"/>
    <w:rsid w:val="009921F3"/>
    <w:rsid w:val="009B4142"/>
    <w:rsid w:val="009D2678"/>
    <w:rsid w:val="009D6CDC"/>
    <w:rsid w:val="009E0387"/>
    <w:rsid w:val="009F3263"/>
    <w:rsid w:val="00A03EDB"/>
    <w:rsid w:val="00A150B6"/>
    <w:rsid w:val="00A2078F"/>
    <w:rsid w:val="00A45FD7"/>
    <w:rsid w:val="00A47CE0"/>
    <w:rsid w:val="00A6162C"/>
    <w:rsid w:val="00A61FA2"/>
    <w:rsid w:val="00A73C07"/>
    <w:rsid w:val="00A73E15"/>
    <w:rsid w:val="00A86657"/>
    <w:rsid w:val="00A937AE"/>
    <w:rsid w:val="00A95CFB"/>
    <w:rsid w:val="00AB18D4"/>
    <w:rsid w:val="00AB4A49"/>
    <w:rsid w:val="00AB5AB6"/>
    <w:rsid w:val="00AC0205"/>
    <w:rsid w:val="00AC4329"/>
    <w:rsid w:val="00AC5ADD"/>
    <w:rsid w:val="00AD6A8B"/>
    <w:rsid w:val="00AE009D"/>
    <w:rsid w:val="00AE348D"/>
    <w:rsid w:val="00AE540F"/>
    <w:rsid w:val="00AE65BB"/>
    <w:rsid w:val="00AF1B25"/>
    <w:rsid w:val="00AF57B5"/>
    <w:rsid w:val="00B20B5D"/>
    <w:rsid w:val="00B24F2F"/>
    <w:rsid w:val="00B37DC6"/>
    <w:rsid w:val="00B46A19"/>
    <w:rsid w:val="00B532B6"/>
    <w:rsid w:val="00B6043B"/>
    <w:rsid w:val="00B61A7A"/>
    <w:rsid w:val="00B635BB"/>
    <w:rsid w:val="00B724C6"/>
    <w:rsid w:val="00B8194E"/>
    <w:rsid w:val="00B833D8"/>
    <w:rsid w:val="00B90EEC"/>
    <w:rsid w:val="00B931FF"/>
    <w:rsid w:val="00B95697"/>
    <w:rsid w:val="00B958A3"/>
    <w:rsid w:val="00BB1F0F"/>
    <w:rsid w:val="00BD40BE"/>
    <w:rsid w:val="00BD41EB"/>
    <w:rsid w:val="00BD74AF"/>
    <w:rsid w:val="00BD778C"/>
    <w:rsid w:val="00BE4576"/>
    <w:rsid w:val="00BE5FB4"/>
    <w:rsid w:val="00BF0A93"/>
    <w:rsid w:val="00BF78B9"/>
    <w:rsid w:val="00C026CE"/>
    <w:rsid w:val="00C118CC"/>
    <w:rsid w:val="00C16905"/>
    <w:rsid w:val="00C20D9C"/>
    <w:rsid w:val="00C53A54"/>
    <w:rsid w:val="00C64BD4"/>
    <w:rsid w:val="00C668BF"/>
    <w:rsid w:val="00C81E1C"/>
    <w:rsid w:val="00C83E39"/>
    <w:rsid w:val="00C908E2"/>
    <w:rsid w:val="00C9385A"/>
    <w:rsid w:val="00C97A58"/>
    <w:rsid w:val="00CB0626"/>
    <w:rsid w:val="00CC005C"/>
    <w:rsid w:val="00CC3947"/>
    <w:rsid w:val="00CC7529"/>
    <w:rsid w:val="00CD14D3"/>
    <w:rsid w:val="00CD61AC"/>
    <w:rsid w:val="00CF17A6"/>
    <w:rsid w:val="00CF638F"/>
    <w:rsid w:val="00D0109A"/>
    <w:rsid w:val="00D05373"/>
    <w:rsid w:val="00D136C2"/>
    <w:rsid w:val="00D307D3"/>
    <w:rsid w:val="00D33411"/>
    <w:rsid w:val="00D3416C"/>
    <w:rsid w:val="00D4786C"/>
    <w:rsid w:val="00D54128"/>
    <w:rsid w:val="00D548CB"/>
    <w:rsid w:val="00D62409"/>
    <w:rsid w:val="00D643CC"/>
    <w:rsid w:val="00D64649"/>
    <w:rsid w:val="00D74CCB"/>
    <w:rsid w:val="00D77CF0"/>
    <w:rsid w:val="00D81479"/>
    <w:rsid w:val="00D879F4"/>
    <w:rsid w:val="00D92533"/>
    <w:rsid w:val="00D97916"/>
    <w:rsid w:val="00DB4311"/>
    <w:rsid w:val="00DC3F87"/>
    <w:rsid w:val="00DD0920"/>
    <w:rsid w:val="00DE3FBB"/>
    <w:rsid w:val="00E105C5"/>
    <w:rsid w:val="00E17CA8"/>
    <w:rsid w:val="00E33464"/>
    <w:rsid w:val="00E5128A"/>
    <w:rsid w:val="00E530D0"/>
    <w:rsid w:val="00E57054"/>
    <w:rsid w:val="00E61DAD"/>
    <w:rsid w:val="00E66334"/>
    <w:rsid w:val="00E67749"/>
    <w:rsid w:val="00E74C7B"/>
    <w:rsid w:val="00E81075"/>
    <w:rsid w:val="00E8168C"/>
    <w:rsid w:val="00E83473"/>
    <w:rsid w:val="00E844E1"/>
    <w:rsid w:val="00E84BD4"/>
    <w:rsid w:val="00E9232B"/>
    <w:rsid w:val="00E96B10"/>
    <w:rsid w:val="00EB75A1"/>
    <w:rsid w:val="00EC1471"/>
    <w:rsid w:val="00ED164F"/>
    <w:rsid w:val="00EE641A"/>
    <w:rsid w:val="00EE70E9"/>
    <w:rsid w:val="00EE778D"/>
    <w:rsid w:val="00EF67F0"/>
    <w:rsid w:val="00EF7708"/>
    <w:rsid w:val="00EF7A3A"/>
    <w:rsid w:val="00F01D9D"/>
    <w:rsid w:val="00F0214F"/>
    <w:rsid w:val="00F04246"/>
    <w:rsid w:val="00F10DA9"/>
    <w:rsid w:val="00F11897"/>
    <w:rsid w:val="00F17055"/>
    <w:rsid w:val="00F2361B"/>
    <w:rsid w:val="00F277D1"/>
    <w:rsid w:val="00F315B0"/>
    <w:rsid w:val="00F32053"/>
    <w:rsid w:val="00F52CF2"/>
    <w:rsid w:val="00F60565"/>
    <w:rsid w:val="00F6446B"/>
    <w:rsid w:val="00F64477"/>
    <w:rsid w:val="00F651A8"/>
    <w:rsid w:val="00F73721"/>
    <w:rsid w:val="00F81C17"/>
    <w:rsid w:val="00F832F3"/>
    <w:rsid w:val="00F864DD"/>
    <w:rsid w:val="00F87A6F"/>
    <w:rsid w:val="00F91591"/>
    <w:rsid w:val="00F93027"/>
    <w:rsid w:val="00FA2D05"/>
    <w:rsid w:val="00FB20C8"/>
    <w:rsid w:val="00FD21ED"/>
    <w:rsid w:val="00FD57D5"/>
    <w:rsid w:val="00FD6B18"/>
    <w:rsid w:val="00FE083A"/>
    <w:rsid w:val="00FF1FA5"/>
    <w:rsid w:val="00FF31B2"/>
    <w:rsid w:val="02532F17"/>
    <w:rsid w:val="025B5F7F"/>
    <w:rsid w:val="0261E897"/>
    <w:rsid w:val="02EC321E"/>
    <w:rsid w:val="038A2658"/>
    <w:rsid w:val="059A46E7"/>
    <w:rsid w:val="07F348A6"/>
    <w:rsid w:val="0ABFE139"/>
    <w:rsid w:val="0AFD502E"/>
    <w:rsid w:val="0B233A5C"/>
    <w:rsid w:val="0B67BF4A"/>
    <w:rsid w:val="0B7178B4"/>
    <w:rsid w:val="0B966CCF"/>
    <w:rsid w:val="0E1D14B5"/>
    <w:rsid w:val="11405F8E"/>
    <w:rsid w:val="117DBA8F"/>
    <w:rsid w:val="12874462"/>
    <w:rsid w:val="134A69A3"/>
    <w:rsid w:val="15A9D1F6"/>
    <w:rsid w:val="16C57DF9"/>
    <w:rsid w:val="18F7C5E9"/>
    <w:rsid w:val="1B345999"/>
    <w:rsid w:val="1DDB0AC2"/>
    <w:rsid w:val="204A3A1A"/>
    <w:rsid w:val="2103E02C"/>
    <w:rsid w:val="212CC418"/>
    <w:rsid w:val="21F1FA42"/>
    <w:rsid w:val="22C273BE"/>
    <w:rsid w:val="231D8D0E"/>
    <w:rsid w:val="2362A208"/>
    <w:rsid w:val="23EF03E6"/>
    <w:rsid w:val="2732526F"/>
    <w:rsid w:val="2A0D62F0"/>
    <w:rsid w:val="2CD227BE"/>
    <w:rsid w:val="2DCFC03D"/>
    <w:rsid w:val="2E95188D"/>
    <w:rsid w:val="2F3147CC"/>
    <w:rsid w:val="329D66ED"/>
    <w:rsid w:val="3C0A426A"/>
    <w:rsid w:val="3CCB33BD"/>
    <w:rsid w:val="3CD1D991"/>
    <w:rsid w:val="3D698E38"/>
    <w:rsid w:val="3E445AF8"/>
    <w:rsid w:val="3E94D81A"/>
    <w:rsid w:val="4104137C"/>
    <w:rsid w:val="411CF206"/>
    <w:rsid w:val="41CF36A6"/>
    <w:rsid w:val="41D04873"/>
    <w:rsid w:val="41DF69D6"/>
    <w:rsid w:val="4663981F"/>
    <w:rsid w:val="46A633D7"/>
    <w:rsid w:val="491EFCFD"/>
    <w:rsid w:val="4BE6E332"/>
    <w:rsid w:val="4E2632B0"/>
    <w:rsid w:val="4E6B928C"/>
    <w:rsid w:val="501BED01"/>
    <w:rsid w:val="50E0CC1C"/>
    <w:rsid w:val="51206923"/>
    <w:rsid w:val="519AF346"/>
    <w:rsid w:val="525F8B4E"/>
    <w:rsid w:val="53B343BF"/>
    <w:rsid w:val="5425E7B4"/>
    <w:rsid w:val="56F4CCE2"/>
    <w:rsid w:val="571D2756"/>
    <w:rsid w:val="573DD850"/>
    <w:rsid w:val="587F3B23"/>
    <w:rsid w:val="5AE27B86"/>
    <w:rsid w:val="5B593127"/>
    <w:rsid w:val="5C8ED1E9"/>
    <w:rsid w:val="5CD632E8"/>
    <w:rsid w:val="5EDC7E19"/>
    <w:rsid w:val="64608356"/>
    <w:rsid w:val="646EBC70"/>
    <w:rsid w:val="66A86DDB"/>
    <w:rsid w:val="66D3052E"/>
    <w:rsid w:val="67228A36"/>
    <w:rsid w:val="6819D613"/>
    <w:rsid w:val="68BDFEB7"/>
    <w:rsid w:val="6C5456D6"/>
    <w:rsid w:val="6DF02737"/>
    <w:rsid w:val="6E105113"/>
    <w:rsid w:val="6EFF72F6"/>
    <w:rsid w:val="6F48F99D"/>
    <w:rsid w:val="70347445"/>
    <w:rsid w:val="7206EFE8"/>
    <w:rsid w:val="721A1653"/>
    <w:rsid w:val="79B10800"/>
    <w:rsid w:val="7C22F6A5"/>
    <w:rsid w:val="7C791271"/>
    <w:rsid w:val="7D586FA6"/>
    <w:rsid w:val="7DC8D29E"/>
    <w:rsid w:val="7DE3C191"/>
    <w:rsid w:val="7E048C0D"/>
    <w:rsid w:val="7E5BE948"/>
    <w:rsid w:val="7E7D03A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A463515"/>
  <w15:chartTrackingRefBased/>
  <w15:docId w15:val="{4CD19D8B-71AD-4DB0-8767-3E4093DC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5F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tabs>
        <w:tab w:val="left" w:pos="720"/>
      </w:tabs>
      <w:autoSpaceDE w:val="0"/>
      <w:autoSpaceDN w:val="0"/>
      <w:adjustRightInd w:val="0"/>
      <w:ind w:left="720" w:hanging="720"/>
    </w:pPr>
    <w:rPr>
      <w:rFonts w:ascii="Courier" w:hAnsi="Courier"/>
      <w:szCs w:val="24"/>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autoSpaceDE w:val="0"/>
      <w:autoSpaceDN w:val="0"/>
      <w:adjustRightInd w:val="0"/>
    </w:pPr>
    <w:rPr>
      <w:rFonts w:ascii="Courier" w:hAnsi="Courier"/>
      <w:sz w:val="20"/>
      <w:szCs w:val="20"/>
    </w:rPr>
  </w:style>
  <w:style w:type="paragraph" w:styleId="Title">
    <w:name w:val="Title"/>
    <w:basedOn w:val="Normal"/>
    <w:link w:val="TitleChar"/>
    <w:qFormat/>
    <w:rsid w:val="007706C9"/>
    <w:pPr>
      <w:widowControl w:val="0"/>
      <w:autoSpaceDE w:val="0"/>
      <w:autoSpaceDN w:val="0"/>
      <w:adjustRightInd w:val="0"/>
      <w:jc w:val="center"/>
    </w:pPr>
    <w:rPr>
      <w:rFonts w:ascii="Letter Gothic 12cpi" w:hAnsi="Letter Gothic 12cpi"/>
      <w:b/>
      <w:bCs/>
      <w:u w:val="single"/>
    </w:rPr>
  </w:style>
  <w:style w:type="character" w:customStyle="1" w:styleId="TitleChar">
    <w:name w:val="Title Char"/>
    <w:link w:val="Title"/>
    <w:rsid w:val="007706C9"/>
    <w:rPr>
      <w:rFonts w:ascii="Letter Gothic 12cpi" w:hAnsi="Letter Gothic 12cpi"/>
      <w:b/>
      <w:bCs/>
      <w:sz w:val="24"/>
      <w:szCs w:val="24"/>
      <w:u w:val="single"/>
    </w:rPr>
  </w:style>
  <w:style w:type="paragraph" w:styleId="Subtitle">
    <w:name w:val="Subtitle"/>
    <w:basedOn w:val="Normal"/>
    <w:link w:val="SubtitleChar"/>
    <w:qFormat/>
    <w:rsid w:val="007706C9"/>
    <w:pPr>
      <w:widowControl w:val="0"/>
      <w:autoSpaceDE w:val="0"/>
      <w:autoSpaceDN w:val="0"/>
      <w:adjustRightInd w:val="0"/>
    </w:pPr>
    <w:rPr>
      <w:rFonts w:ascii="Letter Gothic 12cpi" w:hAnsi="Letter Gothic 12cpi"/>
      <w:b/>
      <w:bCs/>
      <w:u w:val="single"/>
    </w:rPr>
  </w:style>
  <w:style w:type="character" w:customStyle="1" w:styleId="SubtitleChar">
    <w:name w:val="Subtitle Char"/>
    <w:link w:val="Subtitle"/>
    <w:rsid w:val="007706C9"/>
    <w:rPr>
      <w:rFonts w:ascii="Letter Gothic 12cpi" w:hAnsi="Letter Gothic 12cpi"/>
      <w:b/>
      <w:bCs/>
      <w:sz w:val="24"/>
      <w:szCs w:val="24"/>
      <w:u w:val="single"/>
    </w:rPr>
  </w:style>
  <w:style w:type="paragraph" w:styleId="NormalWeb">
    <w:name w:val="Normal (Web)"/>
    <w:basedOn w:val="Normal"/>
    <w:rsid w:val="00D879F4"/>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rsid w:val="00C83E39"/>
    <w:rPr>
      <w:rFonts w:ascii="Tahoma" w:hAnsi="Tahoma" w:cs="Tahoma"/>
      <w:sz w:val="16"/>
      <w:szCs w:val="16"/>
    </w:rPr>
  </w:style>
  <w:style w:type="character" w:customStyle="1" w:styleId="BalloonTextChar">
    <w:name w:val="Balloon Text Char"/>
    <w:link w:val="BalloonText"/>
    <w:rsid w:val="00C83E39"/>
    <w:rPr>
      <w:rFonts w:ascii="Tahoma" w:hAnsi="Tahoma" w:cs="Tahoma"/>
      <w:sz w:val="16"/>
      <w:szCs w:val="16"/>
    </w:rPr>
  </w:style>
  <w:style w:type="character" w:styleId="CommentReference">
    <w:name w:val="annotation reference"/>
    <w:rsid w:val="00C83E39"/>
    <w:rPr>
      <w:sz w:val="16"/>
      <w:szCs w:val="16"/>
    </w:rPr>
  </w:style>
  <w:style w:type="paragraph" w:styleId="CommentText">
    <w:name w:val="annotation text"/>
    <w:basedOn w:val="Normal"/>
    <w:link w:val="CommentTextChar"/>
    <w:rsid w:val="00C83E39"/>
    <w:rPr>
      <w:sz w:val="20"/>
      <w:szCs w:val="20"/>
    </w:rPr>
  </w:style>
  <w:style w:type="character" w:customStyle="1" w:styleId="CommentTextChar">
    <w:name w:val="Comment Text Char"/>
    <w:basedOn w:val="DefaultParagraphFont"/>
    <w:link w:val="CommentText"/>
    <w:rsid w:val="00C83E39"/>
  </w:style>
  <w:style w:type="paragraph" w:styleId="CommentSubject">
    <w:name w:val="annotation subject"/>
    <w:basedOn w:val="CommentText"/>
    <w:next w:val="CommentText"/>
    <w:link w:val="CommentSubjectChar"/>
    <w:rsid w:val="00C83E39"/>
    <w:rPr>
      <w:b/>
      <w:bCs/>
    </w:rPr>
  </w:style>
  <w:style w:type="character" w:customStyle="1" w:styleId="CommentSubjectChar">
    <w:name w:val="Comment Subject Char"/>
    <w:link w:val="CommentSubject"/>
    <w:rsid w:val="00C83E39"/>
    <w:rPr>
      <w:b/>
      <w:bCs/>
    </w:rPr>
  </w:style>
  <w:style w:type="paragraph" w:styleId="Header">
    <w:name w:val="header"/>
    <w:basedOn w:val="Normal"/>
    <w:link w:val="HeaderChar"/>
    <w:rsid w:val="00BD40BE"/>
    <w:pPr>
      <w:tabs>
        <w:tab w:val="center" w:pos="4680"/>
        <w:tab w:val="right" w:pos="9360"/>
      </w:tabs>
    </w:pPr>
  </w:style>
  <w:style w:type="character" w:customStyle="1" w:styleId="HeaderChar">
    <w:name w:val="Header Char"/>
    <w:link w:val="Header"/>
    <w:rsid w:val="00BD40BE"/>
    <w:rPr>
      <w:sz w:val="24"/>
      <w:szCs w:val="24"/>
    </w:rPr>
  </w:style>
  <w:style w:type="character" w:customStyle="1" w:styleId="FooterChar">
    <w:name w:val="Footer Char"/>
    <w:link w:val="Footer"/>
    <w:uiPriority w:val="99"/>
    <w:rsid w:val="00BD40BE"/>
    <w:rPr>
      <w:rFonts w:ascii="Courier" w:hAnsi="Courier"/>
    </w:rPr>
  </w:style>
  <w:style w:type="paragraph" w:styleId="Revision">
    <w:name w:val="Revision"/>
    <w:hidden/>
    <w:uiPriority w:val="99"/>
    <w:semiHidden/>
    <w:rsid w:val="00CC7529"/>
    <w:rPr>
      <w:sz w:val="24"/>
      <w:szCs w:val="24"/>
    </w:rPr>
  </w:style>
  <w:style w:type="paragraph" w:styleId="FootnoteText">
    <w:name w:val="footnote text"/>
    <w:basedOn w:val="Normal"/>
    <w:link w:val="FootnoteTextChar"/>
    <w:rsid w:val="001067AD"/>
    <w:rPr>
      <w:sz w:val="20"/>
      <w:szCs w:val="20"/>
    </w:rPr>
  </w:style>
  <w:style w:type="character" w:customStyle="1" w:styleId="FootnoteTextChar">
    <w:name w:val="Footnote Text Char"/>
    <w:basedOn w:val="DefaultParagraphFont"/>
    <w:link w:val="FootnoteText"/>
    <w:rsid w:val="001067AD"/>
  </w:style>
  <w:style w:type="character" w:styleId="FootnoteReference">
    <w:name w:val="footnote reference"/>
    <w:rsid w:val="001067AD"/>
    <w:rPr>
      <w:vertAlign w:val="superscript"/>
    </w:rPr>
  </w:style>
  <w:style w:type="character" w:styleId="Hyperlink">
    <w:name w:val="Hyperlink"/>
    <w:basedOn w:val="DefaultParagraphFont"/>
    <w:rsid w:val="002430BE"/>
    <w:rPr>
      <w:color w:val="0563C1" w:themeColor="hyperlink"/>
      <w:u w:val="single"/>
    </w:rPr>
  </w:style>
  <w:style w:type="character" w:customStyle="1" w:styleId="UnresolvedMention1">
    <w:name w:val="Unresolved Mention1"/>
    <w:basedOn w:val="DefaultParagraphFont"/>
    <w:uiPriority w:val="99"/>
    <w:semiHidden/>
    <w:unhideWhenUsed/>
    <w:rsid w:val="002430BE"/>
    <w:rPr>
      <w:color w:val="808080"/>
      <w:shd w:val="clear" w:color="auto" w:fill="E6E6E6"/>
    </w:rPr>
  </w:style>
  <w:style w:type="table" w:styleId="TableGrid">
    <w:name w:val="Table Grid"/>
    <w:basedOn w:val="TableNormal"/>
    <w:rsid w:val="00295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04C93"/>
    <w:pPr>
      <w:spacing w:before="100" w:beforeAutospacing="1" w:after="100" w:afterAutospacing="1"/>
    </w:pPr>
  </w:style>
  <w:style w:type="character" w:customStyle="1" w:styleId="eop">
    <w:name w:val="eop"/>
    <w:basedOn w:val="DefaultParagraphFont"/>
    <w:rsid w:val="00604C93"/>
  </w:style>
  <w:style w:type="character" w:customStyle="1" w:styleId="normaltextrun">
    <w:name w:val="normaltextrun"/>
    <w:basedOn w:val="DefaultParagraphFont"/>
    <w:rsid w:val="00604C93"/>
  </w:style>
  <w:style w:type="character" w:styleId="Emphasis">
    <w:name w:val="Emphasis"/>
    <w:basedOn w:val="DefaultParagraphFont"/>
    <w:qFormat/>
    <w:rsid w:val="00BF78B9"/>
    <w:rPr>
      <w:i/>
      <w:iCs/>
    </w:rPr>
  </w:style>
  <w:style w:type="character" w:styleId="UnresolvedMention">
    <w:name w:val="Unresolved Mention"/>
    <w:basedOn w:val="DefaultParagraphFont"/>
    <w:uiPriority w:val="99"/>
    <w:semiHidden/>
    <w:unhideWhenUsed/>
    <w:rsid w:val="009E0387"/>
    <w:rPr>
      <w:color w:val="605E5C"/>
      <w:shd w:val="clear" w:color="auto" w:fill="E1DFDD"/>
    </w:rPr>
  </w:style>
  <w:style w:type="character" w:styleId="FollowedHyperlink">
    <w:name w:val="FollowedHyperlink"/>
    <w:basedOn w:val="DefaultParagraphFont"/>
    <w:rsid w:val="003324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reginfo.gov/public/do/PRAOMBHistory?ombControlNumber=2137-0039" TargetMode="External" /><Relationship Id="rId2" Type="http://schemas.openxmlformats.org/officeDocument/2006/relationships/hyperlink" Target="https://www.phmsa.dot.gov/sites/phmsa.dot.gov/files/docs/standards-rulemaking/rulemakings/archived-rulemakings/67616/35fr-16836.pdf" TargetMode="External" /><Relationship Id="rId3" Type="http://schemas.openxmlformats.org/officeDocument/2006/relationships/hyperlink" Target="https://www.federalregister.gov/documents/2004/05/26/04-11398/hazardous-materials-revisions-to-incident-reporting-requirements-and-the-hazardous-materials" TargetMode="External" /><Relationship Id="rId4" Type="http://schemas.openxmlformats.org/officeDocument/2006/relationships/hyperlink" Target="https://www.ntsb.gov/safety/safety-recs/recletters/H92_1_6.pdf" TargetMode="External" /><Relationship Id="rId5" Type="http://schemas.openxmlformats.org/officeDocument/2006/relationships/hyperlink" Target="https://www.ntsb.gov/safety/safety-recs/recletters/R89_52_54.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ce6949-99fe-4549-b75a-2322037c47c1" xsi:nil="true"/>
    <lcf76f155ced4ddcb4097134ff3c332f xmlns="63ed583d-7590-47b9-98bc-2af72f9646a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EB2C590C5B0E548BBB80B30B4757BD0" ma:contentTypeVersion="19" ma:contentTypeDescription="Create a new document." ma:contentTypeScope="" ma:versionID="3cc3cf1dbabb3c3a6b39e31d423faf90">
  <xsd:schema xmlns:xsd="http://www.w3.org/2001/XMLSchema" xmlns:xs="http://www.w3.org/2001/XMLSchema" xmlns:p="http://schemas.microsoft.com/office/2006/metadata/properties" xmlns:ns2="63ed583d-7590-47b9-98bc-2af72f9646ac" xmlns:ns3="b3ce6949-99fe-4549-b75a-2322037c47c1" targetNamespace="http://schemas.microsoft.com/office/2006/metadata/properties" ma:root="true" ma:fieldsID="6fd6b04209ab51b14e5101e048638c21" ns2:_="" ns3:_="">
    <xsd:import namespace="63ed583d-7590-47b9-98bc-2af72f9646ac"/>
    <xsd:import namespace="b3ce6949-99fe-4549-b75a-2322037c4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d583d-7590-47b9-98bc-2af72f96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ce6949-99fe-4549-b75a-2322037c4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33cde4-2013-41d4-a110-f16b355bebe5}" ma:internalName="TaxCatchAll" ma:showField="CatchAllData" ma:web="b3ce6949-99fe-4549-b75a-2322037c4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7AF49-C838-493E-B848-68DF82C8639F}">
  <ds:schemaRefs>
    <ds:schemaRef ds:uri="http://schemas.microsoft.com/office/2006/metadata/properties"/>
    <ds:schemaRef ds:uri="http://schemas.microsoft.com/office/infopath/2007/PartnerControls"/>
    <ds:schemaRef ds:uri="b3ce6949-99fe-4549-b75a-2322037c47c1"/>
    <ds:schemaRef ds:uri="63ed583d-7590-47b9-98bc-2af72f9646ac"/>
  </ds:schemaRefs>
</ds:datastoreItem>
</file>

<file path=customXml/itemProps2.xml><?xml version="1.0" encoding="utf-8"?>
<ds:datastoreItem xmlns:ds="http://schemas.openxmlformats.org/officeDocument/2006/customXml" ds:itemID="{3BB8F3B2-2C36-4DD2-8A93-8BB6A3EE147C}">
  <ds:schemaRefs>
    <ds:schemaRef ds:uri="http://schemas.openxmlformats.org/officeDocument/2006/bibliography"/>
  </ds:schemaRefs>
</ds:datastoreItem>
</file>

<file path=customXml/itemProps3.xml><?xml version="1.0" encoding="utf-8"?>
<ds:datastoreItem xmlns:ds="http://schemas.openxmlformats.org/officeDocument/2006/customXml" ds:itemID="{07A5C7B8-5994-46CF-ACBC-F52EDA679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d583d-7590-47b9-98bc-2af72f9646ac"/>
    <ds:schemaRef ds:uri="b3ce6949-99fe-4549-b75a-2322037c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546DF6-74CC-46BA-9E7E-ED46B2F072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Pages>
  <Words>2163</Words>
  <Characters>12333</Characters>
  <Application>Microsoft Office Word</Application>
  <DocSecurity>0</DocSecurity>
  <Lines>102</Lines>
  <Paragraphs>28</Paragraphs>
  <ScaleCrop>false</ScaleCrop>
  <Company>USDOT</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Materials Incident Reports</dc:title>
  <dc:creator>Foster, T. Glenn</dc:creator>
  <cp:lastModifiedBy>Andrews, Steven (PHMSA)</cp:lastModifiedBy>
  <cp:revision>121</cp:revision>
  <cp:lastPrinted>2016-12-02T15:04:00Z</cp:lastPrinted>
  <dcterms:created xsi:type="dcterms:W3CDTF">2020-04-13T17:06:00Z</dcterms:created>
  <dcterms:modified xsi:type="dcterms:W3CDTF">2023-06-22T14:53:00Z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0x010100FEB2C590C5B0E548BBB80B30B4757BD0</vt:lpwstr>
  </property>
  <property fmtid="{D5CDD505-2E9C-101B-9397-08002B2CF9AE}" pid="3" name="MediaServiceImageTags">
    <vt:lpwstr/>
  </property>
</Properties>
</file>