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533F" w:rsidP="005C533F" w14:paraId="361BE2D5" w14:textId="77777777">
      <w:pPr>
        <w:ind w:firstLine="2880"/>
        <w:jc w:val="right"/>
        <w:rPr>
          <w:b/>
          <w:bCs/>
          <w:sz w:val="26"/>
          <w:szCs w:val="26"/>
        </w:rPr>
      </w:pPr>
      <w:bookmarkStart w:id="0" w:name="_Hlk135140479"/>
      <w:r>
        <w:rPr>
          <w:b/>
          <w:bCs/>
          <w:sz w:val="26"/>
          <w:szCs w:val="26"/>
        </w:rPr>
        <w:t xml:space="preserve">Confidential Close Call Transit Data        </w:t>
      </w:r>
    </w:p>
    <w:p w:rsidR="005C533F" w:rsidP="005C533F" w14:paraId="66D9CF68" w14:textId="77777777">
      <w:pPr>
        <w:ind w:firstLine="288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OMB Control Number 2138</w:t>
      </w:r>
      <w:r w:rsidRPr="004F6E90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0044</w:t>
      </w:r>
    </w:p>
    <w:bookmarkEnd w:id="0"/>
    <w:p w:rsidR="0036626D" w:rsidRPr="004F6E90" w:rsidP="004F6E90" w14:paraId="4AF84AE0" w14:textId="77777777">
      <w:pPr>
        <w:ind w:firstLine="2880"/>
        <w:jc w:val="right"/>
        <w:rPr>
          <w:bCs/>
          <w:sz w:val="26"/>
          <w:szCs w:val="26"/>
        </w:rPr>
      </w:pPr>
    </w:p>
    <w:p w:rsidR="005C533F" w14:paraId="76A1F61C" w14:textId="77777777">
      <w:pPr>
        <w:ind w:firstLine="2880"/>
        <w:rPr>
          <w:b/>
          <w:bCs/>
          <w:sz w:val="26"/>
          <w:szCs w:val="26"/>
        </w:rPr>
      </w:pPr>
    </w:p>
    <w:p w:rsidR="007B3A70" w:rsidRPr="00CC0E03" w14:paraId="38E7540F" w14:textId="5152F586">
      <w:pPr>
        <w:ind w:firstLine="2880"/>
        <w:rPr>
          <w:sz w:val="26"/>
          <w:szCs w:val="26"/>
        </w:rPr>
      </w:pPr>
      <w:r w:rsidRPr="00CC0E03">
        <w:rPr>
          <w:b/>
          <w:bCs/>
          <w:sz w:val="26"/>
          <w:szCs w:val="26"/>
        </w:rPr>
        <w:t>SUPPORTING STATEMENT</w:t>
      </w:r>
      <w:r w:rsidRPr="00CC0E03">
        <w:rPr>
          <w:sz w:val="26"/>
          <w:szCs w:val="26"/>
        </w:rPr>
        <w:tab/>
      </w:r>
      <w:r w:rsidRPr="00CC0E03">
        <w:rPr>
          <w:sz w:val="26"/>
          <w:szCs w:val="26"/>
        </w:rPr>
        <w:tab/>
      </w:r>
      <w:r w:rsidRPr="00CC0E03">
        <w:rPr>
          <w:sz w:val="26"/>
          <w:szCs w:val="26"/>
        </w:rPr>
        <w:tab/>
      </w:r>
      <w:r w:rsidRPr="00CC0E03">
        <w:rPr>
          <w:sz w:val="26"/>
          <w:szCs w:val="26"/>
        </w:rPr>
        <w:tab/>
      </w:r>
    </w:p>
    <w:p w:rsidR="007B3A70" w:rsidRPr="00CC0E03" w14:paraId="1D909A38" w14:textId="77777777">
      <w:pPr>
        <w:rPr>
          <w:sz w:val="26"/>
          <w:szCs w:val="26"/>
        </w:rPr>
      </w:pPr>
    </w:p>
    <w:p w:rsidR="007B3A70" w:rsidRPr="00CC0E03" w:rsidP="003F6279" w14:paraId="4F7916DB" w14:textId="77777777">
      <w:pPr>
        <w:numPr>
          <w:ilvl w:val="1"/>
          <w:numId w:val="6"/>
        </w:numPr>
        <w:rPr>
          <w:b/>
          <w:bCs/>
          <w:sz w:val="26"/>
          <w:szCs w:val="26"/>
          <w:u w:val="single"/>
        </w:rPr>
      </w:pPr>
      <w:r w:rsidRPr="00CC0E03">
        <w:rPr>
          <w:b/>
          <w:bCs/>
          <w:sz w:val="26"/>
          <w:szCs w:val="26"/>
          <w:u w:val="single"/>
        </w:rPr>
        <w:t>Collection of Information Employing Statistical Methods</w:t>
      </w:r>
    </w:p>
    <w:p w:rsidR="00954B25" w:rsidRPr="00CC0E03" w:rsidP="00954B25" w14:paraId="736EB875" w14:textId="77777777">
      <w:pPr>
        <w:rPr>
          <w:b/>
          <w:bCs/>
          <w:sz w:val="26"/>
          <w:szCs w:val="26"/>
          <w:u w:val="single"/>
        </w:rPr>
      </w:pPr>
    </w:p>
    <w:p w:rsidR="00954B25" w:rsidRPr="00CC0E03" w:rsidP="00954B25" w14:paraId="79A745BB" w14:textId="77777777">
      <w:pPr>
        <w:rPr>
          <w:b/>
          <w:bCs/>
          <w:sz w:val="26"/>
          <w:szCs w:val="26"/>
        </w:rPr>
      </w:pPr>
      <w:r w:rsidRPr="00CC0E03">
        <w:rPr>
          <w:b/>
          <w:bCs/>
          <w:sz w:val="26"/>
          <w:szCs w:val="26"/>
        </w:rPr>
        <w:t>1. Describe the Survey Procedures.</w:t>
      </w:r>
    </w:p>
    <w:p w:rsidR="00954B25" w:rsidRPr="00CC0E03" w:rsidP="00954B25" w14:paraId="212B000F" w14:textId="77777777">
      <w:pPr>
        <w:rPr>
          <w:sz w:val="26"/>
          <w:szCs w:val="26"/>
        </w:rPr>
      </w:pPr>
    </w:p>
    <w:p w:rsidR="0063190E" w:rsidP="00D26460" w14:paraId="09AE134C" w14:textId="4EB02677">
      <w:pPr>
        <w:rPr>
          <w:sz w:val="24"/>
        </w:rPr>
      </w:pPr>
      <w:r w:rsidRPr="00CC0E03">
        <w:rPr>
          <w:sz w:val="24"/>
        </w:rPr>
        <w:t xml:space="preserve">This data collection </w:t>
      </w:r>
      <w:r w:rsidRPr="00CC0E03" w:rsidR="006E46FD">
        <w:rPr>
          <w:sz w:val="24"/>
        </w:rPr>
        <w:t>is voluntary</w:t>
      </w:r>
      <w:r w:rsidR="00401E1E">
        <w:rPr>
          <w:sz w:val="24"/>
        </w:rPr>
        <w:t>, and reporting mechanisms are</w:t>
      </w:r>
      <w:r w:rsidRPr="00CC0E03" w:rsidR="006E46FD">
        <w:rPr>
          <w:sz w:val="24"/>
        </w:rPr>
        <w:t xml:space="preserve"> provided </w:t>
      </w:r>
      <w:r w:rsidR="00401E1E">
        <w:rPr>
          <w:sz w:val="24"/>
        </w:rPr>
        <w:t>by BTS and made accessible to WMATA employees.</w:t>
      </w:r>
      <w:r>
        <w:rPr>
          <w:sz w:val="24"/>
        </w:rPr>
        <w:t xml:space="preserve"> </w:t>
      </w:r>
      <w:r w:rsidRPr="00CC0E03" w:rsidR="004C31C0">
        <w:rPr>
          <w:sz w:val="24"/>
        </w:rPr>
        <w:t>Unlike a survey</w:t>
      </w:r>
      <w:r w:rsidRPr="00CC0E03" w:rsidR="00813CE7">
        <w:rPr>
          <w:sz w:val="24"/>
        </w:rPr>
        <w:t>,</w:t>
      </w:r>
      <w:r w:rsidRPr="00CC0E03" w:rsidR="004C31C0">
        <w:rPr>
          <w:sz w:val="24"/>
        </w:rPr>
        <w:t xml:space="preserve"> where all respondents are expected to </w:t>
      </w:r>
      <w:r w:rsidR="00401E1E">
        <w:rPr>
          <w:sz w:val="24"/>
        </w:rPr>
        <w:t xml:space="preserve">acknowledge the request for information, </w:t>
      </w:r>
      <w:r w:rsidRPr="00CC0E03" w:rsidR="0044745B">
        <w:rPr>
          <w:sz w:val="24"/>
        </w:rPr>
        <w:t xml:space="preserve">BTS </w:t>
      </w:r>
      <w:r w:rsidRPr="00CC0E03" w:rsidR="006E46FD">
        <w:rPr>
          <w:sz w:val="24"/>
        </w:rPr>
        <w:t>receive</w:t>
      </w:r>
      <w:r w:rsidR="00401E1E">
        <w:rPr>
          <w:sz w:val="24"/>
        </w:rPr>
        <w:t>s</w:t>
      </w:r>
      <w:r w:rsidRPr="00CC0E03" w:rsidR="006E46FD">
        <w:rPr>
          <w:sz w:val="24"/>
        </w:rPr>
        <w:t xml:space="preserve"> </w:t>
      </w:r>
      <w:r w:rsidRPr="00CC0E03" w:rsidR="004C31C0">
        <w:rPr>
          <w:sz w:val="24"/>
        </w:rPr>
        <w:t>report</w:t>
      </w:r>
      <w:r w:rsidRPr="00CC0E03" w:rsidR="006E46FD">
        <w:rPr>
          <w:sz w:val="24"/>
        </w:rPr>
        <w:t>s</w:t>
      </w:r>
      <w:r w:rsidRPr="00CC0E03" w:rsidR="004C31C0">
        <w:rPr>
          <w:sz w:val="24"/>
        </w:rPr>
        <w:t xml:space="preserve"> </w:t>
      </w:r>
      <w:r w:rsidRPr="00CC0E03" w:rsidR="00B2650E">
        <w:rPr>
          <w:sz w:val="24"/>
        </w:rPr>
        <w:t xml:space="preserve">when </w:t>
      </w:r>
      <w:r w:rsidRPr="00CC0E03" w:rsidR="00280ED1">
        <w:rPr>
          <w:sz w:val="24"/>
        </w:rPr>
        <w:t>industry submits them</w:t>
      </w:r>
      <w:r w:rsidRPr="00CC0E03" w:rsidR="006E46FD">
        <w:rPr>
          <w:sz w:val="24"/>
        </w:rPr>
        <w:t>.  T</w:t>
      </w:r>
      <w:r w:rsidRPr="00CC0E03" w:rsidR="00B2650E">
        <w:rPr>
          <w:sz w:val="24"/>
        </w:rPr>
        <w:t>here is no sample selection for this data collection</w:t>
      </w:r>
      <w:r w:rsidR="00FE7C2F">
        <w:rPr>
          <w:sz w:val="24"/>
        </w:rPr>
        <w:t xml:space="preserve">; </w:t>
      </w:r>
      <w:r w:rsidR="00401E1E">
        <w:rPr>
          <w:sz w:val="24"/>
        </w:rPr>
        <w:t xml:space="preserve">again, </w:t>
      </w:r>
      <w:r w:rsidRPr="00CC0E03" w:rsidR="006E46FD">
        <w:rPr>
          <w:sz w:val="24"/>
        </w:rPr>
        <w:t xml:space="preserve">reporting is voluntary.  </w:t>
      </w:r>
    </w:p>
    <w:p w:rsidR="0063190E" w:rsidP="00D26460" w14:paraId="762707E6" w14:textId="77777777">
      <w:pPr>
        <w:rPr>
          <w:sz w:val="24"/>
        </w:rPr>
      </w:pPr>
    </w:p>
    <w:p w:rsidR="006F3718" w:rsidRPr="00CC0E03" w:rsidP="00D26460" w14:paraId="5266F2B9" w14:textId="0B9DA73A">
      <w:pPr>
        <w:rPr>
          <w:sz w:val="24"/>
        </w:rPr>
      </w:pPr>
      <w:r>
        <w:rPr>
          <w:sz w:val="24"/>
        </w:rPr>
        <w:t xml:space="preserve">Respondents </w:t>
      </w:r>
      <w:r w:rsidR="005C533F">
        <w:rPr>
          <w:sz w:val="24"/>
        </w:rPr>
        <w:t>can</w:t>
      </w:r>
      <w:r w:rsidRPr="00CC0E03" w:rsidR="00954B25">
        <w:rPr>
          <w:sz w:val="24"/>
        </w:rPr>
        <w:t xml:space="preserve"> submit reports to </w:t>
      </w:r>
      <w:r w:rsidRPr="00CC0E03">
        <w:rPr>
          <w:sz w:val="24"/>
        </w:rPr>
        <w:t>BTS</w:t>
      </w:r>
      <w:r w:rsidRPr="00CC0E03" w:rsidR="00954B25">
        <w:rPr>
          <w:sz w:val="24"/>
        </w:rPr>
        <w:t xml:space="preserve"> whenever they experience a qualifying event</w:t>
      </w:r>
      <w:r w:rsidRPr="00CC0E03" w:rsidR="003768BC">
        <w:rPr>
          <w:sz w:val="24"/>
        </w:rPr>
        <w:t>,</w:t>
      </w:r>
      <w:r w:rsidR="0063190E">
        <w:rPr>
          <w:sz w:val="24"/>
        </w:rPr>
        <w:t xml:space="preserve"> or close call.  </w:t>
      </w:r>
    </w:p>
    <w:p w:rsidR="00954B25" w:rsidRPr="00CC0E03" w:rsidP="00D26460" w14:paraId="527A79E6" w14:textId="77777777">
      <w:pPr>
        <w:ind w:left="360"/>
        <w:rPr>
          <w:sz w:val="24"/>
        </w:rPr>
      </w:pPr>
    </w:p>
    <w:p w:rsidR="00954B25" w:rsidRPr="00CC0E03" w:rsidP="00D26460" w14:paraId="3FA34C77" w14:textId="77777777">
      <w:pPr>
        <w:rPr>
          <w:b/>
          <w:sz w:val="24"/>
        </w:rPr>
      </w:pPr>
      <w:r w:rsidRPr="00CC0E03">
        <w:rPr>
          <w:b/>
          <w:sz w:val="24"/>
        </w:rPr>
        <w:t>2. Description of procedures for the collection of information.</w:t>
      </w:r>
    </w:p>
    <w:p w:rsidR="00954B25" w:rsidRPr="00CC0E03" w:rsidP="00D26460" w14:paraId="76B937E3" w14:textId="77777777">
      <w:pPr>
        <w:rPr>
          <w:sz w:val="24"/>
        </w:rPr>
      </w:pPr>
    </w:p>
    <w:p w:rsidR="00954B25" w:rsidRPr="00CC0E03" w:rsidP="00D26460" w14:paraId="3AA1E452" w14:textId="5BD36EDF">
      <w:pPr>
        <w:rPr>
          <w:sz w:val="24"/>
        </w:rPr>
      </w:pPr>
      <w:r w:rsidRPr="00CC0E03">
        <w:rPr>
          <w:sz w:val="24"/>
        </w:rPr>
        <w:t xml:space="preserve">Respondents </w:t>
      </w:r>
      <w:r w:rsidRPr="00CC0E03" w:rsidR="00280ED1">
        <w:rPr>
          <w:sz w:val="24"/>
        </w:rPr>
        <w:t>have the option to</w:t>
      </w:r>
      <w:r w:rsidR="004369FD">
        <w:rPr>
          <w:sz w:val="24"/>
        </w:rPr>
        <w:t xml:space="preserve"> </w:t>
      </w:r>
      <w:r w:rsidR="0011661A">
        <w:rPr>
          <w:sz w:val="24"/>
        </w:rPr>
        <w:t>fill out an online reporting form</w:t>
      </w:r>
      <w:r w:rsidRPr="00CC0E03" w:rsidR="00280ED1">
        <w:rPr>
          <w:sz w:val="24"/>
        </w:rPr>
        <w:t xml:space="preserve"> </w:t>
      </w:r>
      <w:r w:rsidR="0011661A">
        <w:rPr>
          <w:sz w:val="24"/>
        </w:rPr>
        <w:t xml:space="preserve">or </w:t>
      </w:r>
      <w:r w:rsidR="004369FD">
        <w:rPr>
          <w:sz w:val="24"/>
        </w:rPr>
        <w:t>make a submission</w:t>
      </w:r>
      <w:r w:rsidR="0011661A">
        <w:rPr>
          <w:sz w:val="24"/>
        </w:rPr>
        <w:t xml:space="preserve"> by dialing the BTS 1-800 telephone line. </w:t>
      </w:r>
      <w:r w:rsidRPr="00CC0E03">
        <w:rPr>
          <w:sz w:val="24"/>
        </w:rPr>
        <w:t xml:space="preserve">Respondents will </w:t>
      </w:r>
      <w:r w:rsidRPr="00CC0E03" w:rsidR="00280ED1">
        <w:rPr>
          <w:sz w:val="24"/>
        </w:rPr>
        <w:t xml:space="preserve">provide </w:t>
      </w:r>
      <w:r w:rsidRPr="00CC0E03">
        <w:rPr>
          <w:sz w:val="24"/>
        </w:rPr>
        <w:t>information such as: (1) Name and contact information</w:t>
      </w:r>
      <w:r w:rsidRPr="00CC0E03" w:rsidR="00690DA3">
        <w:rPr>
          <w:sz w:val="24"/>
        </w:rPr>
        <w:t xml:space="preserve">; (2) time and location of the </w:t>
      </w:r>
      <w:r w:rsidR="0011661A">
        <w:rPr>
          <w:sz w:val="24"/>
        </w:rPr>
        <w:t>close call</w:t>
      </w:r>
      <w:r w:rsidRPr="00CC0E03">
        <w:rPr>
          <w:sz w:val="24"/>
        </w:rPr>
        <w:t xml:space="preserve">; (3) </w:t>
      </w:r>
      <w:r w:rsidR="007721E5">
        <w:rPr>
          <w:sz w:val="24"/>
        </w:rPr>
        <w:t xml:space="preserve">provide </w:t>
      </w:r>
      <w:r w:rsidRPr="00CC0E03">
        <w:rPr>
          <w:sz w:val="24"/>
        </w:rPr>
        <w:t xml:space="preserve">a short description of the </w:t>
      </w:r>
      <w:r w:rsidR="0011661A">
        <w:rPr>
          <w:sz w:val="24"/>
        </w:rPr>
        <w:t>event</w:t>
      </w:r>
      <w:r w:rsidRPr="00CC0E03">
        <w:rPr>
          <w:sz w:val="24"/>
        </w:rPr>
        <w:t xml:space="preserve"> and</w:t>
      </w:r>
      <w:r w:rsidR="0011661A">
        <w:rPr>
          <w:sz w:val="24"/>
        </w:rPr>
        <w:t xml:space="preserve"> the</w:t>
      </w:r>
      <w:r w:rsidRPr="00CC0E03">
        <w:rPr>
          <w:sz w:val="24"/>
        </w:rPr>
        <w:t xml:space="preserve"> conditions that existed at the time of the event; (4) </w:t>
      </w:r>
      <w:r w:rsidR="007721E5">
        <w:rPr>
          <w:sz w:val="24"/>
        </w:rPr>
        <w:t xml:space="preserve">share </w:t>
      </w:r>
      <w:r w:rsidRPr="00CC0E03">
        <w:rPr>
          <w:sz w:val="24"/>
        </w:rPr>
        <w:t>contributing factors</w:t>
      </w:r>
      <w:r w:rsidR="007721E5">
        <w:rPr>
          <w:sz w:val="24"/>
        </w:rPr>
        <w:t xml:space="preserve"> that led up</w:t>
      </w:r>
      <w:r w:rsidRPr="00CC0E03">
        <w:rPr>
          <w:sz w:val="24"/>
        </w:rPr>
        <w:t xml:space="preserve"> to the event; </w:t>
      </w:r>
      <w:r w:rsidR="007721E5">
        <w:rPr>
          <w:sz w:val="24"/>
        </w:rPr>
        <w:t>and (5</w:t>
      </w:r>
      <w:r w:rsidRPr="00CC0E03">
        <w:rPr>
          <w:sz w:val="24"/>
        </w:rPr>
        <w:t xml:space="preserve">) any other information that might be useful in determining ways to prevents such </w:t>
      </w:r>
      <w:r w:rsidRPr="00CC0E03" w:rsidR="005902CB">
        <w:rPr>
          <w:sz w:val="24"/>
        </w:rPr>
        <w:t>events</w:t>
      </w:r>
      <w:r w:rsidRPr="00CC0E03">
        <w:rPr>
          <w:sz w:val="24"/>
        </w:rPr>
        <w:t xml:space="preserve"> from occurring.</w:t>
      </w:r>
    </w:p>
    <w:p w:rsidR="00D43749" w:rsidRPr="00CC0E03" w:rsidP="00D26460" w14:paraId="6FC0E425" w14:textId="77777777">
      <w:pPr>
        <w:rPr>
          <w:sz w:val="24"/>
        </w:rPr>
      </w:pPr>
    </w:p>
    <w:p w:rsidR="004369FD" w:rsidRPr="004369FD" w:rsidP="004369FD" w14:paraId="55FD4EC9" w14:textId="3F818547">
      <w:pPr>
        <w:rPr>
          <w:sz w:val="24"/>
        </w:rPr>
      </w:pPr>
      <w:r w:rsidRPr="00CC0E03">
        <w:rPr>
          <w:sz w:val="24"/>
        </w:rPr>
        <w:t xml:space="preserve">BTS will do the following: </w:t>
      </w:r>
      <w:r w:rsidR="00465B37">
        <w:rPr>
          <w:sz w:val="24"/>
        </w:rPr>
        <w:t xml:space="preserve">collect </w:t>
      </w:r>
      <w:r w:rsidR="00704889">
        <w:rPr>
          <w:sz w:val="24"/>
        </w:rPr>
        <w:t xml:space="preserve">close call </w:t>
      </w:r>
      <w:r w:rsidRPr="00CC0E03">
        <w:rPr>
          <w:sz w:val="24"/>
        </w:rPr>
        <w:t xml:space="preserve">reports </w:t>
      </w:r>
      <w:r w:rsidRPr="00CC0E03" w:rsidR="00D43749">
        <w:rPr>
          <w:sz w:val="24"/>
        </w:rPr>
        <w:t xml:space="preserve">submitted by </w:t>
      </w:r>
      <w:r w:rsidR="00465B37">
        <w:rPr>
          <w:sz w:val="24"/>
        </w:rPr>
        <w:t>WMATA employees</w:t>
      </w:r>
      <w:r w:rsidRPr="00CC0E03">
        <w:rPr>
          <w:sz w:val="24"/>
        </w:rPr>
        <w:t xml:space="preserve">.  BTS </w:t>
      </w:r>
      <w:r w:rsidR="00401E1E">
        <w:rPr>
          <w:sz w:val="24"/>
        </w:rPr>
        <w:t>continues to d</w:t>
      </w:r>
      <w:r w:rsidRPr="00CC0E03" w:rsidR="00D43749">
        <w:rPr>
          <w:sz w:val="24"/>
        </w:rPr>
        <w:t>evelop</w:t>
      </w:r>
      <w:r>
        <w:rPr>
          <w:sz w:val="24"/>
        </w:rPr>
        <w:t xml:space="preserve"> and steward</w:t>
      </w:r>
      <w:r w:rsidRPr="00CC0E03" w:rsidR="00D43749">
        <w:rPr>
          <w:sz w:val="24"/>
        </w:rPr>
        <w:t xml:space="preserve"> an analytical database using the reported data and other </w:t>
      </w:r>
      <w:r w:rsidR="00401E1E">
        <w:rPr>
          <w:sz w:val="24"/>
        </w:rPr>
        <w:t xml:space="preserve">appropriate </w:t>
      </w:r>
      <w:r w:rsidRPr="00CC0E03" w:rsidR="00D43749">
        <w:rPr>
          <w:sz w:val="24"/>
        </w:rPr>
        <w:t>information; conduct statistical analyses and develop public reports</w:t>
      </w:r>
      <w:r w:rsidR="00465B37">
        <w:rPr>
          <w:sz w:val="24"/>
        </w:rPr>
        <w:t xml:space="preserve"> while protecting </w:t>
      </w:r>
      <w:r w:rsidRPr="00CC0E03" w:rsidR="00D43749">
        <w:rPr>
          <w:sz w:val="24"/>
        </w:rPr>
        <w:t xml:space="preserve">the confidentiality of notices and reports in accordance with BTS’ own statute (49 U.S.C. § 6307) and </w:t>
      </w:r>
      <w:r>
        <w:rPr>
          <w:sz w:val="24"/>
        </w:rPr>
        <w:t xml:space="preserve">the </w:t>
      </w:r>
      <w:r w:rsidRPr="004369FD">
        <w:rPr>
          <w:sz w:val="24"/>
        </w:rPr>
        <w:t>Confidential Information Protection and Statistical Efficiency Act (CIPSEA) of 2018 (Pub. L: 115-435 Foundations for Evidence-Based Policymaking Act of 2018, Title III).</w:t>
      </w:r>
    </w:p>
    <w:p w:rsidR="00465B37" w:rsidP="00D26460" w14:paraId="71C44BDC" w14:textId="77777777">
      <w:pPr>
        <w:rPr>
          <w:sz w:val="24"/>
        </w:rPr>
      </w:pPr>
    </w:p>
    <w:p w:rsidR="00D43749" w:rsidRPr="00CC0E03" w:rsidP="00D26460" w14:paraId="129F24C5" w14:textId="77777777">
      <w:pPr>
        <w:rPr>
          <w:sz w:val="24"/>
        </w:rPr>
      </w:pPr>
      <w:r w:rsidRPr="00CC0E03">
        <w:rPr>
          <w:sz w:val="24"/>
        </w:rPr>
        <w:t>In accordance with these confidentiality statutes, only statistical (aggregated) and non-identifying data will be made publicly available by BTS through its reports. BTS will not release to any public or private entity</w:t>
      </w:r>
      <w:r w:rsidR="004369FD">
        <w:rPr>
          <w:sz w:val="24"/>
        </w:rPr>
        <w:t xml:space="preserve">, </w:t>
      </w:r>
      <w:r w:rsidR="007721E5">
        <w:rPr>
          <w:sz w:val="24"/>
        </w:rPr>
        <w:t xml:space="preserve">the </w:t>
      </w:r>
      <w:r w:rsidRPr="00CC0E03">
        <w:rPr>
          <w:sz w:val="24"/>
        </w:rPr>
        <w:t xml:space="preserve">information that might reveal the identity of individuals </w:t>
      </w:r>
      <w:r w:rsidR="004369FD">
        <w:rPr>
          <w:sz w:val="24"/>
        </w:rPr>
        <w:t>men</w:t>
      </w:r>
      <w:r w:rsidRPr="00CC0E03">
        <w:rPr>
          <w:sz w:val="24"/>
        </w:rPr>
        <w:t xml:space="preserve">tioned </w:t>
      </w:r>
      <w:r w:rsidR="007721E5">
        <w:rPr>
          <w:sz w:val="24"/>
        </w:rPr>
        <w:t xml:space="preserve">in the event </w:t>
      </w:r>
      <w:r w:rsidRPr="00401E1E">
        <w:rPr>
          <w:sz w:val="24"/>
        </w:rPr>
        <w:t>without explicit consent of the respondent and any other affected entities.</w:t>
      </w:r>
    </w:p>
    <w:p w:rsidR="003E2161" w:rsidRPr="00CC0E03" w:rsidP="00D26460" w14:paraId="7E525821" w14:textId="77777777">
      <w:pPr>
        <w:rPr>
          <w:sz w:val="24"/>
        </w:rPr>
      </w:pPr>
    </w:p>
    <w:p w:rsidR="00954B25" w:rsidRPr="00CC0E03" w:rsidP="00D26460" w14:paraId="380BDD87" w14:textId="67F86284">
      <w:pPr>
        <w:rPr>
          <w:sz w:val="24"/>
        </w:rPr>
      </w:pPr>
      <w:r w:rsidRPr="00CC0E03">
        <w:rPr>
          <w:b/>
          <w:sz w:val="24"/>
        </w:rPr>
        <w:t xml:space="preserve">3. Describe the methods to maximize response </w:t>
      </w:r>
      <w:r w:rsidRPr="00CC0E03" w:rsidR="005C533F">
        <w:rPr>
          <w:b/>
          <w:sz w:val="24"/>
        </w:rPr>
        <w:t>rates and</w:t>
      </w:r>
      <w:r w:rsidRPr="00CC0E03">
        <w:rPr>
          <w:b/>
          <w:sz w:val="24"/>
        </w:rPr>
        <w:t xml:space="preserve"> describe how the Department deals with non-responses</w:t>
      </w:r>
      <w:r w:rsidRPr="00CC0E03">
        <w:rPr>
          <w:sz w:val="24"/>
        </w:rPr>
        <w:t>.</w:t>
      </w:r>
    </w:p>
    <w:p w:rsidR="004E05E1" w:rsidRPr="00CC0E03" w:rsidP="00D26460" w14:paraId="3A3E617B" w14:textId="77777777">
      <w:pPr>
        <w:rPr>
          <w:b/>
          <w:sz w:val="24"/>
        </w:rPr>
      </w:pPr>
    </w:p>
    <w:p w:rsidR="007721E5" w:rsidP="00D26460" w14:paraId="4A52AABF" w14:textId="25C3C934">
      <w:pPr>
        <w:rPr>
          <w:sz w:val="24"/>
        </w:rPr>
      </w:pPr>
      <w:r w:rsidRPr="00CC0E03">
        <w:rPr>
          <w:sz w:val="24"/>
        </w:rPr>
        <w:t>Reporting of</w:t>
      </w:r>
      <w:r w:rsidR="004369FD">
        <w:rPr>
          <w:sz w:val="24"/>
        </w:rPr>
        <w:t xml:space="preserve"> a</w:t>
      </w:r>
      <w:r w:rsidRPr="00CC0E03">
        <w:rPr>
          <w:sz w:val="24"/>
        </w:rPr>
        <w:t xml:space="preserve"> </w:t>
      </w:r>
      <w:r w:rsidR="004369FD">
        <w:rPr>
          <w:sz w:val="24"/>
        </w:rPr>
        <w:t>WMATA close call i</w:t>
      </w:r>
      <w:r w:rsidRPr="00CC0E03" w:rsidR="005902CB">
        <w:rPr>
          <w:sz w:val="24"/>
        </w:rPr>
        <w:t xml:space="preserve">s voluntary. </w:t>
      </w:r>
      <w:r w:rsidRPr="00CC0E03" w:rsidR="00322DA0">
        <w:rPr>
          <w:sz w:val="24"/>
        </w:rPr>
        <w:t>Submitting</w:t>
      </w:r>
      <w:r w:rsidRPr="00CC0E03">
        <w:rPr>
          <w:sz w:val="24"/>
        </w:rPr>
        <w:t xml:space="preserve"> </w:t>
      </w:r>
      <w:r w:rsidRPr="00CC0E03" w:rsidR="002604A6">
        <w:rPr>
          <w:sz w:val="24"/>
        </w:rPr>
        <w:t xml:space="preserve">reports </w:t>
      </w:r>
      <w:r w:rsidRPr="00CC0E03">
        <w:rPr>
          <w:sz w:val="24"/>
        </w:rPr>
        <w:t xml:space="preserve">directly to BTS </w:t>
      </w:r>
      <w:r w:rsidR="004369FD">
        <w:rPr>
          <w:sz w:val="24"/>
        </w:rPr>
        <w:t xml:space="preserve">subject </w:t>
      </w:r>
      <w:r w:rsidR="004369FD">
        <w:rPr>
          <w:sz w:val="24"/>
        </w:rPr>
        <w:t xml:space="preserve">matter experts </w:t>
      </w:r>
      <w:r w:rsidRPr="00CC0E03">
        <w:rPr>
          <w:sz w:val="24"/>
        </w:rPr>
        <w:t xml:space="preserve">will provide </w:t>
      </w:r>
      <w:r w:rsidR="004369FD">
        <w:rPr>
          <w:sz w:val="24"/>
        </w:rPr>
        <w:t xml:space="preserve">the Transit industry </w:t>
      </w:r>
      <w:r w:rsidRPr="00CC0E03">
        <w:rPr>
          <w:sz w:val="24"/>
        </w:rPr>
        <w:t xml:space="preserve">a trusted means </w:t>
      </w:r>
      <w:r w:rsidRPr="00CC0E03" w:rsidR="00322DA0">
        <w:rPr>
          <w:sz w:val="24"/>
        </w:rPr>
        <w:t>of</w:t>
      </w:r>
      <w:r w:rsidRPr="00CC0E03">
        <w:rPr>
          <w:sz w:val="24"/>
        </w:rPr>
        <w:t xml:space="preserve"> report</w:t>
      </w:r>
      <w:r w:rsidRPr="00CC0E03" w:rsidR="00322DA0">
        <w:rPr>
          <w:sz w:val="24"/>
        </w:rPr>
        <w:t>ing</w:t>
      </w:r>
      <w:r w:rsidR="004369FD">
        <w:rPr>
          <w:sz w:val="24"/>
        </w:rPr>
        <w:t xml:space="preserve"> </w:t>
      </w:r>
      <w:r w:rsidRPr="00CC0E03">
        <w:rPr>
          <w:sz w:val="24"/>
        </w:rPr>
        <w:t xml:space="preserve">safety information </w:t>
      </w:r>
      <w:r w:rsidR="004369FD">
        <w:rPr>
          <w:sz w:val="24"/>
        </w:rPr>
        <w:t xml:space="preserve">confidentially, </w:t>
      </w:r>
      <w:r w:rsidRPr="00CC0E03">
        <w:rPr>
          <w:sz w:val="24"/>
        </w:rPr>
        <w:t>foster</w:t>
      </w:r>
      <w:r w:rsidRPr="00CC0E03" w:rsidR="00322DA0">
        <w:rPr>
          <w:sz w:val="24"/>
        </w:rPr>
        <w:t>ing</w:t>
      </w:r>
      <w:r w:rsidRPr="00CC0E03">
        <w:rPr>
          <w:sz w:val="24"/>
        </w:rPr>
        <w:t xml:space="preserve"> trust in the collection</w:t>
      </w:r>
      <w:r w:rsidR="004369FD">
        <w:rPr>
          <w:sz w:val="24"/>
        </w:rPr>
        <w:t xml:space="preserve"> methodology</w:t>
      </w:r>
      <w:r w:rsidRPr="00CC0E03">
        <w:rPr>
          <w:sz w:val="24"/>
        </w:rPr>
        <w:t xml:space="preserve">, handling, and storage of the raw data. </w:t>
      </w:r>
      <w:r>
        <w:rPr>
          <w:sz w:val="24"/>
        </w:rPr>
        <w:t>Efforts to continually reinforce and maintain confidence in the Close Call Data Program consists of routine outreach</w:t>
      </w:r>
      <w:r w:rsidR="001340CB">
        <w:rPr>
          <w:sz w:val="24"/>
        </w:rPr>
        <w:t xml:space="preserve"> which promotes a climate for credence.</w:t>
      </w:r>
    </w:p>
    <w:p w:rsidR="007721E5" w:rsidP="00D26460" w14:paraId="606D43EA" w14:textId="045F8464">
      <w:pPr>
        <w:rPr>
          <w:sz w:val="24"/>
        </w:rPr>
      </w:pPr>
    </w:p>
    <w:p w:rsidR="00954B25" w:rsidRPr="00CC0E03" w:rsidP="00D26460" w14:paraId="5AD362BD" w14:textId="77777777">
      <w:pPr>
        <w:rPr>
          <w:sz w:val="24"/>
        </w:rPr>
      </w:pPr>
      <w:r w:rsidRPr="00CC0E03">
        <w:rPr>
          <w:b/>
          <w:sz w:val="24"/>
        </w:rPr>
        <w:t>4. Describe any tests of procedures or methods undertaken</w:t>
      </w:r>
      <w:r w:rsidRPr="00CC0E03">
        <w:rPr>
          <w:sz w:val="24"/>
        </w:rPr>
        <w:t>.</w:t>
      </w:r>
    </w:p>
    <w:p w:rsidR="00954B25" w:rsidRPr="00CC0E03" w:rsidP="00D26460" w14:paraId="7A7FDABA" w14:textId="77777777">
      <w:pPr>
        <w:rPr>
          <w:sz w:val="24"/>
        </w:rPr>
      </w:pPr>
    </w:p>
    <w:p w:rsidR="00A26390" w:rsidRPr="00CC0E03" w:rsidP="00D26460" w14:paraId="15F70B42" w14:textId="77777777">
      <w:pPr>
        <w:rPr>
          <w:sz w:val="24"/>
        </w:rPr>
      </w:pPr>
      <w:r>
        <w:rPr>
          <w:sz w:val="24"/>
        </w:rPr>
        <w:t xml:space="preserve">This is not a new collection effort. </w:t>
      </w:r>
      <w:r w:rsidR="006A7512">
        <w:rPr>
          <w:sz w:val="24"/>
        </w:rPr>
        <w:t>No test of procedures or methods are undertaken in this collection.</w:t>
      </w:r>
    </w:p>
    <w:p w:rsidR="00A26390" w:rsidRPr="00CC0E03" w:rsidP="00D26460" w14:paraId="417795DA" w14:textId="77777777">
      <w:pPr>
        <w:rPr>
          <w:sz w:val="24"/>
        </w:rPr>
      </w:pPr>
    </w:p>
    <w:p w:rsidR="00954B25" w:rsidRPr="00CC0E03" w:rsidP="00D26460" w14:paraId="23BCB2D9" w14:textId="77777777">
      <w:pPr>
        <w:rPr>
          <w:sz w:val="24"/>
        </w:rPr>
      </w:pPr>
      <w:r w:rsidRPr="00CC0E03">
        <w:rPr>
          <w:b/>
          <w:sz w:val="24"/>
        </w:rPr>
        <w:t>5. Provide the name and telephone number of individuals consulted on the statistical aspects of the design and the name of the agency unit, contractor grantee, or other persons</w:t>
      </w:r>
      <w:r w:rsidRPr="00CC0E03">
        <w:rPr>
          <w:sz w:val="24"/>
        </w:rPr>
        <w:t xml:space="preserve"> </w:t>
      </w:r>
      <w:r w:rsidR="00EA0028">
        <w:rPr>
          <w:b/>
          <w:sz w:val="24"/>
        </w:rPr>
        <w:t xml:space="preserve">who will </w:t>
      </w:r>
      <w:r w:rsidR="006A7512">
        <w:rPr>
          <w:b/>
          <w:sz w:val="24"/>
        </w:rPr>
        <w:t>collect</w:t>
      </w:r>
      <w:r w:rsidRPr="00CC0E03">
        <w:rPr>
          <w:b/>
          <w:sz w:val="24"/>
        </w:rPr>
        <w:t xml:space="preserve"> and/or analyze the information for the agency.</w:t>
      </w:r>
    </w:p>
    <w:p w:rsidR="00A07426" w:rsidRPr="00CC0E03" w:rsidP="00954B25" w14:paraId="63F81472" w14:textId="77777777">
      <w:pPr>
        <w:rPr>
          <w:sz w:val="26"/>
          <w:szCs w:val="26"/>
        </w:rPr>
      </w:pPr>
    </w:p>
    <w:p w:rsidR="00954B25" w:rsidRPr="00CC0E03" w:rsidP="00954B25" w14:paraId="3F355725" w14:textId="3EE8489B">
      <w:pPr>
        <w:rPr>
          <w:sz w:val="24"/>
        </w:rPr>
      </w:pPr>
      <w:r w:rsidRPr="00CC0E03">
        <w:rPr>
          <w:sz w:val="24"/>
        </w:rPr>
        <w:t>The team involved</w:t>
      </w:r>
      <w:r w:rsidRPr="00CC0E03" w:rsidR="002155C1">
        <w:rPr>
          <w:sz w:val="24"/>
        </w:rPr>
        <w:t xml:space="preserve"> with the </w:t>
      </w:r>
      <w:r w:rsidR="009A5CFB">
        <w:rPr>
          <w:sz w:val="24"/>
        </w:rPr>
        <w:t xml:space="preserve">close call </w:t>
      </w:r>
      <w:r w:rsidRPr="00CC0E03" w:rsidR="005A0D46">
        <w:rPr>
          <w:sz w:val="24"/>
        </w:rPr>
        <w:t>data warehous</w:t>
      </w:r>
      <w:r w:rsidRPr="00CC0E03" w:rsidR="002155C1">
        <w:rPr>
          <w:sz w:val="24"/>
        </w:rPr>
        <w:t>ing</w:t>
      </w:r>
      <w:r w:rsidRPr="00CC0E03" w:rsidR="00B93F29">
        <w:rPr>
          <w:sz w:val="24"/>
        </w:rPr>
        <w:t xml:space="preserve"> and data</w:t>
      </w:r>
      <w:r w:rsidRPr="00CC0E03">
        <w:rPr>
          <w:sz w:val="24"/>
        </w:rPr>
        <w:t xml:space="preserve"> analysis is as follows:</w:t>
      </w:r>
    </w:p>
    <w:p w:rsidR="00954B25" w:rsidRPr="00CC0E03" w:rsidP="00954B25" w14:paraId="7C5CF856" w14:textId="77777777">
      <w:pPr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618"/>
        <w:gridCol w:w="5688"/>
      </w:tblGrid>
      <w:tr w14:paraId="29F54784" w14:textId="77777777" w:rsidTr="006774E9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1E0"/>
        </w:tblPrEx>
        <w:trPr>
          <w:tblHeader/>
        </w:trPr>
        <w:tc>
          <w:tcPr>
            <w:tcW w:w="3618" w:type="dxa"/>
          </w:tcPr>
          <w:p w:rsidR="00954B25" w:rsidRPr="00CC0E03" w:rsidP="006774E9" w14:paraId="15AFE98A" w14:textId="77777777">
            <w:pPr>
              <w:spacing w:before="20" w:after="2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688" w:type="dxa"/>
          </w:tcPr>
          <w:p w:rsidR="00954B25" w:rsidRPr="00CC0E03" w:rsidP="006774E9" w14:paraId="189F14FF" w14:textId="77777777">
            <w:pPr>
              <w:spacing w:before="20" w:after="20"/>
              <w:rPr>
                <w:rFonts w:ascii="Arial" w:hAnsi="Arial" w:cs="Arial"/>
                <w:b/>
                <w:szCs w:val="20"/>
              </w:rPr>
            </w:pPr>
          </w:p>
        </w:tc>
      </w:tr>
      <w:tr w14:paraId="0365195A" w14:textId="77777777" w:rsidTr="006774E9">
        <w:tblPrEx>
          <w:tblW w:w="0" w:type="auto"/>
          <w:tblLook w:val="01E0"/>
        </w:tblPrEx>
        <w:trPr>
          <w:trHeight w:val="1025"/>
        </w:trPr>
        <w:tc>
          <w:tcPr>
            <w:tcW w:w="3618" w:type="dxa"/>
          </w:tcPr>
          <w:p w:rsidR="002535C2" w:rsidRPr="00CA0896" w:rsidP="006774E9" w14:paraId="41C5545E" w14:textId="77777777">
            <w:pPr>
              <w:rPr>
                <w:sz w:val="22"/>
                <w:szCs w:val="22"/>
                <w:lang w:val="pt-BR"/>
              </w:rPr>
            </w:pPr>
            <w:r w:rsidRPr="00CA0896">
              <w:rPr>
                <w:sz w:val="22"/>
                <w:szCs w:val="22"/>
                <w:lang w:val="pt-BR"/>
              </w:rPr>
              <w:t>Demetra Collia</w:t>
            </w:r>
          </w:p>
          <w:p w:rsidR="002535C2" w:rsidRPr="00CA0896" w:rsidP="006774E9" w14:paraId="4A426394" w14:textId="77777777">
            <w:pPr>
              <w:rPr>
                <w:color w:val="000000"/>
                <w:sz w:val="22"/>
                <w:szCs w:val="22"/>
                <w:lang w:val="pt-BR"/>
              </w:rPr>
            </w:pPr>
            <w:hyperlink r:id="rId5" w:history="1">
              <w:r w:rsidRPr="00CA0896">
                <w:rPr>
                  <w:rStyle w:val="Hyperlink"/>
                  <w:sz w:val="22"/>
                  <w:szCs w:val="22"/>
                  <w:lang w:val="pt-BR"/>
                </w:rPr>
                <w:t>demetra.collia@bts.gov</w:t>
              </w:r>
            </w:hyperlink>
          </w:p>
          <w:p w:rsidR="002535C2" w:rsidRPr="00CA0896" w:rsidP="006774E9" w14:paraId="6FF2FEE7" w14:textId="77777777">
            <w:pPr>
              <w:rPr>
                <w:color w:val="000000"/>
                <w:sz w:val="22"/>
                <w:szCs w:val="22"/>
              </w:rPr>
            </w:pPr>
            <w:r w:rsidRPr="00CA0896">
              <w:rPr>
                <w:color w:val="000000"/>
                <w:sz w:val="22"/>
                <w:szCs w:val="22"/>
              </w:rPr>
              <w:t>202 366-1610</w:t>
            </w:r>
          </w:p>
          <w:p w:rsidR="00B93F29" w:rsidRPr="00CA0896" w:rsidP="006774E9" w14:paraId="5829D176" w14:textId="77777777">
            <w:pPr>
              <w:rPr>
                <w:color w:val="000000"/>
                <w:sz w:val="22"/>
                <w:szCs w:val="22"/>
              </w:rPr>
            </w:pPr>
          </w:p>
          <w:p w:rsidR="002F135D" w:rsidRPr="00CA0896" w:rsidP="006774E9" w14:paraId="57558B49" w14:textId="77777777">
            <w:pPr>
              <w:rPr>
                <w:color w:val="000000"/>
                <w:sz w:val="22"/>
                <w:szCs w:val="22"/>
              </w:rPr>
            </w:pPr>
          </w:p>
          <w:p w:rsidR="006A7512" w:rsidRPr="00CA0896" w:rsidP="006774E9" w14:paraId="62FC1EA0" w14:textId="58D74B51">
            <w:pPr>
              <w:rPr>
                <w:color w:val="000000"/>
                <w:sz w:val="22"/>
                <w:szCs w:val="22"/>
              </w:rPr>
            </w:pPr>
          </w:p>
          <w:p w:rsidR="005C533F" w:rsidRPr="00CA0896" w:rsidP="006774E9" w14:paraId="4AA324D5" w14:textId="77777777">
            <w:pPr>
              <w:rPr>
                <w:color w:val="000000"/>
                <w:sz w:val="22"/>
                <w:szCs w:val="22"/>
              </w:rPr>
            </w:pPr>
          </w:p>
          <w:p w:rsidR="002535C2" w:rsidRPr="00CA0896" w:rsidP="006774E9" w14:paraId="2C683A1C" w14:textId="494A837D">
            <w:pPr>
              <w:rPr>
                <w:color w:val="000000"/>
                <w:sz w:val="22"/>
                <w:szCs w:val="22"/>
              </w:rPr>
            </w:pPr>
            <w:r w:rsidRPr="00CA0896">
              <w:rPr>
                <w:color w:val="000000"/>
                <w:sz w:val="22"/>
                <w:szCs w:val="22"/>
              </w:rPr>
              <w:t>Charlie Han</w:t>
            </w:r>
          </w:p>
          <w:p w:rsidR="007721E5" w:rsidRPr="00CA0896" w:rsidP="006774E9" w14:paraId="358A0908" w14:textId="463C37E0">
            <w:pPr>
              <w:rPr>
                <w:sz w:val="22"/>
                <w:szCs w:val="22"/>
              </w:rPr>
            </w:pPr>
            <w:hyperlink r:id="rId6" w:history="1"/>
            <w:r w:rsidRPr="00CA0896" w:rsidR="005C533F">
              <w:rPr>
                <w:sz w:val="22"/>
                <w:szCs w:val="22"/>
              </w:rPr>
              <w:t>charlie.han.ctr@dot.gov</w:t>
            </w:r>
          </w:p>
          <w:p w:rsidR="00B93F29" w:rsidRPr="00CA0896" w:rsidP="006774E9" w14:paraId="0B894EFA" w14:textId="77777777">
            <w:pPr>
              <w:rPr>
                <w:sz w:val="22"/>
                <w:szCs w:val="22"/>
                <w:lang w:val="pt-BR"/>
              </w:rPr>
            </w:pPr>
            <w:r w:rsidRPr="00CA0896">
              <w:rPr>
                <w:sz w:val="22"/>
                <w:szCs w:val="22"/>
              </w:rPr>
              <w:t>202 366-8927</w:t>
            </w:r>
          </w:p>
        </w:tc>
        <w:tc>
          <w:tcPr>
            <w:tcW w:w="5688" w:type="dxa"/>
          </w:tcPr>
          <w:p w:rsidR="002535C2" w:rsidRPr="00CA0896" w:rsidP="006774E9" w14:paraId="2DA782D8" w14:textId="77777777">
            <w:pPr>
              <w:rPr>
                <w:sz w:val="22"/>
                <w:szCs w:val="22"/>
              </w:rPr>
            </w:pPr>
            <w:r w:rsidRPr="00CA0896">
              <w:rPr>
                <w:sz w:val="22"/>
                <w:szCs w:val="22"/>
              </w:rPr>
              <w:t xml:space="preserve">Director, Office of Safety Data and Analysis - </w:t>
            </w:r>
            <w:r w:rsidRPr="00CA0896" w:rsidR="00B93F29">
              <w:rPr>
                <w:sz w:val="22"/>
                <w:szCs w:val="22"/>
              </w:rPr>
              <w:t>Statistical expert</w:t>
            </w:r>
            <w:r w:rsidRPr="00CA0896" w:rsidR="003E2161">
              <w:rPr>
                <w:sz w:val="22"/>
                <w:szCs w:val="22"/>
              </w:rPr>
              <w:t>, confidentiality officer,</w:t>
            </w:r>
            <w:r w:rsidRPr="00CA0896" w:rsidR="00B93F29">
              <w:rPr>
                <w:sz w:val="22"/>
                <w:szCs w:val="22"/>
              </w:rPr>
              <w:t xml:space="preserve"> and project manager at the </w:t>
            </w:r>
            <w:r w:rsidRPr="00CA0896">
              <w:rPr>
                <w:sz w:val="22"/>
                <w:szCs w:val="22"/>
              </w:rPr>
              <w:t xml:space="preserve">Bureau of Transportation Statistics </w:t>
            </w:r>
            <w:r w:rsidRPr="00CA0896" w:rsidR="00B93F29">
              <w:rPr>
                <w:sz w:val="22"/>
                <w:szCs w:val="22"/>
              </w:rPr>
              <w:t xml:space="preserve">– involved in providing project management, </w:t>
            </w:r>
            <w:r w:rsidRPr="00CA0896">
              <w:rPr>
                <w:sz w:val="22"/>
                <w:szCs w:val="22"/>
              </w:rPr>
              <w:t>data processing, and data analysis</w:t>
            </w:r>
            <w:r w:rsidRPr="00CA0896" w:rsidR="005C2151">
              <w:rPr>
                <w:sz w:val="22"/>
                <w:szCs w:val="22"/>
              </w:rPr>
              <w:t>.</w:t>
            </w:r>
          </w:p>
          <w:p w:rsidR="00B93F29" w:rsidRPr="00CA0896" w:rsidP="006774E9" w14:paraId="321E74D4" w14:textId="353FC4A1">
            <w:pPr>
              <w:rPr>
                <w:sz w:val="22"/>
                <w:szCs w:val="22"/>
              </w:rPr>
            </w:pPr>
            <w:r w:rsidRPr="00CA0896">
              <w:rPr>
                <w:sz w:val="22"/>
                <w:szCs w:val="22"/>
              </w:rPr>
              <w:t>.</w:t>
            </w:r>
          </w:p>
          <w:p w:rsidR="00B93F29" w:rsidRPr="00CA0896" w:rsidP="006774E9" w14:paraId="135A1F07" w14:textId="0F38592E">
            <w:pPr>
              <w:rPr>
                <w:sz w:val="22"/>
                <w:szCs w:val="22"/>
              </w:rPr>
            </w:pPr>
            <w:r w:rsidRPr="00CA0896">
              <w:rPr>
                <w:sz w:val="22"/>
                <w:szCs w:val="22"/>
              </w:rPr>
              <w:t>Senior M</w:t>
            </w:r>
            <w:r w:rsidRPr="00CA0896">
              <w:rPr>
                <w:sz w:val="22"/>
                <w:szCs w:val="22"/>
              </w:rPr>
              <w:t>anager at MacroSys - p</w:t>
            </w:r>
            <w:r w:rsidRPr="00CA0896" w:rsidR="002535C2">
              <w:rPr>
                <w:sz w:val="22"/>
                <w:szCs w:val="22"/>
              </w:rPr>
              <w:t>rime contractor for the</w:t>
            </w:r>
            <w:r w:rsidRPr="00CA0896" w:rsidR="00882C98">
              <w:rPr>
                <w:sz w:val="22"/>
                <w:szCs w:val="22"/>
              </w:rPr>
              <w:t xml:space="preserve"> development and staffing of SafeOCS</w:t>
            </w:r>
            <w:r w:rsidRPr="00CA0896" w:rsidR="005C2151">
              <w:rPr>
                <w:sz w:val="22"/>
                <w:szCs w:val="22"/>
              </w:rPr>
              <w:t>.</w:t>
            </w:r>
          </w:p>
        </w:tc>
      </w:tr>
      <w:tr w14:paraId="61768F1F" w14:textId="77777777" w:rsidTr="006774E9">
        <w:tblPrEx>
          <w:tblW w:w="0" w:type="auto"/>
          <w:tblLook w:val="01E0"/>
        </w:tblPrEx>
        <w:tc>
          <w:tcPr>
            <w:tcW w:w="3618" w:type="dxa"/>
          </w:tcPr>
          <w:p w:rsidR="002535C2" w:rsidRPr="00CA0896" w:rsidP="006774E9" w14:paraId="588A41F3" w14:textId="77777777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688" w:type="dxa"/>
          </w:tcPr>
          <w:p w:rsidR="002535C2" w:rsidRPr="00CA0896" w:rsidP="006774E9" w14:paraId="4B10E038" w14:textId="77777777">
            <w:pPr>
              <w:spacing w:before="20" w:after="20"/>
              <w:rPr>
                <w:sz w:val="22"/>
                <w:szCs w:val="22"/>
              </w:rPr>
            </w:pPr>
          </w:p>
        </w:tc>
      </w:tr>
      <w:tr w14:paraId="22AFC297" w14:textId="77777777" w:rsidTr="006774E9">
        <w:tblPrEx>
          <w:tblW w:w="0" w:type="auto"/>
          <w:tblLook w:val="01E0"/>
        </w:tblPrEx>
        <w:tc>
          <w:tcPr>
            <w:tcW w:w="3618" w:type="dxa"/>
          </w:tcPr>
          <w:p w:rsidR="00B8205D" w:rsidRPr="00CA0896" w:rsidP="006774E9" w14:paraId="1C5D7CBE" w14:textId="77777777">
            <w:pPr>
              <w:pStyle w:val="NoSpacing"/>
              <w:rPr>
                <w:sz w:val="22"/>
                <w:szCs w:val="22"/>
              </w:rPr>
            </w:pPr>
            <w:r w:rsidRPr="00CA0896">
              <w:rPr>
                <w:sz w:val="22"/>
                <w:szCs w:val="22"/>
              </w:rPr>
              <w:t>Katharen Bisgard</w:t>
            </w:r>
          </w:p>
          <w:p w:rsidR="00F14F3C" w:rsidRPr="00CA0896" w:rsidP="006774E9" w14:paraId="49874EC1" w14:textId="7FC1F427">
            <w:pPr>
              <w:pStyle w:val="NoSpacing"/>
              <w:rPr>
                <w:sz w:val="22"/>
                <w:szCs w:val="22"/>
              </w:rPr>
            </w:pPr>
            <w:hyperlink r:id="rId7" w:history="1">
              <w:r w:rsidRPr="00CA0896" w:rsidR="009A5CFB">
                <w:rPr>
                  <w:rStyle w:val="Hyperlink"/>
                  <w:sz w:val="22"/>
                  <w:szCs w:val="22"/>
                </w:rPr>
                <w:t>katharen.bisgard@dot.gov</w:t>
              </w:r>
            </w:hyperlink>
          </w:p>
          <w:p w:rsidR="00F14F3C" w:rsidRPr="00CA0896" w:rsidP="006774E9" w14:paraId="66E511C3" w14:textId="77777777">
            <w:pPr>
              <w:pStyle w:val="NoSpacing"/>
              <w:rPr>
                <w:sz w:val="22"/>
                <w:szCs w:val="22"/>
              </w:rPr>
            </w:pPr>
            <w:r w:rsidRPr="00CA0896">
              <w:rPr>
                <w:sz w:val="22"/>
                <w:szCs w:val="22"/>
              </w:rPr>
              <w:t>202-366-4725</w:t>
            </w:r>
          </w:p>
          <w:p w:rsidR="006A7512" w:rsidRPr="00CA0896" w:rsidP="006774E9" w14:paraId="7CE742E6" w14:textId="77777777">
            <w:pPr>
              <w:pStyle w:val="NoSpacing"/>
              <w:rPr>
                <w:sz w:val="22"/>
                <w:szCs w:val="22"/>
              </w:rPr>
            </w:pPr>
          </w:p>
          <w:p w:rsidR="00F14F3C" w:rsidRPr="00CA0896" w:rsidP="006774E9" w14:paraId="4EFE6252" w14:textId="4EC07015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5688" w:type="dxa"/>
          </w:tcPr>
          <w:p w:rsidR="002535C2" w:rsidRPr="00CA0896" w:rsidP="006774E9" w14:paraId="100ECBDE" w14:textId="47906044">
            <w:pPr>
              <w:spacing w:before="20" w:after="20"/>
              <w:rPr>
                <w:sz w:val="22"/>
                <w:szCs w:val="22"/>
              </w:rPr>
            </w:pPr>
            <w:r w:rsidRPr="00CA0896">
              <w:rPr>
                <w:sz w:val="22"/>
                <w:szCs w:val="22"/>
              </w:rPr>
              <w:t xml:space="preserve">Safety Data Analyst </w:t>
            </w:r>
          </w:p>
        </w:tc>
      </w:tr>
      <w:tr w14:paraId="0E97675C" w14:textId="77777777" w:rsidTr="006774E9">
        <w:tblPrEx>
          <w:tblW w:w="0" w:type="auto"/>
          <w:tblLook w:val="01E0"/>
        </w:tblPrEx>
        <w:tc>
          <w:tcPr>
            <w:tcW w:w="3618" w:type="dxa"/>
          </w:tcPr>
          <w:p w:rsidR="007721E5" w:rsidRPr="00CA0896" w:rsidP="006774E9" w14:paraId="74F33E44" w14:textId="452668F2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5688" w:type="dxa"/>
          </w:tcPr>
          <w:p w:rsidR="002535C2" w:rsidRPr="00CA0896" w:rsidP="006774E9" w14:paraId="32A8BE40" w14:textId="6D94D7AA">
            <w:pPr>
              <w:spacing w:before="20" w:after="20"/>
              <w:rPr>
                <w:sz w:val="22"/>
                <w:szCs w:val="22"/>
              </w:rPr>
            </w:pPr>
          </w:p>
        </w:tc>
      </w:tr>
      <w:tr w14:paraId="7B87BC77" w14:textId="77777777" w:rsidTr="006774E9">
        <w:tblPrEx>
          <w:tblW w:w="0" w:type="auto"/>
          <w:tblLook w:val="01E0"/>
        </w:tblPrEx>
        <w:tc>
          <w:tcPr>
            <w:tcW w:w="3618" w:type="dxa"/>
          </w:tcPr>
          <w:p w:rsidR="002535C2" w:rsidRPr="005C533F" w:rsidP="006774E9" w14:paraId="6164DA2F" w14:textId="77777777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688" w:type="dxa"/>
          </w:tcPr>
          <w:p w:rsidR="002535C2" w:rsidRPr="00CA0896" w:rsidP="006774E9" w14:paraId="75132BE4" w14:textId="77777777">
            <w:pPr>
              <w:spacing w:before="20" w:after="20"/>
              <w:rPr>
                <w:sz w:val="22"/>
                <w:szCs w:val="22"/>
              </w:rPr>
            </w:pPr>
          </w:p>
        </w:tc>
      </w:tr>
      <w:tr w14:paraId="41DD6CB5" w14:textId="77777777" w:rsidTr="006774E9">
        <w:tblPrEx>
          <w:tblW w:w="0" w:type="auto"/>
          <w:tblLook w:val="01E0"/>
        </w:tblPrEx>
        <w:tc>
          <w:tcPr>
            <w:tcW w:w="3618" w:type="dxa"/>
          </w:tcPr>
          <w:p w:rsidR="00B8205D" w:rsidRPr="005C533F" w:rsidP="006774E9" w14:paraId="21561E23" w14:textId="77777777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688" w:type="dxa"/>
          </w:tcPr>
          <w:p w:rsidR="002535C2" w:rsidRPr="005C533F" w:rsidP="006774E9" w14:paraId="7FCEF6C2" w14:textId="77777777">
            <w:pPr>
              <w:spacing w:before="20" w:after="20"/>
              <w:rPr>
                <w:sz w:val="22"/>
                <w:szCs w:val="22"/>
              </w:rPr>
            </w:pPr>
          </w:p>
        </w:tc>
      </w:tr>
      <w:tr w14:paraId="54B29808" w14:textId="77777777" w:rsidTr="006774E9">
        <w:tblPrEx>
          <w:tblW w:w="0" w:type="auto"/>
          <w:tblLook w:val="01E0"/>
        </w:tblPrEx>
        <w:tc>
          <w:tcPr>
            <w:tcW w:w="3618" w:type="dxa"/>
          </w:tcPr>
          <w:p w:rsidR="00E30320" w:rsidRPr="005C533F" w:rsidP="006774E9" w14:paraId="66A03BE3" w14:textId="77777777">
            <w:pPr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5688" w:type="dxa"/>
          </w:tcPr>
          <w:p w:rsidR="00E30320" w:rsidRPr="005C533F" w:rsidP="006774E9" w14:paraId="2C264F07" w14:textId="77777777">
            <w:pPr>
              <w:spacing w:before="20" w:after="20"/>
              <w:rPr>
                <w:sz w:val="22"/>
                <w:szCs w:val="22"/>
              </w:rPr>
            </w:pPr>
          </w:p>
        </w:tc>
      </w:tr>
    </w:tbl>
    <w:p w:rsidR="00954B25" w:rsidRPr="005C533F" w:rsidP="00C058B2" w14:paraId="627F5899" w14:textId="77777777">
      <w:pPr>
        <w:spacing w:before="20" w:after="20"/>
        <w:rPr>
          <w:sz w:val="22"/>
          <w:szCs w:val="22"/>
        </w:rPr>
      </w:pPr>
    </w:p>
    <w:sectPr w:rsidSect="008253F1"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E24" w14:paraId="035C4821" w14:textId="77777777">
    <w:pPr>
      <w:spacing w:line="240" w:lineRule="exact"/>
    </w:pPr>
  </w:p>
  <w:p w:rsidR="003A0E24" w14:paraId="0647C42D" w14:textId="77777777">
    <w:pPr>
      <w:framePr w:w="9361" w:wrap="notBeside" w:vAnchor="text" w:hAnchor="text" w:x="1" w:y="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C058B2">
      <w:rPr>
        <w:noProof/>
        <w:sz w:val="24"/>
      </w:rPr>
      <w:t>2</w:t>
    </w:r>
    <w:r>
      <w:rPr>
        <w:sz w:val="24"/>
      </w:rPr>
      <w:fldChar w:fldCharType="end"/>
    </w:r>
  </w:p>
  <w:p w:rsidR="003A0E24" w14:paraId="0A3DAFF1" w14:textId="77777777">
    <w:pPr>
      <w:rPr>
        <w:sz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6BF03A40"/>
    <w:lvl w:ilvl="0">
      <w:start w:val="0"/>
      <w:numFmt w:val="decimal"/>
      <w:lvlText w:val="*"/>
      <w:lvlJc w:val="left"/>
    </w:lvl>
  </w:abstractNum>
  <w:abstractNum w:abstractNumId="1">
    <w:nsid w:val="28A1546F"/>
    <w:multiLevelType w:val="hybridMultilevel"/>
    <w:tmpl w:val="BD8A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97B1D"/>
    <w:multiLevelType w:val="hybridMultilevel"/>
    <w:tmpl w:val="B2DC3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A169D"/>
    <w:multiLevelType w:val="hybridMultilevel"/>
    <w:tmpl w:val="9484D165"/>
    <w:lvl w:ilvl="0">
      <w:start w:val="1"/>
      <w:numFmt w:val="decimal"/>
      <w:suff w:val="nothing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EDC76E2"/>
    <w:multiLevelType w:val="hybridMultilevel"/>
    <w:tmpl w:val="00BC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697764"/>
    <w:multiLevelType w:val="hybridMultilevel"/>
    <w:tmpl w:val="27C0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347AB7"/>
    <w:multiLevelType w:val="hybridMultilevel"/>
    <w:tmpl w:val="0612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1E66D9"/>
    <w:multiLevelType w:val="hybridMultilevel"/>
    <w:tmpl w:val="10001B86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D1"/>
    <w:rsid w:val="00020DEC"/>
    <w:rsid w:val="00024881"/>
    <w:rsid w:val="00036CAF"/>
    <w:rsid w:val="0004015F"/>
    <w:rsid w:val="00053510"/>
    <w:rsid w:val="00075E50"/>
    <w:rsid w:val="000A0BF8"/>
    <w:rsid w:val="000A627F"/>
    <w:rsid w:val="000B0ED8"/>
    <w:rsid w:val="000B35FD"/>
    <w:rsid w:val="000C56AC"/>
    <w:rsid w:val="000D6327"/>
    <w:rsid w:val="000E6896"/>
    <w:rsid w:val="000F63F7"/>
    <w:rsid w:val="0011661A"/>
    <w:rsid w:val="00121D05"/>
    <w:rsid w:val="001265D6"/>
    <w:rsid w:val="001340CB"/>
    <w:rsid w:val="001569C0"/>
    <w:rsid w:val="001A4DCC"/>
    <w:rsid w:val="001B1D69"/>
    <w:rsid w:val="001D1592"/>
    <w:rsid w:val="001E30C9"/>
    <w:rsid w:val="00201A66"/>
    <w:rsid w:val="00202E91"/>
    <w:rsid w:val="002155C1"/>
    <w:rsid w:val="0022300A"/>
    <w:rsid w:val="002266DB"/>
    <w:rsid w:val="002535C2"/>
    <w:rsid w:val="002604A6"/>
    <w:rsid w:val="0026796C"/>
    <w:rsid w:val="002727FE"/>
    <w:rsid w:val="00280ED1"/>
    <w:rsid w:val="00282926"/>
    <w:rsid w:val="00285FDF"/>
    <w:rsid w:val="00293C83"/>
    <w:rsid w:val="00297132"/>
    <w:rsid w:val="002B6826"/>
    <w:rsid w:val="002C26F7"/>
    <w:rsid w:val="002C6CA8"/>
    <w:rsid w:val="002F135D"/>
    <w:rsid w:val="003000D2"/>
    <w:rsid w:val="003005D2"/>
    <w:rsid w:val="00322DA0"/>
    <w:rsid w:val="00323E28"/>
    <w:rsid w:val="00325571"/>
    <w:rsid w:val="003422C6"/>
    <w:rsid w:val="00342B79"/>
    <w:rsid w:val="00350479"/>
    <w:rsid w:val="0036626D"/>
    <w:rsid w:val="00370662"/>
    <w:rsid w:val="003768BC"/>
    <w:rsid w:val="003A06DB"/>
    <w:rsid w:val="003A0E24"/>
    <w:rsid w:val="003A25E5"/>
    <w:rsid w:val="003A6150"/>
    <w:rsid w:val="003B12F4"/>
    <w:rsid w:val="003B3174"/>
    <w:rsid w:val="003C6E58"/>
    <w:rsid w:val="003D06A8"/>
    <w:rsid w:val="003E2161"/>
    <w:rsid w:val="003F6279"/>
    <w:rsid w:val="00401E1E"/>
    <w:rsid w:val="004206C4"/>
    <w:rsid w:val="004258DF"/>
    <w:rsid w:val="00431D94"/>
    <w:rsid w:val="004369FD"/>
    <w:rsid w:val="004401C0"/>
    <w:rsid w:val="00445CD1"/>
    <w:rsid w:val="0044745B"/>
    <w:rsid w:val="00465B37"/>
    <w:rsid w:val="004729F0"/>
    <w:rsid w:val="004973F7"/>
    <w:rsid w:val="004B4451"/>
    <w:rsid w:val="004C2CE3"/>
    <w:rsid w:val="004C31C0"/>
    <w:rsid w:val="004C6BC7"/>
    <w:rsid w:val="004D4878"/>
    <w:rsid w:val="004E05E1"/>
    <w:rsid w:val="004E5C70"/>
    <w:rsid w:val="004F422F"/>
    <w:rsid w:val="004F523B"/>
    <w:rsid w:val="004F6E90"/>
    <w:rsid w:val="00524A4B"/>
    <w:rsid w:val="00525CEE"/>
    <w:rsid w:val="00537C77"/>
    <w:rsid w:val="00545784"/>
    <w:rsid w:val="005579FF"/>
    <w:rsid w:val="00561BE7"/>
    <w:rsid w:val="00563263"/>
    <w:rsid w:val="00571F44"/>
    <w:rsid w:val="005741AB"/>
    <w:rsid w:val="0058211A"/>
    <w:rsid w:val="00587940"/>
    <w:rsid w:val="005902CB"/>
    <w:rsid w:val="005973EC"/>
    <w:rsid w:val="005A0D46"/>
    <w:rsid w:val="005A2AFD"/>
    <w:rsid w:val="005A4374"/>
    <w:rsid w:val="005B1C08"/>
    <w:rsid w:val="005B74D1"/>
    <w:rsid w:val="005C2151"/>
    <w:rsid w:val="005C4229"/>
    <w:rsid w:val="005C533F"/>
    <w:rsid w:val="005D3042"/>
    <w:rsid w:val="005D6DC7"/>
    <w:rsid w:val="0063190E"/>
    <w:rsid w:val="00635961"/>
    <w:rsid w:val="00644301"/>
    <w:rsid w:val="00647C79"/>
    <w:rsid w:val="00663E46"/>
    <w:rsid w:val="00665E40"/>
    <w:rsid w:val="006774E9"/>
    <w:rsid w:val="00690DA3"/>
    <w:rsid w:val="0069524C"/>
    <w:rsid w:val="00696F07"/>
    <w:rsid w:val="006A2B1E"/>
    <w:rsid w:val="006A6372"/>
    <w:rsid w:val="006A7512"/>
    <w:rsid w:val="006D3AE1"/>
    <w:rsid w:val="006D4B46"/>
    <w:rsid w:val="006E0CE9"/>
    <w:rsid w:val="006E2593"/>
    <w:rsid w:val="006E46FD"/>
    <w:rsid w:val="006F20C0"/>
    <w:rsid w:val="006F3718"/>
    <w:rsid w:val="00704889"/>
    <w:rsid w:val="00722019"/>
    <w:rsid w:val="007529FE"/>
    <w:rsid w:val="007557EF"/>
    <w:rsid w:val="00770A88"/>
    <w:rsid w:val="007721E5"/>
    <w:rsid w:val="007A26E8"/>
    <w:rsid w:val="007B1E4F"/>
    <w:rsid w:val="007B3A70"/>
    <w:rsid w:val="007C5D0C"/>
    <w:rsid w:val="00802136"/>
    <w:rsid w:val="00803680"/>
    <w:rsid w:val="008052A8"/>
    <w:rsid w:val="008063D5"/>
    <w:rsid w:val="00813CE7"/>
    <w:rsid w:val="00822271"/>
    <w:rsid w:val="008250EE"/>
    <w:rsid w:val="008253F1"/>
    <w:rsid w:val="008276F9"/>
    <w:rsid w:val="00836823"/>
    <w:rsid w:val="00847A7E"/>
    <w:rsid w:val="00857AB4"/>
    <w:rsid w:val="00882C98"/>
    <w:rsid w:val="00896965"/>
    <w:rsid w:val="008B5A40"/>
    <w:rsid w:val="008B7086"/>
    <w:rsid w:val="008C09FB"/>
    <w:rsid w:val="008C624A"/>
    <w:rsid w:val="008E5CC9"/>
    <w:rsid w:val="008F0DD1"/>
    <w:rsid w:val="008F194D"/>
    <w:rsid w:val="009011DA"/>
    <w:rsid w:val="00905132"/>
    <w:rsid w:val="00911625"/>
    <w:rsid w:val="0091501A"/>
    <w:rsid w:val="00930D8D"/>
    <w:rsid w:val="00944DD0"/>
    <w:rsid w:val="0094745A"/>
    <w:rsid w:val="00954B25"/>
    <w:rsid w:val="00957336"/>
    <w:rsid w:val="00965BE6"/>
    <w:rsid w:val="00986A92"/>
    <w:rsid w:val="009A5CFB"/>
    <w:rsid w:val="009F0A94"/>
    <w:rsid w:val="00A05CC0"/>
    <w:rsid w:val="00A07426"/>
    <w:rsid w:val="00A26390"/>
    <w:rsid w:val="00A51839"/>
    <w:rsid w:val="00A53435"/>
    <w:rsid w:val="00A57DB6"/>
    <w:rsid w:val="00A606EF"/>
    <w:rsid w:val="00A640D0"/>
    <w:rsid w:val="00A75B89"/>
    <w:rsid w:val="00A958DA"/>
    <w:rsid w:val="00A978E9"/>
    <w:rsid w:val="00AC12CE"/>
    <w:rsid w:val="00AE0A81"/>
    <w:rsid w:val="00AE50B6"/>
    <w:rsid w:val="00AE6A97"/>
    <w:rsid w:val="00B11277"/>
    <w:rsid w:val="00B11B5B"/>
    <w:rsid w:val="00B11D4E"/>
    <w:rsid w:val="00B12210"/>
    <w:rsid w:val="00B2650E"/>
    <w:rsid w:val="00B36664"/>
    <w:rsid w:val="00B502D6"/>
    <w:rsid w:val="00B54FF2"/>
    <w:rsid w:val="00B57583"/>
    <w:rsid w:val="00B8205D"/>
    <w:rsid w:val="00B82EA7"/>
    <w:rsid w:val="00B918FB"/>
    <w:rsid w:val="00B93F29"/>
    <w:rsid w:val="00BA3F27"/>
    <w:rsid w:val="00BB100A"/>
    <w:rsid w:val="00BB2BA7"/>
    <w:rsid w:val="00BC4FC7"/>
    <w:rsid w:val="00C0037C"/>
    <w:rsid w:val="00C058B2"/>
    <w:rsid w:val="00C21F45"/>
    <w:rsid w:val="00C2524C"/>
    <w:rsid w:val="00C34868"/>
    <w:rsid w:val="00C404AA"/>
    <w:rsid w:val="00C43D14"/>
    <w:rsid w:val="00C66060"/>
    <w:rsid w:val="00C72C19"/>
    <w:rsid w:val="00CA0896"/>
    <w:rsid w:val="00CA1837"/>
    <w:rsid w:val="00CC0E03"/>
    <w:rsid w:val="00CD2D63"/>
    <w:rsid w:val="00CF1264"/>
    <w:rsid w:val="00CF343F"/>
    <w:rsid w:val="00D069CB"/>
    <w:rsid w:val="00D26460"/>
    <w:rsid w:val="00D33AFA"/>
    <w:rsid w:val="00D43749"/>
    <w:rsid w:val="00D55A47"/>
    <w:rsid w:val="00D57C62"/>
    <w:rsid w:val="00D62B07"/>
    <w:rsid w:val="00D7155E"/>
    <w:rsid w:val="00D755E0"/>
    <w:rsid w:val="00D840F0"/>
    <w:rsid w:val="00D87D4C"/>
    <w:rsid w:val="00DA3F2A"/>
    <w:rsid w:val="00DB3A77"/>
    <w:rsid w:val="00DC2BE9"/>
    <w:rsid w:val="00DD297B"/>
    <w:rsid w:val="00DE1234"/>
    <w:rsid w:val="00DE1301"/>
    <w:rsid w:val="00DE7392"/>
    <w:rsid w:val="00E06035"/>
    <w:rsid w:val="00E12540"/>
    <w:rsid w:val="00E126F9"/>
    <w:rsid w:val="00E152C1"/>
    <w:rsid w:val="00E26021"/>
    <w:rsid w:val="00E30320"/>
    <w:rsid w:val="00E31082"/>
    <w:rsid w:val="00E32F48"/>
    <w:rsid w:val="00E336BA"/>
    <w:rsid w:val="00E34214"/>
    <w:rsid w:val="00E46BA2"/>
    <w:rsid w:val="00E516E5"/>
    <w:rsid w:val="00E566F3"/>
    <w:rsid w:val="00E65645"/>
    <w:rsid w:val="00E8720B"/>
    <w:rsid w:val="00E92C45"/>
    <w:rsid w:val="00EA0028"/>
    <w:rsid w:val="00EA22CE"/>
    <w:rsid w:val="00EA2EC5"/>
    <w:rsid w:val="00EB26E1"/>
    <w:rsid w:val="00EC5547"/>
    <w:rsid w:val="00EE0863"/>
    <w:rsid w:val="00EE286B"/>
    <w:rsid w:val="00EE381E"/>
    <w:rsid w:val="00EE4ED3"/>
    <w:rsid w:val="00F05140"/>
    <w:rsid w:val="00F076D1"/>
    <w:rsid w:val="00F10E3B"/>
    <w:rsid w:val="00F13211"/>
    <w:rsid w:val="00F144D6"/>
    <w:rsid w:val="00F14F3C"/>
    <w:rsid w:val="00F36661"/>
    <w:rsid w:val="00F62B36"/>
    <w:rsid w:val="00F80FE7"/>
    <w:rsid w:val="00F835EE"/>
    <w:rsid w:val="00F84899"/>
    <w:rsid w:val="00F85AE2"/>
    <w:rsid w:val="00F8730D"/>
    <w:rsid w:val="00F90D47"/>
    <w:rsid w:val="00F911CC"/>
    <w:rsid w:val="00F91906"/>
    <w:rsid w:val="00F94720"/>
    <w:rsid w:val="00FB7D19"/>
    <w:rsid w:val="00FE7614"/>
    <w:rsid w:val="00FE7B27"/>
    <w:rsid w:val="00FE7C2F"/>
    <w:rsid w:val="00FF61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1227C6"/>
  <w15:docId w15:val="{6A0E7ED1-F8EA-4953-B99C-7489ACDE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3F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8253F1"/>
    <w:pPr>
      <w:keepNext/>
      <w:jc w:val="center"/>
      <w:outlineLvl w:val="0"/>
    </w:pPr>
    <w:rPr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8253F1"/>
    <w:pPr>
      <w:keepNext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qFormat/>
    <w:rsid w:val="008253F1"/>
    <w:pPr>
      <w:keepNext/>
      <w:ind w:firstLine="72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253F1"/>
  </w:style>
  <w:style w:type="paragraph" w:customStyle="1" w:styleId="Level1">
    <w:name w:val="Level 1"/>
    <w:basedOn w:val="Normal"/>
    <w:rsid w:val="008253F1"/>
    <w:pPr>
      <w:ind w:left="720" w:hanging="720"/>
    </w:pPr>
  </w:style>
  <w:style w:type="paragraph" w:styleId="BodyText">
    <w:name w:val="Body Text"/>
    <w:basedOn w:val="Normal"/>
    <w:rsid w:val="008253F1"/>
    <w:rPr>
      <w:sz w:val="26"/>
      <w:szCs w:val="26"/>
    </w:rPr>
  </w:style>
  <w:style w:type="paragraph" w:styleId="BodyText2">
    <w:name w:val="Body Text 2"/>
    <w:basedOn w:val="Normal"/>
    <w:rsid w:val="008253F1"/>
    <w:pPr>
      <w:jc w:val="center"/>
    </w:pPr>
    <w:rPr>
      <w:sz w:val="26"/>
      <w:szCs w:val="26"/>
      <w:u w:val="single"/>
    </w:rPr>
  </w:style>
  <w:style w:type="character" w:styleId="Hyperlink">
    <w:name w:val="Hyperlink"/>
    <w:basedOn w:val="DefaultParagraphFont"/>
    <w:rsid w:val="008253F1"/>
    <w:rPr>
      <w:color w:val="0000FF"/>
      <w:u w:val="single"/>
    </w:rPr>
  </w:style>
  <w:style w:type="table" w:styleId="TableGrid">
    <w:name w:val="Table Grid"/>
    <w:basedOn w:val="TableNormal"/>
    <w:rsid w:val="003C6E5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93C83"/>
    <w:rPr>
      <w:szCs w:val="20"/>
    </w:rPr>
  </w:style>
  <w:style w:type="paragraph" w:styleId="Footer">
    <w:name w:val="footer"/>
    <w:basedOn w:val="Normal"/>
    <w:rsid w:val="00121D05"/>
    <w:pPr>
      <w:widowControl/>
      <w:tabs>
        <w:tab w:val="center" w:pos="4320"/>
        <w:tab w:val="right" w:pos="8640"/>
      </w:tabs>
      <w:autoSpaceDE/>
      <w:autoSpaceDN/>
      <w:adjustRightInd/>
    </w:pPr>
    <w:rPr>
      <w:bCs/>
      <w:i/>
      <w:sz w:val="16"/>
      <w:szCs w:val="16"/>
    </w:rPr>
  </w:style>
  <w:style w:type="paragraph" w:styleId="Header">
    <w:name w:val="header"/>
    <w:basedOn w:val="Normal"/>
    <w:rsid w:val="007529F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F20C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semiHidden/>
    <w:rsid w:val="00226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A9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A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A97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91501A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B11B5B"/>
    <w:pPr>
      <w:widowControl w:val="0"/>
      <w:autoSpaceDE w:val="0"/>
      <w:autoSpaceDN w:val="0"/>
      <w:adjustRightInd w:val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5C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33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emetra.collia@bts.gov" TargetMode="External" /><Relationship Id="rId6" Type="http://schemas.openxmlformats.org/officeDocument/2006/relationships/hyperlink" Target="mailto:" TargetMode="External" /><Relationship Id="rId7" Type="http://schemas.openxmlformats.org/officeDocument/2006/relationships/hyperlink" Target="mailto:katharen.bisgard@dot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D980D-C3E4-4F5D-A7DD-00E63D41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 STATEMENT</vt:lpstr>
    </vt:vector>
  </TitlesOfParts>
  <Company>BTS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STATEMENT</dc:title>
  <dc:creator>USDOT_User</dc:creator>
  <cp:lastModifiedBy>Webb, Kimberly (OST)</cp:lastModifiedBy>
  <cp:revision>2</cp:revision>
  <cp:lastPrinted>2018-01-31T14:35:00Z</cp:lastPrinted>
  <dcterms:created xsi:type="dcterms:W3CDTF">2023-06-08T15:42:00Z</dcterms:created>
  <dcterms:modified xsi:type="dcterms:W3CDTF">2023-06-08T15:42:00Z</dcterms:modified>
</cp:coreProperties>
</file>