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41943" w:rsidRPr="004A6312" w:rsidP="00641943" w14:paraId="2F8057FC" w14:textId="77777777">
      <w:pPr>
        <w:jc w:val="center"/>
        <w:rPr>
          <w:color w:val="000000" w:themeColor="text1"/>
          <w:szCs w:val="24"/>
        </w:rPr>
      </w:pPr>
    </w:p>
    <w:p w:rsidR="00641943" w:rsidRPr="004A6312" w:rsidP="00641943" w14:paraId="69BC2427" w14:textId="77777777">
      <w:pPr>
        <w:rPr>
          <w:color w:val="000000" w:themeColor="text1"/>
          <w:szCs w:val="24"/>
        </w:rPr>
      </w:pPr>
      <w:r w:rsidRPr="004A6312">
        <w:rPr>
          <w:color w:val="000000" w:themeColor="text1"/>
          <w:szCs w:val="24"/>
        </w:rPr>
        <w:t>Office of Management and Budget</w:t>
      </w:r>
    </w:p>
    <w:p w:rsidR="00641943" w:rsidRPr="004A6312" w:rsidP="00641943" w14:paraId="71C3E28D" w14:textId="77777777">
      <w:pPr>
        <w:rPr>
          <w:color w:val="000000" w:themeColor="text1"/>
          <w:szCs w:val="24"/>
        </w:rPr>
      </w:pPr>
      <w:r w:rsidRPr="004A6312">
        <w:rPr>
          <w:color w:val="000000" w:themeColor="text1"/>
          <w:szCs w:val="24"/>
        </w:rPr>
        <w:t>Office of Information and Regulatory Affairs</w:t>
      </w:r>
    </w:p>
    <w:p w:rsidR="00641943" w:rsidP="00641943" w14:paraId="02D73B21" w14:textId="77777777">
      <w:pPr>
        <w:rPr>
          <w:color w:val="000000" w:themeColor="text1"/>
          <w:szCs w:val="24"/>
        </w:rPr>
      </w:pPr>
      <w:r>
        <w:rPr>
          <w:color w:val="000000" w:themeColor="text1"/>
          <w:szCs w:val="24"/>
        </w:rPr>
        <w:t xml:space="preserve">Administrator Richard </w:t>
      </w:r>
      <w:r>
        <w:rPr>
          <w:color w:val="000000" w:themeColor="text1"/>
          <w:szCs w:val="24"/>
        </w:rPr>
        <w:t>Revesz</w:t>
      </w:r>
    </w:p>
    <w:p w:rsidR="00641943" w:rsidRPr="004A6312" w:rsidP="00641943" w14:paraId="160416DD" w14:textId="77777777">
      <w:pPr>
        <w:rPr>
          <w:color w:val="000000" w:themeColor="text1"/>
          <w:szCs w:val="24"/>
        </w:rPr>
      </w:pPr>
      <w:r>
        <w:rPr>
          <w:color w:val="000000" w:themeColor="text1"/>
          <w:szCs w:val="24"/>
        </w:rPr>
        <w:t>Eisenhower</w:t>
      </w:r>
      <w:r w:rsidRPr="004A6312">
        <w:rPr>
          <w:color w:val="000000" w:themeColor="text1"/>
          <w:szCs w:val="24"/>
        </w:rPr>
        <w:t xml:space="preserve"> </w:t>
      </w:r>
      <w:r w:rsidRPr="004A6312">
        <w:rPr>
          <w:color w:val="000000" w:themeColor="text1"/>
          <w:szCs w:val="24"/>
        </w:rPr>
        <w:t>Executive Office Building</w:t>
      </w:r>
    </w:p>
    <w:p w:rsidR="00641943" w:rsidRPr="004A6312" w:rsidP="00641943" w14:paraId="35EDE6C4" w14:textId="77777777">
      <w:pPr>
        <w:rPr>
          <w:color w:val="000000" w:themeColor="text1"/>
          <w:szCs w:val="24"/>
        </w:rPr>
      </w:pPr>
      <w:r w:rsidRPr="004A6312">
        <w:rPr>
          <w:color w:val="000000" w:themeColor="text1"/>
          <w:szCs w:val="24"/>
        </w:rPr>
        <w:t>Washington, DC 20503</w:t>
      </w:r>
    </w:p>
    <w:p w:rsidR="00641943" w:rsidRPr="004A6312" w:rsidP="00641943" w14:paraId="02BACCD1" w14:textId="77777777">
      <w:pPr>
        <w:rPr>
          <w:color w:val="000000" w:themeColor="text1"/>
          <w:szCs w:val="24"/>
        </w:rPr>
      </w:pPr>
    </w:p>
    <w:p w:rsidR="00641943" w:rsidRPr="004A6312" w:rsidP="00641943" w14:paraId="535018B6" w14:textId="2E741E75">
      <w:pPr>
        <w:rPr>
          <w:color w:val="000000" w:themeColor="text1"/>
          <w:szCs w:val="24"/>
        </w:rPr>
      </w:pPr>
      <w:r w:rsidRPr="004A6312">
        <w:rPr>
          <w:color w:val="000000" w:themeColor="text1"/>
          <w:szCs w:val="24"/>
        </w:rPr>
        <w:t>RE: OMB Control Number 250</w:t>
      </w:r>
      <w:r w:rsidR="0088561C">
        <w:rPr>
          <w:color w:val="000000" w:themeColor="text1"/>
          <w:szCs w:val="24"/>
        </w:rPr>
        <w:t>2</w:t>
      </w:r>
      <w:r w:rsidRPr="004A6312">
        <w:rPr>
          <w:color w:val="000000" w:themeColor="text1"/>
          <w:szCs w:val="24"/>
        </w:rPr>
        <w:t>-</w:t>
      </w:r>
      <w:r w:rsidR="00003CF7">
        <w:rPr>
          <w:color w:val="000000" w:themeColor="text1"/>
          <w:szCs w:val="24"/>
        </w:rPr>
        <w:t>XXXX</w:t>
      </w:r>
      <w:r w:rsidRPr="004A6312">
        <w:rPr>
          <w:color w:val="000000" w:themeColor="text1"/>
          <w:szCs w:val="24"/>
        </w:rPr>
        <w:t xml:space="preserve"> </w:t>
      </w:r>
    </w:p>
    <w:p w:rsidR="00641943" w:rsidRPr="004A6312" w:rsidP="00641943" w14:paraId="42D0CD18" w14:textId="77777777">
      <w:pPr>
        <w:rPr>
          <w:color w:val="000000" w:themeColor="text1"/>
          <w:szCs w:val="24"/>
        </w:rPr>
      </w:pPr>
    </w:p>
    <w:p w:rsidR="00641943" w:rsidRPr="004A6312" w:rsidP="00641943" w14:paraId="5F58ED6E" w14:textId="77777777">
      <w:pPr>
        <w:rPr>
          <w:color w:val="000000" w:themeColor="text1"/>
          <w:szCs w:val="24"/>
        </w:rPr>
      </w:pPr>
      <w:r w:rsidRPr="004A6312">
        <w:rPr>
          <w:color w:val="000000" w:themeColor="text1"/>
          <w:szCs w:val="24"/>
        </w:rPr>
        <w:t>Dear</w:t>
      </w:r>
      <w:r>
        <w:rPr>
          <w:color w:val="000000" w:themeColor="text1"/>
          <w:szCs w:val="24"/>
        </w:rPr>
        <w:t xml:space="preserve"> Administrator </w:t>
      </w:r>
      <w:r>
        <w:rPr>
          <w:color w:val="000000" w:themeColor="text1"/>
          <w:szCs w:val="24"/>
        </w:rPr>
        <w:t xml:space="preserve">Richard </w:t>
      </w:r>
      <w:r>
        <w:rPr>
          <w:color w:val="000000" w:themeColor="text1"/>
          <w:szCs w:val="24"/>
        </w:rPr>
        <w:t>Revesz</w:t>
      </w:r>
      <w:r w:rsidRPr="004A6312">
        <w:rPr>
          <w:color w:val="000000" w:themeColor="text1"/>
          <w:szCs w:val="24"/>
        </w:rPr>
        <w:t>:</w:t>
      </w:r>
    </w:p>
    <w:p w:rsidR="00641943" w:rsidRPr="004A6312" w:rsidP="00641943" w14:paraId="71997B63" w14:textId="77777777">
      <w:pPr>
        <w:rPr>
          <w:color w:val="000000" w:themeColor="text1"/>
          <w:szCs w:val="24"/>
        </w:rPr>
      </w:pPr>
    </w:p>
    <w:p w:rsidR="00641943" w:rsidP="00641943" w14:paraId="281F6A6B" w14:textId="411519CE">
      <w:pPr>
        <w:ind w:firstLine="720"/>
        <w:rPr>
          <w:color w:val="000000" w:themeColor="text1"/>
          <w:szCs w:val="24"/>
        </w:rPr>
      </w:pPr>
      <w:r w:rsidRPr="004A6312">
        <w:rPr>
          <w:color w:val="000000" w:themeColor="text1"/>
          <w:szCs w:val="24"/>
        </w:rPr>
        <w:t>The Department of Housing and Urban Development's (HUD) Office of Housing</w:t>
      </w:r>
      <w:r w:rsidR="006E5979">
        <w:rPr>
          <w:color w:val="000000" w:themeColor="text1"/>
          <w:szCs w:val="24"/>
        </w:rPr>
        <w:t xml:space="preserve"> – </w:t>
      </w:r>
      <w:r w:rsidR="00AB4981">
        <w:rPr>
          <w:color w:val="000000" w:themeColor="text1"/>
          <w:szCs w:val="24"/>
        </w:rPr>
        <w:t xml:space="preserve">Office of </w:t>
      </w:r>
      <w:r w:rsidR="006E5979">
        <w:rPr>
          <w:color w:val="000000" w:themeColor="text1"/>
          <w:szCs w:val="24"/>
        </w:rPr>
        <w:t xml:space="preserve">Multifamily </w:t>
      </w:r>
      <w:r w:rsidR="00AB4981">
        <w:rPr>
          <w:color w:val="000000" w:themeColor="text1"/>
          <w:szCs w:val="24"/>
        </w:rPr>
        <w:t>H</w:t>
      </w:r>
      <w:r w:rsidR="006E5979">
        <w:rPr>
          <w:color w:val="000000" w:themeColor="text1"/>
          <w:szCs w:val="24"/>
        </w:rPr>
        <w:t xml:space="preserve">ousing </w:t>
      </w:r>
      <w:r w:rsidR="00AB4981">
        <w:rPr>
          <w:color w:val="000000" w:themeColor="text1"/>
          <w:szCs w:val="24"/>
        </w:rPr>
        <w:t>Programs</w:t>
      </w:r>
      <w:r w:rsidR="00024415">
        <w:rPr>
          <w:color w:val="000000" w:themeColor="text1"/>
          <w:szCs w:val="24"/>
        </w:rPr>
        <w:t xml:space="preserve"> </w:t>
      </w:r>
      <w:r w:rsidRPr="004A6312">
        <w:rPr>
          <w:color w:val="000000" w:themeColor="text1"/>
          <w:szCs w:val="24"/>
        </w:rPr>
        <w:t xml:space="preserve">respectfully requests a six (6) month PRA Emergency </w:t>
      </w:r>
      <w:r w:rsidR="00651A82">
        <w:rPr>
          <w:color w:val="000000" w:themeColor="text1"/>
          <w:szCs w:val="24"/>
        </w:rPr>
        <w:t>A</w:t>
      </w:r>
      <w:r w:rsidRPr="004A6312">
        <w:rPr>
          <w:color w:val="000000" w:themeColor="text1"/>
          <w:szCs w:val="24"/>
        </w:rPr>
        <w:t>pproval</w:t>
      </w:r>
      <w:r>
        <w:rPr>
          <w:color w:val="000000" w:themeColor="text1"/>
          <w:szCs w:val="24"/>
        </w:rPr>
        <w:t xml:space="preserve"> (as detailed under 5 C.F.R </w:t>
      </w:r>
      <w:r>
        <w:t xml:space="preserve">§ </w:t>
      </w:r>
      <w:r>
        <w:rPr>
          <w:color w:val="000000" w:themeColor="text1"/>
          <w:szCs w:val="24"/>
        </w:rPr>
        <w:t>1320.13</w:t>
      </w:r>
      <w:r w:rsidR="00E82F38">
        <w:rPr>
          <w:color w:val="000000" w:themeColor="text1"/>
          <w:szCs w:val="24"/>
        </w:rPr>
        <w:t xml:space="preserve">) </w:t>
      </w:r>
      <w:r w:rsidRPr="004A6312" w:rsidR="00E82F38">
        <w:rPr>
          <w:color w:val="000000" w:themeColor="text1"/>
          <w:szCs w:val="24"/>
        </w:rPr>
        <w:t>for</w:t>
      </w:r>
      <w:r w:rsidR="00AB4981">
        <w:rPr>
          <w:color w:val="000000" w:themeColor="text1"/>
          <w:szCs w:val="24"/>
        </w:rPr>
        <w:t xml:space="preserve"> the Tenant Education and Outreach (TEO</w:t>
      </w:r>
      <w:r w:rsidR="00AB4981">
        <w:rPr>
          <w:color w:val="000000" w:themeColor="text1"/>
          <w:szCs w:val="24"/>
        </w:rPr>
        <w:t>) Notice of Funding Opportunity</w:t>
      </w:r>
      <w:r w:rsidR="00C825BB">
        <w:rPr>
          <w:color w:val="000000" w:themeColor="text1"/>
          <w:szCs w:val="24"/>
        </w:rPr>
        <w:t xml:space="preserve"> (NOFO)</w:t>
      </w:r>
      <w:r w:rsidR="00AB4981">
        <w:rPr>
          <w:color w:val="000000" w:themeColor="text1"/>
          <w:szCs w:val="24"/>
        </w:rPr>
        <w:t>.</w:t>
      </w:r>
      <w:r w:rsidR="0088561C">
        <w:rPr>
          <w:color w:val="000000" w:themeColor="text1"/>
          <w:szCs w:val="24"/>
        </w:rPr>
        <w:t xml:space="preserve"> </w:t>
      </w:r>
      <w:r w:rsidR="00AB4981">
        <w:rPr>
          <w:color w:val="000000" w:themeColor="text1"/>
          <w:szCs w:val="24"/>
        </w:rPr>
        <w:t xml:space="preserve">This </w:t>
      </w:r>
      <w:r w:rsidR="00C825BB">
        <w:rPr>
          <w:color w:val="000000" w:themeColor="text1"/>
          <w:szCs w:val="24"/>
        </w:rPr>
        <w:t xml:space="preserve">is the first </w:t>
      </w:r>
      <w:r w:rsidR="00D07C9B">
        <w:rPr>
          <w:color w:val="000000" w:themeColor="text1"/>
          <w:szCs w:val="24"/>
        </w:rPr>
        <w:t xml:space="preserve">NOFO published using MAHRAA Section 514 funding since 2011 </w:t>
      </w:r>
      <w:r w:rsidR="006D0863">
        <w:rPr>
          <w:color w:val="000000" w:themeColor="text1"/>
          <w:szCs w:val="24"/>
        </w:rPr>
        <w:t xml:space="preserve">and will address an urgent need for </w:t>
      </w:r>
      <w:r w:rsidR="003A634A">
        <w:rPr>
          <w:color w:val="000000" w:themeColor="text1"/>
          <w:szCs w:val="24"/>
        </w:rPr>
        <w:t>resources for</w:t>
      </w:r>
      <w:r w:rsidR="003A634A">
        <w:rPr>
          <w:color w:val="000000" w:themeColor="text1"/>
          <w:szCs w:val="24"/>
        </w:rPr>
        <w:t xml:space="preserve"> tenant organizations at HUD-assisted multifamily properties.</w:t>
      </w:r>
    </w:p>
    <w:p w:rsidR="00641943" w:rsidP="00641943" w14:paraId="5842629C" w14:textId="77777777">
      <w:pPr>
        <w:ind w:firstLine="720"/>
        <w:rPr>
          <w:color w:val="000000" w:themeColor="text1"/>
          <w:szCs w:val="24"/>
        </w:rPr>
      </w:pPr>
    </w:p>
    <w:p w:rsidR="00B37ED0" w:rsidP="00641943" w14:paraId="1B4C9CFD" w14:textId="4368BDF7">
      <w:pPr>
        <w:ind w:firstLine="720"/>
        <w:rPr>
          <w:color w:val="000000" w:themeColor="text1"/>
          <w:szCs w:val="24"/>
        </w:rPr>
      </w:pPr>
      <w:r>
        <w:rPr>
          <w:color w:val="000000" w:themeColor="text1"/>
          <w:szCs w:val="24"/>
        </w:rPr>
        <w:t xml:space="preserve">5 C.F.R </w:t>
      </w:r>
      <w:r>
        <w:t xml:space="preserve">§ </w:t>
      </w:r>
      <w:r>
        <w:rPr>
          <w:color w:val="000000" w:themeColor="text1"/>
          <w:szCs w:val="24"/>
        </w:rPr>
        <w:t>1320.13(a)(1)</w:t>
      </w:r>
      <w:r>
        <w:rPr>
          <w:color w:val="000000" w:themeColor="text1"/>
          <w:szCs w:val="24"/>
        </w:rPr>
        <w:t>(ii)</w:t>
      </w:r>
      <w:r>
        <w:rPr>
          <w:color w:val="000000" w:themeColor="text1"/>
          <w:szCs w:val="24"/>
        </w:rPr>
        <w:t xml:space="preserve"> requires a determination that the collection of information </w:t>
      </w:r>
      <w:r>
        <w:rPr>
          <w:color w:val="000000" w:themeColor="text1"/>
          <w:szCs w:val="24"/>
        </w:rPr>
        <w:t xml:space="preserve">is </w:t>
      </w:r>
      <w:r>
        <w:rPr>
          <w:color w:val="000000" w:themeColor="text1"/>
          <w:szCs w:val="24"/>
        </w:rPr>
        <w:t>is</w:t>
      </w:r>
      <w:r>
        <w:rPr>
          <w:color w:val="000000" w:themeColor="text1"/>
          <w:szCs w:val="24"/>
        </w:rPr>
        <w:t xml:space="preserve"> “</w:t>
      </w:r>
      <w:r w:rsidRPr="00966AC6">
        <w:rPr>
          <w:color w:val="000000" w:themeColor="text1"/>
          <w:szCs w:val="24"/>
        </w:rPr>
        <w:t>essential to the mission of the agency</w:t>
      </w:r>
      <w:r>
        <w:rPr>
          <w:color w:val="000000" w:themeColor="text1"/>
          <w:szCs w:val="24"/>
        </w:rPr>
        <w:t xml:space="preserve">.” </w:t>
      </w:r>
      <w:r w:rsidR="00DB6FC9">
        <w:rPr>
          <w:color w:val="000000" w:themeColor="text1"/>
          <w:szCs w:val="24"/>
        </w:rPr>
        <w:t xml:space="preserve"> </w:t>
      </w:r>
      <w:r w:rsidR="00A8447D">
        <w:rPr>
          <w:color w:val="000000" w:themeColor="text1"/>
          <w:szCs w:val="24"/>
        </w:rPr>
        <w:t xml:space="preserve">Tenant leaders at Project Based Rental Assistance </w:t>
      </w:r>
      <w:r w:rsidR="000E2B46">
        <w:rPr>
          <w:color w:val="000000" w:themeColor="text1"/>
          <w:szCs w:val="24"/>
        </w:rPr>
        <w:t>(PBRA)</w:t>
      </w:r>
      <w:r w:rsidR="000E2B46">
        <w:rPr>
          <w:color w:val="000000" w:themeColor="text1"/>
          <w:szCs w:val="24"/>
        </w:rPr>
        <w:t xml:space="preserve"> </w:t>
      </w:r>
      <w:r w:rsidR="00A8447D">
        <w:rPr>
          <w:color w:val="000000" w:themeColor="text1"/>
          <w:szCs w:val="24"/>
        </w:rPr>
        <w:t xml:space="preserve">properties </w:t>
      </w:r>
      <w:r w:rsidR="00433B1D">
        <w:rPr>
          <w:color w:val="000000" w:themeColor="text1"/>
          <w:szCs w:val="24"/>
        </w:rPr>
        <w:t>across the United States have highlighted the importance of pro</w:t>
      </w:r>
      <w:r w:rsidR="00433B1D">
        <w:rPr>
          <w:color w:val="000000" w:themeColor="text1"/>
          <w:szCs w:val="24"/>
        </w:rPr>
        <w:t xml:space="preserve">viding resources to </w:t>
      </w:r>
      <w:r w:rsidR="005A0C8E">
        <w:rPr>
          <w:color w:val="000000" w:themeColor="text1"/>
          <w:szCs w:val="24"/>
        </w:rPr>
        <w:t>established</w:t>
      </w:r>
      <w:r w:rsidR="00433B1D">
        <w:rPr>
          <w:color w:val="000000" w:themeColor="text1"/>
          <w:szCs w:val="24"/>
        </w:rPr>
        <w:t xml:space="preserve"> and emerging tenant organizations</w:t>
      </w:r>
      <w:r w:rsidR="002F1B0D">
        <w:rPr>
          <w:color w:val="000000" w:themeColor="text1"/>
          <w:szCs w:val="24"/>
        </w:rPr>
        <w:t xml:space="preserve"> that advocate for the best interests of residents on issues related to </w:t>
      </w:r>
      <w:r w:rsidR="007B2FA1">
        <w:rPr>
          <w:color w:val="000000" w:themeColor="text1"/>
          <w:szCs w:val="24"/>
        </w:rPr>
        <w:t xml:space="preserve">property management, </w:t>
      </w:r>
      <w:r w:rsidR="007B2FA1">
        <w:rPr>
          <w:color w:val="000000" w:themeColor="text1"/>
          <w:szCs w:val="24"/>
        </w:rPr>
        <w:t>physical conditions, and preservation of affordable housing</w:t>
      </w:r>
      <w:r w:rsidR="00C92017">
        <w:rPr>
          <w:color w:val="000000" w:themeColor="text1"/>
          <w:szCs w:val="24"/>
        </w:rPr>
        <w:t>. Tenant organizations educate residents about their rights and responsibilities</w:t>
      </w:r>
      <w:r w:rsidR="00514C95">
        <w:rPr>
          <w:color w:val="000000" w:themeColor="text1"/>
          <w:szCs w:val="24"/>
        </w:rPr>
        <w:t xml:space="preserve"> and work with property management and other stakeholders on issues affecting </w:t>
      </w:r>
      <w:r w:rsidR="00E36D11">
        <w:rPr>
          <w:color w:val="000000" w:themeColor="text1"/>
          <w:szCs w:val="24"/>
        </w:rPr>
        <w:t>residents’ quality of life</w:t>
      </w:r>
      <w:r w:rsidR="00F07FAB">
        <w:rPr>
          <w:color w:val="000000" w:themeColor="text1"/>
          <w:szCs w:val="24"/>
        </w:rPr>
        <w:t xml:space="preserve"> at privately-owned HUD-assisted multifamily </w:t>
      </w:r>
      <w:r w:rsidR="002C4001">
        <w:rPr>
          <w:color w:val="000000" w:themeColor="text1"/>
          <w:szCs w:val="24"/>
        </w:rPr>
        <w:t>properties</w:t>
      </w:r>
      <w:r w:rsidR="00E36D11">
        <w:rPr>
          <w:color w:val="000000" w:themeColor="text1"/>
          <w:szCs w:val="24"/>
        </w:rPr>
        <w:t>.</w:t>
      </w:r>
      <w:r w:rsidR="00024415">
        <w:rPr>
          <w:color w:val="000000" w:themeColor="text1"/>
          <w:szCs w:val="24"/>
        </w:rPr>
        <w:t xml:space="preserve"> This includes </w:t>
      </w:r>
      <w:r w:rsidR="004E3080">
        <w:rPr>
          <w:color w:val="000000" w:themeColor="text1"/>
          <w:szCs w:val="24"/>
        </w:rPr>
        <w:t xml:space="preserve">providing information on a tenant’s rights </w:t>
      </w:r>
      <w:r w:rsidR="005938BD">
        <w:rPr>
          <w:color w:val="000000" w:themeColor="text1"/>
          <w:szCs w:val="24"/>
        </w:rPr>
        <w:t xml:space="preserve">if an owner begins eviction proceedings, protections under the Fair Housing Act and other applicable civil rights laws, </w:t>
      </w:r>
      <w:r w:rsidR="0017197B">
        <w:rPr>
          <w:color w:val="000000" w:themeColor="text1"/>
          <w:szCs w:val="24"/>
        </w:rPr>
        <w:t xml:space="preserve">and </w:t>
      </w:r>
      <w:r w:rsidR="00643444">
        <w:rPr>
          <w:color w:val="000000" w:themeColor="text1"/>
          <w:szCs w:val="24"/>
        </w:rPr>
        <w:t xml:space="preserve">resources </w:t>
      </w:r>
      <w:r w:rsidR="00643444">
        <w:rPr>
          <w:color w:val="000000" w:themeColor="text1"/>
          <w:szCs w:val="24"/>
        </w:rPr>
        <w:t xml:space="preserve">on </w:t>
      </w:r>
      <w:r w:rsidR="00BA617C">
        <w:rPr>
          <w:color w:val="000000" w:themeColor="text1"/>
          <w:szCs w:val="24"/>
        </w:rPr>
        <w:t xml:space="preserve">available </w:t>
      </w:r>
      <w:r w:rsidR="00643444">
        <w:rPr>
          <w:color w:val="000000" w:themeColor="text1"/>
          <w:szCs w:val="24"/>
        </w:rPr>
        <w:t xml:space="preserve">services and </w:t>
      </w:r>
      <w:r w:rsidR="00643444">
        <w:rPr>
          <w:color w:val="000000" w:themeColor="text1"/>
          <w:szCs w:val="24"/>
        </w:rPr>
        <w:t>support</w:t>
      </w:r>
      <w:r w:rsidR="0017197B">
        <w:rPr>
          <w:color w:val="000000" w:themeColor="text1"/>
          <w:szCs w:val="24"/>
        </w:rPr>
        <w:t>s</w:t>
      </w:r>
      <w:r w:rsidR="0017197B">
        <w:rPr>
          <w:color w:val="000000" w:themeColor="text1"/>
          <w:szCs w:val="24"/>
        </w:rPr>
        <w:t xml:space="preserve">. Tenant organizations also work with property </w:t>
      </w:r>
      <w:r w:rsidR="00B11775">
        <w:rPr>
          <w:color w:val="000000" w:themeColor="text1"/>
          <w:szCs w:val="24"/>
        </w:rPr>
        <w:t>owners on crucial ma</w:t>
      </w:r>
      <w:r w:rsidR="00600E8A">
        <w:rPr>
          <w:color w:val="000000" w:themeColor="text1"/>
          <w:szCs w:val="24"/>
        </w:rPr>
        <w:t xml:space="preserve">tters related to management policies that affect </w:t>
      </w:r>
      <w:r>
        <w:rPr>
          <w:color w:val="000000" w:themeColor="text1"/>
          <w:szCs w:val="24"/>
        </w:rPr>
        <w:t>tenancy and eviction</w:t>
      </w:r>
      <w:r w:rsidR="00F344C8">
        <w:rPr>
          <w:color w:val="000000" w:themeColor="text1"/>
          <w:szCs w:val="24"/>
        </w:rPr>
        <w:t xml:space="preserve"> policies</w:t>
      </w:r>
      <w:r>
        <w:rPr>
          <w:color w:val="000000" w:themeColor="text1"/>
          <w:szCs w:val="24"/>
        </w:rPr>
        <w:t>.</w:t>
      </w:r>
      <w:r w:rsidR="00E36D11">
        <w:rPr>
          <w:color w:val="000000" w:themeColor="text1"/>
          <w:szCs w:val="24"/>
        </w:rPr>
        <w:t xml:space="preserve"> </w:t>
      </w:r>
    </w:p>
    <w:p w:rsidR="00B37ED0" w:rsidP="00641943" w14:paraId="2922EDB9" w14:textId="77777777">
      <w:pPr>
        <w:ind w:firstLine="720"/>
        <w:rPr>
          <w:color w:val="000000" w:themeColor="text1"/>
          <w:szCs w:val="24"/>
        </w:rPr>
      </w:pPr>
    </w:p>
    <w:p w:rsidR="00641943" w:rsidP="00641943" w14:paraId="486668D5" w14:textId="77777777">
      <w:pPr>
        <w:ind w:firstLine="720"/>
        <w:rPr>
          <w:color w:val="000000" w:themeColor="text1"/>
          <w:szCs w:val="24"/>
        </w:rPr>
      </w:pPr>
      <w:r>
        <w:rPr>
          <w:color w:val="000000" w:themeColor="text1"/>
          <w:szCs w:val="24"/>
        </w:rPr>
        <w:t xml:space="preserve">The </w:t>
      </w:r>
      <w:r w:rsidR="001B37CF">
        <w:rPr>
          <w:color w:val="000000" w:themeColor="text1"/>
          <w:szCs w:val="24"/>
        </w:rPr>
        <w:t xml:space="preserve">new </w:t>
      </w:r>
      <w:r w:rsidR="001B37CF">
        <w:rPr>
          <w:color w:val="000000" w:themeColor="text1"/>
          <w:szCs w:val="24"/>
        </w:rPr>
        <w:t xml:space="preserve">TEO program </w:t>
      </w:r>
      <w:r w:rsidR="00BE5783">
        <w:rPr>
          <w:color w:val="000000" w:themeColor="text1"/>
          <w:szCs w:val="24"/>
        </w:rPr>
        <w:t>has been created in response to</w:t>
      </w:r>
      <w:r w:rsidR="00A8447D">
        <w:rPr>
          <w:color w:val="000000" w:themeColor="text1"/>
          <w:szCs w:val="24"/>
        </w:rPr>
        <w:t xml:space="preserve"> this</w:t>
      </w:r>
      <w:r w:rsidR="00BE5783">
        <w:rPr>
          <w:color w:val="000000" w:themeColor="text1"/>
          <w:szCs w:val="24"/>
        </w:rPr>
        <w:t xml:space="preserve"> </w:t>
      </w:r>
      <w:r w:rsidR="00F344C8">
        <w:rPr>
          <w:color w:val="000000" w:themeColor="text1"/>
          <w:szCs w:val="24"/>
        </w:rPr>
        <w:t>feedback and</w:t>
      </w:r>
      <w:r w:rsidR="00E36D11">
        <w:rPr>
          <w:color w:val="000000" w:themeColor="text1"/>
          <w:szCs w:val="24"/>
        </w:rPr>
        <w:t xml:space="preserve"> will provide crucial </w:t>
      </w:r>
      <w:r w:rsidR="000E2B46">
        <w:rPr>
          <w:color w:val="000000" w:themeColor="text1"/>
          <w:szCs w:val="24"/>
        </w:rPr>
        <w:t>funding for technical assistance and operational costs for tenant organizations at PBRA properties</w:t>
      </w:r>
      <w:r w:rsidR="00A8447D">
        <w:rPr>
          <w:color w:val="000000" w:themeColor="text1"/>
          <w:szCs w:val="24"/>
        </w:rPr>
        <w:t xml:space="preserve">. </w:t>
      </w:r>
      <w:r w:rsidR="00100D5D">
        <w:rPr>
          <w:color w:val="000000" w:themeColor="text1"/>
          <w:szCs w:val="24"/>
        </w:rPr>
        <w:t xml:space="preserve">The TEO program will support HUD’s mission to provide decent, safe, </w:t>
      </w:r>
      <w:r w:rsidR="004C5D5B">
        <w:rPr>
          <w:color w:val="000000" w:themeColor="text1"/>
          <w:szCs w:val="24"/>
        </w:rPr>
        <w:t>sanitary</w:t>
      </w:r>
      <w:r w:rsidR="00457C4F">
        <w:rPr>
          <w:color w:val="000000" w:themeColor="text1"/>
          <w:szCs w:val="24"/>
        </w:rPr>
        <w:t>, affordable housing</w:t>
      </w:r>
      <w:r w:rsidR="007E184F">
        <w:rPr>
          <w:color w:val="000000" w:themeColor="text1"/>
          <w:szCs w:val="24"/>
        </w:rPr>
        <w:t xml:space="preserve">. The TEO program seeks to improve the quality of housing provided through the PBRA program by </w:t>
      </w:r>
      <w:r w:rsidR="005D0804">
        <w:rPr>
          <w:color w:val="000000" w:themeColor="text1"/>
          <w:szCs w:val="24"/>
        </w:rPr>
        <w:t>empower</w:t>
      </w:r>
      <w:r w:rsidR="007E184F">
        <w:rPr>
          <w:color w:val="000000" w:themeColor="text1"/>
          <w:szCs w:val="24"/>
        </w:rPr>
        <w:t>ing</w:t>
      </w:r>
      <w:r w:rsidR="005D0804">
        <w:rPr>
          <w:color w:val="000000" w:themeColor="text1"/>
          <w:szCs w:val="24"/>
        </w:rPr>
        <w:t xml:space="preserve"> tenants to</w:t>
      </w:r>
      <w:r w:rsidR="00B06889">
        <w:rPr>
          <w:color w:val="000000" w:themeColor="text1"/>
          <w:szCs w:val="24"/>
        </w:rPr>
        <w:t xml:space="preserve"> work collaboratively with property managem</w:t>
      </w:r>
      <w:r w:rsidR="00B06889">
        <w:rPr>
          <w:color w:val="000000" w:themeColor="text1"/>
          <w:szCs w:val="24"/>
        </w:rPr>
        <w:t xml:space="preserve">ent and </w:t>
      </w:r>
      <w:r w:rsidR="007E184F">
        <w:rPr>
          <w:color w:val="000000" w:themeColor="text1"/>
          <w:szCs w:val="24"/>
        </w:rPr>
        <w:t>HUD staff to resolve issues related to their homes.</w:t>
      </w:r>
      <w:r w:rsidR="004C5D5B">
        <w:rPr>
          <w:color w:val="000000" w:themeColor="text1"/>
          <w:szCs w:val="24"/>
        </w:rPr>
        <w:t xml:space="preserve"> </w:t>
      </w:r>
      <w:r>
        <w:rPr>
          <w:color w:val="000000" w:themeColor="text1"/>
          <w:szCs w:val="24"/>
        </w:rPr>
        <w:t xml:space="preserve">The </w:t>
      </w:r>
      <w:r w:rsidR="00253107">
        <w:rPr>
          <w:color w:val="000000" w:themeColor="text1"/>
          <w:szCs w:val="24"/>
        </w:rPr>
        <w:t>Tenant Education and Outreach</w:t>
      </w:r>
      <w:r w:rsidR="00272788">
        <w:rPr>
          <w:color w:val="000000" w:themeColor="text1"/>
          <w:szCs w:val="24"/>
        </w:rPr>
        <w:t xml:space="preserve"> (TEO)</w:t>
      </w:r>
      <w:r w:rsidR="007E184F">
        <w:rPr>
          <w:color w:val="000000" w:themeColor="text1"/>
          <w:szCs w:val="24"/>
        </w:rPr>
        <w:t xml:space="preserve"> NOFO </w:t>
      </w:r>
      <w:r w:rsidR="00CC4192">
        <w:rPr>
          <w:color w:val="000000" w:themeColor="text1"/>
          <w:szCs w:val="24"/>
        </w:rPr>
        <w:t xml:space="preserve">will provide a grant to an intermediary organization that will make sub-awards to tenant organizations and provide them </w:t>
      </w:r>
      <w:r w:rsidR="00CC4192">
        <w:rPr>
          <w:color w:val="000000" w:themeColor="text1"/>
          <w:szCs w:val="24"/>
        </w:rPr>
        <w:t>with technical assistance and training throughout the period of performance.</w:t>
      </w:r>
      <w:r w:rsidR="005F7535">
        <w:rPr>
          <w:color w:val="000000" w:themeColor="text1"/>
          <w:szCs w:val="24"/>
        </w:rPr>
        <w:t xml:space="preserve"> Currently, HUD </w:t>
      </w:r>
      <w:r w:rsidR="005F7535">
        <w:rPr>
          <w:color w:val="000000" w:themeColor="text1"/>
          <w:szCs w:val="24"/>
        </w:rPr>
        <w:t>provides no other funding for tenant advocacy</w:t>
      </w:r>
      <w:r w:rsidR="00D446E5">
        <w:rPr>
          <w:color w:val="000000" w:themeColor="text1"/>
          <w:szCs w:val="24"/>
        </w:rPr>
        <w:t xml:space="preserve"> efforts</w:t>
      </w:r>
      <w:r w:rsidR="009B3BCB">
        <w:rPr>
          <w:color w:val="000000" w:themeColor="text1"/>
          <w:szCs w:val="24"/>
        </w:rPr>
        <w:t xml:space="preserve"> at PBRA properties</w:t>
      </w:r>
      <w:r w:rsidR="00D446E5">
        <w:rPr>
          <w:color w:val="000000" w:themeColor="text1"/>
          <w:szCs w:val="24"/>
        </w:rPr>
        <w:t>.</w:t>
      </w:r>
      <w:r w:rsidR="00CC4192">
        <w:rPr>
          <w:color w:val="000000" w:themeColor="text1"/>
          <w:szCs w:val="24"/>
        </w:rPr>
        <w:t xml:space="preserve"> </w:t>
      </w:r>
      <w:r w:rsidR="00253107">
        <w:rPr>
          <w:color w:val="000000" w:themeColor="text1"/>
          <w:szCs w:val="24"/>
        </w:rPr>
        <w:t xml:space="preserve"> </w:t>
      </w:r>
    </w:p>
    <w:p w:rsidR="003D4965" w:rsidP="007E1971" w14:paraId="22234C6E" w14:textId="77777777">
      <w:pPr>
        <w:ind w:firstLine="720"/>
        <w:rPr>
          <w:color w:val="000000" w:themeColor="text1"/>
          <w:szCs w:val="24"/>
        </w:rPr>
      </w:pPr>
    </w:p>
    <w:p w:rsidR="007D2824" w:rsidP="007E1971" w14:paraId="40B42294" w14:textId="36E2FB5F">
      <w:pPr>
        <w:ind w:firstLine="720"/>
        <w:rPr>
          <w:color w:val="000000" w:themeColor="text1"/>
          <w:szCs w:val="24"/>
        </w:rPr>
      </w:pPr>
      <w:r>
        <w:rPr>
          <w:color w:val="000000" w:themeColor="text1"/>
          <w:szCs w:val="24"/>
        </w:rPr>
        <w:t xml:space="preserve">This emergency approval is necessary because </w:t>
      </w:r>
      <w:r w:rsidR="00065D28">
        <w:rPr>
          <w:color w:val="000000" w:themeColor="text1"/>
          <w:szCs w:val="24"/>
        </w:rPr>
        <w:t xml:space="preserve">of a rising wave of evictions following the </w:t>
      </w:r>
      <w:r w:rsidR="00725044">
        <w:rPr>
          <w:color w:val="000000" w:themeColor="text1"/>
          <w:szCs w:val="24"/>
        </w:rPr>
        <w:t xml:space="preserve">end of </w:t>
      </w:r>
      <w:r w:rsidR="00886E4D">
        <w:rPr>
          <w:color w:val="000000" w:themeColor="text1"/>
          <w:szCs w:val="24"/>
        </w:rPr>
        <w:t>temporary tenant</w:t>
      </w:r>
      <w:r w:rsidR="00725044">
        <w:rPr>
          <w:color w:val="000000" w:themeColor="text1"/>
          <w:szCs w:val="24"/>
        </w:rPr>
        <w:t xml:space="preserve"> protections that were in force during the COVID-19 Public Health Emergency</w:t>
      </w:r>
      <w:r w:rsidR="002E6C3E">
        <w:rPr>
          <w:color w:val="000000" w:themeColor="text1"/>
          <w:szCs w:val="24"/>
        </w:rPr>
        <w:t xml:space="preserve"> (PHE)</w:t>
      </w:r>
      <w:r w:rsidR="00725044">
        <w:rPr>
          <w:color w:val="000000" w:themeColor="text1"/>
          <w:szCs w:val="24"/>
        </w:rPr>
        <w:t xml:space="preserve">. </w:t>
      </w:r>
      <w:r w:rsidR="00F87FFB">
        <w:rPr>
          <w:color w:val="000000" w:themeColor="text1"/>
          <w:szCs w:val="24"/>
        </w:rPr>
        <w:t xml:space="preserve">The </w:t>
      </w:r>
      <w:r w:rsidRPr="00460876" w:rsidR="00460876">
        <w:rPr>
          <w:color w:val="000000" w:themeColor="text1"/>
          <w:szCs w:val="24"/>
        </w:rPr>
        <w:t>Centers for Disease Control and Prevention temporary moratorium on evictions was stayed by the United States Supreme Court on August 26, 2021, and is no longer in effect.</w:t>
      </w:r>
      <w:r w:rsidR="00460876">
        <w:rPr>
          <w:color w:val="000000" w:themeColor="text1"/>
          <w:szCs w:val="24"/>
        </w:rPr>
        <w:t xml:space="preserve"> </w:t>
      </w:r>
      <w:r w:rsidR="00686CB9">
        <w:rPr>
          <w:color w:val="000000" w:themeColor="text1"/>
          <w:szCs w:val="24"/>
        </w:rPr>
        <w:t xml:space="preserve">Forty-three states, the District of Columbia, and </w:t>
      </w:r>
      <w:r w:rsidR="007C150E">
        <w:rPr>
          <w:color w:val="000000" w:themeColor="text1"/>
          <w:szCs w:val="24"/>
        </w:rPr>
        <w:t>five U</w:t>
      </w:r>
      <w:r w:rsidR="007C150E">
        <w:rPr>
          <w:color w:val="000000" w:themeColor="text1"/>
          <w:szCs w:val="24"/>
        </w:rPr>
        <w:t xml:space="preserve">.S. Territories </w:t>
      </w:r>
      <w:r w:rsidR="00413908">
        <w:rPr>
          <w:color w:val="000000" w:themeColor="text1"/>
          <w:szCs w:val="24"/>
        </w:rPr>
        <w:t>instituted eviction moratoria during the</w:t>
      </w:r>
      <w:r w:rsidR="002E6C3E">
        <w:rPr>
          <w:color w:val="000000" w:themeColor="text1"/>
          <w:szCs w:val="24"/>
        </w:rPr>
        <w:t xml:space="preserve"> PHE, all of which have now ended.</w:t>
      </w:r>
      <w:r>
        <w:rPr>
          <w:rStyle w:val="FootnoteReference"/>
          <w:color w:val="000000" w:themeColor="text1"/>
          <w:szCs w:val="24"/>
        </w:rPr>
        <w:footnoteReference w:id="3"/>
      </w:r>
      <w:r w:rsidR="00413908">
        <w:rPr>
          <w:color w:val="000000" w:themeColor="text1"/>
          <w:szCs w:val="24"/>
        </w:rPr>
        <w:t xml:space="preserve"> </w:t>
      </w:r>
      <w:r w:rsidR="00886E4D">
        <w:rPr>
          <w:color w:val="000000" w:themeColor="text1"/>
          <w:szCs w:val="24"/>
        </w:rPr>
        <w:t xml:space="preserve"> </w:t>
      </w:r>
      <w:r w:rsidR="00B744B0">
        <w:rPr>
          <w:color w:val="000000" w:themeColor="text1"/>
          <w:szCs w:val="24"/>
        </w:rPr>
        <w:t>Eviction data tracked in 10 states</w:t>
      </w:r>
      <w:r w:rsidR="00802224">
        <w:rPr>
          <w:color w:val="000000" w:themeColor="text1"/>
          <w:szCs w:val="24"/>
        </w:rPr>
        <w:t xml:space="preserve"> and 34 cities by Princeton University’s Eviction Lab show that </w:t>
      </w:r>
      <w:r w:rsidR="00171367">
        <w:rPr>
          <w:color w:val="000000" w:themeColor="text1"/>
          <w:szCs w:val="24"/>
        </w:rPr>
        <w:t xml:space="preserve">weekly eviction filings have risen </w:t>
      </w:r>
      <w:r w:rsidR="003246DE">
        <w:rPr>
          <w:color w:val="000000" w:themeColor="text1"/>
          <w:szCs w:val="24"/>
        </w:rPr>
        <w:t xml:space="preserve">significantly in all tracked states and cities since the end of </w:t>
      </w:r>
      <w:r w:rsidR="00CA106A">
        <w:rPr>
          <w:color w:val="000000" w:themeColor="text1"/>
          <w:szCs w:val="24"/>
        </w:rPr>
        <w:t>pandemic-era eviction moratoria</w:t>
      </w:r>
      <w:r w:rsidR="00E64C9C">
        <w:rPr>
          <w:color w:val="000000" w:themeColor="text1"/>
          <w:szCs w:val="24"/>
        </w:rPr>
        <w:t>.</w:t>
      </w:r>
      <w:r>
        <w:rPr>
          <w:rStyle w:val="FootnoteReference"/>
          <w:color w:val="000000" w:themeColor="text1"/>
          <w:szCs w:val="24"/>
        </w:rPr>
        <w:footnoteReference w:id="4"/>
      </w:r>
      <w:r w:rsidR="00A22530">
        <w:rPr>
          <w:color w:val="000000" w:themeColor="text1"/>
          <w:szCs w:val="24"/>
        </w:rPr>
        <w:t xml:space="preserve"> </w:t>
      </w:r>
    </w:p>
    <w:p w:rsidR="007D2824" w:rsidP="007E1971" w14:paraId="4538F674" w14:textId="77777777">
      <w:pPr>
        <w:ind w:firstLine="720"/>
        <w:rPr>
          <w:color w:val="000000" w:themeColor="text1"/>
          <w:szCs w:val="24"/>
        </w:rPr>
      </w:pPr>
    </w:p>
    <w:p w:rsidR="00641943" w:rsidP="00A254A6" w14:paraId="206BB9B2" w14:textId="4BD1BD0E">
      <w:pPr>
        <w:ind w:firstLine="720"/>
        <w:rPr>
          <w:color w:val="000000" w:themeColor="text1"/>
          <w:szCs w:val="24"/>
        </w:rPr>
      </w:pPr>
      <w:r>
        <w:rPr>
          <w:color w:val="000000" w:themeColor="text1"/>
          <w:szCs w:val="24"/>
        </w:rPr>
        <w:t xml:space="preserve">While </w:t>
      </w:r>
      <w:r w:rsidR="00F268A0">
        <w:rPr>
          <w:color w:val="000000" w:themeColor="text1"/>
          <w:szCs w:val="24"/>
        </w:rPr>
        <w:t xml:space="preserve">unemployment rates have for the most part returned to pre-pandemic levels, </w:t>
      </w:r>
      <w:r w:rsidR="00760239">
        <w:rPr>
          <w:color w:val="000000" w:themeColor="text1"/>
          <w:szCs w:val="24"/>
        </w:rPr>
        <w:t>the</w:t>
      </w:r>
      <w:r w:rsidR="00760239">
        <w:rPr>
          <w:color w:val="000000" w:themeColor="text1"/>
          <w:szCs w:val="24"/>
        </w:rPr>
        <w:t xml:space="preserve"> rising cost of living</w:t>
      </w:r>
      <w:r w:rsidR="00856AFC">
        <w:rPr>
          <w:color w:val="000000" w:themeColor="text1"/>
          <w:szCs w:val="24"/>
        </w:rPr>
        <w:t>, exacerbated by</w:t>
      </w:r>
      <w:r w:rsidR="009D565F">
        <w:rPr>
          <w:color w:val="000000" w:themeColor="text1"/>
          <w:szCs w:val="24"/>
        </w:rPr>
        <w:t xml:space="preserve"> high inflation rates</w:t>
      </w:r>
      <w:r w:rsidR="00856AFC">
        <w:rPr>
          <w:color w:val="000000" w:themeColor="text1"/>
          <w:szCs w:val="24"/>
        </w:rPr>
        <w:t>,</w:t>
      </w:r>
      <w:r w:rsidR="009D565F">
        <w:rPr>
          <w:color w:val="000000" w:themeColor="text1"/>
          <w:szCs w:val="24"/>
        </w:rPr>
        <w:t xml:space="preserve"> </w:t>
      </w:r>
      <w:r w:rsidR="0000649B">
        <w:rPr>
          <w:color w:val="000000" w:themeColor="text1"/>
          <w:szCs w:val="24"/>
        </w:rPr>
        <w:t>ha</w:t>
      </w:r>
      <w:r w:rsidR="008412AD">
        <w:rPr>
          <w:color w:val="000000" w:themeColor="text1"/>
          <w:szCs w:val="24"/>
        </w:rPr>
        <w:t>s</w:t>
      </w:r>
      <w:r w:rsidR="0000649B">
        <w:rPr>
          <w:color w:val="000000" w:themeColor="text1"/>
          <w:szCs w:val="24"/>
        </w:rPr>
        <w:t xml:space="preserve"> strained household budgets for the low, very low, and extremely low-income </w:t>
      </w:r>
      <w:r w:rsidR="001B307D">
        <w:rPr>
          <w:color w:val="000000" w:themeColor="text1"/>
          <w:szCs w:val="24"/>
        </w:rPr>
        <w:t>househ</w:t>
      </w:r>
      <w:r w:rsidR="001B307D">
        <w:rPr>
          <w:color w:val="000000" w:themeColor="text1"/>
          <w:szCs w:val="24"/>
        </w:rPr>
        <w:t xml:space="preserve">olds served by the PBRA program. </w:t>
      </w:r>
      <w:r w:rsidRPr="00024415" w:rsidR="00024415">
        <w:rPr>
          <w:color w:val="000000" w:themeColor="text1"/>
          <w:szCs w:val="24"/>
        </w:rPr>
        <w:t xml:space="preserve">These factors have made it increasingly difficult for many PBRA tenants to pay their rent on time, </w:t>
      </w:r>
      <w:r w:rsidRPr="00024415" w:rsidR="00024415">
        <w:rPr>
          <w:color w:val="000000" w:themeColor="text1"/>
          <w:szCs w:val="24"/>
        </w:rPr>
        <w:t>at the same time that</w:t>
      </w:r>
      <w:r w:rsidRPr="00024415" w:rsidR="00024415">
        <w:rPr>
          <w:color w:val="000000" w:themeColor="text1"/>
          <w:szCs w:val="24"/>
        </w:rPr>
        <w:t xml:space="preserve"> they are no longer protected by PHE eviction moratoria at either the federal or state level. </w:t>
      </w:r>
      <w:r w:rsidRPr="001B307D" w:rsidR="001B307D">
        <w:rPr>
          <w:color w:val="000000" w:themeColor="text1"/>
          <w:szCs w:val="24"/>
        </w:rPr>
        <w:t>Average annual food-at-home prices were 11.4 percent higher in 2022 than in 2021</w:t>
      </w:r>
      <w:r w:rsidR="001B307D">
        <w:rPr>
          <w:color w:val="000000" w:themeColor="text1"/>
          <w:szCs w:val="24"/>
        </w:rPr>
        <w:t>, compared with</w:t>
      </w:r>
      <w:r w:rsidRPr="001B307D" w:rsidR="001B307D">
        <w:rPr>
          <w:color w:val="000000" w:themeColor="text1"/>
          <w:szCs w:val="24"/>
        </w:rPr>
        <w:t xml:space="preserve"> the 20-year historical level of retail food price inflation </w:t>
      </w:r>
      <w:r w:rsidR="001B307D">
        <w:rPr>
          <w:color w:val="000000" w:themeColor="text1"/>
          <w:szCs w:val="24"/>
        </w:rPr>
        <w:t>of</w:t>
      </w:r>
      <w:r w:rsidRPr="001B307D" w:rsidR="001B307D">
        <w:rPr>
          <w:color w:val="000000" w:themeColor="text1"/>
          <w:szCs w:val="24"/>
        </w:rPr>
        <w:t xml:space="preserve"> 2.0 percent per year</w:t>
      </w:r>
      <w:r w:rsidR="001B307D">
        <w:rPr>
          <w:color w:val="000000" w:themeColor="text1"/>
          <w:szCs w:val="24"/>
        </w:rPr>
        <w:t xml:space="preserve"> from</w:t>
      </w:r>
      <w:r w:rsidRPr="001B307D" w:rsidR="001B307D">
        <w:rPr>
          <w:color w:val="000000" w:themeColor="text1"/>
          <w:szCs w:val="24"/>
        </w:rPr>
        <w:t xml:space="preserve"> 2002–21.</w:t>
      </w:r>
      <w:r>
        <w:rPr>
          <w:rStyle w:val="FootnoteReference"/>
          <w:color w:val="000000" w:themeColor="text1"/>
          <w:szCs w:val="24"/>
        </w:rPr>
        <w:footnoteReference w:id="5"/>
      </w:r>
      <w:r w:rsidR="00AA679A">
        <w:rPr>
          <w:color w:val="000000" w:themeColor="text1"/>
          <w:szCs w:val="24"/>
        </w:rPr>
        <w:t xml:space="preserve"> Healthcare spending has </w:t>
      </w:r>
      <w:r w:rsidR="0069110E">
        <w:rPr>
          <w:color w:val="000000" w:themeColor="text1"/>
          <w:szCs w:val="24"/>
        </w:rPr>
        <w:t xml:space="preserve">also continued to rise nationally, from 6.6 percent of household spending in </w:t>
      </w:r>
      <w:r w:rsidR="0069110E">
        <w:rPr>
          <w:color w:val="000000" w:themeColor="text1"/>
          <w:szCs w:val="24"/>
        </w:rPr>
        <w:t>2010</w:t>
      </w:r>
      <w:r w:rsidR="00715901">
        <w:rPr>
          <w:color w:val="000000" w:themeColor="text1"/>
          <w:szCs w:val="24"/>
        </w:rPr>
        <w:t xml:space="preserve"> to 8.2 percent in 2019.</w:t>
      </w:r>
      <w:r>
        <w:rPr>
          <w:rStyle w:val="FootnoteReference"/>
          <w:color w:val="000000" w:themeColor="text1"/>
          <w:szCs w:val="24"/>
        </w:rPr>
        <w:footnoteReference w:id="6"/>
      </w:r>
      <w:r w:rsidR="00715901">
        <w:rPr>
          <w:color w:val="000000" w:themeColor="text1"/>
          <w:szCs w:val="24"/>
        </w:rPr>
        <w:t xml:space="preserve"> </w:t>
      </w:r>
      <w:r w:rsidR="006A6B39">
        <w:rPr>
          <w:color w:val="000000" w:themeColor="text1"/>
          <w:szCs w:val="24"/>
        </w:rPr>
        <w:t xml:space="preserve">According to the </w:t>
      </w:r>
      <w:r w:rsidR="00616E7F">
        <w:rPr>
          <w:color w:val="000000" w:themeColor="text1"/>
          <w:szCs w:val="24"/>
        </w:rPr>
        <w:t xml:space="preserve">Centers for Medicare and Medicaid Services (CMS) National Health Expenditures Projections, </w:t>
      </w:r>
      <w:r w:rsidRPr="006A6B39" w:rsidR="006A6B39">
        <w:rPr>
          <w:color w:val="000000" w:themeColor="text1"/>
          <w:szCs w:val="24"/>
        </w:rPr>
        <w:t xml:space="preserve">out-of-pocket </w:t>
      </w:r>
      <w:r w:rsidR="00616E7F">
        <w:rPr>
          <w:color w:val="000000" w:themeColor="text1"/>
          <w:szCs w:val="24"/>
        </w:rPr>
        <w:t xml:space="preserve">healthcare </w:t>
      </w:r>
      <w:r w:rsidRPr="006A6B39" w:rsidR="006A6B39">
        <w:rPr>
          <w:color w:val="000000" w:themeColor="text1"/>
          <w:szCs w:val="24"/>
        </w:rPr>
        <w:t xml:space="preserve">spending is projected to </w:t>
      </w:r>
      <w:r w:rsidR="00616E7F">
        <w:rPr>
          <w:color w:val="000000" w:themeColor="text1"/>
          <w:szCs w:val="24"/>
        </w:rPr>
        <w:t>grow by</w:t>
      </w:r>
      <w:r w:rsidRPr="006A6B39" w:rsidR="006A6B39">
        <w:rPr>
          <w:color w:val="000000" w:themeColor="text1"/>
          <w:szCs w:val="24"/>
        </w:rPr>
        <w:t xml:space="preserve"> 5.5</w:t>
      </w:r>
      <w:r w:rsidR="00616E7F">
        <w:rPr>
          <w:color w:val="000000" w:themeColor="text1"/>
          <w:szCs w:val="24"/>
        </w:rPr>
        <w:t xml:space="preserve"> </w:t>
      </w:r>
      <w:r w:rsidRPr="006A6B39" w:rsidR="006A6B39">
        <w:rPr>
          <w:color w:val="000000" w:themeColor="text1"/>
          <w:szCs w:val="24"/>
        </w:rPr>
        <w:t>percent in 2023</w:t>
      </w:r>
      <w:r w:rsidR="007E1971">
        <w:rPr>
          <w:color w:val="000000" w:themeColor="text1"/>
          <w:szCs w:val="24"/>
        </w:rPr>
        <w:t>, and</w:t>
      </w:r>
      <w:r w:rsidRPr="007E1971" w:rsidR="007E1971">
        <w:rPr>
          <w:color w:val="000000" w:themeColor="text1"/>
          <w:szCs w:val="24"/>
        </w:rPr>
        <w:t xml:space="preserve"> retail prescription drug spending growth is</w:t>
      </w:r>
      <w:r w:rsidR="007E1971">
        <w:rPr>
          <w:color w:val="000000" w:themeColor="text1"/>
          <w:szCs w:val="24"/>
        </w:rPr>
        <w:t xml:space="preserve"> </w:t>
      </w:r>
      <w:r w:rsidRPr="007E1971" w:rsidR="007E1971">
        <w:rPr>
          <w:color w:val="000000" w:themeColor="text1"/>
          <w:szCs w:val="24"/>
        </w:rPr>
        <w:t xml:space="preserve">projected to </w:t>
      </w:r>
      <w:r w:rsidR="007E1971">
        <w:rPr>
          <w:color w:val="000000" w:themeColor="text1"/>
          <w:szCs w:val="24"/>
        </w:rPr>
        <w:t>increase by</w:t>
      </w:r>
      <w:r w:rsidRPr="007E1971" w:rsidR="007E1971">
        <w:rPr>
          <w:color w:val="000000" w:themeColor="text1"/>
          <w:szCs w:val="24"/>
        </w:rPr>
        <w:t xml:space="preserve"> 4.7</w:t>
      </w:r>
      <w:r w:rsidR="007E1971">
        <w:rPr>
          <w:color w:val="000000" w:themeColor="text1"/>
          <w:szCs w:val="24"/>
        </w:rPr>
        <w:t xml:space="preserve"> percent.</w:t>
      </w:r>
      <w:r>
        <w:rPr>
          <w:rStyle w:val="FootnoteReference"/>
          <w:color w:val="000000" w:themeColor="text1"/>
          <w:szCs w:val="24"/>
        </w:rPr>
        <w:footnoteReference w:id="7"/>
      </w:r>
      <w:r w:rsidR="007E1971">
        <w:rPr>
          <w:color w:val="000000" w:themeColor="text1"/>
          <w:szCs w:val="24"/>
        </w:rPr>
        <w:t xml:space="preserve"> </w:t>
      </w:r>
      <w:r w:rsidRPr="00E55EBF" w:rsidR="00E55EBF">
        <w:rPr>
          <w:color w:val="000000" w:themeColor="text1"/>
          <w:szCs w:val="24"/>
        </w:rPr>
        <w:t xml:space="preserve">And the Consumer Price Index for All Urban Consumers (CPI-U) rose by 4.7 percent in 2021 and 8 percent in 2022, compared with increases of 2.4 percent in 2018 and 1.8 percent in 2019. </w:t>
      </w:r>
      <w:r w:rsidR="00516AF0">
        <w:rPr>
          <w:color w:val="000000" w:themeColor="text1"/>
          <w:szCs w:val="24"/>
        </w:rPr>
        <w:t>At the same time, t</w:t>
      </w:r>
      <w:r w:rsidRPr="00516AF0" w:rsidR="00516AF0">
        <w:rPr>
          <w:color w:val="000000" w:themeColor="text1"/>
          <w:szCs w:val="24"/>
        </w:rPr>
        <w:t>he temporary boost to SNAP benefits put in place during the COVID-19 pandemic, known as emergency allotments, ended nationwide after the February 2023 issuance.</w:t>
      </w:r>
      <w:r>
        <w:rPr>
          <w:rStyle w:val="FootnoteReference"/>
          <w:color w:val="000000" w:themeColor="text1"/>
          <w:szCs w:val="24"/>
        </w:rPr>
        <w:footnoteReference w:id="8"/>
      </w:r>
      <w:r w:rsidR="003A418D">
        <w:rPr>
          <w:color w:val="000000" w:themeColor="text1"/>
          <w:szCs w:val="24"/>
        </w:rPr>
        <w:t xml:space="preserve"> </w:t>
      </w:r>
      <w:r w:rsidRPr="003A418D" w:rsidR="003A418D">
        <w:rPr>
          <w:color w:val="000000" w:themeColor="text1"/>
          <w:szCs w:val="24"/>
        </w:rPr>
        <w:t>The Consolidated Appropriations Act</w:t>
      </w:r>
      <w:r w:rsidR="00E80F80">
        <w:rPr>
          <w:color w:val="000000" w:themeColor="text1"/>
          <w:szCs w:val="24"/>
        </w:rPr>
        <w:t>, 2023</w:t>
      </w:r>
      <w:r w:rsidRPr="003A418D" w:rsidR="003A418D">
        <w:rPr>
          <w:color w:val="000000" w:themeColor="text1"/>
          <w:szCs w:val="24"/>
        </w:rPr>
        <w:t xml:space="preserve"> end</w:t>
      </w:r>
      <w:r w:rsidR="003A418D">
        <w:rPr>
          <w:color w:val="000000" w:themeColor="text1"/>
          <w:szCs w:val="24"/>
        </w:rPr>
        <w:t>ed</w:t>
      </w:r>
      <w:r w:rsidRPr="003A418D" w:rsidR="003A418D">
        <w:rPr>
          <w:color w:val="000000" w:themeColor="text1"/>
          <w:szCs w:val="24"/>
        </w:rPr>
        <w:t xml:space="preserve"> the Medicaid continuous enrollment provision </w:t>
      </w:r>
      <w:r w:rsidR="00E80F80">
        <w:rPr>
          <w:color w:val="000000" w:themeColor="text1"/>
          <w:szCs w:val="24"/>
        </w:rPr>
        <w:t>as of</w:t>
      </w:r>
      <w:r w:rsidRPr="003A418D" w:rsidR="003A418D">
        <w:rPr>
          <w:color w:val="000000" w:themeColor="text1"/>
          <w:szCs w:val="24"/>
        </w:rPr>
        <w:t xml:space="preserve"> March 31, 2023.</w:t>
      </w:r>
      <w:r w:rsidR="00E80F80">
        <w:rPr>
          <w:color w:val="000000" w:themeColor="text1"/>
          <w:szCs w:val="24"/>
        </w:rPr>
        <w:t xml:space="preserve"> </w:t>
      </w:r>
      <w:r w:rsidRPr="00A86C77" w:rsidR="00A86C77">
        <w:rPr>
          <w:color w:val="000000" w:themeColor="text1"/>
          <w:szCs w:val="24"/>
        </w:rPr>
        <w:t>States c</w:t>
      </w:r>
      <w:r w:rsidR="004368F0">
        <w:rPr>
          <w:color w:val="000000" w:themeColor="text1"/>
          <w:szCs w:val="24"/>
        </w:rPr>
        <w:t>an</w:t>
      </w:r>
      <w:r w:rsidRPr="00A86C77" w:rsidR="00A86C77">
        <w:rPr>
          <w:color w:val="000000" w:themeColor="text1"/>
          <w:szCs w:val="24"/>
        </w:rPr>
        <w:t xml:space="preserve"> </w:t>
      </w:r>
      <w:r w:rsidR="004368F0">
        <w:rPr>
          <w:color w:val="000000" w:themeColor="text1"/>
          <w:szCs w:val="24"/>
        </w:rPr>
        <w:t xml:space="preserve">now </w:t>
      </w:r>
      <w:r w:rsidRPr="00A86C77" w:rsidR="00A86C77">
        <w:rPr>
          <w:color w:val="000000" w:themeColor="text1"/>
          <w:szCs w:val="24"/>
        </w:rPr>
        <w:t>resume Medicaid disenrollments</w:t>
      </w:r>
      <w:r w:rsidR="00A86C77">
        <w:rPr>
          <w:color w:val="000000" w:themeColor="text1"/>
          <w:szCs w:val="24"/>
        </w:rPr>
        <w:t xml:space="preserve"> </w:t>
      </w:r>
      <w:r w:rsidR="004368F0">
        <w:rPr>
          <w:color w:val="000000" w:themeColor="text1"/>
          <w:szCs w:val="24"/>
        </w:rPr>
        <w:t xml:space="preserve">as of </w:t>
      </w:r>
      <w:r w:rsidR="00A86C77">
        <w:rPr>
          <w:color w:val="000000" w:themeColor="text1"/>
          <w:szCs w:val="24"/>
        </w:rPr>
        <w:t xml:space="preserve">April 1, 2023. </w:t>
      </w:r>
      <w:r w:rsidR="004368F0">
        <w:rPr>
          <w:color w:val="000000" w:themeColor="text1"/>
          <w:szCs w:val="24"/>
        </w:rPr>
        <w:t>A</w:t>
      </w:r>
      <w:r w:rsidR="00FF7C04">
        <w:rPr>
          <w:color w:val="000000" w:themeColor="text1"/>
          <w:szCs w:val="24"/>
        </w:rPr>
        <w:t xml:space="preserve">ccording to </w:t>
      </w:r>
      <w:r w:rsidR="00FF7C04">
        <w:rPr>
          <w:color w:val="000000" w:themeColor="text1"/>
          <w:szCs w:val="24"/>
        </w:rPr>
        <w:t>the</w:t>
      </w:r>
      <w:r w:rsidRPr="00FF7C04" w:rsidR="00FF7C04">
        <w:rPr>
          <w:color w:val="000000" w:themeColor="text1"/>
          <w:szCs w:val="24"/>
        </w:rPr>
        <w:t xml:space="preserve"> Department of Health and Human Services</w:t>
      </w:r>
      <w:r w:rsidR="00FF7C04">
        <w:rPr>
          <w:color w:val="000000" w:themeColor="text1"/>
          <w:szCs w:val="24"/>
        </w:rPr>
        <w:t>,</w:t>
      </w:r>
      <w:r w:rsidRPr="00FF7C04" w:rsidR="00FF7C04">
        <w:rPr>
          <w:color w:val="000000" w:themeColor="text1"/>
          <w:szCs w:val="24"/>
        </w:rPr>
        <w:t xml:space="preserve"> </w:t>
      </w:r>
      <w:r w:rsidR="00FF7C04">
        <w:rPr>
          <w:color w:val="000000" w:themeColor="text1"/>
          <w:szCs w:val="24"/>
        </w:rPr>
        <w:t>a</w:t>
      </w:r>
      <w:r w:rsidR="004368F0">
        <w:rPr>
          <w:color w:val="000000" w:themeColor="text1"/>
          <w:szCs w:val="24"/>
        </w:rPr>
        <w:t xml:space="preserve">n estimated </w:t>
      </w:r>
      <w:r w:rsidR="00A254A6">
        <w:rPr>
          <w:color w:val="000000" w:themeColor="text1"/>
          <w:szCs w:val="24"/>
        </w:rPr>
        <w:t xml:space="preserve">15 </w:t>
      </w:r>
      <w:r w:rsidR="004368F0">
        <w:rPr>
          <w:color w:val="000000" w:themeColor="text1"/>
          <w:szCs w:val="24"/>
        </w:rPr>
        <w:t xml:space="preserve">million </w:t>
      </w:r>
      <w:r w:rsidR="00A254A6">
        <w:rPr>
          <w:color w:val="000000" w:themeColor="text1"/>
          <w:szCs w:val="24"/>
        </w:rPr>
        <w:t>people</w:t>
      </w:r>
      <w:r w:rsidR="004368F0">
        <w:rPr>
          <w:color w:val="000000" w:themeColor="text1"/>
          <w:szCs w:val="24"/>
        </w:rPr>
        <w:t xml:space="preserve"> will </w:t>
      </w:r>
      <w:r w:rsidRPr="004368F0">
        <w:rPr>
          <w:color w:val="000000" w:themeColor="text1"/>
          <w:szCs w:val="24"/>
        </w:rPr>
        <w:t xml:space="preserve">lose Medicaid </w:t>
      </w:r>
      <w:r w:rsidR="00A254A6">
        <w:rPr>
          <w:color w:val="000000" w:themeColor="text1"/>
          <w:szCs w:val="24"/>
        </w:rPr>
        <w:t xml:space="preserve">and </w:t>
      </w:r>
      <w:r w:rsidRPr="00A254A6" w:rsidR="00A254A6">
        <w:rPr>
          <w:color w:val="000000" w:themeColor="text1"/>
          <w:szCs w:val="24"/>
        </w:rPr>
        <w:t>Children’s Health</w:t>
      </w:r>
      <w:r w:rsidR="00A254A6">
        <w:rPr>
          <w:color w:val="000000" w:themeColor="text1"/>
          <w:szCs w:val="24"/>
        </w:rPr>
        <w:t xml:space="preserve"> </w:t>
      </w:r>
      <w:r w:rsidRPr="00A254A6" w:rsidR="00A254A6">
        <w:rPr>
          <w:color w:val="000000" w:themeColor="text1"/>
          <w:szCs w:val="24"/>
        </w:rPr>
        <w:t xml:space="preserve">Insurance Program (CHIP) </w:t>
      </w:r>
      <w:r w:rsidRPr="004368F0">
        <w:rPr>
          <w:color w:val="000000" w:themeColor="text1"/>
          <w:szCs w:val="24"/>
        </w:rPr>
        <w:t xml:space="preserve">coverage </w:t>
      </w:r>
      <w:r>
        <w:rPr>
          <w:color w:val="000000" w:themeColor="text1"/>
          <w:szCs w:val="24"/>
        </w:rPr>
        <w:t xml:space="preserve">following the end </w:t>
      </w:r>
      <w:r w:rsidRPr="004368F0">
        <w:rPr>
          <w:color w:val="000000" w:themeColor="text1"/>
          <w:szCs w:val="24"/>
        </w:rPr>
        <w:t>of the continuous enrollment provision.</w:t>
      </w:r>
      <w:r>
        <w:rPr>
          <w:rStyle w:val="FootnoteReference"/>
          <w:color w:val="000000" w:themeColor="text1"/>
          <w:szCs w:val="24"/>
        </w:rPr>
        <w:footnoteReference w:id="9"/>
      </w:r>
      <w:r w:rsidR="00D86816">
        <w:rPr>
          <w:color w:val="000000" w:themeColor="text1"/>
          <w:szCs w:val="24"/>
        </w:rPr>
        <w:t xml:space="preserve"> </w:t>
      </w:r>
      <w:r w:rsidR="00C75D04">
        <w:rPr>
          <w:color w:val="000000" w:themeColor="text1"/>
          <w:szCs w:val="24"/>
        </w:rPr>
        <w:t>As these rising costs increase the pressure on the household budgets</w:t>
      </w:r>
      <w:r w:rsidR="001B2E7A">
        <w:rPr>
          <w:color w:val="000000" w:themeColor="text1"/>
          <w:szCs w:val="24"/>
        </w:rPr>
        <w:t xml:space="preserve"> of PBRA residents, HUD is concerned that owners may </w:t>
      </w:r>
      <w:r w:rsidR="001B2E7A">
        <w:rPr>
          <w:color w:val="000000" w:themeColor="text1"/>
          <w:szCs w:val="24"/>
        </w:rPr>
        <w:t xml:space="preserve">see a decrease in on-time rent payments and </w:t>
      </w:r>
      <w:r w:rsidR="001B2E7A">
        <w:rPr>
          <w:color w:val="000000" w:themeColor="text1"/>
          <w:szCs w:val="24"/>
        </w:rPr>
        <w:t>as a consequence</w:t>
      </w:r>
      <w:r w:rsidR="001B2E7A">
        <w:rPr>
          <w:color w:val="000000" w:themeColor="text1"/>
          <w:szCs w:val="24"/>
        </w:rPr>
        <w:t>, an increase in evictions of PBRA residents</w:t>
      </w:r>
      <w:r w:rsidR="000313F3">
        <w:rPr>
          <w:color w:val="000000" w:themeColor="text1"/>
          <w:szCs w:val="24"/>
        </w:rPr>
        <w:t>.</w:t>
      </w:r>
    </w:p>
    <w:p w:rsidR="00663A59" w:rsidP="00A254A6" w14:paraId="30A1D177" w14:textId="77777777">
      <w:pPr>
        <w:ind w:firstLine="720"/>
        <w:rPr>
          <w:color w:val="000000" w:themeColor="text1"/>
          <w:szCs w:val="24"/>
        </w:rPr>
      </w:pPr>
    </w:p>
    <w:p w:rsidR="006435D6" w:rsidP="00641943" w14:paraId="2A94CBD7" w14:textId="74952CDD">
      <w:pPr>
        <w:ind w:firstLine="720"/>
        <w:rPr>
          <w:color w:val="000000" w:themeColor="text1"/>
          <w:szCs w:val="24"/>
        </w:rPr>
      </w:pPr>
      <w:r w:rsidRPr="00663A59">
        <w:rPr>
          <w:color w:val="000000" w:themeColor="text1"/>
          <w:szCs w:val="24"/>
        </w:rPr>
        <w:t>Tenant organizations at PBRA properties are well-placed to provide support to residents facing eviction, but as largely volunteer-run organizations they often lack the resources to print informational materials, attend trainings on tenant advocacy, or rent meeting space to conduct tenant meetings and group information sessions. The TEO program is the first HUD-funded initiative to address this crucial need since the end of the Tenant Resources Network in 2014.</w:t>
      </w:r>
      <w:r w:rsidR="000313F3">
        <w:rPr>
          <w:color w:val="000000" w:themeColor="text1"/>
          <w:szCs w:val="24"/>
        </w:rPr>
        <w:t xml:space="preserve"> </w:t>
      </w:r>
      <w:r>
        <w:rPr>
          <w:color w:val="000000" w:themeColor="text1"/>
          <w:szCs w:val="24"/>
        </w:rPr>
        <w:t xml:space="preserve">The emergency authorization is </w:t>
      </w:r>
      <w:r>
        <w:rPr>
          <w:color w:val="000000" w:themeColor="text1"/>
          <w:szCs w:val="24"/>
        </w:rPr>
        <w:t xml:space="preserve">necessary </w:t>
      </w:r>
      <w:r w:rsidR="000313F3">
        <w:rPr>
          <w:color w:val="000000" w:themeColor="text1"/>
          <w:szCs w:val="24"/>
        </w:rPr>
        <w:t>to allow publication of th</w:t>
      </w:r>
      <w:r w:rsidR="000313F3">
        <w:rPr>
          <w:color w:val="000000" w:themeColor="text1"/>
          <w:szCs w:val="24"/>
        </w:rPr>
        <w:t xml:space="preserve">e TEO NOFO and </w:t>
      </w:r>
      <w:r w:rsidR="000313F3">
        <w:rPr>
          <w:color w:val="000000" w:themeColor="text1"/>
          <w:szCs w:val="24"/>
        </w:rPr>
        <w:t>avoid</w:t>
      </w:r>
      <w:r>
        <w:rPr>
          <w:color w:val="000000" w:themeColor="text1"/>
          <w:szCs w:val="24"/>
        </w:rPr>
        <w:t xml:space="preserve"> significant</w:t>
      </w:r>
      <w:r>
        <w:rPr>
          <w:color w:val="000000" w:themeColor="text1"/>
          <w:szCs w:val="24"/>
        </w:rPr>
        <w:t xml:space="preserve"> </w:t>
      </w:r>
      <w:r>
        <w:rPr>
          <w:color w:val="000000" w:themeColor="text1"/>
          <w:szCs w:val="24"/>
        </w:rPr>
        <w:t>public</w:t>
      </w:r>
      <w:r>
        <w:rPr>
          <w:color w:val="000000" w:themeColor="text1"/>
          <w:szCs w:val="24"/>
        </w:rPr>
        <w:t xml:space="preserve"> harm </w:t>
      </w:r>
      <w:r>
        <w:rPr>
          <w:color w:val="000000" w:themeColor="text1"/>
          <w:szCs w:val="24"/>
        </w:rPr>
        <w:t xml:space="preserve"> if </w:t>
      </w:r>
      <w:r w:rsidR="000313F3">
        <w:rPr>
          <w:color w:val="000000" w:themeColor="text1"/>
          <w:szCs w:val="24"/>
        </w:rPr>
        <w:t>HUD</w:t>
      </w:r>
      <w:r>
        <w:rPr>
          <w:color w:val="000000" w:themeColor="text1"/>
          <w:szCs w:val="24"/>
        </w:rPr>
        <w:t xml:space="preserve"> were required to comply with the 60-and 30-day notice requirements.</w:t>
      </w:r>
      <w:r w:rsidR="000313F3">
        <w:rPr>
          <w:color w:val="000000" w:themeColor="text1"/>
          <w:szCs w:val="24"/>
        </w:rPr>
        <w:t xml:space="preserve"> </w:t>
      </w:r>
      <w:r w:rsidR="00342E33">
        <w:rPr>
          <w:color w:val="000000" w:themeColor="text1"/>
          <w:szCs w:val="24"/>
        </w:rPr>
        <w:t xml:space="preserve">The NOFO is currently in Departmental Clearance, and </w:t>
      </w:r>
      <w:r w:rsidR="008709EF">
        <w:rPr>
          <w:color w:val="000000" w:themeColor="text1"/>
          <w:szCs w:val="24"/>
        </w:rPr>
        <w:t xml:space="preserve">HUD hopes to publish the NOFO </w:t>
      </w:r>
      <w:r w:rsidR="000C1928">
        <w:rPr>
          <w:color w:val="000000" w:themeColor="text1"/>
          <w:szCs w:val="24"/>
        </w:rPr>
        <w:t xml:space="preserve">in June 2023 so that </w:t>
      </w:r>
      <w:r w:rsidR="000C1928">
        <w:rPr>
          <w:color w:val="000000" w:themeColor="text1"/>
          <w:szCs w:val="24"/>
        </w:rPr>
        <w:t xml:space="preserve">program activities may begin in January 2024. </w:t>
      </w:r>
      <w:r w:rsidR="000313F3">
        <w:rPr>
          <w:color w:val="000000" w:themeColor="text1"/>
          <w:szCs w:val="24"/>
        </w:rPr>
        <w:t xml:space="preserve">The </w:t>
      </w:r>
      <w:r w:rsidR="00E16DB5">
        <w:rPr>
          <w:color w:val="000000" w:themeColor="text1"/>
          <w:szCs w:val="24"/>
        </w:rPr>
        <w:t xml:space="preserve">delay in the publication of </w:t>
      </w:r>
      <w:r w:rsidR="00E16DB5">
        <w:rPr>
          <w:color w:val="000000" w:themeColor="text1"/>
          <w:szCs w:val="24"/>
        </w:rPr>
        <w:t>the NOFO caused by the standard PRA process would inevitably delay the award of these critical</w:t>
      </w:r>
      <w:r>
        <w:rPr>
          <w:color w:val="000000" w:themeColor="text1"/>
          <w:szCs w:val="24"/>
        </w:rPr>
        <w:t>ly needed funds and the beginning of program activities</w:t>
      </w:r>
      <w:r w:rsidR="004D580E">
        <w:rPr>
          <w:color w:val="000000" w:themeColor="text1"/>
          <w:szCs w:val="24"/>
        </w:rPr>
        <w:t xml:space="preserve"> </w:t>
      </w:r>
      <w:r w:rsidR="008709EF">
        <w:rPr>
          <w:color w:val="000000" w:themeColor="text1"/>
          <w:szCs w:val="24"/>
        </w:rPr>
        <w:t xml:space="preserve">at a time of increasing need. </w:t>
      </w:r>
      <w:r>
        <w:rPr>
          <w:color w:val="000000" w:themeColor="text1"/>
          <w:szCs w:val="24"/>
        </w:rPr>
        <w:t xml:space="preserve"> </w:t>
      </w:r>
    </w:p>
    <w:p w:rsidR="000449BA" w:rsidP="00641943" w14:paraId="7E1F934C" w14:textId="77777777">
      <w:pPr>
        <w:ind w:firstLine="720"/>
        <w:rPr>
          <w:color w:val="000000" w:themeColor="text1"/>
          <w:szCs w:val="24"/>
        </w:rPr>
      </w:pPr>
    </w:p>
    <w:p w:rsidR="00641943" w:rsidP="00641943" w14:paraId="5FBFB07D" w14:textId="30109DB8">
      <w:pPr>
        <w:ind w:firstLine="720"/>
        <w:rPr>
          <w:color w:val="000000" w:themeColor="text1"/>
          <w:szCs w:val="24"/>
        </w:rPr>
      </w:pPr>
      <w:r>
        <w:rPr>
          <w:color w:val="000000" w:themeColor="text1"/>
          <w:szCs w:val="24"/>
        </w:rPr>
        <w:t xml:space="preserve">This </w:t>
      </w:r>
      <w:r>
        <w:rPr>
          <w:color w:val="000000" w:themeColor="text1"/>
          <w:szCs w:val="24"/>
        </w:rPr>
        <w:t xml:space="preserve">determination satisfies the requirement in </w:t>
      </w:r>
      <w:r w:rsidRPr="00966AC6">
        <w:rPr>
          <w:color w:val="000000" w:themeColor="text1"/>
          <w:szCs w:val="24"/>
        </w:rPr>
        <w:t>5 C.F.R § 1320.13(a)(1)(i)</w:t>
      </w:r>
      <w:r>
        <w:rPr>
          <w:color w:val="000000" w:themeColor="text1"/>
          <w:szCs w:val="24"/>
        </w:rPr>
        <w:t xml:space="preserve"> that the information collection is </w:t>
      </w:r>
      <w:r w:rsidRPr="00966AC6">
        <w:rPr>
          <w:color w:val="000000" w:themeColor="text1"/>
          <w:szCs w:val="24"/>
        </w:rPr>
        <w:t xml:space="preserve">“needed prior to the expiration of time periods established under this Part” </w:t>
      </w:r>
      <w:r>
        <w:rPr>
          <w:color w:val="000000" w:themeColor="text1"/>
          <w:szCs w:val="24"/>
        </w:rPr>
        <w:t xml:space="preserve">as well as the </w:t>
      </w:r>
      <w:r>
        <w:rPr>
          <w:color w:val="000000" w:themeColor="text1"/>
          <w:szCs w:val="24"/>
        </w:rPr>
        <w:t xml:space="preserve">requirement in 5 C.F.R </w:t>
      </w:r>
      <w:r>
        <w:t xml:space="preserve">§ </w:t>
      </w:r>
      <w:r>
        <w:rPr>
          <w:color w:val="000000" w:themeColor="text1"/>
          <w:szCs w:val="24"/>
        </w:rPr>
        <w:t>1320.13(a)(2)(i)</w:t>
      </w:r>
      <w:r>
        <w:rPr>
          <w:color w:val="000000" w:themeColor="text1"/>
          <w:szCs w:val="24"/>
        </w:rPr>
        <w:t xml:space="preserve"> </w:t>
      </w:r>
      <w:r>
        <w:rPr>
          <w:color w:val="000000" w:themeColor="text1"/>
          <w:szCs w:val="24"/>
        </w:rPr>
        <w:t>that “</w:t>
      </w:r>
      <w:r w:rsidRPr="00966AC6">
        <w:rPr>
          <w:color w:val="000000" w:themeColor="text1"/>
          <w:szCs w:val="24"/>
        </w:rPr>
        <w:t>Public harm is reasonably likely to result if normal clearance procedures are followed</w:t>
      </w:r>
      <w:r>
        <w:rPr>
          <w:color w:val="000000" w:themeColor="text1"/>
          <w:szCs w:val="24"/>
        </w:rPr>
        <w:t>.”</w:t>
      </w:r>
      <w:r>
        <w:rPr>
          <w:color w:val="000000" w:themeColor="text1"/>
          <w:szCs w:val="24"/>
        </w:rPr>
        <w:t xml:space="preserve"> During these 90 </w:t>
      </w:r>
      <w:r>
        <w:rPr>
          <w:color w:val="000000" w:themeColor="text1"/>
          <w:szCs w:val="24"/>
        </w:rPr>
        <w:t>days</w:t>
      </w:r>
      <w:r w:rsidR="006E169A">
        <w:rPr>
          <w:color w:val="000000" w:themeColor="text1"/>
          <w:szCs w:val="24"/>
        </w:rPr>
        <w:t xml:space="preserve"> and the time necessary to complete related approval processes</w:t>
      </w:r>
      <w:r>
        <w:rPr>
          <w:color w:val="000000" w:themeColor="text1"/>
          <w:szCs w:val="24"/>
        </w:rPr>
        <w:t xml:space="preserve">, </w:t>
      </w:r>
      <w:r w:rsidR="007A28F0">
        <w:rPr>
          <w:color w:val="000000" w:themeColor="text1"/>
          <w:szCs w:val="24"/>
        </w:rPr>
        <w:t xml:space="preserve">tenants facing evictions or deteriorating housing conditions </w:t>
      </w:r>
      <w:r w:rsidR="00721693">
        <w:rPr>
          <w:color w:val="000000" w:themeColor="text1"/>
          <w:szCs w:val="24"/>
        </w:rPr>
        <w:t>will continue to lack access to resources to educate themselves and advocate for their best interests to landlords and to HUD</w:t>
      </w:r>
      <w:r>
        <w:rPr>
          <w:color w:val="000000" w:themeColor="text1"/>
          <w:szCs w:val="24"/>
        </w:rPr>
        <w:t xml:space="preserve">.  Emergency approval </w:t>
      </w:r>
      <w:r w:rsidR="00721693">
        <w:rPr>
          <w:color w:val="000000" w:themeColor="text1"/>
          <w:szCs w:val="24"/>
        </w:rPr>
        <w:t>of the NOFO</w:t>
      </w:r>
      <w:r>
        <w:rPr>
          <w:color w:val="000000" w:themeColor="text1"/>
          <w:szCs w:val="24"/>
        </w:rPr>
        <w:t xml:space="preserve"> will allow </w:t>
      </w:r>
      <w:r w:rsidR="00721693">
        <w:rPr>
          <w:color w:val="000000" w:themeColor="text1"/>
          <w:szCs w:val="24"/>
        </w:rPr>
        <w:t>HUD to proceed to NOFO publication</w:t>
      </w:r>
      <w:r w:rsidR="00B12992">
        <w:rPr>
          <w:color w:val="000000" w:themeColor="text1"/>
          <w:szCs w:val="24"/>
        </w:rPr>
        <w:t xml:space="preserve"> without delay and complete the</w:t>
      </w:r>
      <w:r>
        <w:rPr>
          <w:color w:val="000000" w:themeColor="text1"/>
          <w:szCs w:val="24"/>
        </w:rPr>
        <w:t xml:space="preserve"> </w:t>
      </w:r>
      <w:r w:rsidR="00441DA9">
        <w:rPr>
          <w:color w:val="000000" w:themeColor="text1"/>
          <w:szCs w:val="24"/>
        </w:rPr>
        <w:t xml:space="preserve">normal clearance process </w:t>
      </w:r>
      <w:r w:rsidR="00441DA9">
        <w:rPr>
          <w:color w:val="000000" w:themeColor="text1"/>
          <w:szCs w:val="24"/>
        </w:rPr>
        <w:t xml:space="preserve">during the application </w:t>
      </w:r>
      <w:r w:rsidR="00DB2A15">
        <w:rPr>
          <w:color w:val="000000" w:themeColor="text1"/>
          <w:szCs w:val="24"/>
        </w:rPr>
        <w:t>submission and review period,</w:t>
      </w:r>
      <w:r>
        <w:rPr>
          <w:color w:val="000000" w:themeColor="text1"/>
          <w:szCs w:val="24"/>
        </w:rPr>
        <w:t xml:space="preserve"> without the harm to members of the public who </w:t>
      </w:r>
      <w:r w:rsidR="00DB2A15">
        <w:rPr>
          <w:color w:val="000000" w:themeColor="text1"/>
          <w:szCs w:val="24"/>
        </w:rPr>
        <w:t>urgently need resources</w:t>
      </w:r>
      <w:r w:rsidR="00A31906">
        <w:rPr>
          <w:color w:val="000000" w:themeColor="text1"/>
          <w:szCs w:val="24"/>
        </w:rPr>
        <w:t xml:space="preserve"> to</w:t>
      </w:r>
      <w:r w:rsidR="00A31906">
        <w:rPr>
          <w:color w:val="000000" w:themeColor="text1"/>
          <w:szCs w:val="24"/>
        </w:rPr>
        <w:t xml:space="preserve"> cope with </w:t>
      </w:r>
      <w:r w:rsidR="00EB4DE7">
        <w:rPr>
          <w:color w:val="000000" w:themeColor="text1"/>
          <w:szCs w:val="24"/>
        </w:rPr>
        <w:t>cha</w:t>
      </w:r>
      <w:r w:rsidR="00EB4DE7">
        <w:rPr>
          <w:color w:val="000000" w:themeColor="text1"/>
          <w:szCs w:val="24"/>
        </w:rPr>
        <w:t>nging circumstances following the end of the PHE</w:t>
      </w:r>
      <w:r>
        <w:rPr>
          <w:color w:val="000000" w:themeColor="text1"/>
          <w:szCs w:val="24"/>
        </w:rPr>
        <w:t xml:space="preserve">.   </w:t>
      </w:r>
    </w:p>
    <w:p w:rsidR="00641943" w:rsidP="00641943" w14:paraId="57E2888B" w14:textId="77777777">
      <w:pPr>
        <w:ind w:firstLine="720"/>
        <w:rPr>
          <w:color w:val="000000" w:themeColor="text1"/>
          <w:szCs w:val="24"/>
        </w:rPr>
      </w:pPr>
    </w:p>
    <w:p w:rsidR="00C8537C" w:rsidRPr="004A6312" w:rsidP="00180F6A" w14:paraId="67E34263" w14:textId="3B3C1829">
      <w:pPr>
        <w:ind w:firstLine="720"/>
        <w:rPr>
          <w:color w:val="000000" w:themeColor="text1"/>
          <w:szCs w:val="24"/>
        </w:rPr>
      </w:pPr>
      <w:r>
        <w:rPr>
          <w:color w:val="000000" w:themeColor="text1"/>
          <w:szCs w:val="24"/>
        </w:rPr>
        <w:t xml:space="preserve">To minimize the impact on other agencies and the public, </w:t>
      </w:r>
      <w:r w:rsidR="004E132C">
        <w:rPr>
          <w:color w:val="000000" w:themeColor="text1"/>
          <w:szCs w:val="24"/>
        </w:rPr>
        <w:t xml:space="preserve">HUD </w:t>
      </w:r>
      <w:r>
        <w:rPr>
          <w:color w:val="000000" w:themeColor="text1"/>
          <w:szCs w:val="24"/>
        </w:rPr>
        <w:t xml:space="preserve">has been actively working with partners to implement its new </w:t>
      </w:r>
      <w:r w:rsidR="001E0D26">
        <w:rPr>
          <w:color w:val="000000" w:themeColor="text1"/>
          <w:szCs w:val="24"/>
        </w:rPr>
        <w:t>TEO NOFO</w:t>
      </w:r>
      <w:r>
        <w:rPr>
          <w:color w:val="000000" w:themeColor="text1"/>
          <w:szCs w:val="24"/>
        </w:rPr>
        <w:t xml:space="preserve"> program</w:t>
      </w:r>
      <w:r w:rsidR="004E132C">
        <w:rPr>
          <w:color w:val="000000" w:themeColor="text1"/>
          <w:szCs w:val="24"/>
        </w:rPr>
        <w:t xml:space="preserve"> and prepare all associated forms for </w:t>
      </w:r>
      <w:r w:rsidR="004F4845">
        <w:rPr>
          <w:color w:val="000000" w:themeColor="text1"/>
          <w:szCs w:val="24"/>
        </w:rPr>
        <w:t>clearance and publication</w:t>
      </w:r>
      <w:r>
        <w:rPr>
          <w:color w:val="000000" w:themeColor="text1"/>
          <w:szCs w:val="24"/>
        </w:rPr>
        <w:t xml:space="preserve">. </w:t>
      </w:r>
      <w:r>
        <w:rPr>
          <w:color w:val="000000" w:themeColor="text1"/>
          <w:szCs w:val="24"/>
        </w:rPr>
        <w:t>This includes</w:t>
      </w:r>
      <w:r w:rsidR="00EE19FE">
        <w:rPr>
          <w:color w:val="000000" w:themeColor="text1"/>
          <w:szCs w:val="24"/>
        </w:rPr>
        <w:t xml:space="preserve"> developing</w:t>
      </w:r>
      <w:r>
        <w:rPr>
          <w:color w:val="000000" w:themeColor="text1"/>
          <w:szCs w:val="24"/>
        </w:rPr>
        <w:t xml:space="preserve"> </w:t>
      </w:r>
      <w:r w:rsidR="004F4845">
        <w:rPr>
          <w:color w:val="000000" w:themeColor="text1"/>
          <w:szCs w:val="24"/>
        </w:rPr>
        <w:t xml:space="preserve">several other newly created forms that will go through the </w:t>
      </w:r>
      <w:r w:rsidR="000607D8">
        <w:rPr>
          <w:color w:val="000000" w:themeColor="text1"/>
          <w:szCs w:val="24"/>
        </w:rPr>
        <w:t>normal PRA clearance process prior to program implementation</w:t>
      </w:r>
      <w:r w:rsidR="006B0733">
        <w:rPr>
          <w:color w:val="000000" w:themeColor="text1"/>
          <w:szCs w:val="24"/>
        </w:rPr>
        <w:t xml:space="preserve"> as part of an amended </w:t>
      </w:r>
      <w:r w:rsidR="00EE19FE">
        <w:rPr>
          <w:color w:val="000000" w:themeColor="text1"/>
          <w:szCs w:val="24"/>
        </w:rPr>
        <w:t xml:space="preserve">PRA </w:t>
      </w:r>
      <w:r w:rsidR="006B0733">
        <w:rPr>
          <w:color w:val="000000" w:themeColor="text1"/>
          <w:szCs w:val="24"/>
        </w:rPr>
        <w:t>package</w:t>
      </w:r>
      <w:r w:rsidR="000607D8">
        <w:rPr>
          <w:color w:val="000000" w:themeColor="text1"/>
          <w:szCs w:val="24"/>
        </w:rPr>
        <w:t xml:space="preserve">, </w:t>
      </w:r>
      <w:r w:rsidR="006B0733">
        <w:rPr>
          <w:color w:val="000000" w:themeColor="text1"/>
          <w:szCs w:val="24"/>
        </w:rPr>
        <w:t>as they will not be needed until the beginning of program activities</w:t>
      </w:r>
      <w:r>
        <w:rPr>
          <w:color w:val="000000" w:themeColor="text1"/>
          <w:szCs w:val="24"/>
        </w:rPr>
        <w:t xml:space="preserve">.  Moreover, </w:t>
      </w:r>
      <w:r w:rsidR="00EE19FE">
        <w:rPr>
          <w:color w:val="000000" w:themeColor="text1"/>
          <w:szCs w:val="24"/>
        </w:rPr>
        <w:t>m</w:t>
      </w:r>
      <w:r w:rsidR="00F3502A">
        <w:rPr>
          <w:color w:val="000000" w:themeColor="text1"/>
          <w:szCs w:val="24"/>
        </w:rPr>
        <w:t>u</w:t>
      </w:r>
      <w:r w:rsidR="00F3502A">
        <w:rPr>
          <w:color w:val="000000" w:themeColor="text1"/>
          <w:szCs w:val="24"/>
        </w:rPr>
        <w:t xml:space="preserve">ch of the information collected through this NOFO is </w:t>
      </w:r>
      <w:r w:rsidR="00E459FC">
        <w:rPr>
          <w:color w:val="000000" w:themeColor="text1"/>
          <w:szCs w:val="24"/>
        </w:rPr>
        <w:t>the same or similar to what is collected through other NOFOs, and relies heavily on the use of Standard Forms that alrea</w:t>
      </w:r>
      <w:r w:rsidR="00E459FC">
        <w:rPr>
          <w:color w:val="000000" w:themeColor="text1"/>
          <w:szCs w:val="24"/>
        </w:rPr>
        <w:t>dy have PRA approval</w:t>
      </w:r>
      <w:r w:rsidR="00180F6A">
        <w:rPr>
          <w:color w:val="000000" w:themeColor="text1"/>
          <w:szCs w:val="24"/>
        </w:rPr>
        <w:t>.</w:t>
      </w:r>
    </w:p>
    <w:p w:rsidR="00641943" w:rsidRPr="004A6312" w:rsidP="00641943" w14:paraId="31E99F50" w14:textId="77777777">
      <w:pPr>
        <w:rPr>
          <w:color w:val="000000" w:themeColor="text1"/>
          <w:szCs w:val="24"/>
        </w:rPr>
      </w:pPr>
      <w:r w:rsidRPr="004A6312">
        <w:rPr>
          <w:color w:val="000000" w:themeColor="text1"/>
          <w:szCs w:val="24"/>
        </w:rPr>
        <w:t xml:space="preserve"> </w:t>
      </w:r>
    </w:p>
    <w:p w:rsidR="00641943" w:rsidRPr="004A6312" w:rsidP="00C8537C" w14:paraId="6A919EC5" w14:textId="4D10235E">
      <w:pPr>
        <w:ind w:firstLine="0"/>
        <w:rPr>
          <w:color w:val="000000" w:themeColor="text1"/>
          <w:szCs w:val="24"/>
        </w:rPr>
      </w:pPr>
      <w:r w:rsidRPr="004A6312">
        <w:rPr>
          <w:color w:val="000000" w:themeColor="text1"/>
          <w:szCs w:val="24"/>
        </w:rPr>
        <w:t xml:space="preserve">The attached provides the emergency PRA package for OMB Collection </w:t>
      </w:r>
      <w:r w:rsidR="001E0D26">
        <w:rPr>
          <w:color w:val="000000" w:themeColor="text1"/>
          <w:szCs w:val="24"/>
        </w:rPr>
        <w:t>2502-</w:t>
      </w:r>
      <w:r w:rsidR="00003CF7">
        <w:rPr>
          <w:color w:val="000000" w:themeColor="text1"/>
          <w:szCs w:val="24"/>
        </w:rPr>
        <w:t>XXXX</w:t>
      </w:r>
      <w:r w:rsidR="000939CD">
        <w:rPr>
          <w:color w:val="000000" w:themeColor="text1"/>
          <w:szCs w:val="24"/>
        </w:rPr>
        <w:t>.</w:t>
      </w:r>
    </w:p>
    <w:p w:rsidR="00641943" w:rsidRPr="004A6312" w:rsidP="00641943" w14:paraId="6F84DC2E" w14:textId="77777777">
      <w:pPr>
        <w:rPr>
          <w:color w:val="000000" w:themeColor="text1"/>
          <w:szCs w:val="24"/>
        </w:rPr>
      </w:pPr>
    </w:p>
    <w:p w:rsidR="00641943" w:rsidRPr="004A6312" w:rsidP="00641943" w14:paraId="56FFD123" w14:textId="0EEDEC7E">
      <w:pPr>
        <w:ind w:firstLine="720"/>
        <w:rPr>
          <w:color w:val="000000" w:themeColor="text1"/>
          <w:szCs w:val="24"/>
        </w:rPr>
      </w:pPr>
      <w:r>
        <w:rPr>
          <w:color w:val="000000" w:themeColor="text1"/>
          <w:szCs w:val="24"/>
        </w:rPr>
        <w:t xml:space="preserve">I appreciate your prompt attention to our 7-day request for a six-month emergency PRA approval.  If you have any questions, please direct them to </w:t>
      </w:r>
      <w:r w:rsidR="00DE1C87">
        <w:rPr>
          <w:color w:val="000000" w:themeColor="text1"/>
          <w:szCs w:val="24"/>
        </w:rPr>
        <w:t>Belinda Koros</w:t>
      </w:r>
      <w:r>
        <w:rPr>
          <w:color w:val="000000" w:themeColor="text1"/>
          <w:szCs w:val="24"/>
        </w:rPr>
        <w:t xml:space="preserve">, Director, </w:t>
      </w:r>
      <w:r w:rsidR="00DE1C87">
        <w:rPr>
          <w:color w:val="000000" w:themeColor="text1"/>
          <w:szCs w:val="24"/>
        </w:rPr>
        <w:t>Assisted Housing</w:t>
      </w:r>
      <w:r>
        <w:rPr>
          <w:color w:val="000000" w:themeColor="text1"/>
          <w:szCs w:val="24"/>
        </w:rPr>
        <w:t xml:space="preserve"> Division at </w:t>
      </w:r>
      <w:r w:rsidR="00DE1C87">
        <w:rPr>
          <w:color w:val="000000" w:themeColor="text1"/>
          <w:szCs w:val="24"/>
        </w:rPr>
        <w:t>Belinda.P.Koros</w:t>
      </w:r>
      <w:r>
        <w:rPr>
          <w:color w:val="000000" w:themeColor="text1"/>
          <w:szCs w:val="24"/>
        </w:rPr>
        <w:t>@hud.gov</w:t>
      </w:r>
      <w:r w:rsidRPr="004A6312">
        <w:rPr>
          <w:color w:val="000000" w:themeColor="text1"/>
          <w:szCs w:val="24"/>
        </w:rPr>
        <w:t xml:space="preserve">.     </w:t>
      </w:r>
    </w:p>
    <w:p w:rsidR="00641943" w:rsidRPr="004A6312" w:rsidP="00641943" w14:paraId="2F071271" w14:textId="77777777">
      <w:pPr>
        <w:rPr>
          <w:color w:val="000000" w:themeColor="text1"/>
          <w:szCs w:val="24"/>
        </w:rPr>
      </w:pPr>
    </w:p>
    <w:p w:rsidR="00641943" w:rsidP="00641943" w14:paraId="3D5B5404" w14:textId="77777777">
      <w:pPr>
        <w:rPr>
          <w:color w:val="000000" w:themeColor="text1"/>
          <w:szCs w:val="24"/>
        </w:rPr>
      </w:pP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Sincerely</w:t>
      </w:r>
    </w:p>
    <w:p w:rsidR="00641943" w:rsidP="00641943" w14:paraId="73B2E48F" w14:textId="77777777">
      <w:pPr>
        <w:rPr>
          <w:color w:val="000000" w:themeColor="text1"/>
          <w:szCs w:val="24"/>
        </w:rPr>
      </w:pPr>
    </w:p>
    <w:p w:rsidR="00641943" w:rsidP="00641943" w14:paraId="30F72A40" w14:textId="77777777">
      <w:pPr>
        <w:rPr>
          <w:color w:val="000000" w:themeColor="text1"/>
          <w:szCs w:val="24"/>
        </w:rPr>
      </w:pPr>
    </w:p>
    <w:p w:rsidR="00C66EDA" w:rsidP="00641943" w14:paraId="0CF92DDB" w14:textId="77777777">
      <w:pPr>
        <w:rPr>
          <w:color w:val="000000" w:themeColor="text1"/>
          <w:szCs w:val="24"/>
        </w:rPr>
      </w:pPr>
    </w:p>
    <w:p w:rsidR="00641943" w:rsidP="00641943" w14:paraId="151CAD19" w14:textId="1CFEB9DE">
      <w:pPr>
        <w:rPr>
          <w:color w:val="000000" w:themeColor="text1"/>
          <w:szCs w:val="24"/>
        </w:rPr>
      </w:pP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sidR="00DE1C87">
        <w:rPr>
          <w:color w:val="000000" w:themeColor="text1"/>
          <w:szCs w:val="24"/>
        </w:rPr>
        <w:t xml:space="preserve">Ethan </w:t>
      </w:r>
      <w:r w:rsidR="00975ED8">
        <w:rPr>
          <w:color w:val="000000" w:themeColor="text1"/>
          <w:szCs w:val="24"/>
        </w:rPr>
        <w:t xml:space="preserve">D. </w:t>
      </w:r>
      <w:r w:rsidR="00DE1C87">
        <w:rPr>
          <w:color w:val="000000" w:themeColor="text1"/>
          <w:szCs w:val="24"/>
        </w:rPr>
        <w:t>Ha</w:t>
      </w:r>
      <w:r w:rsidR="00975ED8">
        <w:rPr>
          <w:color w:val="000000" w:themeColor="text1"/>
          <w:szCs w:val="24"/>
        </w:rPr>
        <w:t>n</w:t>
      </w:r>
      <w:r w:rsidR="00DE1C87">
        <w:rPr>
          <w:color w:val="000000" w:themeColor="text1"/>
          <w:szCs w:val="24"/>
        </w:rPr>
        <w:t>d</w:t>
      </w:r>
      <w:r w:rsidR="00536965">
        <w:rPr>
          <w:color w:val="000000" w:themeColor="text1"/>
          <w:szCs w:val="24"/>
        </w:rPr>
        <w:t>el</w:t>
      </w:r>
      <w:r w:rsidR="00DE1C87">
        <w:rPr>
          <w:color w:val="000000" w:themeColor="text1"/>
          <w:szCs w:val="24"/>
        </w:rPr>
        <w:t xml:space="preserve">man </w:t>
      </w:r>
    </w:p>
    <w:p w:rsidR="00C66EDA" w:rsidP="00C66EDA" w14:paraId="61EC2D30" w14:textId="77777777">
      <w:pPr>
        <w:ind w:left="4320"/>
        <w:rPr>
          <w:color w:val="000000" w:themeColor="text1"/>
          <w:szCs w:val="24"/>
        </w:rPr>
      </w:pPr>
      <w:r w:rsidRPr="00C66EDA">
        <w:rPr>
          <w:color w:val="000000" w:themeColor="text1"/>
          <w:szCs w:val="24"/>
        </w:rPr>
        <w:t xml:space="preserve">Deputy Assistant Secretary for Multifamily                                               Housing Programs </w:t>
      </w:r>
    </w:p>
    <w:p w:rsidR="00641943" w:rsidRPr="004A6312" w:rsidP="00C66EDA" w14:paraId="53C2A2D4" w14:textId="3DEEC65D">
      <w:pPr>
        <w:ind w:left="4320"/>
        <w:rPr>
          <w:color w:val="000000" w:themeColor="text1"/>
          <w:szCs w:val="24"/>
        </w:rPr>
      </w:pPr>
      <w:r w:rsidRPr="004A6312">
        <w:rPr>
          <w:color w:val="000000" w:themeColor="text1"/>
          <w:szCs w:val="24"/>
        </w:rPr>
        <w:t xml:space="preserve">Office of </w:t>
      </w:r>
      <w:r>
        <w:rPr>
          <w:color w:val="000000" w:themeColor="text1"/>
          <w:szCs w:val="24"/>
        </w:rPr>
        <w:t xml:space="preserve">Housing </w:t>
      </w:r>
    </w:p>
    <w:p w:rsidR="00641943" w:rsidRPr="004A6312" w:rsidP="00641943" w14:paraId="6CED77F4" w14:textId="77777777">
      <w:pPr>
        <w:rPr>
          <w:color w:val="000000" w:themeColor="text1"/>
          <w:szCs w:val="24"/>
        </w:rPr>
      </w:pPr>
    </w:p>
    <w:p w:rsidR="00641943" w:rsidRPr="004A6312" w:rsidP="00641943" w14:paraId="6D1FBCC8" w14:textId="77777777">
      <w:pPr>
        <w:rPr>
          <w:color w:val="000000" w:themeColor="text1"/>
          <w:szCs w:val="24"/>
        </w:rPr>
      </w:pPr>
    </w:p>
    <w:p w:rsidR="00641943" w:rsidRPr="004A6312" w:rsidP="00641943" w14:paraId="759A2948" w14:textId="77777777">
      <w:pPr>
        <w:rPr>
          <w:color w:val="000000" w:themeColor="text1"/>
          <w:szCs w:val="24"/>
        </w:rPr>
      </w:pPr>
    </w:p>
    <w:p w:rsidR="00641943" w:rsidRPr="004A6312" w:rsidP="00641943" w14:paraId="362EAD43" w14:textId="77777777">
      <w:pPr>
        <w:rPr>
          <w:color w:val="000000" w:themeColor="text1"/>
          <w:szCs w:val="24"/>
        </w:rPr>
      </w:pPr>
    </w:p>
    <w:p w:rsidR="00641943" w:rsidRPr="004A6312" w:rsidP="00641943" w14:paraId="69E6730A" w14:textId="77777777">
      <w:pPr>
        <w:rPr>
          <w:color w:val="000000" w:themeColor="text1"/>
          <w:szCs w:val="24"/>
        </w:rPr>
      </w:pPr>
      <w:r w:rsidRPr="004A6312">
        <w:rPr>
          <w:color w:val="000000" w:themeColor="text1"/>
          <w:szCs w:val="24"/>
        </w:rPr>
        <w:t>Attachment </w:t>
      </w:r>
    </w:p>
    <w:p w:rsidR="00DB0E90" w:rsidRPr="00641943" w:rsidP="00641943" w14:paraId="7056D5DE" w14:textId="3FE439F5"/>
    <w:sectPr>
      <w:head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EA66AD" w14:paraId="014DD847" w14:textId="77777777">
      <w:pPr>
        <w:spacing w:line="20" w:lineRule="exact"/>
      </w:pPr>
    </w:p>
  </w:endnote>
  <w:endnote w:type="continuationSeparator" w:id="1">
    <w:p w:rsidR="00EA66AD" w14:paraId="0FD8DE54" w14:textId="77777777">
      <w:r>
        <w:t xml:space="preserve"> </w:t>
      </w:r>
    </w:p>
  </w:endnote>
  <w:endnote w:type="continuationNotice" w:id="2">
    <w:p w:rsidR="00EA66AD" w14:paraId="65E7280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365B" w14:paraId="34D0BC47" w14:textId="77777777">
    <w:pPr>
      <w:pStyle w:val="Footer"/>
      <w:jc w:val="center"/>
      <w:rPr>
        <w:rFonts w:ascii="Arial" w:hAnsi="Arial" w:cs="Arial"/>
        <w:sz w:val="18"/>
      </w:rPr>
    </w:pPr>
  </w:p>
  <w:p w:rsidR="0067365B" w:rsidRPr="00F64F80" w14:paraId="46D3D0D3" w14:textId="77777777">
    <w:pPr>
      <w:pStyle w:val="Footer"/>
      <w:jc w:val="center"/>
      <w:rPr>
        <w:color w:val="0070C0"/>
      </w:rPr>
    </w:pPr>
    <w:hyperlink r:id="rId1" w:history="1">
      <w:r w:rsidRPr="00F64F80" w:rsidR="00CA0BB3">
        <w:rPr>
          <w:rStyle w:val="Hyperlink"/>
          <w:b/>
          <w:bCs/>
          <w:color w:val="0070C0"/>
          <w:sz w:val="18"/>
          <w:u w:val="none"/>
        </w:rPr>
        <w:t>www.hud.gov</w:t>
      </w:r>
    </w:hyperlink>
    <w:r w:rsidRPr="00F64F80" w:rsidR="00CA0BB3">
      <w:rPr>
        <w:b/>
        <w:bCs/>
        <w:color w:val="0070C0"/>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A66AD" w14:paraId="48EBA915" w14:textId="77777777">
      <w:r>
        <w:separator/>
      </w:r>
    </w:p>
  </w:footnote>
  <w:footnote w:type="continuationSeparator" w:id="1">
    <w:p w:rsidR="00EA66AD" w14:paraId="22D769CE" w14:textId="77777777">
      <w:r>
        <w:continuationSeparator/>
      </w:r>
    </w:p>
  </w:footnote>
  <w:footnote w:type="continuationNotice" w:id="2">
    <w:p w:rsidR="00EA66AD" w14:paraId="2CB24490" w14:textId="77777777"/>
  </w:footnote>
  <w:footnote w:id="3">
    <w:p w:rsidR="00F65F95" w:rsidRPr="00F65F95" w:rsidP="00F65F95" w14:paraId="3A6BB602" w14:textId="77777777">
      <w:pPr>
        <w:pStyle w:val="FootnoteText"/>
        <w:rPr>
          <w:sz w:val="20"/>
          <w:szCs w:val="16"/>
        </w:rPr>
      </w:pPr>
      <w:r>
        <w:rPr>
          <w:rStyle w:val="FootnoteReference"/>
          <w:sz w:val="20"/>
          <w:szCs w:val="16"/>
        </w:rPr>
        <w:footnoteRef/>
      </w:r>
      <w:r w:rsidRPr="00F65F95">
        <w:rPr>
          <w:sz w:val="20"/>
          <w:szCs w:val="16"/>
        </w:rPr>
        <w:t xml:space="preserve"> </w:t>
      </w:r>
      <w:r w:rsidRPr="00F65F95">
        <w:rPr>
          <w:sz w:val="20"/>
          <w:szCs w:val="16"/>
        </w:rPr>
        <w:t xml:space="preserve">Emily A. Benfer, Robert Koehler, </w:t>
      </w:r>
      <w:r w:rsidRPr="00F65F95">
        <w:rPr>
          <w:sz w:val="20"/>
          <w:szCs w:val="16"/>
        </w:rPr>
        <w:t>Alyx</w:t>
      </w:r>
      <w:r w:rsidRPr="00F65F95">
        <w:rPr>
          <w:sz w:val="20"/>
          <w:szCs w:val="16"/>
        </w:rPr>
        <w:t xml:space="preserve"> Mark, Valerie Nazzaro, Anne Kat</w:t>
      </w:r>
    </w:p>
    <w:p w:rsidR="00F65F95" w:rsidRPr="00F65F95" w:rsidP="00F65F95" w14:paraId="51324730" w14:textId="77777777">
      <w:pPr>
        <w:pStyle w:val="FootnoteText"/>
        <w:rPr>
          <w:sz w:val="20"/>
          <w:szCs w:val="16"/>
        </w:rPr>
      </w:pPr>
      <w:r w:rsidRPr="00F65F95">
        <w:rPr>
          <w:sz w:val="20"/>
          <w:szCs w:val="16"/>
        </w:rPr>
        <w:t xml:space="preserve">Alexander, Peter Hepburn, </w:t>
      </w:r>
      <w:r w:rsidRPr="00F65F95">
        <w:rPr>
          <w:sz w:val="20"/>
          <w:szCs w:val="16"/>
        </w:rPr>
        <w:t>Danya</w:t>
      </w:r>
      <w:r w:rsidRPr="00F65F95">
        <w:rPr>
          <w:sz w:val="20"/>
          <w:szCs w:val="16"/>
        </w:rPr>
        <w:t xml:space="preserve"> E. Keene &amp; Matthew Desmond (2022): COVID-19 Housing</w:t>
      </w:r>
    </w:p>
    <w:p w:rsidR="00F65F95" w:rsidRPr="00F65F95" w:rsidP="00F65F95" w14:paraId="10E1DBD3" w14:textId="77777777">
      <w:pPr>
        <w:pStyle w:val="FootnoteText"/>
        <w:rPr>
          <w:sz w:val="20"/>
          <w:szCs w:val="16"/>
        </w:rPr>
      </w:pPr>
      <w:r w:rsidRPr="00F65F95">
        <w:rPr>
          <w:sz w:val="20"/>
          <w:szCs w:val="16"/>
        </w:rPr>
        <w:t>Policy: State and Federal Eviction Moratoria and Supportive Measures in the United States During</w:t>
      </w:r>
    </w:p>
    <w:p w:rsidR="00F65F95" w:rsidRPr="00F65F95" w:rsidP="00F65F95" w14:paraId="2F198A4D" w14:textId="16E63697">
      <w:pPr>
        <w:pStyle w:val="FootnoteText"/>
        <w:rPr>
          <w:sz w:val="20"/>
          <w:szCs w:val="16"/>
        </w:rPr>
      </w:pPr>
      <w:r w:rsidRPr="00F65F95">
        <w:rPr>
          <w:sz w:val="20"/>
          <w:szCs w:val="16"/>
        </w:rPr>
        <w:t>the Pandemic, Housing Policy Debate, DOI: 10.1080/10511482.2022.2076713</w:t>
      </w:r>
      <w:r w:rsidRPr="00F65F95">
        <w:rPr>
          <w:sz w:val="20"/>
          <w:szCs w:val="16"/>
        </w:rPr>
        <w:t xml:space="preserve">. Available at: </w:t>
      </w:r>
      <w:hyperlink r:id="rId1" w:history="1">
        <w:r>
          <w:rPr>
            <w:rStyle w:val="Hyperlink"/>
            <w:sz w:val="20"/>
            <w:szCs w:val="16"/>
          </w:rPr>
          <w:t>https://doi.org/10.1080/10511482.2022.2076713</w:t>
        </w:r>
      </w:hyperlink>
      <w:r w:rsidR="00AA2089">
        <w:rPr>
          <w:sz w:val="20"/>
          <w:szCs w:val="16"/>
        </w:rPr>
        <w:t xml:space="preserve"> </w:t>
      </w:r>
    </w:p>
  </w:footnote>
  <w:footnote w:id="4">
    <w:p w:rsidR="00E64C9C" w:rsidRPr="00F65F95" w14:paraId="1859279D" w14:textId="6EA368E8">
      <w:pPr>
        <w:pStyle w:val="FootnoteText"/>
        <w:rPr>
          <w:sz w:val="20"/>
          <w:szCs w:val="16"/>
        </w:rPr>
      </w:pPr>
      <w:r>
        <w:rPr>
          <w:rStyle w:val="FootnoteReference"/>
          <w:sz w:val="20"/>
          <w:szCs w:val="16"/>
        </w:rPr>
        <w:footnoteRef/>
      </w:r>
      <w:r w:rsidRPr="00F65F95">
        <w:rPr>
          <w:sz w:val="20"/>
          <w:szCs w:val="16"/>
        </w:rPr>
        <w:t xml:space="preserve"> Eviction Lab </w:t>
      </w:r>
      <w:r w:rsidRPr="00F65F95" w:rsidR="005A02ED">
        <w:rPr>
          <w:sz w:val="20"/>
          <w:szCs w:val="16"/>
        </w:rPr>
        <w:t>(updated May 6, 2023)</w:t>
      </w:r>
      <w:r w:rsidRPr="00F65F95" w:rsidR="005A02ED">
        <w:rPr>
          <w:sz w:val="20"/>
          <w:szCs w:val="16"/>
        </w:rPr>
        <w:t xml:space="preserve">. Available at: </w:t>
      </w:r>
      <w:hyperlink r:id="rId2" w:history="1">
        <w:r>
          <w:rPr>
            <w:rStyle w:val="Hyperlink"/>
            <w:sz w:val="20"/>
            <w:szCs w:val="16"/>
          </w:rPr>
          <w:t>https://evictionlab.org/eviction-tracking/</w:t>
        </w:r>
      </w:hyperlink>
      <w:r w:rsidR="00AA2089">
        <w:rPr>
          <w:sz w:val="20"/>
          <w:szCs w:val="16"/>
        </w:rPr>
        <w:t xml:space="preserve"> </w:t>
      </w:r>
    </w:p>
  </w:footnote>
  <w:footnote w:id="5">
    <w:p w:rsidR="001B307D" w14:paraId="040D9977" w14:textId="113EF389">
      <w:pPr>
        <w:pStyle w:val="FootnoteText"/>
      </w:pPr>
      <w:r>
        <w:rPr>
          <w:rStyle w:val="FootnoteReference"/>
          <w:sz w:val="20"/>
          <w:szCs w:val="16"/>
        </w:rPr>
        <w:footnoteRef/>
      </w:r>
      <w:r w:rsidRPr="00AA2089">
        <w:rPr>
          <w:sz w:val="20"/>
          <w:szCs w:val="16"/>
        </w:rPr>
        <w:t xml:space="preserve"> </w:t>
      </w:r>
      <w:r w:rsidRPr="00AA2089" w:rsidR="00E405B2">
        <w:rPr>
          <w:sz w:val="20"/>
          <w:szCs w:val="16"/>
        </w:rPr>
        <w:t>US Department of Agriculture Economic Research Service</w:t>
      </w:r>
      <w:r w:rsidRPr="00AA2089" w:rsidR="00FC7832">
        <w:rPr>
          <w:sz w:val="20"/>
          <w:szCs w:val="16"/>
        </w:rPr>
        <w:t xml:space="preserve"> </w:t>
      </w:r>
      <w:r w:rsidRPr="00AA2089" w:rsidR="00FC7832">
        <w:rPr>
          <w:sz w:val="20"/>
          <w:szCs w:val="16"/>
        </w:rPr>
        <w:t xml:space="preserve">(updated </w:t>
      </w:r>
      <w:r w:rsidRPr="00AA2089" w:rsidR="00FC7832">
        <w:rPr>
          <w:sz w:val="20"/>
          <w:szCs w:val="16"/>
        </w:rPr>
        <w:t>February 27, 2023</w:t>
      </w:r>
      <w:r w:rsidRPr="00AA2089" w:rsidR="00FC7832">
        <w:rPr>
          <w:sz w:val="20"/>
          <w:szCs w:val="16"/>
        </w:rPr>
        <w:t xml:space="preserve">). </w:t>
      </w:r>
      <w:r w:rsidRPr="00AA2089" w:rsidR="00AA2089">
        <w:rPr>
          <w:sz w:val="20"/>
          <w:szCs w:val="16"/>
        </w:rPr>
        <w:t>Food Prices and Spending</w:t>
      </w:r>
      <w:r w:rsidRPr="00AA2089" w:rsidR="00AA2089">
        <w:rPr>
          <w:sz w:val="20"/>
          <w:szCs w:val="16"/>
        </w:rPr>
        <w:t xml:space="preserve">. Available at: </w:t>
      </w:r>
      <w:hyperlink r:id="rId3" w:history="1">
        <w:r>
          <w:rPr>
            <w:rStyle w:val="Hyperlink"/>
            <w:sz w:val="20"/>
            <w:szCs w:val="16"/>
          </w:rPr>
          <w:t>https://www.ers.usda.gov/data-products/ag-and-food-statistics-charting-the-essentials/food-prices-and-spending/</w:t>
        </w:r>
      </w:hyperlink>
      <w:r w:rsidR="00AA2089">
        <w:rPr>
          <w:sz w:val="20"/>
          <w:szCs w:val="16"/>
        </w:rPr>
        <w:t xml:space="preserve"> </w:t>
      </w:r>
    </w:p>
  </w:footnote>
  <w:footnote w:id="6">
    <w:p w:rsidR="00715901" w:rsidRPr="002D200E" w14:paraId="5E923816" w14:textId="1092F6F6">
      <w:pPr>
        <w:pStyle w:val="FootnoteText"/>
        <w:rPr>
          <w:sz w:val="20"/>
          <w:szCs w:val="16"/>
        </w:rPr>
      </w:pPr>
      <w:r>
        <w:rPr>
          <w:rStyle w:val="FootnoteReference"/>
          <w:sz w:val="20"/>
          <w:szCs w:val="16"/>
        </w:rPr>
        <w:footnoteRef/>
      </w:r>
      <w:r w:rsidRPr="00B70BF6">
        <w:rPr>
          <w:sz w:val="20"/>
          <w:szCs w:val="16"/>
        </w:rPr>
        <w:t xml:space="preserve"> US Bureau of Labor Statistics (</w:t>
      </w:r>
      <w:r w:rsidRPr="00B70BF6" w:rsidR="0076132B">
        <w:rPr>
          <w:sz w:val="20"/>
          <w:szCs w:val="16"/>
        </w:rPr>
        <w:t xml:space="preserve">Modified </w:t>
      </w:r>
      <w:r w:rsidRPr="00B70BF6" w:rsidR="0076132B">
        <w:rPr>
          <w:sz w:val="20"/>
          <w:szCs w:val="16"/>
        </w:rPr>
        <w:t>October 19, 2021</w:t>
      </w:r>
      <w:r w:rsidRPr="00B70BF6" w:rsidR="005866B3">
        <w:rPr>
          <w:sz w:val="20"/>
          <w:szCs w:val="16"/>
        </w:rPr>
        <w:t>). Analysis of CMS National Health Expenditure</w:t>
      </w:r>
      <w:r w:rsidRPr="00B70BF6" w:rsidR="00B70BF6">
        <w:rPr>
          <w:sz w:val="20"/>
          <w:szCs w:val="16"/>
        </w:rPr>
        <w:t xml:space="preserve"> Accounts</w:t>
      </w:r>
      <w:r w:rsidRPr="00B70BF6" w:rsidR="005866B3">
        <w:rPr>
          <w:sz w:val="20"/>
          <w:szCs w:val="16"/>
        </w:rPr>
        <w:t xml:space="preserve"> </w:t>
      </w:r>
      <w:r w:rsidRPr="002D200E" w:rsidR="005866B3">
        <w:rPr>
          <w:sz w:val="16"/>
          <w:szCs w:val="12"/>
        </w:rPr>
        <w:t xml:space="preserve">data. Available at: </w:t>
      </w:r>
      <w:hyperlink r:id="rId4" w:history="1">
        <w:r>
          <w:rPr>
            <w:rStyle w:val="Hyperlink"/>
            <w:sz w:val="16"/>
            <w:szCs w:val="12"/>
          </w:rPr>
          <w:t>https://www.bls.gov/cex/cecomparison/nhea_profile.htm</w:t>
        </w:r>
      </w:hyperlink>
      <w:r w:rsidRPr="002D200E" w:rsidR="00B70BF6">
        <w:rPr>
          <w:sz w:val="16"/>
          <w:szCs w:val="12"/>
        </w:rPr>
        <w:t xml:space="preserve"> </w:t>
      </w:r>
      <w:r w:rsidRPr="002D200E" w:rsidR="005866B3">
        <w:rPr>
          <w:sz w:val="16"/>
          <w:szCs w:val="12"/>
        </w:rPr>
        <w:t xml:space="preserve"> </w:t>
      </w:r>
      <w:r w:rsidRPr="002D200E" w:rsidR="00B70BF6">
        <w:rPr>
          <w:sz w:val="16"/>
          <w:szCs w:val="12"/>
        </w:rPr>
        <w:t xml:space="preserve"> </w:t>
      </w:r>
    </w:p>
  </w:footnote>
  <w:footnote w:id="7">
    <w:p w:rsidR="007D3866" w:rsidRPr="002D200E" w:rsidP="006F5FD4" w14:paraId="7DCD9062" w14:textId="2DD3DAC8">
      <w:pPr>
        <w:pStyle w:val="FootnoteText"/>
      </w:pPr>
      <w:r>
        <w:rPr>
          <w:rStyle w:val="FootnoteReference"/>
          <w:sz w:val="20"/>
          <w:szCs w:val="16"/>
        </w:rPr>
        <w:footnoteRef/>
      </w:r>
      <w:r w:rsidRPr="002D200E">
        <w:rPr>
          <w:sz w:val="20"/>
          <w:szCs w:val="16"/>
        </w:rPr>
        <w:t xml:space="preserve"> </w:t>
      </w:r>
      <w:r w:rsidRPr="002D200E">
        <w:rPr>
          <w:sz w:val="20"/>
          <w:szCs w:val="16"/>
        </w:rPr>
        <w:t>Office of the Actuary</w:t>
      </w:r>
      <w:r w:rsidRPr="002D200E">
        <w:rPr>
          <w:sz w:val="20"/>
          <w:szCs w:val="16"/>
        </w:rPr>
        <w:t xml:space="preserve">, </w:t>
      </w:r>
      <w:r w:rsidRPr="002D200E">
        <w:rPr>
          <w:sz w:val="20"/>
          <w:szCs w:val="16"/>
        </w:rPr>
        <w:t>Centers for Medicare &amp; Medicaid Services</w:t>
      </w:r>
      <w:r w:rsidRPr="002D200E">
        <w:rPr>
          <w:sz w:val="20"/>
          <w:szCs w:val="16"/>
        </w:rPr>
        <w:t xml:space="preserve"> (March 28, 2023). </w:t>
      </w:r>
      <w:r w:rsidRPr="002D200E" w:rsidR="006F5FD4">
        <w:rPr>
          <w:i/>
          <w:iCs/>
          <w:sz w:val="20"/>
          <w:szCs w:val="16"/>
        </w:rPr>
        <w:t>National Health Expenditure Projections 2021–30: Growth to</w:t>
      </w:r>
      <w:r w:rsidRPr="002D200E" w:rsidR="006F5FD4">
        <w:rPr>
          <w:i/>
          <w:iCs/>
          <w:sz w:val="20"/>
          <w:szCs w:val="16"/>
        </w:rPr>
        <w:t xml:space="preserve"> </w:t>
      </w:r>
      <w:r w:rsidRPr="002D200E" w:rsidR="006F5FD4">
        <w:rPr>
          <w:i/>
          <w:iCs/>
          <w:sz w:val="20"/>
          <w:szCs w:val="16"/>
        </w:rPr>
        <w:t>Moderate as COVID-19 Impacts Wane</w:t>
      </w:r>
      <w:r w:rsidRPr="002D200E" w:rsidR="006F5FD4">
        <w:rPr>
          <w:i/>
          <w:iCs/>
          <w:sz w:val="20"/>
          <w:szCs w:val="16"/>
        </w:rPr>
        <w:t xml:space="preserve">. </w:t>
      </w:r>
      <w:r w:rsidRPr="002D200E" w:rsidR="002D200E">
        <w:rPr>
          <w:sz w:val="20"/>
          <w:szCs w:val="16"/>
        </w:rPr>
        <w:t xml:space="preserve">Available at: </w:t>
      </w:r>
      <w:hyperlink r:id="rId5" w:history="1">
        <w:r>
          <w:rPr>
            <w:rStyle w:val="Hyperlink"/>
            <w:sz w:val="20"/>
            <w:szCs w:val="16"/>
          </w:rPr>
          <w:t>https://www.cms.gov/files/document/national-health-expenditure-projections-2021-30-growth-moderate-covid-19-impacts-wane.pdf</w:t>
        </w:r>
      </w:hyperlink>
      <w:r w:rsidR="002D200E">
        <w:rPr>
          <w:sz w:val="20"/>
          <w:szCs w:val="16"/>
        </w:rPr>
        <w:t xml:space="preserve"> </w:t>
      </w:r>
    </w:p>
  </w:footnote>
  <w:footnote w:id="8">
    <w:p w:rsidR="008C4C19" w14:paraId="06C47C39" w14:textId="69CBF7F9">
      <w:pPr>
        <w:pStyle w:val="FootnoteText"/>
      </w:pPr>
      <w:r>
        <w:rPr>
          <w:rStyle w:val="FootnoteReference"/>
          <w:sz w:val="20"/>
          <w:szCs w:val="16"/>
        </w:rPr>
        <w:footnoteRef/>
      </w:r>
      <w:r w:rsidRPr="007D2824">
        <w:rPr>
          <w:sz w:val="20"/>
          <w:szCs w:val="16"/>
        </w:rPr>
        <w:t xml:space="preserve"> US Department of Agriculture Food and Nutrition Service (</w:t>
      </w:r>
      <w:r w:rsidRPr="007D2824" w:rsidR="00A0486A">
        <w:rPr>
          <w:sz w:val="20"/>
          <w:szCs w:val="16"/>
        </w:rPr>
        <w:t>Updated February 27, 2023</w:t>
      </w:r>
      <w:r w:rsidRPr="007D2824" w:rsidR="00A0486A">
        <w:rPr>
          <w:sz w:val="20"/>
          <w:szCs w:val="16"/>
        </w:rPr>
        <w:t xml:space="preserve">). Recent Changes to SNAP Benefit Amounts. Available at: </w:t>
      </w:r>
      <w:hyperlink r:id="rId6" w:history="1">
        <w:r>
          <w:rPr>
            <w:rStyle w:val="Hyperlink"/>
            <w:sz w:val="20"/>
            <w:szCs w:val="16"/>
          </w:rPr>
          <w:t>https://www.fns.usda.gov/snap/2023-benefit-changes</w:t>
        </w:r>
      </w:hyperlink>
      <w:r w:rsidR="007D2824">
        <w:rPr>
          <w:sz w:val="20"/>
          <w:szCs w:val="16"/>
        </w:rPr>
        <w:t xml:space="preserve"> </w:t>
      </w:r>
      <w:r w:rsidRPr="007D2824" w:rsidR="007D2824">
        <w:rPr>
          <w:sz w:val="20"/>
          <w:szCs w:val="16"/>
        </w:rPr>
        <w:t xml:space="preserve"> </w:t>
      </w:r>
    </w:p>
  </w:footnote>
  <w:footnote w:id="9">
    <w:p w:rsidR="004368F0" w:rsidP="000F0D78" w14:paraId="415577A1" w14:textId="54E30C01">
      <w:pPr>
        <w:pStyle w:val="FootnoteText"/>
      </w:pPr>
      <w:r>
        <w:rPr>
          <w:rStyle w:val="FootnoteReference"/>
          <w:sz w:val="20"/>
          <w:szCs w:val="16"/>
        </w:rPr>
        <w:footnoteRef/>
      </w:r>
      <w:r w:rsidRPr="00AC4E8B">
        <w:rPr>
          <w:sz w:val="20"/>
          <w:szCs w:val="16"/>
        </w:rPr>
        <w:t xml:space="preserve"> </w:t>
      </w:r>
      <w:r w:rsidRPr="00AC4E8B" w:rsidR="000F0D78">
        <w:rPr>
          <w:sz w:val="20"/>
          <w:szCs w:val="16"/>
        </w:rPr>
        <w:t>Issue Brief No. HP-2022-20. “Unwinding the Medicaid Continuous</w:t>
      </w:r>
      <w:r w:rsidRPr="00AC4E8B" w:rsidR="000F0D78">
        <w:rPr>
          <w:sz w:val="20"/>
          <w:szCs w:val="16"/>
        </w:rPr>
        <w:t xml:space="preserve"> </w:t>
      </w:r>
      <w:r w:rsidRPr="00AC4E8B" w:rsidR="000F0D78">
        <w:rPr>
          <w:sz w:val="20"/>
          <w:szCs w:val="16"/>
        </w:rPr>
        <w:t xml:space="preserve">Enrollment Provision: </w:t>
      </w:r>
      <w:r w:rsidRPr="00AC4E8B" w:rsidR="000F0D78">
        <w:rPr>
          <w:sz w:val="20"/>
          <w:szCs w:val="16"/>
        </w:rPr>
        <w:t>P</w:t>
      </w:r>
      <w:r w:rsidRPr="00AC4E8B" w:rsidR="000F0D78">
        <w:rPr>
          <w:sz w:val="20"/>
          <w:szCs w:val="16"/>
        </w:rPr>
        <w:t>rojected Enrollment Effects and Policy</w:t>
      </w:r>
      <w:r w:rsidRPr="00AC4E8B" w:rsidR="000F0D78">
        <w:rPr>
          <w:sz w:val="20"/>
          <w:szCs w:val="16"/>
        </w:rPr>
        <w:t xml:space="preserve"> </w:t>
      </w:r>
      <w:r w:rsidRPr="00AC4E8B" w:rsidR="000F0D78">
        <w:rPr>
          <w:sz w:val="20"/>
          <w:szCs w:val="16"/>
        </w:rPr>
        <w:t>Approaches” Washington, DC: Office of the Assistant Secretary</w:t>
      </w:r>
      <w:r w:rsidRPr="00AC4E8B" w:rsidR="000F0D78">
        <w:rPr>
          <w:sz w:val="20"/>
          <w:szCs w:val="16"/>
        </w:rPr>
        <w:t xml:space="preserve"> </w:t>
      </w:r>
      <w:r w:rsidRPr="00AC4E8B" w:rsidR="000F0D78">
        <w:rPr>
          <w:sz w:val="20"/>
          <w:szCs w:val="16"/>
        </w:rPr>
        <w:t xml:space="preserve">for Planning and Evaluation, U.S. Department of </w:t>
      </w:r>
      <w:r w:rsidRPr="00AC4E8B" w:rsidR="000F0D78">
        <w:rPr>
          <w:sz w:val="20"/>
          <w:szCs w:val="16"/>
        </w:rPr>
        <w:t>Health</w:t>
      </w:r>
      <w:r w:rsidRPr="00AC4E8B" w:rsidR="000F0D78">
        <w:rPr>
          <w:sz w:val="20"/>
          <w:szCs w:val="16"/>
        </w:rPr>
        <w:t xml:space="preserve"> and</w:t>
      </w:r>
      <w:r w:rsidRPr="00AC4E8B" w:rsidR="000F0D78">
        <w:rPr>
          <w:sz w:val="20"/>
          <w:szCs w:val="16"/>
        </w:rPr>
        <w:t xml:space="preserve"> </w:t>
      </w:r>
      <w:r w:rsidRPr="00AC4E8B" w:rsidR="000F0D78">
        <w:rPr>
          <w:sz w:val="20"/>
          <w:szCs w:val="16"/>
        </w:rPr>
        <w:t>Human Services. August 19, 2022</w:t>
      </w:r>
      <w:r w:rsidRPr="00AC4E8B" w:rsidR="000F0D78">
        <w:rPr>
          <w:sz w:val="20"/>
          <w:szCs w:val="16"/>
        </w:rPr>
        <w:t xml:space="preserve">. Available at: </w:t>
      </w:r>
      <w:r w:rsidRPr="00AC4E8B" w:rsidR="000F0D78">
        <w:rPr>
          <w:sz w:val="20"/>
          <w:szCs w:val="16"/>
        </w:rPr>
        <w:cr/>
      </w:r>
      <w:r w:rsidRPr="00AC4E8B" w:rsidR="00AC4E8B">
        <w:rPr>
          <w:sz w:val="20"/>
          <w:szCs w:val="16"/>
        </w:rPr>
        <w:t>https://aspe.hhs.gov/sites/default/files/documents/a892859839a80f8c3b9a1df1fcb79844/aspe-end-mcaid-continuous-coverage.pdf</w:t>
      </w:r>
      <w:r w:rsidR="00AC4E8B">
        <w:rPr>
          <w:sz w:val="20"/>
          <w:szCs w:val="16"/>
        </w:rPr>
        <w:t xml:space="preserve">  </w:t>
      </w:r>
      <w:r w:rsidRPr="00AC4E8B" w:rsidR="00AC4E8B">
        <w:rPr>
          <w:sz w:val="20"/>
          <w:szCs w:val="16"/>
        </w:rPr>
        <w:t xml:space="preserve"> </w:t>
      </w:r>
      <w:r w:rsidR="00AC4E8B">
        <w:rPr>
          <w:sz w:val="20"/>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55874357"/>
      <w:docPartObj>
        <w:docPartGallery w:val="Page Numbers (Top of Page)"/>
        <w:docPartUnique/>
      </w:docPartObj>
    </w:sdtPr>
    <w:sdtEndPr>
      <w:rPr>
        <w:noProof/>
      </w:rPr>
    </w:sdtEndPr>
    <w:sdtContent>
      <w:p w:rsidR="006D4862" w14:paraId="516DCB9F" w14:textId="5E5A49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076BC" w14:paraId="0CFA440E" w14:textId="26457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365B" w14:paraId="07E473C7" w14:textId="77777777">
    <w:pPr>
      <w:pStyle w:val="Heading1"/>
      <w:tabs>
        <w:tab w:val="center" w:pos="4860"/>
        <w:tab w:val="clear" w:pos="5184"/>
      </w:tabs>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675005" cy="648970"/>
          <wp:effectExtent l="0" t="0" r="0" b="0"/>
          <wp:wrapTight wrapText="bothSides">
            <wp:wrapPolygon>
              <wp:start x="0" y="0"/>
              <wp:lineTo x="0" y="19656"/>
              <wp:lineTo x="19507" y="19656"/>
              <wp:lineTo x="195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65B" w14:paraId="623A5FA6" w14:textId="77777777">
    <w:pPr>
      <w:pStyle w:val="Heading1"/>
      <w:tabs>
        <w:tab w:val="center" w:pos="4860"/>
        <w:tab w:val="clear" w:pos="5184"/>
      </w:tabs>
    </w:pPr>
    <w:r>
      <w:t>U.S. DEPARTMENT OF HOUSING AND URBAN DEVELOPMENT</w:t>
    </w:r>
  </w:p>
  <w:p w:rsidR="0067365B" w14:paraId="747452A5" w14:textId="77777777">
    <w:pPr>
      <w:suppressAutoHyphens/>
      <w:spacing w:line="264" w:lineRule="auto"/>
      <w:jc w:val="center"/>
      <w:rPr>
        <w:spacing w:val="-1"/>
        <w:sz w:val="16"/>
      </w:rPr>
    </w:pPr>
    <w:r>
      <w:rPr>
        <w:spacing w:val="-2"/>
        <w:sz w:val="16"/>
      </w:rPr>
      <w:t>WASHINGTON, DC  20410-8000</w:t>
    </w:r>
  </w:p>
  <w:p w:rsidR="0067365B" w14:paraId="2D938100" w14:textId="77777777">
    <w:pPr>
      <w:suppressAutoHyphens/>
      <w:spacing w:line="264" w:lineRule="auto"/>
      <w:ind w:right="-1008"/>
      <w:jc w:val="center"/>
      <w:rPr>
        <w:spacing w:val="-1"/>
      </w:rPr>
    </w:pPr>
  </w:p>
  <w:p w:rsidR="0067365B" w14:paraId="0EC896A0" w14:textId="77777777">
    <w:pPr>
      <w:tabs>
        <w:tab w:val="center" w:pos="4860"/>
      </w:tabs>
      <w:suppressAutoHyphens/>
      <w:spacing w:line="264" w:lineRule="auto"/>
      <w:ind w:right="-1008"/>
      <w:rPr>
        <w:spacing w:val="-1"/>
        <w:sz w:val="4"/>
      </w:rPr>
    </w:pPr>
  </w:p>
  <w:p w:rsidR="0067365B" w14:paraId="038BF9B4" w14:textId="73BE6401">
    <w:pPr>
      <w:suppressAutoHyphens/>
      <w:jc w:val="both"/>
      <w:rPr>
        <w:spacing w:val="-1"/>
        <w:sz w:val="14"/>
      </w:rPr>
    </w:pPr>
    <w:r>
      <w:rPr>
        <w:spacing w:val="-1"/>
        <w:sz w:val="14"/>
      </w:rPr>
      <w:t>OFFICE OF HOUSING</w:t>
    </w:r>
  </w:p>
  <w:p w:rsidR="0067365B" w14:paraId="2BF70E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58B7EBD"/>
    <w:multiLevelType w:val="hybridMultilevel"/>
    <w:tmpl w:val="C3FE82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9DE2C2B"/>
    <w:multiLevelType w:val="hybridMultilevel"/>
    <w:tmpl w:val="0D421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7E15918"/>
    <w:multiLevelType w:val="hybridMultilevel"/>
    <w:tmpl w:val="93165D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89D7D2A"/>
    <w:multiLevelType w:val="hybridMultilevel"/>
    <w:tmpl w:val="0016AD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3392301"/>
    <w:multiLevelType w:val="hybridMultilevel"/>
    <w:tmpl w:val="2BA49E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81C09E9"/>
    <w:multiLevelType w:val="hybridMultilevel"/>
    <w:tmpl w:val="DE143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CFD3E31"/>
    <w:multiLevelType w:val="hybridMultilevel"/>
    <w:tmpl w:val="32B81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25210">
    <w:abstractNumId w:val="4"/>
  </w:num>
  <w:num w:numId="2" w16cid:durableId="825170413">
    <w:abstractNumId w:val="3"/>
  </w:num>
  <w:num w:numId="3" w16cid:durableId="1545752672">
    <w:abstractNumId w:val="1"/>
  </w:num>
  <w:num w:numId="4" w16cid:durableId="1509908554">
    <w:abstractNumId w:val="2"/>
  </w:num>
  <w:num w:numId="5" w16cid:durableId="1065105465">
    <w:abstractNumId w:val="5"/>
  </w:num>
  <w:num w:numId="6" w16cid:durableId="534197032">
    <w:abstractNumId w:val="6"/>
  </w:num>
  <w:num w:numId="7" w16cid:durableId="8411690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ernandez, Elizabeth C">
    <w15:presenceInfo w15:providerId="AD" w15:userId="S::Elizabeth.C.Fernandez@hud.gov::40b57e89-d846-4ad2-8062-23723c205eab"/>
  </w15:person>
  <w15:person w15:author="Gardiner, Kyle S. EOP/OMB">
    <w15:presenceInfo w15:providerId="AD" w15:userId="S-1-5-21-2153146651-2037946966-3331982856-83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revisionView w:comments="1" w:formatting="1" w:inkAnnotations="1" w:insDel="1" w:markup="0"/>
  <w:documentProtection w:edit="trackedChanges" w:enforcement="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8E"/>
    <w:rsid w:val="000003B9"/>
    <w:rsid w:val="0000079C"/>
    <w:rsid w:val="00002B7B"/>
    <w:rsid w:val="0000324B"/>
    <w:rsid w:val="00003CF7"/>
    <w:rsid w:val="00003DEF"/>
    <w:rsid w:val="0000649B"/>
    <w:rsid w:val="000123C8"/>
    <w:rsid w:val="00014F3E"/>
    <w:rsid w:val="000178BA"/>
    <w:rsid w:val="00024415"/>
    <w:rsid w:val="000301FD"/>
    <w:rsid w:val="00030AB0"/>
    <w:rsid w:val="00031164"/>
    <w:rsid w:val="000313F3"/>
    <w:rsid w:val="00032AB4"/>
    <w:rsid w:val="00036B28"/>
    <w:rsid w:val="00037AF0"/>
    <w:rsid w:val="0004212C"/>
    <w:rsid w:val="000449BA"/>
    <w:rsid w:val="00045095"/>
    <w:rsid w:val="00045EE4"/>
    <w:rsid w:val="00046E90"/>
    <w:rsid w:val="0005037B"/>
    <w:rsid w:val="000607D8"/>
    <w:rsid w:val="00065D28"/>
    <w:rsid w:val="00065D2A"/>
    <w:rsid w:val="00076B1C"/>
    <w:rsid w:val="00090215"/>
    <w:rsid w:val="000939CD"/>
    <w:rsid w:val="000A2BAF"/>
    <w:rsid w:val="000A58B0"/>
    <w:rsid w:val="000C1928"/>
    <w:rsid w:val="000C322C"/>
    <w:rsid w:val="000D4DB0"/>
    <w:rsid w:val="000E2B46"/>
    <w:rsid w:val="000F0D78"/>
    <w:rsid w:val="000F2A11"/>
    <w:rsid w:val="000F6F14"/>
    <w:rsid w:val="000F7005"/>
    <w:rsid w:val="001001AE"/>
    <w:rsid w:val="00100D5D"/>
    <w:rsid w:val="001102BC"/>
    <w:rsid w:val="001102DF"/>
    <w:rsid w:val="00115FCE"/>
    <w:rsid w:val="0012455E"/>
    <w:rsid w:val="00132779"/>
    <w:rsid w:val="00136130"/>
    <w:rsid w:val="00137D35"/>
    <w:rsid w:val="001476B8"/>
    <w:rsid w:val="00161C60"/>
    <w:rsid w:val="00171367"/>
    <w:rsid w:val="0017197B"/>
    <w:rsid w:val="00172180"/>
    <w:rsid w:val="0017693D"/>
    <w:rsid w:val="00180847"/>
    <w:rsid w:val="00180F6A"/>
    <w:rsid w:val="0018170B"/>
    <w:rsid w:val="00185071"/>
    <w:rsid w:val="00195760"/>
    <w:rsid w:val="001B2E7A"/>
    <w:rsid w:val="001B307D"/>
    <w:rsid w:val="001B37CF"/>
    <w:rsid w:val="001C0211"/>
    <w:rsid w:val="001C452E"/>
    <w:rsid w:val="001C6A93"/>
    <w:rsid w:val="001C7ADB"/>
    <w:rsid w:val="001C7F9D"/>
    <w:rsid w:val="001D2254"/>
    <w:rsid w:val="001D2C5B"/>
    <w:rsid w:val="001E0D26"/>
    <w:rsid w:val="001F1421"/>
    <w:rsid w:val="001F4B9D"/>
    <w:rsid w:val="001F77CB"/>
    <w:rsid w:val="0020097D"/>
    <w:rsid w:val="0020751D"/>
    <w:rsid w:val="002076BC"/>
    <w:rsid w:val="002135E6"/>
    <w:rsid w:val="00214C76"/>
    <w:rsid w:val="00220A4F"/>
    <w:rsid w:val="00244096"/>
    <w:rsid w:val="00247688"/>
    <w:rsid w:val="00253107"/>
    <w:rsid w:val="00263588"/>
    <w:rsid w:val="00272788"/>
    <w:rsid w:val="00287850"/>
    <w:rsid w:val="002929D7"/>
    <w:rsid w:val="002A6053"/>
    <w:rsid w:val="002C4001"/>
    <w:rsid w:val="002D00E5"/>
    <w:rsid w:val="002D200E"/>
    <w:rsid w:val="002D5564"/>
    <w:rsid w:val="002E245C"/>
    <w:rsid w:val="002E6BC6"/>
    <w:rsid w:val="002E6C3E"/>
    <w:rsid w:val="002F13DE"/>
    <w:rsid w:val="002F1B0D"/>
    <w:rsid w:val="002F5C05"/>
    <w:rsid w:val="003035C9"/>
    <w:rsid w:val="00322D8E"/>
    <w:rsid w:val="003246DE"/>
    <w:rsid w:val="0033571B"/>
    <w:rsid w:val="00342E33"/>
    <w:rsid w:val="00344577"/>
    <w:rsid w:val="00345066"/>
    <w:rsid w:val="00345523"/>
    <w:rsid w:val="00353C0E"/>
    <w:rsid w:val="00356C18"/>
    <w:rsid w:val="0036347F"/>
    <w:rsid w:val="00365D78"/>
    <w:rsid w:val="00370845"/>
    <w:rsid w:val="003846F1"/>
    <w:rsid w:val="003A418D"/>
    <w:rsid w:val="003A634A"/>
    <w:rsid w:val="003C3478"/>
    <w:rsid w:val="003D019D"/>
    <w:rsid w:val="003D10BA"/>
    <w:rsid w:val="003D4965"/>
    <w:rsid w:val="003D49D6"/>
    <w:rsid w:val="003D5467"/>
    <w:rsid w:val="003E7D65"/>
    <w:rsid w:val="003F0326"/>
    <w:rsid w:val="003F3F27"/>
    <w:rsid w:val="003F63C5"/>
    <w:rsid w:val="003F70A9"/>
    <w:rsid w:val="00401236"/>
    <w:rsid w:val="00402601"/>
    <w:rsid w:val="00413908"/>
    <w:rsid w:val="00422703"/>
    <w:rsid w:val="00433B1D"/>
    <w:rsid w:val="004368F0"/>
    <w:rsid w:val="00441DA9"/>
    <w:rsid w:val="00444E80"/>
    <w:rsid w:val="00457C4F"/>
    <w:rsid w:val="00460876"/>
    <w:rsid w:val="00462B3B"/>
    <w:rsid w:val="00464174"/>
    <w:rsid w:val="004759EA"/>
    <w:rsid w:val="0048094A"/>
    <w:rsid w:val="00486C0D"/>
    <w:rsid w:val="004913E5"/>
    <w:rsid w:val="00495AA7"/>
    <w:rsid w:val="004A6312"/>
    <w:rsid w:val="004C5D5B"/>
    <w:rsid w:val="004D2DE1"/>
    <w:rsid w:val="004D2E92"/>
    <w:rsid w:val="004D3019"/>
    <w:rsid w:val="004D580E"/>
    <w:rsid w:val="004E132C"/>
    <w:rsid w:val="004E3080"/>
    <w:rsid w:val="004E3EB2"/>
    <w:rsid w:val="004F4845"/>
    <w:rsid w:val="004F62B1"/>
    <w:rsid w:val="004F6A97"/>
    <w:rsid w:val="0050733B"/>
    <w:rsid w:val="005121F5"/>
    <w:rsid w:val="00514244"/>
    <w:rsid w:val="00514C95"/>
    <w:rsid w:val="00516AF0"/>
    <w:rsid w:val="0052003A"/>
    <w:rsid w:val="00523655"/>
    <w:rsid w:val="0053174D"/>
    <w:rsid w:val="00536965"/>
    <w:rsid w:val="00541986"/>
    <w:rsid w:val="00542CA7"/>
    <w:rsid w:val="00543B82"/>
    <w:rsid w:val="00564F63"/>
    <w:rsid w:val="00576C25"/>
    <w:rsid w:val="005803D4"/>
    <w:rsid w:val="00584D00"/>
    <w:rsid w:val="005866B3"/>
    <w:rsid w:val="00587987"/>
    <w:rsid w:val="005938BD"/>
    <w:rsid w:val="005A02ED"/>
    <w:rsid w:val="005A0C8E"/>
    <w:rsid w:val="005A71B0"/>
    <w:rsid w:val="005B04FC"/>
    <w:rsid w:val="005B0B11"/>
    <w:rsid w:val="005C1961"/>
    <w:rsid w:val="005C5859"/>
    <w:rsid w:val="005D0804"/>
    <w:rsid w:val="005D13E1"/>
    <w:rsid w:val="005F73BF"/>
    <w:rsid w:val="005F7535"/>
    <w:rsid w:val="00600E8A"/>
    <w:rsid w:val="00603C35"/>
    <w:rsid w:val="00603E33"/>
    <w:rsid w:val="00612F33"/>
    <w:rsid w:val="00614401"/>
    <w:rsid w:val="00616E7F"/>
    <w:rsid w:val="00620682"/>
    <w:rsid w:val="00623905"/>
    <w:rsid w:val="006341AD"/>
    <w:rsid w:val="0063469B"/>
    <w:rsid w:val="00641943"/>
    <w:rsid w:val="006427F5"/>
    <w:rsid w:val="00643444"/>
    <w:rsid w:val="006435D6"/>
    <w:rsid w:val="00651A82"/>
    <w:rsid w:val="00663066"/>
    <w:rsid w:val="00663A59"/>
    <w:rsid w:val="0067365B"/>
    <w:rsid w:val="006770BF"/>
    <w:rsid w:val="0068377D"/>
    <w:rsid w:val="00686CB9"/>
    <w:rsid w:val="0069110E"/>
    <w:rsid w:val="006A078B"/>
    <w:rsid w:val="006A0C83"/>
    <w:rsid w:val="006A0C9C"/>
    <w:rsid w:val="006A67BF"/>
    <w:rsid w:val="006A6B39"/>
    <w:rsid w:val="006B0733"/>
    <w:rsid w:val="006C5F8E"/>
    <w:rsid w:val="006D0863"/>
    <w:rsid w:val="006D0E90"/>
    <w:rsid w:val="006D4862"/>
    <w:rsid w:val="006E169A"/>
    <w:rsid w:val="006E5979"/>
    <w:rsid w:val="006F006F"/>
    <w:rsid w:val="006F00E6"/>
    <w:rsid w:val="006F0AF5"/>
    <w:rsid w:val="006F5FD4"/>
    <w:rsid w:val="006F6991"/>
    <w:rsid w:val="007075DD"/>
    <w:rsid w:val="00713A54"/>
    <w:rsid w:val="00715901"/>
    <w:rsid w:val="00717B8D"/>
    <w:rsid w:val="00717C14"/>
    <w:rsid w:val="00721693"/>
    <w:rsid w:val="00721E82"/>
    <w:rsid w:val="00725044"/>
    <w:rsid w:val="00734A9D"/>
    <w:rsid w:val="0074287A"/>
    <w:rsid w:val="0074615B"/>
    <w:rsid w:val="00752654"/>
    <w:rsid w:val="00753C84"/>
    <w:rsid w:val="007601F5"/>
    <w:rsid w:val="00760239"/>
    <w:rsid w:val="0076132B"/>
    <w:rsid w:val="00777263"/>
    <w:rsid w:val="007819D1"/>
    <w:rsid w:val="007A28F0"/>
    <w:rsid w:val="007A6244"/>
    <w:rsid w:val="007A7C8E"/>
    <w:rsid w:val="007B2FA1"/>
    <w:rsid w:val="007B7244"/>
    <w:rsid w:val="007B7A16"/>
    <w:rsid w:val="007B7CC3"/>
    <w:rsid w:val="007C150E"/>
    <w:rsid w:val="007D19F1"/>
    <w:rsid w:val="007D1D78"/>
    <w:rsid w:val="007D2824"/>
    <w:rsid w:val="007D35A5"/>
    <w:rsid w:val="007D3866"/>
    <w:rsid w:val="007D6FB9"/>
    <w:rsid w:val="007E1147"/>
    <w:rsid w:val="007E184F"/>
    <w:rsid w:val="007E1971"/>
    <w:rsid w:val="007F6346"/>
    <w:rsid w:val="007F678A"/>
    <w:rsid w:val="007F6B38"/>
    <w:rsid w:val="00802224"/>
    <w:rsid w:val="00805566"/>
    <w:rsid w:val="008269C9"/>
    <w:rsid w:val="008412AD"/>
    <w:rsid w:val="00856AFC"/>
    <w:rsid w:val="00860B6C"/>
    <w:rsid w:val="008709EF"/>
    <w:rsid w:val="00871763"/>
    <w:rsid w:val="008749DC"/>
    <w:rsid w:val="00882F40"/>
    <w:rsid w:val="0088561C"/>
    <w:rsid w:val="00886E4D"/>
    <w:rsid w:val="00890CFF"/>
    <w:rsid w:val="0089211B"/>
    <w:rsid w:val="00892676"/>
    <w:rsid w:val="008A43DA"/>
    <w:rsid w:val="008A627C"/>
    <w:rsid w:val="008C4C19"/>
    <w:rsid w:val="008D2584"/>
    <w:rsid w:val="008D49E6"/>
    <w:rsid w:val="008D7C59"/>
    <w:rsid w:val="008F02F3"/>
    <w:rsid w:val="008F1928"/>
    <w:rsid w:val="00904DBA"/>
    <w:rsid w:val="0091445C"/>
    <w:rsid w:val="00915B1C"/>
    <w:rsid w:val="00941754"/>
    <w:rsid w:val="00941D7D"/>
    <w:rsid w:val="0096103C"/>
    <w:rsid w:val="00962A9A"/>
    <w:rsid w:val="00966AC6"/>
    <w:rsid w:val="009722A8"/>
    <w:rsid w:val="00973366"/>
    <w:rsid w:val="00973367"/>
    <w:rsid w:val="00975ED8"/>
    <w:rsid w:val="00975F0F"/>
    <w:rsid w:val="009821A6"/>
    <w:rsid w:val="009A6FF4"/>
    <w:rsid w:val="009B1099"/>
    <w:rsid w:val="009B3BCB"/>
    <w:rsid w:val="009B5ECF"/>
    <w:rsid w:val="009D14D8"/>
    <w:rsid w:val="009D1D37"/>
    <w:rsid w:val="009D565F"/>
    <w:rsid w:val="009F02ED"/>
    <w:rsid w:val="009F4A64"/>
    <w:rsid w:val="00A00890"/>
    <w:rsid w:val="00A03EFE"/>
    <w:rsid w:val="00A0486A"/>
    <w:rsid w:val="00A0761D"/>
    <w:rsid w:val="00A16EDC"/>
    <w:rsid w:val="00A17FA0"/>
    <w:rsid w:val="00A22530"/>
    <w:rsid w:val="00A254A6"/>
    <w:rsid w:val="00A31906"/>
    <w:rsid w:val="00A32BE6"/>
    <w:rsid w:val="00A407D3"/>
    <w:rsid w:val="00A42EE3"/>
    <w:rsid w:val="00A42F47"/>
    <w:rsid w:val="00A67493"/>
    <w:rsid w:val="00A76ACA"/>
    <w:rsid w:val="00A80B79"/>
    <w:rsid w:val="00A82339"/>
    <w:rsid w:val="00A8447D"/>
    <w:rsid w:val="00A86B48"/>
    <w:rsid w:val="00A86C77"/>
    <w:rsid w:val="00A95F5D"/>
    <w:rsid w:val="00AA2089"/>
    <w:rsid w:val="00AA4A6D"/>
    <w:rsid w:val="00AA4AB9"/>
    <w:rsid w:val="00AA679A"/>
    <w:rsid w:val="00AB1653"/>
    <w:rsid w:val="00AB4981"/>
    <w:rsid w:val="00AC4D77"/>
    <w:rsid w:val="00AC4E8B"/>
    <w:rsid w:val="00AC6FEC"/>
    <w:rsid w:val="00AD23F7"/>
    <w:rsid w:val="00AD33FF"/>
    <w:rsid w:val="00AD7C56"/>
    <w:rsid w:val="00AE238B"/>
    <w:rsid w:val="00AF25FD"/>
    <w:rsid w:val="00AF4952"/>
    <w:rsid w:val="00AF5EE1"/>
    <w:rsid w:val="00B0251A"/>
    <w:rsid w:val="00B06889"/>
    <w:rsid w:val="00B112EF"/>
    <w:rsid w:val="00B11775"/>
    <w:rsid w:val="00B12992"/>
    <w:rsid w:val="00B16406"/>
    <w:rsid w:val="00B24DE1"/>
    <w:rsid w:val="00B3502B"/>
    <w:rsid w:val="00B3667B"/>
    <w:rsid w:val="00B36E90"/>
    <w:rsid w:val="00B37A27"/>
    <w:rsid w:val="00B37ED0"/>
    <w:rsid w:val="00B40177"/>
    <w:rsid w:val="00B465D3"/>
    <w:rsid w:val="00B63FD6"/>
    <w:rsid w:val="00B70BF6"/>
    <w:rsid w:val="00B744B0"/>
    <w:rsid w:val="00B80735"/>
    <w:rsid w:val="00B8510D"/>
    <w:rsid w:val="00B951C0"/>
    <w:rsid w:val="00B95FFD"/>
    <w:rsid w:val="00B96874"/>
    <w:rsid w:val="00BA0834"/>
    <w:rsid w:val="00BA617C"/>
    <w:rsid w:val="00BA7F6B"/>
    <w:rsid w:val="00BC0CA1"/>
    <w:rsid w:val="00BC2650"/>
    <w:rsid w:val="00BC6917"/>
    <w:rsid w:val="00BD6897"/>
    <w:rsid w:val="00BD7D12"/>
    <w:rsid w:val="00BE5783"/>
    <w:rsid w:val="00BF09B0"/>
    <w:rsid w:val="00BF2BF6"/>
    <w:rsid w:val="00C20498"/>
    <w:rsid w:val="00C237FC"/>
    <w:rsid w:val="00C271B9"/>
    <w:rsid w:val="00C4579A"/>
    <w:rsid w:val="00C50D7A"/>
    <w:rsid w:val="00C649B6"/>
    <w:rsid w:val="00C66EDA"/>
    <w:rsid w:val="00C7059C"/>
    <w:rsid w:val="00C70ED0"/>
    <w:rsid w:val="00C72972"/>
    <w:rsid w:val="00C7433C"/>
    <w:rsid w:val="00C75D04"/>
    <w:rsid w:val="00C825BB"/>
    <w:rsid w:val="00C85156"/>
    <w:rsid w:val="00C8537C"/>
    <w:rsid w:val="00C92017"/>
    <w:rsid w:val="00CA0BB3"/>
    <w:rsid w:val="00CA106A"/>
    <w:rsid w:val="00CA1D45"/>
    <w:rsid w:val="00CA3334"/>
    <w:rsid w:val="00CC4192"/>
    <w:rsid w:val="00CD4E46"/>
    <w:rsid w:val="00CE161C"/>
    <w:rsid w:val="00CF137B"/>
    <w:rsid w:val="00CF601A"/>
    <w:rsid w:val="00D07C9B"/>
    <w:rsid w:val="00D11132"/>
    <w:rsid w:val="00D145EB"/>
    <w:rsid w:val="00D2255B"/>
    <w:rsid w:val="00D300B6"/>
    <w:rsid w:val="00D40133"/>
    <w:rsid w:val="00D41DA2"/>
    <w:rsid w:val="00D446E5"/>
    <w:rsid w:val="00D4738A"/>
    <w:rsid w:val="00D861F4"/>
    <w:rsid w:val="00D86816"/>
    <w:rsid w:val="00DA0804"/>
    <w:rsid w:val="00DA130A"/>
    <w:rsid w:val="00DA4375"/>
    <w:rsid w:val="00DA7550"/>
    <w:rsid w:val="00DB0E90"/>
    <w:rsid w:val="00DB2A15"/>
    <w:rsid w:val="00DB3C38"/>
    <w:rsid w:val="00DB6FC9"/>
    <w:rsid w:val="00DD7C26"/>
    <w:rsid w:val="00DD7EA8"/>
    <w:rsid w:val="00DE1C87"/>
    <w:rsid w:val="00DF798B"/>
    <w:rsid w:val="00E01A32"/>
    <w:rsid w:val="00E05173"/>
    <w:rsid w:val="00E122E3"/>
    <w:rsid w:val="00E16DB5"/>
    <w:rsid w:val="00E366A3"/>
    <w:rsid w:val="00E36D11"/>
    <w:rsid w:val="00E405B2"/>
    <w:rsid w:val="00E42FD0"/>
    <w:rsid w:val="00E459FC"/>
    <w:rsid w:val="00E500FC"/>
    <w:rsid w:val="00E55EBF"/>
    <w:rsid w:val="00E62006"/>
    <w:rsid w:val="00E6223C"/>
    <w:rsid w:val="00E64C9C"/>
    <w:rsid w:val="00E64CB8"/>
    <w:rsid w:val="00E66409"/>
    <w:rsid w:val="00E73B19"/>
    <w:rsid w:val="00E7594B"/>
    <w:rsid w:val="00E80F80"/>
    <w:rsid w:val="00E82F38"/>
    <w:rsid w:val="00EA534F"/>
    <w:rsid w:val="00EA66AD"/>
    <w:rsid w:val="00EB4DE7"/>
    <w:rsid w:val="00EE044B"/>
    <w:rsid w:val="00EE19FE"/>
    <w:rsid w:val="00EE60E4"/>
    <w:rsid w:val="00EE614D"/>
    <w:rsid w:val="00EE65AC"/>
    <w:rsid w:val="00EE726D"/>
    <w:rsid w:val="00F07FAB"/>
    <w:rsid w:val="00F10CA2"/>
    <w:rsid w:val="00F119C9"/>
    <w:rsid w:val="00F14FD4"/>
    <w:rsid w:val="00F15D5E"/>
    <w:rsid w:val="00F220E2"/>
    <w:rsid w:val="00F22C99"/>
    <w:rsid w:val="00F25D81"/>
    <w:rsid w:val="00F268A0"/>
    <w:rsid w:val="00F26C78"/>
    <w:rsid w:val="00F344C8"/>
    <w:rsid w:val="00F3502A"/>
    <w:rsid w:val="00F357FC"/>
    <w:rsid w:val="00F42161"/>
    <w:rsid w:val="00F44AAF"/>
    <w:rsid w:val="00F62563"/>
    <w:rsid w:val="00F64F80"/>
    <w:rsid w:val="00F65F95"/>
    <w:rsid w:val="00F83D03"/>
    <w:rsid w:val="00F84C72"/>
    <w:rsid w:val="00F87ADF"/>
    <w:rsid w:val="00F87FFB"/>
    <w:rsid w:val="00F90639"/>
    <w:rsid w:val="00FB1768"/>
    <w:rsid w:val="00FC18C1"/>
    <w:rsid w:val="00FC7832"/>
    <w:rsid w:val="00FE6602"/>
    <w:rsid w:val="00FF4936"/>
    <w:rsid w:val="00FF5380"/>
    <w:rsid w:val="00FF7C04"/>
  </w:rsids>
  <w:docVars>
    <w:docVar w:name="__Grammarly_42___1" w:val="H4sIAAAAAAAEAKtWcslP9kxRslIyNDYyNTUyNDAyNrA0NTMxMDdS0lEKTi0uzszPAykwrQUAoEAo7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767E5"/>
  <w15:chartTrackingRefBased/>
  <w15:docId w15:val="{5D2C0F8C-9767-4B6C-8CBE-3AEF27DF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326"/>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pPr>
      <w:keepNext/>
      <w:tabs>
        <w:tab w:val="center" w:pos="5184"/>
      </w:tabs>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EnvelopeAddress">
    <w:name w:val="envelope address"/>
    <w:basedOn w:val="Normal"/>
    <w:semiHidden/>
    <w:pPr>
      <w:framePr w:w="7920" w:h="1980" w:hRule="exact" w:hSpace="180" w:wrap="auto" w:hAnchor="page" w:xAlign="center" w:yAlign="bottom"/>
      <w:ind w:left="2880"/>
    </w:pPr>
    <w:rPr>
      <w:szCs w:val="24"/>
    </w:rPr>
  </w:style>
  <w:style w:type="paragraph" w:styleId="ListParagraph">
    <w:name w:val="List Paragraph"/>
    <w:basedOn w:val="Normal"/>
    <w:uiPriority w:val="34"/>
    <w:qFormat/>
    <w:rsid w:val="00B951C0"/>
    <w:pPr>
      <w:ind w:left="720"/>
      <w:contextualSpacing/>
    </w:pPr>
  </w:style>
  <w:style w:type="character" w:customStyle="1" w:styleId="EndnoteTextChar">
    <w:name w:val="Endnote Text Char"/>
    <w:basedOn w:val="DefaultParagraphFont"/>
    <w:link w:val="EndnoteText"/>
    <w:semiHidden/>
    <w:rsid w:val="00B951C0"/>
    <w:rPr>
      <w:spacing w:val="-3"/>
      <w:sz w:val="24"/>
    </w:rPr>
  </w:style>
  <w:style w:type="paragraph" w:styleId="BodyTextIndent">
    <w:name w:val="Body Text Indent"/>
    <w:basedOn w:val="Normal"/>
    <w:link w:val="BodyTextIndentChar"/>
    <w:rsid w:val="003F0326"/>
    <w:pPr>
      <w:tabs>
        <w:tab w:val="left" w:pos="2880"/>
      </w:tabs>
      <w:ind w:left="2880" w:hanging="2880"/>
    </w:pPr>
    <w:rPr>
      <w:spacing w:val="0"/>
    </w:rPr>
  </w:style>
  <w:style w:type="character" w:customStyle="1" w:styleId="BodyTextIndentChar">
    <w:name w:val="Body Text Indent Char"/>
    <w:basedOn w:val="DefaultParagraphFont"/>
    <w:link w:val="BodyTextIndent"/>
    <w:rsid w:val="003F0326"/>
    <w:rPr>
      <w:sz w:val="24"/>
    </w:rPr>
  </w:style>
  <w:style w:type="paragraph" w:styleId="BalloonText">
    <w:name w:val="Balloon Text"/>
    <w:basedOn w:val="Normal"/>
    <w:link w:val="BalloonTextChar"/>
    <w:uiPriority w:val="99"/>
    <w:semiHidden/>
    <w:unhideWhenUsed/>
    <w:rsid w:val="00603C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C35"/>
    <w:rPr>
      <w:rFonts w:ascii="Segoe UI" w:hAnsi="Segoe UI" w:cs="Segoe UI"/>
      <w:spacing w:val="-3"/>
      <w:sz w:val="18"/>
      <w:szCs w:val="18"/>
    </w:rPr>
  </w:style>
  <w:style w:type="character" w:customStyle="1" w:styleId="HeaderChar">
    <w:name w:val="Header Char"/>
    <w:basedOn w:val="DefaultParagraphFont"/>
    <w:link w:val="Header"/>
    <w:uiPriority w:val="99"/>
    <w:rsid w:val="006D4862"/>
    <w:rPr>
      <w:spacing w:val="-3"/>
      <w:sz w:val="24"/>
    </w:rPr>
  </w:style>
  <w:style w:type="character" w:styleId="UnresolvedMention">
    <w:name w:val="Unresolved Mention"/>
    <w:basedOn w:val="DefaultParagraphFont"/>
    <w:uiPriority w:val="99"/>
    <w:semiHidden/>
    <w:unhideWhenUsed/>
    <w:rsid w:val="00E366A3"/>
    <w:rPr>
      <w:color w:val="605E5C"/>
      <w:shd w:val="clear" w:color="auto" w:fill="E1DFDD"/>
    </w:rPr>
  </w:style>
  <w:style w:type="paragraph" w:styleId="Revision">
    <w:name w:val="Revision"/>
    <w:hidden/>
    <w:uiPriority w:val="99"/>
    <w:semiHidden/>
    <w:rsid w:val="002D00E5"/>
    <w:rPr>
      <w:spacing w:val="-3"/>
      <w:sz w:val="24"/>
    </w:rPr>
  </w:style>
  <w:style w:type="character" w:styleId="CommentReference">
    <w:name w:val="annotation reference"/>
    <w:basedOn w:val="DefaultParagraphFont"/>
    <w:uiPriority w:val="99"/>
    <w:semiHidden/>
    <w:unhideWhenUsed/>
    <w:rsid w:val="00641943"/>
    <w:rPr>
      <w:sz w:val="16"/>
      <w:szCs w:val="16"/>
    </w:rPr>
  </w:style>
  <w:style w:type="paragraph" w:styleId="CommentText">
    <w:name w:val="annotation text"/>
    <w:basedOn w:val="Normal"/>
    <w:link w:val="CommentTextChar"/>
    <w:uiPriority w:val="99"/>
    <w:unhideWhenUsed/>
    <w:rsid w:val="00641943"/>
    <w:pPr>
      <w:widowControl/>
      <w:overflowPunct/>
      <w:autoSpaceDE/>
      <w:autoSpaceDN/>
      <w:adjustRightInd/>
      <w:spacing w:after="160"/>
      <w:textAlignment w:val="auto"/>
    </w:pPr>
    <w:rPr>
      <w:rFonts w:asciiTheme="minorHAnsi" w:eastAsiaTheme="minorHAnsi" w:hAnsiTheme="minorHAnsi" w:cstheme="minorBidi"/>
      <w:spacing w:val="0"/>
      <w:sz w:val="20"/>
    </w:rPr>
  </w:style>
  <w:style w:type="character" w:customStyle="1" w:styleId="CommentTextChar">
    <w:name w:val="Comment Text Char"/>
    <w:basedOn w:val="DefaultParagraphFont"/>
    <w:link w:val="CommentText"/>
    <w:uiPriority w:val="99"/>
    <w:rsid w:val="00641943"/>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hyperlink" Target="http://www.hud.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1080/10511482.2022.2076713" TargetMode="External" /><Relationship Id="rId2" Type="http://schemas.openxmlformats.org/officeDocument/2006/relationships/hyperlink" Target="https://evictionlab.org/eviction-tracking/" TargetMode="External" /><Relationship Id="rId3" Type="http://schemas.openxmlformats.org/officeDocument/2006/relationships/hyperlink" Target="https://www.ers.usda.gov/data-products/ag-and-food-statistics-charting-the-essentials/food-prices-and-spending/" TargetMode="External" /><Relationship Id="rId4" Type="http://schemas.openxmlformats.org/officeDocument/2006/relationships/hyperlink" Target="https://www.bls.gov/cex/cecomparison/nhea_profile.htm" TargetMode="External" /><Relationship Id="rId5" Type="http://schemas.openxmlformats.org/officeDocument/2006/relationships/hyperlink" Target="https://www.cms.gov/files/document/national-health-expenditure-projections-2021-30-growth-moderate-covid-19-impacts-wane.pdf" TargetMode="External" /><Relationship Id="rId6" Type="http://schemas.openxmlformats.org/officeDocument/2006/relationships/hyperlink" Target="https://www.fns.usda.gov/snap/2023-benefit-chang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8067E1-2BFB-4E73-984C-C914E0CFB0F3}">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f1c21bf-eba3-4cb0-97f6-d89a3e5c735a">
      <UserInfo>
        <DisplayName>Fernandez, Elizabeth C</DisplayName>
        <AccountId>12</AccountId>
        <AccountType/>
      </UserInfo>
      <UserInfo>
        <DisplayName>Santos, Andrew A</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2EB98C16FFD49854A6CCA1E4A74DE" ma:contentTypeVersion="4" ma:contentTypeDescription="Create a new document." ma:contentTypeScope="" ma:versionID="6d83d453149ded422c366c32be928abd">
  <xsd:schema xmlns:xsd="http://www.w3.org/2001/XMLSchema" xmlns:xs="http://www.w3.org/2001/XMLSchema" xmlns:p="http://schemas.microsoft.com/office/2006/metadata/properties" xmlns:ns2="231a6ec9-fb49-47ea-b2d4-b9051e500145" xmlns:ns3="3f1c21bf-eba3-4cb0-97f6-d89a3e5c735a" targetNamespace="http://schemas.microsoft.com/office/2006/metadata/properties" ma:root="true" ma:fieldsID="5f15ebdadef4906e5b0699d9d4c11471" ns2:_="" ns3:_="">
    <xsd:import namespace="231a6ec9-fb49-47ea-b2d4-b9051e500145"/>
    <xsd:import namespace="3f1c21bf-eba3-4cb0-97f6-d89a3e5c73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a6ec9-fb49-47ea-b2d4-b9051e500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c21bf-eba3-4cb0-97f6-d89a3e5c73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8512-A404-426A-952E-57D8EF2AB790}">
  <ds:schemaRefs>
    <ds:schemaRef ds:uri="http://schemas.microsoft.com/sharepoint/v3/contenttype/forms"/>
  </ds:schemaRefs>
</ds:datastoreItem>
</file>

<file path=customXml/itemProps2.xml><?xml version="1.0" encoding="utf-8"?>
<ds:datastoreItem xmlns:ds="http://schemas.openxmlformats.org/officeDocument/2006/customXml" ds:itemID="{D34A5C1D-B10B-4F77-82E1-D2BC25EE74E9}">
  <ds:schemaRefs>
    <ds:schemaRef ds:uri="http://purl.org/dc/elements/1.1/"/>
    <ds:schemaRef ds:uri="http://schemas.microsoft.com/office/2006/metadata/properties"/>
    <ds:schemaRef ds:uri="3f1c21bf-eba3-4cb0-97f6-d89a3e5c735a"/>
    <ds:schemaRef ds:uri="http://purl.org/dc/terms/"/>
    <ds:schemaRef ds:uri="http://schemas.openxmlformats.org/package/2006/metadata/core-properties"/>
    <ds:schemaRef ds:uri="http://schemas.microsoft.com/office/2006/documentManagement/types"/>
    <ds:schemaRef ds:uri="231a6ec9-fb49-47ea-b2d4-b9051e50014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32B7F1D-E92D-4534-BEDE-887F902CD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a6ec9-fb49-47ea-b2d4-b9051e500145"/>
    <ds:schemaRef ds:uri="3f1c21bf-eba3-4cb0-97f6-d89a3e5c7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C7BC6-76DE-417B-A702-DAB0DAFF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Assistant Secretary for Housing-Federal Housing Commisioners</vt:lpstr>
    </vt:vector>
  </TitlesOfParts>
  <Company>HUD</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Secretary for Housing-Federal Housing Commisioners</dc:title>
  <dc:creator>HUD User</dc:creator>
  <cp:lastModifiedBy>Fernandez, Elizabeth C</cp:lastModifiedBy>
  <cp:revision>2</cp:revision>
  <cp:lastPrinted>2023-02-27T15:58:00Z</cp:lastPrinted>
  <dcterms:created xsi:type="dcterms:W3CDTF">2023-05-18T20:10:00Z</dcterms:created>
  <dcterms:modified xsi:type="dcterms:W3CDTF">2023-05-18T20:10:00Z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0x0101009152EB98C16FFD49854A6CCA1E4A74DE</vt:lpwstr>
  </property>
  <property fmtid="{D5CDD505-2E9C-101B-9397-08002B2CF9AE}" pid="3" name="MediaServiceImageTags">
    <vt:lpwstr/>
  </property>
  <property fmtid="{D5CDD505-2E9C-101B-9397-08002B2CF9AE}" pid="4" name="_dlc_DocIdItemGuid">
    <vt:lpwstr>d4e5dda1-7529-4ca6-ae49-1813158ee709</vt:lpwstr>
  </property>
</Properties>
</file>