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3DA" w:rsidRPr="00196D38" w:rsidP="00BA73DA" w14:paraId="3611880C" w14:textId="77777777">
      <w:pPr>
        <w:spacing w:line="276" w:lineRule="auto"/>
        <w:jc w:val="center"/>
        <w:rPr>
          <w:b/>
        </w:rPr>
      </w:pPr>
      <w:bookmarkStart w:id="0" w:name="_Hlk108527294"/>
      <w:r w:rsidRPr="0084344E">
        <w:rPr>
          <w:b/>
        </w:rPr>
        <w:t>Supporting Statement for Paperwork Reduction Act Submission</w:t>
      </w:r>
    </w:p>
    <w:p w:rsidR="005F5156" w:rsidP="00BA73DA" w14:paraId="07319733" w14:textId="77777777">
      <w:pPr>
        <w:tabs>
          <w:tab w:val="center" w:pos="4680"/>
        </w:tabs>
        <w:spacing w:line="276" w:lineRule="auto"/>
        <w:jc w:val="center"/>
        <w:rPr>
          <w:b/>
          <w:bCs/>
          <w:color w:val="000000" w:themeColor="text1"/>
        </w:rPr>
      </w:pPr>
      <w:r w:rsidRPr="005F5156">
        <w:rPr>
          <w:b/>
          <w:bCs/>
          <w:color w:val="000000" w:themeColor="text1"/>
        </w:rPr>
        <w:t>Evaluation of Public Housing Agencies (PHA) Coronavirus Aid, Relief, and Economic Security (CARES) Act Waivers: PHA Interviews Data Collection</w:t>
      </w:r>
    </w:p>
    <w:p w:rsidR="00BA73DA" w:rsidRPr="007A0E24" w:rsidP="00BA73DA" w14:paraId="76F7A610" w14:textId="502DC6D4">
      <w:pPr>
        <w:tabs>
          <w:tab w:val="center" w:pos="4680"/>
        </w:tabs>
        <w:spacing w:line="276" w:lineRule="auto"/>
        <w:jc w:val="center"/>
        <w:rPr>
          <w:b/>
          <w:bCs/>
          <w:color w:val="000000" w:themeColor="text1"/>
        </w:rPr>
      </w:pPr>
      <w:r w:rsidRPr="005E2B12">
        <w:rPr>
          <w:b/>
          <w:bCs/>
          <w:color w:val="000000" w:themeColor="text1"/>
        </w:rPr>
        <w:t xml:space="preserve">OMB Control # </w:t>
      </w:r>
      <w:r w:rsidRPr="005E2B12" w:rsidR="005E2B12">
        <w:rPr>
          <w:b/>
          <w:bCs/>
          <w:color w:val="000000" w:themeColor="text1"/>
        </w:rPr>
        <w:t>2528</w:t>
      </w:r>
      <w:r w:rsidRPr="005E2B12">
        <w:rPr>
          <w:b/>
          <w:bCs/>
          <w:color w:val="000000" w:themeColor="text1"/>
        </w:rPr>
        <w:t>-XXX</w:t>
      </w:r>
    </w:p>
    <w:p w:rsidR="00BA73DA" w:rsidP="00BF38CF" w14:paraId="2F1F1480" w14:textId="56623E2D"/>
    <w:p w:rsidR="00BF38CF" w:rsidRPr="00BA73DA" w:rsidP="00BF38CF" w14:paraId="5DFCF854" w14:textId="4E83BE0F">
      <w:pPr>
        <w:rPr>
          <w:b/>
          <w:bCs/>
        </w:rPr>
      </w:pPr>
      <w:r w:rsidRPr="00BA73DA">
        <w:rPr>
          <w:b/>
          <w:bCs/>
        </w:rPr>
        <w:t>A. Justification</w:t>
      </w:r>
    </w:p>
    <w:bookmarkEnd w:id="0"/>
    <w:p w:rsidR="00BF38CF" w:rsidRPr="00994F79" w:rsidP="00BF38CF" w14:paraId="4CCF9DA2" w14:textId="77777777">
      <w:pPr>
        <w:pStyle w:val="NoSpacing"/>
        <w:rPr>
          <w:b/>
          <w:bCs/>
        </w:rPr>
      </w:pPr>
    </w:p>
    <w:p w:rsidR="00BF38CF" w:rsidRPr="00A70C24" w:rsidP="00BF38CF" w14:paraId="53DF3800" w14:textId="77777777">
      <w:pPr>
        <w:widowControl w:val="0"/>
        <w:numPr>
          <w:ilvl w:val="0"/>
          <w:numId w:val="4"/>
        </w:numPr>
        <w:kinsoku w:val="0"/>
        <w:rPr>
          <w:b/>
          <w:bCs/>
        </w:rPr>
      </w:pPr>
      <w:r w:rsidRPr="00A70C24">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38CF" w:rsidRPr="00794364" w:rsidP="00BF38CF" w14:paraId="35744446" w14:textId="38AF2B4F">
      <w:pPr>
        <w:widowControl w:val="0"/>
        <w:kinsoku w:val="0"/>
        <w:ind w:left="360"/>
      </w:pPr>
    </w:p>
    <w:p w:rsidR="00102D4A" w:rsidP="00102D4A" w14:paraId="6FF524A4" w14:textId="072B3985">
      <w:pPr>
        <w:widowControl w:val="0"/>
        <w:kinsoku w:val="0"/>
        <w:ind w:left="360"/>
      </w:pPr>
      <w:r w:rsidRPr="00794364">
        <w:t xml:space="preserve">The U.S. Department of Housing and Urban Development (HUD)’s Office of Policy Development and Research (PD&amp;R) is undertaking an evaluation of </w:t>
      </w:r>
      <w:r>
        <w:t xml:space="preserve">waivers authorized under the </w:t>
      </w:r>
      <w:r w:rsidR="00094E64">
        <w:t xml:space="preserve">2020 </w:t>
      </w:r>
      <w:r w:rsidRPr="00794364">
        <w:t>Coronavirus Aid, Relief, and Economic Security (CARES) Act</w:t>
      </w:r>
      <w:r>
        <w:t>.</w:t>
      </w:r>
      <w:r w:rsidRPr="00102D4A">
        <w:t xml:space="preserve"> </w:t>
      </w:r>
      <w:r w:rsidRPr="00DE7092">
        <w:t>The purpose of this study is to understand how P</w:t>
      </w:r>
      <w:r>
        <w:t xml:space="preserve">ublic </w:t>
      </w:r>
      <w:r w:rsidRPr="00DE7092">
        <w:t>H</w:t>
      </w:r>
      <w:r>
        <w:t xml:space="preserve">ousing </w:t>
      </w:r>
      <w:r w:rsidRPr="00DE7092">
        <w:t>A</w:t>
      </w:r>
      <w:r>
        <w:t>uthoritie</w:t>
      </w:r>
      <w:r w:rsidRPr="00DE7092">
        <w:t xml:space="preserve">s </w:t>
      </w:r>
      <w:r>
        <w:t xml:space="preserve">(PHAs) </w:t>
      </w:r>
      <w:r w:rsidRPr="00DE7092">
        <w:t xml:space="preserve">implemented the waivers </w:t>
      </w:r>
      <w:r>
        <w:t>the</w:t>
      </w:r>
      <w:r w:rsidRPr="00DE7092">
        <w:t xml:space="preserve"> utility of th</w:t>
      </w:r>
      <w:r>
        <w:t>ese</w:t>
      </w:r>
      <w:r w:rsidRPr="00DE7092">
        <w:t xml:space="preserve"> waivers on </w:t>
      </w:r>
      <w:r>
        <w:t>PHA</w:t>
      </w:r>
      <w:r w:rsidRPr="00DE7092">
        <w:t xml:space="preserve"> operations and assisted households. The insights from PHAs will inform future policy and program implications related to the PHA waivers</w:t>
      </w:r>
      <w:r w:rsidR="00565EBB">
        <w:t xml:space="preserve"> and related flexibilities</w:t>
      </w:r>
      <w:r>
        <w:t xml:space="preserve">. HUD contracted with 2M Research for this evaluation. </w:t>
      </w:r>
      <w:r w:rsidRPr="00105622">
        <w:t>This research is conducted under the authority of the HUD Secretary to undertake programs of research, studies, testing</w:t>
      </w:r>
      <w:r>
        <w:t>,</w:t>
      </w:r>
      <w:r w:rsidRPr="00105622">
        <w:t xml:space="preserve"> and demonstration related to the mission and programs of HUD (12 USC 1701z-1 et seq.).</w:t>
      </w:r>
    </w:p>
    <w:p w:rsidR="00102D4A" w:rsidP="00102D4A" w14:paraId="0F4CD896" w14:textId="47F8D4B3"/>
    <w:p w:rsidR="00102D4A" w:rsidP="00565EBB" w14:paraId="465E17F4" w14:textId="39AAB318">
      <w:pPr>
        <w:ind w:firstLine="720"/>
        <w:rPr>
          <w:b/>
          <w:bCs/>
        </w:rPr>
      </w:pPr>
      <w:r w:rsidRPr="00102D4A">
        <w:rPr>
          <w:b/>
          <w:bCs/>
        </w:rPr>
        <w:t>Background: CARES Act Waivers</w:t>
      </w:r>
    </w:p>
    <w:p w:rsidR="00102D4A" w:rsidRPr="00102D4A" w:rsidP="00102D4A" w14:paraId="64A56720" w14:textId="77777777">
      <w:pPr>
        <w:rPr>
          <w:b/>
          <w:bCs/>
        </w:rPr>
      </w:pPr>
    </w:p>
    <w:p w:rsidR="00102D4A" w:rsidP="00102D4A" w14:paraId="78673D51" w14:textId="0827D90A">
      <w:pPr>
        <w:ind w:left="360"/>
      </w:pPr>
      <w:r>
        <w:t xml:space="preserve">Signed into law on March 27, 2020, the CARES Act gave HUD broad authority to temporarily waive statutes and regulations for PHA programs. This law intended to help </w:t>
      </w:r>
      <w:r>
        <w:t>PHAs</w:t>
      </w:r>
      <w:r>
        <w:t xml:space="preserve"> and residents mitigate challenges related to the COVID-19 Pandemic by allowing for administrative flexibilities to encourage the continuity of critical PHA operations and the support of PHA residents and tenants. Examples of pandemic related challenges experienced by </w:t>
      </w:r>
      <w:r>
        <w:t>PHAs</w:t>
      </w:r>
      <w:r>
        <w:t xml:space="preserve"> and assisted households included difficulties with maintaining in-person inspections while communities were asked to limit in-person encounters to reduce the spread of COVID-19, or challenges enforcing income-based PHA requirements due to changes in income or employment due to the pandemic. </w:t>
      </w:r>
    </w:p>
    <w:p w:rsidR="00102D4A" w:rsidP="00102D4A" w14:paraId="7BBE167E" w14:textId="143E095E">
      <w:pPr>
        <w:ind w:left="360"/>
      </w:pPr>
    </w:p>
    <w:p w:rsidR="00102D4A" w:rsidP="00102D4A" w14:paraId="1CE6F913" w14:textId="77777777">
      <w:pPr>
        <w:ind w:left="360"/>
      </w:pPr>
      <w:r>
        <w:t>In response to HUD’s new authority granted from the recent enactment of the CARES Act, HUD’s Office of Public and Indian Housing (PIH) issued its first of four CARES Act Waivers notices on April 10, 2020, directing PHAs “to utilize any and all waivers and alternative requirements as necessary to keep Public Housing and HCV programs operational to the extent practicable…and to expand housing assistance opportunities, including to families on waiting lists…”</w:t>
      </w:r>
      <w:r>
        <w:rPr>
          <w:rStyle w:val="FootnoteReference"/>
        </w:rPr>
        <w:footnoteReference w:id="3"/>
      </w:r>
      <w:r>
        <w:t xml:space="preserve"> The notices offered PHAs an extensive list of over 80 waivers that included regulatory and statutory flexibilities for housing inspections, income requirements, wait lists, and other administrative requirements. The notice also allowed </w:t>
      </w:r>
      <w:r>
        <w:t>PHAs to immediately implement any of the select waivers at their own discretion, without the standard HUD review and approval process that is typically required when PHAs request regulatory waivers.</w:t>
      </w:r>
      <w:r>
        <w:rPr>
          <w:rStyle w:val="FootnoteReference"/>
        </w:rPr>
        <w:footnoteReference w:id="4"/>
      </w:r>
      <w:r>
        <w:t xml:space="preserve"> PHAs were not required to implement waivers, and most waivers offered as part of the CARES Act expired by December 31, 2021. </w:t>
      </w:r>
    </w:p>
    <w:p w:rsidR="00102D4A" w:rsidRPr="00205D5A" w:rsidP="00565EBB" w14:paraId="13594F67" w14:textId="204A6196">
      <w:pPr>
        <w:widowControl w:val="0"/>
        <w:kinsoku w:val="0"/>
      </w:pPr>
    </w:p>
    <w:p w:rsidR="00E65EC3" w:rsidP="007418EB" w14:paraId="7ED7BC45" w14:textId="2B8843F5">
      <w:pPr>
        <w:pStyle w:val="BodyText"/>
        <w:spacing w:after="0" w:line="276" w:lineRule="auto"/>
        <w:ind w:left="360" w:firstLine="360"/>
        <w:rPr>
          <w:b/>
          <w:sz w:val="24"/>
          <w:szCs w:val="24"/>
        </w:rPr>
      </w:pPr>
      <w:r w:rsidRPr="003E6E0F">
        <w:rPr>
          <w:b/>
          <w:sz w:val="24"/>
          <w:szCs w:val="24"/>
        </w:rPr>
        <w:t>Overview</w:t>
      </w:r>
      <w:r>
        <w:rPr>
          <w:b/>
          <w:sz w:val="24"/>
          <w:szCs w:val="24"/>
        </w:rPr>
        <w:t xml:space="preserve"> of Study and Data Collection Request</w:t>
      </w:r>
    </w:p>
    <w:p w:rsidR="0076453B" w:rsidRPr="003E6E0F" w:rsidP="007418EB" w14:paraId="25A3E034" w14:textId="77777777">
      <w:pPr>
        <w:pStyle w:val="BodyText"/>
        <w:spacing w:after="0" w:line="276" w:lineRule="auto"/>
        <w:ind w:left="360" w:firstLine="360"/>
        <w:rPr>
          <w:b/>
          <w:sz w:val="24"/>
          <w:szCs w:val="24"/>
        </w:rPr>
      </w:pPr>
    </w:p>
    <w:p w:rsidR="008E5DA0" w:rsidP="00AA0D1F" w14:paraId="1243D01B" w14:textId="4254DEAC">
      <w:pPr>
        <w:widowControl w:val="0"/>
        <w:kinsoku w:val="0"/>
        <w:ind w:left="360"/>
      </w:pPr>
      <w:r w:rsidRPr="00E65EC3">
        <w:t xml:space="preserve">The Evaluation of </w:t>
      </w:r>
      <w:r w:rsidR="00A25CFA">
        <w:t>PHA CARES</w:t>
      </w:r>
      <w:r w:rsidRPr="00E65EC3">
        <w:t xml:space="preserve"> Act Waivers is a mixed-methods</w:t>
      </w:r>
      <w:r w:rsidR="005B3DA0">
        <w:t xml:space="preserve"> and</w:t>
      </w:r>
      <w:r w:rsidRPr="00E65EC3">
        <w:t xml:space="preserve"> multi</w:t>
      </w:r>
      <w:r w:rsidR="004863A6">
        <w:t>-</w:t>
      </w:r>
      <w:r w:rsidRPr="00E65EC3">
        <w:t xml:space="preserve">phase study to understand how PHAs implemented CARES </w:t>
      </w:r>
      <w:r w:rsidR="00CC4BF0">
        <w:t xml:space="preserve">Act </w:t>
      </w:r>
      <w:r w:rsidRPr="00E65EC3">
        <w:t>waivers during the pandemic</w:t>
      </w:r>
      <w:r w:rsidR="005B3DA0">
        <w:t xml:space="preserve"> as well as</w:t>
      </w:r>
      <w:r w:rsidRPr="00E65EC3">
        <w:t xml:space="preserve"> to gather and analyze feedback from PHAs on the utility of the</w:t>
      </w:r>
      <w:r w:rsidR="005B3DA0">
        <w:t>se</w:t>
      </w:r>
      <w:r w:rsidRPr="00E65EC3">
        <w:t xml:space="preserve"> waivers on their general operations and assisted households. The insights from PHAs will inform future policy and program implications related to the PHA waivers</w:t>
      </w:r>
      <w:r w:rsidR="000C1EEE">
        <w:t>.</w:t>
      </w:r>
      <w:r w:rsidRPr="00E65EC3">
        <w:t xml:space="preserve"> </w:t>
      </w:r>
      <w:r w:rsidRPr="008E5DA0">
        <w:t>2M will conduct semi-structured interviews with PHA staff and stakeholders from a purposive sample of 50 PHAs. This includes three interviews of three stakeholders from 45 PHAs that adopted waivers offered by the CARES Act (a total of 135 interviews with 135 respondents), and one group interview with two stakeholders from five PHAs that did not adopt any waivers offered by the CARES Act (a total of 5 interviews with 10 respondents). 2M plans to conduct a total of 140 interviews across 145 respondents. This data collection effort is expected to last five months.</w:t>
      </w:r>
    </w:p>
    <w:p w:rsidR="005C3533" w:rsidP="007418EB" w14:paraId="72346323" w14:textId="77777777">
      <w:pPr>
        <w:widowControl w:val="0"/>
        <w:kinsoku w:val="0"/>
        <w:ind w:left="360"/>
      </w:pPr>
    </w:p>
    <w:p w:rsidR="005C3533" w:rsidP="00F66D23" w14:paraId="208207E1" w14:textId="65F51C1A">
      <w:pPr>
        <w:widowControl w:val="0"/>
        <w:kinsoku w:val="0"/>
        <w:ind w:left="360"/>
      </w:pPr>
      <w:r>
        <w:t xml:space="preserve">This study has four research objectives related to the implementation, outcomes, trends, and policy implications of the CARES Act waivers offered to PHAs. For the </w:t>
      </w:r>
      <w:r w:rsidRPr="00E51FDA">
        <w:rPr>
          <w:i/>
        </w:rPr>
        <w:t>implementation component</w:t>
      </w:r>
      <w:r>
        <w:t>, the study will examine how the waivers were authorized and the process for utilizing the waivers across PHAs and assisted households.</w:t>
      </w:r>
      <w:r w:rsidR="00DA4D55">
        <w:t xml:space="preserve"> </w:t>
      </w:r>
      <w:r>
        <w:t xml:space="preserve">For </w:t>
      </w:r>
      <w:r w:rsidRPr="00E51FDA">
        <w:rPr>
          <w:i/>
        </w:rPr>
        <w:t>outcomes</w:t>
      </w:r>
      <w:r>
        <w:t xml:space="preserve">, the study will </w:t>
      </w:r>
      <w:r w:rsidR="00DB0730">
        <w:t xml:space="preserve">bring a better </w:t>
      </w:r>
      <w:r>
        <w:t>understand</w:t>
      </w:r>
      <w:r w:rsidR="00DB0730">
        <w:t>ing of</w:t>
      </w:r>
      <w:r>
        <w:t xml:space="preserve"> the successes, challenges, and changes resulting from the</w:t>
      </w:r>
      <w:r w:rsidR="00867FB4">
        <w:t>se</w:t>
      </w:r>
      <w:r>
        <w:t xml:space="preserve"> waivers. For </w:t>
      </w:r>
      <w:r w:rsidRPr="00E51FDA">
        <w:rPr>
          <w:i/>
        </w:rPr>
        <w:t>trends and characteristics</w:t>
      </w:r>
      <w:r>
        <w:t xml:space="preserve">, the study will identify the types of waivers that were utilized (or not utilized) by PHAs and describe </w:t>
      </w:r>
      <w:r w:rsidR="007F7868">
        <w:t xml:space="preserve">the general activities and functions of </w:t>
      </w:r>
      <w:r>
        <w:t xml:space="preserve">these PHAs. For the </w:t>
      </w:r>
      <w:r w:rsidRPr="00E51FDA">
        <w:rPr>
          <w:i/>
        </w:rPr>
        <w:t>future policy and program implications</w:t>
      </w:r>
      <w:r>
        <w:t xml:space="preserve">, the study will explore how the discontinuance of waivers offered by the CARES Act may impact PHAs and assisted households, </w:t>
      </w:r>
      <w:r w:rsidR="002B60F5">
        <w:t xml:space="preserve">as well as </w:t>
      </w:r>
      <w:r>
        <w:t>options for HUD to continue or provide similar flexibilities that were offered by the CARES Act.</w:t>
      </w:r>
    </w:p>
    <w:p w:rsidR="00E65EC3" w:rsidP="007966A9" w14:paraId="53CC7EFC" w14:textId="0CE5DB10">
      <w:pPr>
        <w:widowControl w:val="0"/>
        <w:kinsoku w:val="0"/>
      </w:pPr>
    </w:p>
    <w:p w:rsidR="002B6304" w:rsidP="002B7DA4" w14:paraId="5D0BA7ED" w14:textId="0CA928AC">
      <w:pPr>
        <w:widowControl w:val="0"/>
        <w:kinsoku w:val="0"/>
        <w:ind w:left="360"/>
      </w:pPr>
      <w:r>
        <w:t xml:space="preserve">The study will begin with a review of </w:t>
      </w:r>
      <w:r w:rsidR="009F67AE">
        <w:t xml:space="preserve">existing </w:t>
      </w:r>
      <w:r>
        <w:t xml:space="preserve">HUD documents, reports, and related articles to inform PHA data collection instruments as well as provide </w:t>
      </w:r>
      <w:r w:rsidR="003969A5">
        <w:t>2M</w:t>
      </w:r>
      <w:r>
        <w:t xml:space="preserve"> with more background information on the authorization and implementation of waivers.</w:t>
      </w:r>
      <w:r w:rsidR="00A7746B">
        <w:t xml:space="preserve"> In addition, the study will also review the </w:t>
      </w:r>
      <w:r w:rsidR="00575B98">
        <w:t xml:space="preserve">online CARES Act Waiver Report Tool (CAWRT) which </w:t>
      </w:r>
      <w:r w:rsidR="00CE4508">
        <w:t>PHAs were requested to complete in December 2021. Th</w:t>
      </w:r>
      <w:r>
        <w:t>e CAWRT data will provide</w:t>
      </w:r>
      <w:r w:rsidR="000B4136">
        <w:t xml:space="preserve"> the study team with information on the </w:t>
      </w:r>
      <w:r w:rsidR="003A4EC1">
        <w:t xml:space="preserve">trends and characteristics about how PHAs chose to implement (or not to implement) the waivers. </w:t>
      </w:r>
      <w:r w:rsidR="008A7499">
        <w:t xml:space="preserve">In addition to the findings from the Document Review, 2M will utilize the CAWRT survey data to determine the types of waivers adopted by the PHAs as well as quantify the utilization of each type of waiver along related categories such as PHA size, region, program type, and </w:t>
      </w:r>
      <w:r w:rsidR="00C34A7E">
        <w:t>Moving to Work (</w:t>
      </w:r>
      <w:r w:rsidR="008A7499">
        <w:t>MTW</w:t>
      </w:r>
      <w:r w:rsidR="00C34A7E">
        <w:t>)</w:t>
      </w:r>
      <w:r w:rsidR="008A7499">
        <w:t xml:space="preserve"> status. The CAWRT </w:t>
      </w:r>
      <w:r w:rsidR="00C348CD">
        <w:t>data will also help 2M to select a purposive sample of</w:t>
      </w:r>
      <w:r w:rsidR="00C34A7E">
        <w:t xml:space="preserve"> 50 PHAs. </w:t>
      </w:r>
      <w:r>
        <w:t xml:space="preserve"> </w:t>
      </w:r>
    </w:p>
    <w:p w:rsidR="002B6304" w:rsidP="002B7DA4" w14:paraId="51519F77" w14:textId="77777777">
      <w:pPr>
        <w:widowControl w:val="0"/>
        <w:kinsoku w:val="0"/>
        <w:ind w:left="360"/>
      </w:pPr>
    </w:p>
    <w:p w:rsidR="000028E4" w:rsidP="002B7DA4" w14:paraId="5A163725" w14:textId="77777777">
      <w:pPr>
        <w:widowControl w:val="0"/>
        <w:kinsoku w:val="0"/>
        <w:ind w:left="360"/>
        <w:rPr>
          <w:rStyle w:val="normaltextrun"/>
        </w:rPr>
      </w:pPr>
      <w:r>
        <w:t>In the next phase of the study, we</w:t>
      </w:r>
      <w:r w:rsidRPr="00C20C97">
        <w:rPr>
          <w:rStyle w:val="normaltextrun"/>
        </w:rPr>
        <w:t xml:space="preserve"> will </w:t>
      </w:r>
      <w:r>
        <w:rPr>
          <w:rStyle w:val="normaltextrun"/>
        </w:rPr>
        <w:t xml:space="preserve">conduct semi-structured interviews with </w:t>
      </w:r>
      <w:r w:rsidR="0076453B">
        <w:rPr>
          <w:rStyle w:val="normaltextrun"/>
        </w:rPr>
        <w:t>PHA leadership</w:t>
      </w:r>
      <w:r w:rsidR="00D6143F">
        <w:rPr>
          <w:rStyle w:val="normaltextrun"/>
        </w:rPr>
        <w:t>, PHA staff</w:t>
      </w:r>
      <w:r w:rsidR="00071A54">
        <w:rPr>
          <w:rStyle w:val="normaltextrun"/>
        </w:rPr>
        <w:t xml:space="preserve">, and </w:t>
      </w:r>
      <w:r w:rsidR="006F0757">
        <w:rPr>
          <w:rStyle w:val="normaltextrun"/>
        </w:rPr>
        <w:t xml:space="preserve">members of </w:t>
      </w:r>
      <w:r w:rsidR="00071A54">
        <w:rPr>
          <w:rStyle w:val="normaltextrun"/>
        </w:rPr>
        <w:t xml:space="preserve">Resident Advisory Board </w:t>
      </w:r>
      <w:r>
        <w:rPr>
          <w:rStyle w:val="normaltextrun"/>
        </w:rPr>
        <w:t>from a sample of PHA sites that adopted waivers to understand the successes, challenges, and changes resulting from the</w:t>
      </w:r>
      <w:r w:rsidR="00786D7F">
        <w:rPr>
          <w:rStyle w:val="normaltextrun"/>
        </w:rPr>
        <w:t>se</w:t>
      </w:r>
      <w:r>
        <w:rPr>
          <w:rStyle w:val="normaltextrun"/>
        </w:rPr>
        <w:t xml:space="preserve"> waivers. We will also conduct semi-structured interviews with </w:t>
      </w:r>
      <w:r w:rsidR="00071A54">
        <w:rPr>
          <w:rStyle w:val="normaltextrun"/>
        </w:rPr>
        <w:t xml:space="preserve">PHA </w:t>
      </w:r>
      <w:r w:rsidR="00434B11">
        <w:rPr>
          <w:rStyle w:val="normaltextrun"/>
        </w:rPr>
        <w:t xml:space="preserve">leadership and staff </w:t>
      </w:r>
      <w:r w:rsidR="00FD1BDC">
        <w:rPr>
          <w:rStyle w:val="normaltextrun"/>
        </w:rPr>
        <w:t xml:space="preserve">and members of Resident Advisory Board </w:t>
      </w:r>
      <w:r>
        <w:rPr>
          <w:rStyle w:val="normaltextrun"/>
        </w:rPr>
        <w:t xml:space="preserve">from a sample of PHAs that </w:t>
      </w:r>
      <w:r w:rsidR="00E5616B">
        <w:rPr>
          <w:rStyle w:val="normaltextrun"/>
        </w:rPr>
        <w:t>did not</w:t>
      </w:r>
      <w:r w:rsidR="00974503">
        <w:rPr>
          <w:rStyle w:val="normaltextrun"/>
        </w:rPr>
        <w:t xml:space="preserve"> </w:t>
      </w:r>
      <w:r>
        <w:rPr>
          <w:rStyle w:val="normaltextrun"/>
        </w:rPr>
        <w:t>adopt any waiver</w:t>
      </w:r>
      <w:r w:rsidR="0076453B">
        <w:rPr>
          <w:rStyle w:val="normaltextrun"/>
        </w:rPr>
        <w:t>s</w:t>
      </w:r>
      <w:r>
        <w:rPr>
          <w:rStyle w:val="normaltextrun"/>
        </w:rPr>
        <w:t xml:space="preserve"> to understand their reasons for </w:t>
      </w:r>
      <w:r w:rsidR="009C6488">
        <w:rPr>
          <w:rStyle w:val="normaltextrun"/>
        </w:rPr>
        <w:t>taking this course of action</w:t>
      </w:r>
      <w:r>
        <w:rPr>
          <w:rStyle w:val="normaltextrun"/>
        </w:rPr>
        <w:t xml:space="preserve">. </w:t>
      </w:r>
    </w:p>
    <w:p w:rsidR="00AD245C" w:rsidP="002B7DA4" w14:paraId="6B582188" w14:textId="76B00755">
      <w:pPr>
        <w:widowControl w:val="0"/>
        <w:kinsoku w:val="0"/>
        <w:ind w:left="360"/>
      </w:pPr>
      <w:r>
        <w:t>2M will</w:t>
      </w:r>
      <w:r w:rsidRPr="00E34077">
        <w:t xml:space="preserve"> </w:t>
      </w:r>
      <w:r w:rsidR="0076453B">
        <w:t xml:space="preserve">also explore other relevant sources of </w:t>
      </w:r>
      <w:r w:rsidRPr="00E34077">
        <w:t xml:space="preserve">HUD’s administrative data to provide additional insights into </w:t>
      </w:r>
      <w:r w:rsidR="0076453B">
        <w:rPr>
          <w:rStyle w:val="normaltextrun"/>
        </w:rPr>
        <w:t xml:space="preserve">how the waivers offered by the CARES Act impacted PHA operations.  </w:t>
      </w:r>
    </w:p>
    <w:p w:rsidR="004B573E" w:rsidP="00B022F7" w14:paraId="48B8E4A9" w14:textId="7941206F">
      <w:pPr>
        <w:widowControl w:val="0"/>
        <w:kinsoku w:val="0"/>
        <w:ind w:left="360"/>
      </w:pPr>
      <w:r>
        <w:br/>
      </w:r>
      <w:r>
        <w:t>This submission requests OMB approval for the following data collection activities:</w:t>
      </w:r>
      <w:r w:rsidR="00766DF2">
        <w:br/>
      </w:r>
    </w:p>
    <w:p w:rsidR="004B573E" w:rsidRPr="00E5616B" w:rsidP="007418EB" w14:paraId="3877816B" w14:textId="54BF6179">
      <w:pPr>
        <w:pStyle w:val="ListParagraph"/>
        <w:widowControl w:val="0"/>
        <w:numPr>
          <w:ilvl w:val="0"/>
          <w:numId w:val="6"/>
        </w:numPr>
        <w:kinsoku w:val="0"/>
        <w:ind w:left="1080"/>
        <w:rPr>
          <w:b/>
        </w:rPr>
      </w:pPr>
      <w:r w:rsidRPr="00E5616B">
        <w:rPr>
          <w:b/>
        </w:rPr>
        <w:t>Semi-structured interviews</w:t>
      </w:r>
    </w:p>
    <w:p w:rsidR="004B573E" w:rsidP="007418EB" w14:paraId="0C3C3E0B" w14:textId="4554ADE7">
      <w:pPr>
        <w:pStyle w:val="ListParagraph"/>
        <w:widowControl w:val="0"/>
        <w:numPr>
          <w:ilvl w:val="1"/>
          <w:numId w:val="6"/>
        </w:numPr>
        <w:kinsoku w:val="0"/>
        <w:ind w:left="1800"/>
      </w:pPr>
      <w:r>
        <w:t xml:space="preserve">Interviews with </w:t>
      </w:r>
      <w:r w:rsidR="009755A1">
        <w:t xml:space="preserve">leadership at </w:t>
      </w:r>
      <w:r w:rsidRPr="004B573E">
        <w:t xml:space="preserve">PHAs </w:t>
      </w:r>
      <w:r>
        <w:t>that adopted</w:t>
      </w:r>
      <w:r w:rsidRPr="004B573E">
        <w:t xml:space="preserve"> waiver</w:t>
      </w:r>
      <w:r>
        <w:t xml:space="preserve">s </w:t>
      </w:r>
      <w:r w:rsidR="00000D54">
        <w:t>(see protocol in Appendix A)</w:t>
      </w:r>
    </w:p>
    <w:p w:rsidR="009755A1" w:rsidP="007418EB" w14:paraId="3CCDAA20" w14:textId="45CBDC5B">
      <w:pPr>
        <w:pStyle w:val="ListParagraph"/>
        <w:widowControl w:val="0"/>
        <w:numPr>
          <w:ilvl w:val="1"/>
          <w:numId w:val="6"/>
        </w:numPr>
        <w:kinsoku w:val="0"/>
        <w:ind w:left="1800"/>
      </w:pPr>
      <w:r>
        <w:t>Interviews with operations staff at PHAs that adopted waivers</w:t>
      </w:r>
      <w:r w:rsidR="00000D54">
        <w:t xml:space="preserve"> (see protocol in Appendix B)</w:t>
      </w:r>
    </w:p>
    <w:p w:rsidR="009755A1" w:rsidRPr="00794364" w:rsidP="007418EB" w14:paraId="02ED2CD1" w14:textId="226A7E44">
      <w:pPr>
        <w:pStyle w:val="ListParagraph"/>
        <w:widowControl w:val="0"/>
        <w:numPr>
          <w:ilvl w:val="1"/>
          <w:numId w:val="6"/>
        </w:numPr>
        <w:kinsoku w:val="0"/>
        <w:ind w:left="1800"/>
      </w:pPr>
      <w:r>
        <w:t>Interviews with members of the resident advisory board at PHAs that adopted waivers</w:t>
      </w:r>
      <w:r w:rsidR="00000D54">
        <w:t xml:space="preserve"> (see protocol in A</w:t>
      </w:r>
      <w:r w:rsidR="00E91CE8">
        <w:t>ppendix C)</w:t>
      </w:r>
    </w:p>
    <w:p w:rsidR="004B573E" w:rsidP="007418EB" w14:paraId="5F070F60" w14:textId="32A84958">
      <w:pPr>
        <w:pStyle w:val="ListParagraph"/>
        <w:widowControl w:val="0"/>
        <w:numPr>
          <w:ilvl w:val="1"/>
          <w:numId w:val="6"/>
        </w:numPr>
        <w:kinsoku w:val="0"/>
        <w:ind w:left="1800"/>
      </w:pPr>
      <w:r>
        <w:t xml:space="preserve">Interviews with </w:t>
      </w:r>
      <w:r w:rsidR="00971C8D">
        <w:t xml:space="preserve">leadership and operations staff at </w:t>
      </w:r>
      <w:r w:rsidRPr="004B573E">
        <w:t xml:space="preserve">PHAs that </w:t>
      </w:r>
      <w:r w:rsidR="00971C8D">
        <w:t>declined</w:t>
      </w:r>
      <w:r w:rsidR="00E5616B">
        <w:t xml:space="preserve"> </w:t>
      </w:r>
      <w:r w:rsidR="00971C8D">
        <w:t xml:space="preserve">to </w:t>
      </w:r>
      <w:r w:rsidRPr="004B573E">
        <w:t>adopt waiver</w:t>
      </w:r>
      <w:r>
        <w:t>s</w:t>
      </w:r>
      <w:r>
        <w:t xml:space="preserve"> </w:t>
      </w:r>
      <w:r w:rsidR="00CB0953">
        <w:t>(see protocol in Appendix D)</w:t>
      </w:r>
    </w:p>
    <w:p w:rsidR="00794364" w:rsidRPr="00A70C24" w:rsidP="00AB64FA" w14:paraId="5A282669" w14:textId="77777777">
      <w:pPr>
        <w:widowControl w:val="0"/>
        <w:kinsoku w:val="0"/>
        <w:rPr>
          <w:b/>
          <w:bCs/>
        </w:rPr>
      </w:pPr>
    </w:p>
    <w:p w:rsidR="00BF38CF" w:rsidRPr="003C1DD9" w:rsidP="00E83193" w14:paraId="486BF6F7" w14:textId="530EDF0D">
      <w:pPr>
        <w:pStyle w:val="ListParagraph"/>
        <w:numPr>
          <w:ilvl w:val="0"/>
          <w:numId w:val="4"/>
        </w:numPr>
        <w:spacing w:after="160" w:line="259" w:lineRule="auto"/>
        <w:rPr>
          <w:b/>
          <w:bCs/>
        </w:rPr>
      </w:pPr>
      <w:r w:rsidRPr="003C1DD9">
        <w:rPr>
          <w:b/>
          <w:bCs/>
        </w:rPr>
        <w:t xml:space="preserve">Indicate how, by whom, and for what purpose the information is to be used. Except for a new collection, </w:t>
      </w:r>
      <w:r w:rsidRPr="003C1DD9" w:rsidR="004C4CE9">
        <w:rPr>
          <w:b/>
          <w:bCs/>
        </w:rPr>
        <w:t xml:space="preserve">please </w:t>
      </w:r>
      <w:r w:rsidRPr="003C1DD9">
        <w:rPr>
          <w:b/>
          <w:bCs/>
        </w:rPr>
        <w:t>indicate the actual use the agency has made of the information received from the current collection.</w:t>
      </w:r>
    </w:p>
    <w:p w:rsidR="00E34077" w:rsidP="007418EB" w14:paraId="0055EE7A" w14:textId="77777777">
      <w:pPr>
        <w:widowControl w:val="0"/>
        <w:kinsoku w:val="0"/>
        <w:ind w:left="360"/>
        <w:rPr>
          <w:b/>
          <w:bCs/>
        </w:rPr>
      </w:pPr>
    </w:p>
    <w:p w:rsidR="00E65EC3" w:rsidP="007418EB" w14:paraId="6EC19ECB" w14:textId="30DAB80E">
      <w:pPr>
        <w:widowControl w:val="0"/>
        <w:kinsoku w:val="0"/>
        <w:ind w:left="360"/>
      </w:pPr>
      <w:r w:rsidRPr="00E65EC3">
        <w:t xml:space="preserve">This is a new </w:t>
      </w:r>
      <w:r w:rsidR="006722B7">
        <w:t xml:space="preserve">data </w:t>
      </w:r>
      <w:r w:rsidRPr="00E65EC3">
        <w:t>collection. HUD will use the information collected to learn about</w:t>
      </w:r>
      <w:r w:rsidR="00E34077">
        <w:t xml:space="preserve"> </w:t>
      </w:r>
      <w:r w:rsidRPr="00E34077" w:rsidR="00E34077">
        <w:t xml:space="preserve">the implementation, outcomes, trends, and policy implications of the </w:t>
      </w:r>
      <w:r w:rsidR="00553CA7">
        <w:t xml:space="preserve">2020 </w:t>
      </w:r>
      <w:r w:rsidRPr="00E34077" w:rsidR="00E34077">
        <w:t>CARES Act waivers offered to PHAs</w:t>
      </w:r>
      <w:r w:rsidR="00E34077">
        <w:t>. 2M Research</w:t>
      </w:r>
      <w:r w:rsidRPr="00E65EC3">
        <w:t xml:space="preserve">, the evaluation contractor, will carry out the data collection </w:t>
      </w:r>
      <w:r w:rsidR="00312518">
        <w:t xml:space="preserve">efforts </w:t>
      </w:r>
      <w:r w:rsidRPr="00E65EC3">
        <w:t>and analysis on HUD’s behalf.</w:t>
      </w:r>
    </w:p>
    <w:p w:rsidR="00E34077" w:rsidRPr="00E65EC3" w:rsidP="007418EB" w14:paraId="28844750" w14:textId="77777777">
      <w:pPr>
        <w:widowControl w:val="0"/>
        <w:kinsoku w:val="0"/>
        <w:ind w:left="360"/>
      </w:pPr>
    </w:p>
    <w:p w:rsidR="00E34077" w:rsidP="007418EB" w14:paraId="745B7807" w14:textId="2D64D146">
      <w:pPr>
        <w:spacing w:line="276" w:lineRule="auto"/>
        <w:ind w:firstLine="360"/>
        <w:rPr>
          <w:b/>
        </w:rPr>
      </w:pPr>
      <w:r w:rsidRPr="001D694F">
        <w:rPr>
          <w:b/>
        </w:rPr>
        <w:t>Description of Data Collection Activities</w:t>
      </w:r>
    </w:p>
    <w:p w:rsidR="007418EB" w:rsidP="007418EB" w14:paraId="0FBD258D" w14:textId="77777777">
      <w:pPr>
        <w:spacing w:line="276" w:lineRule="auto"/>
        <w:ind w:firstLine="360"/>
        <w:rPr>
          <w:b/>
        </w:rPr>
      </w:pPr>
    </w:p>
    <w:p w:rsidR="00E83193" w:rsidP="00E83193" w14:paraId="2D036D7B" w14:textId="77777777">
      <w:pPr>
        <w:ind w:left="360"/>
        <w:rPr>
          <w:color w:val="000000"/>
        </w:rPr>
      </w:pPr>
      <w:r w:rsidRPr="006B77A2">
        <w:rPr>
          <w:color w:val="000000"/>
        </w:rPr>
        <w:t xml:space="preserve">2M plans to conduct interviews with </w:t>
      </w:r>
      <w:r w:rsidR="0029510C">
        <w:rPr>
          <w:color w:val="000000"/>
        </w:rPr>
        <w:t>stakeholders from 50 PHAs, this includes</w:t>
      </w:r>
      <w:r w:rsidR="007B76EA">
        <w:rPr>
          <w:color w:val="000000"/>
        </w:rPr>
        <w:t xml:space="preserve"> </w:t>
      </w:r>
      <w:r w:rsidR="0029510C">
        <w:rPr>
          <w:color w:val="000000"/>
        </w:rPr>
        <w:t>45</w:t>
      </w:r>
      <w:r>
        <w:rPr>
          <w:color w:val="000000"/>
        </w:rPr>
        <w:t xml:space="preserve"> PHAs that adopted waivers and </w:t>
      </w:r>
      <w:r w:rsidR="0029510C">
        <w:rPr>
          <w:color w:val="000000"/>
        </w:rPr>
        <w:t>with 5</w:t>
      </w:r>
      <w:r>
        <w:rPr>
          <w:color w:val="000000"/>
        </w:rPr>
        <w:t xml:space="preserve"> PHAs that </w:t>
      </w:r>
      <w:r w:rsidR="00E5616B">
        <w:rPr>
          <w:color w:val="000000"/>
        </w:rPr>
        <w:t>did not</w:t>
      </w:r>
      <w:r w:rsidR="00542DB9">
        <w:rPr>
          <w:color w:val="000000"/>
        </w:rPr>
        <w:t xml:space="preserve"> </w:t>
      </w:r>
      <w:r>
        <w:rPr>
          <w:color w:val="000000"/>
        </w:rPr>
        <w:t>adopt any waivers</w:t>
      </w:r>
      <w:r w:rsidR="0029510C">
        <w:rPr>
          <w:color w:val="000000"/>
        </w:rPr>
        <w:t>.</w:t>
      </w:r>
      <w:r>
        <w:rPr>
          <w:color w:val="000000"/>
        </w:rPr>
        <w:t xml:space="preserve"> </w:t>
      </w:r>
      <w:r w:rsidRPr="00E34077" w:rsidR="00E34077">
        <w:rPr>
          <w:color w:val="000000"/>
        </w:rPr>
        <w:t xml:space="preserve">We envision the first interview to </w:t>
      </w:r>
      <w:r w:rsidR="00A25E90">
        <w:rPr>
          <w:color w:val="000000"/>
        </w:rPr>
        <w:t>involve</w:t>
      </w:r>
      <w:r w:rsidRPr="00E34077" w:rsidR="00E34077">
        <w:rPr>
          <w:color w:val="000000"/>
        </w:rPr>
        <w:t xml:space="preserve"> </w:t>
      </w:r>
      <w:r w:rsidR="007A3E96">
        <w:rPr>
          <w:color w:val="000000"/>
        </w:rPr>
        <w:t>someone</w:t>
      </w:r>
      <w:r w:rsidR="00A1360F">
        <w:rPr>
          <w:color w:val="000000"/>
        </w:rPr>
        <w:t xml:space="preserve"> </w:t>
      </w:r>
      <w:r w:rsidR="00016964">
        <w:rPr>
          <w:color w:val="000000"/>
        </w:rPr>
        <w:t>in a</w:t>
      </w:r>
      <w:r w:rsidRPr="00E34077" w:rsidR="00E34077">
        <w:rPr>
          <w:color w:val="000000"/>
        </w:rPr>
        <w:t xml:space="preserve"> leadership </w:t>
      </w:r>
      <w:r w:rsidR="00016964">
        <w:rPr>
          <w:color w:val="000000"/>
        </w:rPr>
        <w:t xml:space="preserve">position </w:t>
      </w:r>
      <w:r w:rsidRPr="00E34077" w:rsidR="00E34077">
        <w:rPr>
          <w:color w:val="000000"/>
        </w:rPr>
        <w:t xml:space="preserve">from selected PHAs. This point of contact will also help </w:t>
      </w:r>
      <w:r w:rsidR="00EE75AB">
        <w:rPr>
          <w:color w:val="000000"/>
        </w:rPr>
        <w:t xml:space="preserve">to </w:t>
      </w:r>
      <w:r w:rsidRPr="00E34077" w:rsidR="00E34077">
        <w:rPr>
          <w:color w:val="000000"/>
        </w:rPr>
        <w:t xml:space="preserve">recruit other relevant stakeholders from the PHAs such as PHA residents and tenants outreach staff, </w:t>
      </w:r>
      <w:r w:rsidR="00461377">
        <w:rPr>
          <w:color w:val="000000"/>
        </w:rPr>
        <w:t>members of R</w:t>
      </w:r>
      <w:r w:rsidRPr="00E34077" w:rsidR="00E34077">
        <w:rPr>
          <w:color w:val="000000"/>
        </w:rPr>
        <w:t xml:space="preserve">esident </w:t>
      </w:r>
      <w:r w:rsidR="00461377">
        <w:rPr>
          <w:color w:val="000000"/>
        </w:rPr>
        <w:t>A</w:t>
      </w:r>
      <w:r w:rsidRPr="00E34077" w:rsidR="00E34077">
        <w:rPr>
          <w:color w:val="000000"/>
        </w:rPr>
        <w:t xml:space="preserve">dvisory </w:t>
      </w:r>
      <w:r w:rsidR="00461377">
        <w:rPr>
          <w:color w:val="000000"/>
        </w:rPr>
        <w:t>B</w:t>
      </w:r>
      <w:r w:rsidRPr="00E34077" w:rsidR="00E34077">
        <w:rPr>
          <w:color w:val="000000"/>
        </w:rPr>
        <w:t xml:space="preserve">oards, or other stakeholders that were involved or impacted by the implementation of PHA waivers. We envision this data collection effort to </w:t>
      </w:r>
      <w:r w:rsidR="002B0B21">
        <w:rPr>
          <w:color w:val="000000"/>
        </w:rPr>
        <w:t>last</w:t>
      </w:r>
      <w:r w:rsidRPr="00E34077" w:rsidR="002B0B21">
        <w:rPr>
          <w:color w:val="000000"/>
        </w:rPr>
        <w:t xml:space="preserve"> </w:t>
      </w:r>
      <w:r w:rsidRPr="00E34077" w:rsidR="00E34077">
        <w:rPr>
          <w:color w:val="000000"/>
        </w:rPr>
        <w:t xml:space="preserve">up to five months. </w:t>
      </w:r>
      <w:r w:rsidR="00A15986">
        <w:rPr>
          <w:color w:val="000000"/>
        </w:rPr>
        <w:t xml:space="preserve">Data collection is expected to occur after OMB clearance between </w:t>
      </w:r>
      <w:r w:rsidRPr="005812E7" w:rsidR="00E77025">
        <w:t>September 202</w:t>
      </w:r>
      <w:r w:rsidR="00422592">
        <w:t>3</w:t>
      </w:r>
      <w:r w:rsidRPr="005812E7" w:rsidR="00A15986">
        <w:t xml:space="preserve"> and </w:t>
      </w:r>
      <w:r w:rsidRPr="005812E7" w:rsidR="00E77025">
        <w:t>February 202</w:t>
      </w:r>
      <w:r w:rsidR="00254B7F">
        <w:t>4</w:t>
      </w:r>
      <w:r w:rsidR="00A15986">
        <w:t xml:space="preserve">. </w:t>
      </w:r>
      <w:r w:rsidRPr="00E34077" w:rsidR="00E34077">
        <w:rPr>
          <w:color w:val="000000"/>
        </w:rPr>
        <w:t xml:space="preserve">Each interview will be recorded and transcribed. </w:t>
      </w:r>
      <w:r w:rsidR="00705038">
        <w:rPr>
          <w:color w:val="000000"/>
        </w:rPr>
        <w:t>Once</w:t>
      </w:r>
      <w:r w:rsidRPr="00E34077" w:rsidR="00705038">
        <w:rPr>
          <w:color w:val="000000"/>
        </w:rPr>
        <w:t xml:space="preserve"> </w:t>
      </w:r>
      <w:r w:rsidRPr="00E34077" w:rsidR="00E34077">
        <w:rPr>
          <w:color w:val="000000"/>
        </w:rPr>
        <w:t xml:space="preserve">the data collection phase is complete, the study team will </w:t>
      </w:r>
      <w:r w:rsidR="00705038">
        <w:rPr>
          <w:color w:val="000000"/>
        </w:rPr>
        <w:t xml:space="preserve">then </w:t>
      </w:r>
      <w:r w:rsidRPr="00E34077" w:rsidR="00E34077">
        <w:rPr>
          <w:color w:val="000000"/>
        </w:rPr>
        <w:t>clean the transcriptions for use in a multistep coding process to conduct a rigorous qualitative analysis of the interview data</w:t>
      </w:r>
      <w:r w:rsidR="00820E24">
        <w:rPr>
          <w:color w:val="000000"/>
        </w:rPr>
        <w:t>. These efforts will ultimately allow us</w:t>
      </w:r>
      <w:r w:rsidR="00A15986">
        <w:rPr>
          <w:color w:val="000000"/>
        </w:rPr>
        <w:t xml:space="preserve"> to address the </w:t>
      </w:r>
      <w:r w:rsidR="00C13C00">
        <w:rPr>
          <w:color w:val="000000"/>
        </w:rPr>
        <w:t xml:space="preserve">research questions </w:t>
      </w:r>
      <w:r w:rsidR="00A15986">
        <w:rPr>
          <w:color w:val="000000"/>
        </w:rPr>
        <w:t xml:space="preserve">listed </w:t>
      </w:r>
      <w:r w:rsidR="007B76EA">
        <w:rPr>
          <w:color w:val="000000"/>
        </w:rPr>
        <w:t>in Exhibit A</w:t>
      </w:r>
      <w:r w:rsidRPr="00E34077" w:rsidR="00E34077">
        <w:rPr>
          <w:color w:val="000000"/>
        </w:rPr>
        <w:t>.</w:t>
      </w:r>
      <w:r w:rsidR="00E34077">
        <w:rPr>
          <w:color w:val="000000"/>
        </w:rPr>
        <w:t xml:space="preserve"> </w:t>
      </w:r>
    </w:p>
    <w:p w:rsidR="007B76EA" w:rsidRPr="006E2A78" w:rsidP="00E83193" w14:paraId="613F4E3A" w14:textId="0219A60A">
      <w:pPr>
        <w:ind w:left="360"/>
        <w:rPr>
          <w:color w:val="00B0F0"/>
        </w:rPr>
      </w:pPr>
      <w:r w:rsidRPr="006E2A78">
        <w:rPr>
          <w:color w:val="00B0F0"/>
        </w:rPr>
        <w:t xml:space="preserve">Exhibit A | Study Design Mapping of </w:t>
      </w:r>
      <w:r w:rsidRPr="006E2A78" w:rsidR="008A72B1">
        <w:rPr>
          <w:color w:val="00B0F0"/>
        </w:rPr>
        <w:t>R</w:t>
      </w:r>
      <w:r w:rsidR="008A72B1">
        <w:rPr>
          <w:color w:val="00B0F0"/>
        </w:rPr>
        <w:t>esearch Questions</w:t>
      </w:r>
      <w:r w:rsidRPr="006E2A78" w:rsidR="008A72B1">
        <w:rPr>
          <w:color w:val="00B0F0"/>
        </w:rPr>
        <w:t xml:space="preserve"> </w:t>
      </w:r>
      <w:r w:rsidRPr="006E2A78">
        <w:rPr>
          <w:color w:val="00B0F0"/>
        </w:rPr>
        <w:t>to Associated Research Activities</w:t>
      </w:r>
    </w:p>
    <w:tbl>
      <w:tblPr>
        <w:tblW w:w="4967"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tblPr>
      <w:tblGrid>
        <w:gridCol w:w="3505"/>
        <w:gridCol w:w="1550"/>
        <w:gridCol w:w="1595"/>
        <w:gridCol w:w="1133"/>
        <w:gridCol w:w="1505"/>
      </w:tblGrid>
      <w:tr w14:paraId="59CF4FC8" w14:textId="77777777" w:rsidTr="001454DF">
        <w:tblPrEx>
          <w:tblW w:w="4967"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tblPrEx>
        <w:trPr>
          <w:trHeight w:val="20"/>
        </w:trPr>
        <w:tc>
          <w:tcPr>
            <w:tcW w:w="2447" w:type="pct"/>
            <w:vMerge w:val="restart"/>
            <w:tcBorders>
              <w:right w:val="single" w:sz="4" w:space="0" w:color="FFFFFF" w:themeColor="background1"/>
            </w:tcBorders>
            <w:shd w:val="clear" w:color="auto" w:fill="A5A5A5" w:themeFill="accent3"/>
            <w:vAlign w:val="center"/>
            <w:hideMark/>
          </w:tcPr>
          <w:p w:rsidR="007B76EA" w:rsidRPr="000D1776" w:rsidP="001454DF" w14:paraId="54A8F18B" w14:textId="77777777">
            <w:pPr>
              <w:rPr>
                <w:rFonts w:cstheme="minorHAnsi"/>
                <w:b/>
                <w:bCs/>
                <w:color w:val="FFFFFF"/>
                <w:sz w:val="20"/>
                <w:szCs w:val="20"/>
              </w:rPr>
            </w:pPr>
            <w:r w:rsidRPr="000D1776">
              <w:rPr>
                <w:rFonts w:cstheme="minorHAnsi"/>
                <w:b/>
                <w:bCs/>
                <w:color w:val="FFFFFF"/>
                <w:sz w:val="20"/>
                <w:szCs w:val="20"/>
              </w:rPr>
              <w:t>Research Questions (RQ</w:t>
            </w:r>
            <w:r>
              <w:rPr>
                <w:rFonts w:cstheme="minorHAnsi"/>
                <w:b/>
                <w:bCs/>
                <w:color w:val="FFFFFF"/>
                <w:sz w:val="20"/>
                <w:szCs w:val="20"/>
              </w:rPr>
              <w:t>s</w:t>
            </w:r>
            <w:r w:rsidRPr="000D1776">
              <w:rPr>
                <w:rFonts w:cstheme="minorHAnsi"/>
                <w:b/>
                <w:bCs/>
                <w:color w:val="FFFFFF"/>
                <w:sz w:val="20"/>
                <w:szCs w:val="20"/>
              </w:rPr>
              <w:t>)</w:t>
            </w:r>
          </w:p>
        </w:tc>
        <w:tc>
          <w:tcPr>
            <w:tcW w:w="720" w:type="pct"/>
            <w:vMerge w:val="restart"/>
            <w:tcBorders>
              <w:left w:val="single" w:sz="4" w:space="0" w:color="FFFFFF" w:themeColor="background1"/>
              <w:right w:val="single" w:sz="4" w:space="0" w:color="FFFFFF" w:themeColor="background1"/>
            </w:tcBorders>
            <w:shd w:val="clear" w:color="auto" w:fill="A5A5A5" w:themeFill="accent3"/>
            <w:vAlign w:val="center"/>
            <w:hideMark/>
          </w:tcPr>
          <w:p w:rsidR="007B76EA" w:rsidRPr="0004462F" w:rsidP="001454DF" w14:paraId="70473F9A" w14:textId="77777777">
            <w:pPr>
              <w:jc w:val="center"/>
              <w:rPr>
                <w:rFonts w:cstheme="minorHAnsi"/>
                <w:b/>
                <w:bCs/>
                <w:color w:val="FFFFFF"/>
                <w:sz w:val="20"/>
                <w:szCs w:val="20"/>
              </w:rPr>
            </w:pPr>
            <w:r w:rsidRPr="0004462F">
              <w:rPr>
                <w:rFonts w:cstheme="minorHAnsi"/>
                <w:b/>
                <w:bCs/>
                <w:color w:val="FFFFFF"/>
                <w:sz w:val="20"/>
                <w:szCs w:val="20"/>
              </w:rPr>
              <w:t>Document Review</w:t>
            </w:r>
          </w:p>
        </w:tc>
        <w:tc>
          <w:tcPr>
            <w:tcW w:w="740" w:type="pct"/>
            <w:vMerge w:val="restart"/>
            <w:tcBorders>
              <w:left w:val="single" w:sz="4" w:space="0" w:color="FFFFFF" w:themeColor="background1"/>
              <w:right w:val="single" w:sz="4" w:space="0" w:color="FFFFFF" w:themeColor="background1"/>
            </w:tcBorders>
            <w:shd w:val="clear" w:color="auto" w:fill="A5A5A5" w:themeFill="accent3"/>
            <w:vAlign w:val="center"/>
            <w:hideMark/>
          </w:tcPr>
          <w:p w:rsidR="007B76EA" w:rsidRPr="0004462F" w:rsidP="001454DF" w14:paraId="785FFC8A" w14:textId="77777777">
            <w:pPr>
              <w:jc w:val="center"/>
              <w:rPr>
                <w:rFonts w:cstheme="minorHAnsi"/>
                <w:b/>
                <w:bCs/>
                <w:color w:val="FFFFFF"/>
                <w:sz w:val="20"/>
                <w:szCs w:val="20"/>
              </w:rPr>
            </w:pPr>
            <w:r w:rsidRPr="0004462F">
              <w:rPr>
                <w:rFonts w:cstheme="minorHAnsi"/>
                <w:b/>
                <w:bCs/>
                <w:color w:val="FFFFFF"/>
                <w:sz w:val="20"/>
                <w:szCs w:val="20"/>
              </w:rPr>
              <w:t>PHA Interviews</w:t>
            </w:r>
          </w:p>
        </w:tc>
        <w:tc>
          <w:tcPr>
            <w:tcW w:w="1092" w:type="pct"/>
            <w:gridSpan w:val="2"/>
            <w:tcBorders>
              <w:left w:val="single" w:sz="4" w:space="0" w:color="FFFFFF" w:themeColor="background1"/>
              <w:bottom w:val="single" w:sz="4" w:space="0" w:color="FFFFFF" w:themeColor="background1"/>
            </w:tcBorders>
            <w:shd w:val="clear" w:color="auto" w:fill="A5A5A5" w:themeFill="accent3"/>
            <w:vAlign w:val="center"/>
            <w:hideMark/>
          </w:tcPr>
          <w:p w:rsidR="007B76EA" w:rsidRPr="0004462F" w:rsidP="001454DF" w14:paraId="1568353E" w14:textId="77777777">
            <w:pPr>
              <w:jc w:val="center"/>
              <w:rPr>
                <w:rFonts w:cstheme="minorHAnsi"/>
                <w:b/>
                <w:bCs/>
                <w:color w:val="FFFFFF"/>
                <w:sz w:val="20"/>
                <w:szCs w:val="20"/>
              </w:rPr>
            </w:pPr>
            <w:r w:rsidRPr="0004462F">
              <w:rPr>
                <w:rFonts w:cstheme="minorHAnsi"/>
                <w:b/>
                <w:bCs/>
                <w:color w:val="FFFFFF"/>
                <w:sz w:val="20"/>
                <w:szCs w:val="20"/>
              </w:rPr>
              <w:t>Quantitative Data</w:t>
            </w:r>
          </w:p>
        </w:tc>
      </w:tr>
      <w:tr w14:paraId="297D9B1E" w14:textId="77777777" w:rsidTr="001454DF">
        <w:tblPrEx>
          <w:tblW w:w="4967" w:type="pct"/>
          <w:tblLook w:val="04A0"/>
        </w:tblPrEx>
        <w:trPr>
          <w:trHeight w:val="20"/>
        </w:trPr>
        <w:tc>
          <w:tcPr>
            <w:tcW w:w="2447" w:type="pct"/>
            <w:vMerge/>
            <w:tcBorders>
              <w:right w:val="single" w:sz="4" w:space="0" w:color="FFFFFF" w:themeColor="background1"/>
            </w:tcBorders>
            <w:vAlign w:val="center"/>
            <w:hideMark/>
          </w:tcPr>
          <w:p w:rsidR="007B76EA" w:rsidRPr="000D1776" w:rsidP="001454DF" w14:paraId="013497B5" w14:textId="77777777">
            <w:pPr>
              <w:rPr>
                <w:rFonts w:cstheme="minorHAnsi"/>
                <w:b/>
                <w:bCs/>
                <w:color w:val="FFFFFF"/>
                <w:sz w:val="20"/>
                <w:szCs w:val="20"/>
              </w:rPr>
            </w:pPr>
          </w:p>
        </w:tc>
        <w:tc>
          <w:tcPr>
            <w:tcW w:w="720" w:type="pct"/>
            <w:vMerge/>
            <w:tcBorders>
              <w:left w:val="single" w:sz="4" w:space="0" w:color="FFFFFF" w:themeColor="background1"/>
              <w:right w:val="single" w:sz="4" w:space="0" w:color="FFFFFF" w:themeColor="background1"/>
            </w:tcBorders>
            <w:shd w:val="clear" w:color="auto" w:fill="A5A5A5" w:themeFill="accent3"/>
            <w:vAlign w:val="center"/>
            <w:hideMark/>
          </w:tcPr>
          <w:p w:rsidR="007B76EA" w:rsidRPr="0004462F" w:rsidP="001454DF" w14:paraId="59ACAB62" w14:textId="77777777">
            <w:pPr>
              <w:jc w:val="center"/>
              <w:rPr>
                <w:rFonts w:cstheme="minorHAnsi"/>
                <w:b/>
                <w:bCs/>
                <w:color w:val="FFFFFF"/>
                <w:sz w:val="20"/>
                <w:szCs w:val="20"/>
              </w:rPr>
            </w:pPr>
          </w:p>
        </w:tc>
        <w:tc>
          <w:tcPr>
            <w:tcW w:w="740" w:type="pct"/>
            <w:vMerge/>
            <w:tcBorders>
              <w:left w:val="single" w:sz="4" w:space="0" w:color="FFFFFF" w:themeColor="background1"/>
              <w:right w:val="single" w:sz="4" w:space="0" w:color="FFFFFF" w:themeColor="background1"/>
            </w:tcBorders>
            <w:shd w:val="clear" w:color="auto" w:fill="A5A5A5" w:themeFill="accent3"/>
            <w:vAlign w:val="center"/>
            <w:hideMark/>
          </w:tcPr>
          <w:p w:rsidR="007B76EA" w:rsidRPr="0004462F" w:rsidP="001454DF" w14:paraId="5037A405" w14:textId="77777777">
            <w:pPr>
              <w:jc w:val="center"/>
              <w:rPr>
                <w:rFonts w:cstheme="minorHAnsi"/>
                <w:b/>
                <w:bCs/>
                <w:color w:val="FFFFFF"/>
                <w:sz w:val="20"/>
                <w:szCs w:val="20"/>
              </w:rPr>
            </w:pP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A5A5A5" w:themeFill="accent3"/>
            <w:vAlign w:val="center"/>
            <w:hideMark/>
          </w:tcPr>
          <w:p w:rsidR="007B76EA" w:rsidRPr="0004462F" w:rsidP="001454DF" w14:paraId="019C3BD2" w14:textId="77777777">
            <w:pPr>
              <w:jc w:val="center"/>
              <w:rPr>
                <w:rFonts w:cstheme="minorHAnsi"/>
                <w:b/>
                <w:bCs/>
                <w:color w:val="FFFFFF"/>
                <w:sz w:val="20"/>
                <w:szCs w:val="20"/>
              </w:rPr>
            </w:pPr>
            <w:r w:rsidRPr="0004462F">
              <w:rPr>
                <w:rFonts w:cstheme="minorHAnsi"/>
                <w:b/>
                <w:bCs/>
                <w:color w:val="FFFFFF"/>
                <w:sz w:val="20"/>
                <w:szCs w:val="20"/>
              </w:rPr>
              <w:t>CAWRT Survey Data</w:t>
            </w:r>
          </w:p>
        </w:tc>
        <w:tc>
          <w:tcPr>
            <w:tcW w:w="560" w:type="pct"/>
            <w:tcBorders>
              <w:top w:val="single" w:sz="4" w:space="0" w:color="FFFFFF" w:themeColor="background1"/>
              <w:left w:val="single" w:sz="4" w:space="0" w:color="FFFFFF" w:themeColor="background1"/>
            </w:tcBorders>
            <w:shd w:val="clear" w:color="auto" w:fill="A5A5A5" w:themeFill="accent3"/>
            <w:vAlign w:val="center"/>
            <w:hideMark/>
          </w:tcPr>
          <w:p w:rsidR="007B76EA" w:rsidRPr="0004462F" w:rsidP="001454DF" w14:paraId="61AF9F42" w14:textId="79E90310">
            <w:pPr>
              <w:jc w:val="center"/>
              <w:rPr>
                <w:rFonts w:cstheme="minorHAnsi"/>
                <w:b/>
                <w:bCs/>
                <w:color w:val="FFFFFF"/>
                <w:sz w:val="20"/>
                <w:szCs w:val="20"/>
              </w:rPr>
            </w:pPr>
            <w:r>
              <w:rPr>
                <w:rFonts w:cstheme="minorHAnsi"/>
                <w:b/>
                <w:bCs/>
                <w:color w:val="FFFFFF"/>
                <w:sz w:val="20"/>
                <w:szCs w:val="20"/>
              </w:rPr>
              <w:t xml:space="preserve">HUD </w:t>
            </w:r>
            <w:r w:rsidRPr="0004462F">
              <w:rPr>
                <w:rFonts w:cstheme="minorHAnsi"/>
                <w:b/>
                <w:bCs/>
                <w:color w:val="FFFFFF"/>
                <w:sz w:val="20"/>
                <w:szCs w:val="20"/>
              </w:rPr>
              <w:t>Administrative Data</w:t>
            </w:r>
          </w:p>
        </w:tc>
      </w:tr>
      <w:tr w14:paraId="460F8C23" w14:textId="77777777" w:rsidTr="001454DF">
        <w:tblPrEx>
          <w:tblW w:w="4967" w:type="pct"/>
          <w:tblLook w:val="04A0"/>
        </w:tblPrEx>
        <w:trPr>
          <w:trHeight w:val="20"/>
        </w:trPr>
        <w:tc>
          <w:tcPr>
            <w:tcW w:w="2447" w:type="pct"/>
            <w:shd w:val="clear" w:color="auto" w:fill="DDEBF7"/>
            <w:vAlign w:val="center"/>
            <w:hideMark/>
          </w:tcPr>
          <w:p w:rsidR="007B76EA" w:rsidRPr="000D1776" w:rsidP="001454DF" w14:paraId="52B4A1AB" w14:textId="77777777">
            <w:pPr>
              <w:rPr>
                <w:rFonts w:cstheme="minorHAnsi"/>
                <w:b/>
                <w:bCs/>
                <w:sz w:val="20"/>
                <w:szCs w:val="20"/>
              </w:rPr>
            </w:pPr>
            <w:r w:rsidRPr="000D1776">
              <w:rPr>
                <w:rFonts w:cstheme="minorHAnsi"/>
                <w:b/>
                <w:bCs/>
                <w:sz w:val="20"/>
                <w:szCs w:val="20"/>
              </w:rPr>
              <w:t>Approach</w:t>
            </w:r>
          </w:p>
        </w:tc>
        <w:tc>
          <w:tcPr>
            <w:tcW w:w="720" w:type="pct"/>
            <w:shd w:val="clear" w:color="auto" w:fill="DDEBF7"/>
            <w:vAlign w:val="center"/>
            <w:hideMark/>
          </w:tcPr>
          <w:p w:rsidR="007B76EA" w:rsidRPr="0004462F" w:rsidP="001454DF" w14:paraId="76AAF9CE" w14:textId="4E39570D">
            <w:pPr>
              <w:jc w:val="center"/>
              <w:rPr>
                <w:rFonts w:cstheme="minorHAnsi"/>
                <w:b/>
                <w:bCs/>
                <w:sz w:val="20"/>
                <w:szCs w:val="20"/>
              </w:rPr>
            </w:pPr>
            <w:r w:rsidRPr="0004462F">
              <w:rPr>
                <w:rFonts w:cstheme="minorHAnsi"/>
                <w:b/>
                <w:bCs/>
                <w:sz w:val="20"/>
                <w:szCs w:val="20"/>
              </w:rPr>
              <w:t>Review of HUD/published reports</w:t>
            </w:r>
            <w:r w:rsidR="00686FC4">
              <w:rPr>
                <w:rFonts w:cstheme="minorHAnsi"/>
                <w:b/>
                <w:bCs/>
                <w:sz w:val="20"/>
                <w:szCs w:val="20"/>
              </w:rPr>
              <w:t xml:space="preserve"> and</w:t>
            </w:r>
            <w:r w:rsidRPr="0004462F">
              <w:rPr>
                <w:rFonts w:cstheme="minorHAnsi"/>
                <w:b/>
                <w:bCs/>
                <w:sz w:val="20"/>
                <w:szCs w:val="20"/>
              </w:rPr>
              <w:t xml:space="preserve"> articles</w:t>
            </w:r>
          </w:p>
        </w:tc>
        <w:tc>
          <w:tcPr>
            <w:tcW w:w="740" w:type="pct"/>
            <w:shd w:val="clear" w:color="auto" w:fill="DDEBF7"/>
            <w:vAlign w:val="center"/>
            <w:hideMark/>
          </w:tcPr>
          <w:p w:rsidR="007B76EA" w:rsidRPr="0004462F" w:rsidP="007B76EA" w14:paraId="183E4821" w14:textId="77777777">
            <w:pPr>
              <w:pStyle w:val="ListParagraph"/>
              <w:numPr>
                <w:ilvl w:val="0"/>
                <w:numId w:val="16"/>
              </w:numPr>
              <w:spacing w:line="259" w:lineRule="auto"/>
              <w:ind w:left="290" w:hanging="200"/>
              <w:contextualSpacing/>
              <w:rPr>
                <w:rFonts w:cstheme="minorHAnsi"/>
                <w:b/>
                <w:bCs/>
                <w:sz w:val="20"/>
                <w:szCs w:val="20"/>
              </w:rPr>
            </w:pPr>
            <w:r w:rsidRPr="0004462F">
              <w:rPr>
                <w:rFonts w:cstheme="minorHAnsi"/>
                <w:b/>
                <w:bCs/>
                <w:sz w:val="20"/>
                <w:szCs w:val="20"/>
              </w:rPr>
              <w:t xml:space="preserve">PHA selection </w:t>
            </w:r>
          </w:p>
          <w:p w:rsidR="007B76EA" w:rsidRPr="0004462F" w:rsidP="007B76EA" w14:paraId="2861C9DF" w14:textId="77777777">
            <w:pPr>
              <w:pStyle w:val="ListParagraph"/>
              <w:numPr>
                <w:ilvl w:val="0"/>
                <w:numId w:val="16"/>
              </w:numPr>
              <w:spacing w:line="259" w:lineRule="auto"/>
              <w:ind w:left="290" w:hanging="200"/>
              <w:contextualSpacing/>
              <w:rPr>
                <w:rFonts w:cstheme="minorHAnsi"/>
                <w:b/>
                <w:bCs/>
                <w:sz w:val="20"/>
                <w:szCs w:val="20"/>
              </w:rPr>
            </w:pPr>
            <w:r w:rsidRPr="0004462F">
              <w:rPr>
                <w:rFonts w:cstheme="minorHAnsi"/>
                <w:b/>
                <w:bCs/>
                <w:sz w:val="20"/>
                <w:szCs w:val="20"/>
              </w:rPr>
              <w:t>Instrument development</w:t>
            </w:r>
          </w:p>
          <w:p w:rsidR="007B76EA" w:rsidRPr="0004462F" w:rsidP="007B76EA" w14:paraId="4A8A261C" w14:textId="77777777">
            <w:pPr>
              <w:pStyle w:val="ListParagraph"/>
              <w:numPr>
                <w:ilvl w:val="0"/>
                <w:numId w:val="16"/>
              </w:numPr>
              <w:spacing w:line="259" w:lineRule="auto"/>
              <w:ind w:left="290" w:hanging="200"/>
              <w:contextualSpacing/>
              <w:rPr>
                <w:rFonts w:cstheme="minorHAnsi"/>
                <w:b/>
                <w:bCs/>
                <w:sz w:val="20"/>
                <w:szCs w:val="20"/>
              </w:rPr>
            </w:pPr>
            <w:r w:rsidRPr="0004462F">
              <w:rPr>
                <w:rFonts w:cstheme="minorHAnsi"/>
                <w:b/>
                <w:bCs/>
                <w:sz w:val="20"/>
                <w:szCs w:val="20"/>
              </w:rPr>
              <w:t>Data collection and analysis</w:t>
            </w:r>
          </w:p>
        </w:tc>
        <w:tc>
          <w:tcPr>
            <w:tcW w:w="533" w:type="pct"/>
            <w:shd w:val="clear" w:color="auto" w:fill="DDEBF7"/>
            <w:vAlign w:val="center"/>
            <w:hideMark/>
          </w:tcPr>
          <w:p w:rsidR="007B76EA" w:rsidRPr="0004462F" w:rsidP="001454DF" w14:paraId="30E4DF8F" w14:textId="77777777">
            <w:pPr>
              <w:jc w:val="center"/>
              <w:rPr>
                <w:rFonts w:cstheme="minorHAnsi"/>
                <w:b/>
                <w:bCs/>
                <w:sz w:val="20"/>
                <w:szCs w:val="20"/>
              </w:rPr>
            </w:pPr>
            <w:r w:rsidRPr="0004462F">
              <w:rPr>
                <w:rFonts w:cstheme="minorHAnsi"/>
                <w:b/>
                <w:bCs/>
                <w:sz w:val="20"/>
                <w:szCs w:val="20"/>
              </w:rPr>
              <w:t>Data extraction, cleaning</w:t>
            </w:r>
            <w:r>
              <w:rPr>
                <w:rFonts w:cstheme="minorHAnsi"/>
                <w:b/>
                <w:bCs/>
                <w:sz w:val="20"/>
                <w:szCs w:val="20"/>
              </w:rPr>
              <w:t>,</w:t>
            </w:r>
            <w:r w:rsidRPr="0004462F">
              <w:rPr>
                <w:rFonts w:cstheme="minorHAnsi"/>
                <w:b/>
                <w:bCs/>
                <w:sz w:val="20"/>
                <w:szCs w:val="20"/>
              </w:rPr>
              <w:t xml:space="preserve"> and analysis</w:t>
            </w:r>
          </w:p>
        </w:tc>
        <w:tc>
          <w:tcPr>
            <w:tcW w:w="560" w:type="pct"/>
            <w:shd w:val="clear" w:color="auto" w:fill="DDEBF7"/>
            <w:vAlign w:val="center"/>
            <w:hideMark/>
          </w:tcPr>
          <w:p w:rsidR="007B76EA" w:rsidRPr="0004462F" w:rsidP="001454DF" w14:paraId="57612D31" w14:textId="77777777">
            <w:pPr>
              <w:jc w:val="center"/>
              <w:rPr>
                <w:rFonts w:cstheme="minorHAnsi"/>
                <w:b/>
                <w:bCs/>
                <w:sz w:val="20"/>
                <w:szCs w:val="20"/>
              </w:rPr>
            </w:pPr>
            <w:r w:rsidRPr="0004462F">
              <w:rPr>
                <w:rFonts w:cstheme="minorHAnsi"/>
                <w:b/>
                <w:bCs/>
                <w:sz w:val="20"/>
                <w:szCs w:val="20"/>
              </w:rPr>
              <w:t>Data extraction, cleaning</w:t>
            </w:r>
            <w:r>
              <w:rPr>
                <w:rFonts w:cstheme="minorHAnsi"/>
                <w:b/>
                <w:bCs/>
                <w:sz w:val="20"/>
                <w:szCs w:val="20"/>
              </w:rPr>
              <w:t>,</w:t>
            </w:r>
            <w:r w:rsidRPr="0004462F">
              <w:rPr>
                <w:rFonts w:cstheme="minorHAnsi"/>
                <w:b/>
                <w:bCs/>
                <w:sz w:val="20"/>
                <w:szCs w:val="20"/>
              </w:rPr>
              <w:br/>
              <w:t>and analysis</w:t>
            </w:r>
          </w:p>
        </w:tc>
      </w:tr>
      <w:tr w14:paraId="133FC175" w14:textId="77777777" w:rsidTr="001454DF">
        <w:tblPrEx>
          <w:tblW w:w="4967" w:type="pct"/>
          <w:tblLook w:val="04A0"/>
        </w:tblPrEx>
        <w:trPr>
          <w:trHeight w:val="20"/>
        </w:trPr>
        <w:tc>
          <w:tcPr>
            <w:tcW w:w="5000" w:type="pct"/>
            <w:gridSpan w:val="5"/>
            <w:shd w:val="clear" w:color="auto" w:fill="F2F2F2" w:themeFill="background1" w:themeFillShade="F2"/>
            <w:vAlign w:val="center"/>
            <w:hideMark/>
          </w:tcPr>
          <w:p w:rsidR="007B76EA" w:rsidRPr="000D1776" w:rsidP="001454DF" w14:paraId="5D8004A9" w14:textId="77777777">
            <w:pPr>
              <w:rPr>
                <w:rFonts w:cstheme="minorHAnsi"/>
                <w:b/>
                <w:bCs/>
                <w:color w:val="000000"/>
                <w:sz w:val="20"/>
                <w:szCs w:val="20"/>
              </w:rPr>
            </w:pPr>
            <w:r w:rsidRPr="000D1776">
              <w:rPr>
                <w:rFonts w:cstheme="minorHAnsi"/>
                <w:b/>
                <w:bCs/>
                <w:color w:val="000000"/>
                <w:sz w:val="20"/>
                <w:szCs w:val="20"/>
              </w:rPr>
              <w:t>Implementation</w:t>
            </w:r>
          </w:p>
        </w:tc>
      </w:tr>
      <w:tr w14:paraId="11114986"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0FED54DD" w14:textId="77777777">
            <w:pPr>
              <w:rPr>
                <w:rFonts w:cstheme="minorHAnsi"/>
                <w:color w:val="000000"/>
                <w:sz w:val="20"/>
                <w:szCs w:val="20"/>
              </w:rPr>
            </w:pPr>
            <w:r w:rsidRPr="000D1776">
              <w:rPr>
                <w:rFonts w:cstheme="minorHAnsi"/>
                <w:color w:val="000000"/>
                <w:sz w:val="20"/>
                <w:szCs w:val="20"/>
              </w:rPr>
              <w:t>RQ1. What pre-existing programs or initiatives led to or influenced the authorization and implementation of PHA waivers offered by the CARES Act?</w:t>
            </w:r>
          </w:p>
        </w:tc>
        <w:tc>
          <w:tcPr>
            <w:tcW w:w="720" w:type="pct"/>
            <w:shd w:val="clear" w:color="auto" w:fill="auto"/>
            <w:noWrap/>
            <w:vAlign w:val="center"/>
            <w:hideMark/>
          </w:tcPr>
          <w:p w:rsidR="007B76EA" w:rsidRPr="00CF3842" w:rsidP="001454DF" w14:paraId="1EDD4DF9"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2B04F8F7"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78CFD559" w14:textId="77777777">
            <w:pPr>
              <w:jc w:val="center"/>
              <w:rPr>
                <w:rFonts w:ascii="Wingdings" w:hAnsi="Wingdings" w:cs="Calibri"/>
                <w:b/>
                <w:bCs/>
                <w:color w:val="000000"/>
                <w:sz w:val="20"/>
                <w:szCs w:val="20"/>
              </w:rPr>
            </w:pPr>
          </w:p>
        </w:tc>
        <w:tc>
          <w:tcPr>
            <w:tcW w:w="560" w:type="pct"/>
            <w:shd w:val="clear" w:color="auto" w:fill="auto"/>
            <w:noWrap/>
            <w:vAlign w:val="center"/>
            <w:hideMark/>
          </w:tcPr>
          <w:p w:rsidR="007B76EA" w:rsidRPr="00CF3842" w:rsidP="001454DF" w14:paraId="5838AB52" w14:textId="77777777">
            <w:pPr>
              <w:jc w:val="center"/>
              <w:rPr>
                <w:rFonts w:ascii="Wingdings" w:hAnsi="Wingdings" w:cs="Calibri"/>
                <w:b/>
                <w:bCs/>
                <w:color w:val="000000"/>
                <w:sz w:val="20"/>
                <w:szCs w:val="20"/>
              </w:rPr>
            </w:pPr>
          </w:p>
        </w:tc>
      </w:tr>
      <w:tr w14:paraId="01BF682F"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5F3E6043" w14:textId="77777777">
            <w:pPr>
              <w:rPr>
                <w:rFonts w:cstheme="minorHAnsi"/>
                <w:color w:val="000000"/>
                <w:sz w:val="20"/>
                <w:szCs w:val="20"/>
              </w:rPr>
            </w:pPr>
            <w:r w:rsidRPr="000D1776">
              <w:rPr>
                <w:rFonts w:cstheme="minorHAnsi"/>
                <w:color w:val="000000"/>
                <w:sz w:val="20"/>
                <w:szCs w:val="20"/>
              </w:rPr>
              <w:t>RQ2.</w:t>
            </w:r>
            <w:r>
              <w:rPr>
                <w:rFonts w:cstheme="minorHAnsi"/>
                <w:color w:val="000000"/>
                <w:sz w:val="20"/>
                <w:szCs w:val="20"/>
              </w:rPr>
              <w:t xml:space="preserve"> </w:t>
            </w:r>
            <w:r w:rsidRPr="000D1776">
              <w:rPr>
                <w:rFonts w:cstheme="minorHAnsi"/>
                <w:color w:val="000000"/>
                <w:sz w:val="20"/>
                <w:szCs w:val="20"/>
              </w:rPr>
              <w:t>Prior to the CARES Act, what kind of waivers and flexibilities were available to PHAs?</w:t>
            </w:r>
          </w:p>
        </w:tc>
        <w:tc>
          <w:tcPr>
            <w:tcW w:w="720" w:type="pct"/>
            <w:shd w:val="clear" w:color="auto" w:fill="auto"/>
            <w:noWrap/>
            <w:vAlign w:val="center"/>
            <w:hideMark/>
          </w:tcPr>
          <w:p w:rsidR="007B76EA" w:rsidRPr="00CF3842" w:rsidP="001454DF" w14:paraId="76FFC839"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4DB12366"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1FA7E117" w14:textId="77777777">
            <w:pPr>
              <w:jc w:val="center"/>
              <w:rPr>
                <w:rFonts w:ascii="Wingdings" w:hAnsi="Wingdings" w:cs="Calibri"/>
                <w:b/>
                <w:bCs/>
                <w:color w:val="000000"/>
                <w:sz w:val="20"/>
                <w:szCs w:val="20"/>
              </w:rPr>
            </w:pPr>
          </w:p>
        </w:tc>
        <w:tc>
          <w:tcPr>
            <w:tcW w:w="560" w:type="pct"/>
            <w:shd w:val="clear" w:color="auto" w:fill="auto"/>
            <w:noWrap/>
            <w:vAlign w:val="center"/>
            <w:hideMark/>
          </w:tcPr>
          <w:p w:rsidR="007B76EA" w:rsidRPr="00CF3842" w:rsidP="001454DF" w14:paraId="0672EB74"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r>
      <w:tr w14:paraId="096B605D"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270C788A" w14:textId="77777777">
            <w:pPr>
              <w:rPr>
                <w:rFonts w:cstheme="minorHAnsi"/>
                <w:color w:val="000000"/>
                <w:sz w:val="20"/>
                <w:szCs w:val="20"/>
              </w:rPr>
            </w:pPr>
            <w:r w:rsidRPr="000D1776">
              <w:rPr>
                <w:rFonts w:cstheme="minorHAnsi"/>
                <w:color w:val="000000"/>
                <w:sz w:val="20"/>
                <w:szCs w:val="20"/>
              </w:rPr>
              <w:t>RQ3.</w:t>
            </w:r>
            <w:r>
              <w:rPr>
                <w:rFonts w:cstheme="minorHAnsi"/>
                <w:color w:val="000000"/>
                <w:sz w:val="20"/>
                <w:szCs w:val="20"/>
              </w:rPr>
              <w:t xml:space="preserve"> </w:t>
            </w:r>
            <w:r w:rsidRPr="000D1776">
              <w:rPr>
                <w:rFonts w:cstheme="minorHAnsi"/>
                <w:color w:val="000000"/>
                <w:sz w:val="20"/>
                <w:szCs w:val="20"/>
              </w:rPr>
              <w:t>What was the process for implementing and utilizing the waivers offered by the CARES Act?</w:t>
            </w:r>
          </w:p>
        </w:tc>
        <w:tc>
          <w:tcPr>
            <w:tcW w:w="720" w:type="pct"/>
            <w:shd w:val="clear" w:color="auto" w:fill="auto"/>
            <w:noWrap/>
            <w:vAlign w:val="center"/>
            <w:hideMark/>
          </w:tcPr>
          <w:p w:rsidR="007B76EA" w:rsidRPr="00CF3842" w:rsidP="001454DF" w14:paraId="24791915"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54C40807"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7F74E6BB"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42C48D3E" w14:textId="77777777">
            <w:pPr>
              <w:jc w:val="center"/>
              <w:rPr>
                <w:rFonts w:ascii="Wingdings" w:hAnsi="Wingdings" w:cs="Calibri"/>
                <w:b/>
                <w:bCs/>
                <w:color w:val="000000"/>
                <w:sz w:val="20"/>
                <w:szCs w:val="20"/>
              </w:rPr>
            </w:pPr>
          </w:p>
        </w:tc>
      </w:tr>
      <w:tr w14:paraId="2F060CB6"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775C8548" w14:textId="77777777">
            <w:pPr>
              <w:rPr>
                <w:rFonts w:cstheme="minorHAnsi"/>
                <w:color w:val="000000"/>
                <w:sz w:val="20"/>
                <w:szCs w:val="20"/>
              </w:rPr>
            </w:pPr>
            <w:r w:rsidRPr="000D1776">
              <w:rPr>
                <w:rFonts w:cstheme="minorHAnsi"/>
                <w:color w:val="000000"/>
                <w:sz w:val="20"/>
                <w:szCs w:val="20"/>
              </w:rPr>
              <w:t>RQ4. What HUD guidance and support were available for PHAs for implementing waivers offered by the CARES Act, and how were the guidance and support provided?</w:t>
            </w:r>
          </w:p>
        </w:tc>
        <w:tc>
          <w:tcPr>
            <w:tcW w:w="720" w:type="pct"/>
            <w:shd w:val="clear" w:color="auto" w:fill="auto"/>
            <w:noWrap/>
            <w:vAlign w:val="center"/>
            <w:hideMark/>
          </w:tcPr>
          <w:p w:rsidR="007B76EA" w:rsidRPr="00CF3842" w:rsidP="001454DF" w14:paraId="33720F85"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39CA3E9A"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1ED07942"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3EC88E40" w14:textId="77777777">
            <w:pPr>
              <w:jc w:val="center"/>
              <w:rPr>
                <w:rFonts w:ascii="Wingdings" w:hAnsi="Wingdings" w:cs="Calibri"/>
                <w:b/>
                <w:bCs/>
                <w:color w:val="000000"/>
                <w:sz w:val="20"/>
                <w:szCs w:val="20"/>
              </w:rPr>
            </w:pPr>
          </w:p>
        </w:tc>
      </w:tr>
      <w:tr w14:paraId="3B33B527"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16226555" w14:textId="77777777">
            <w:pPr>
              <w:rPr>
                <w:rFonts w:cstheme="minorHAnsi"/>
                <w:color w:val="000000"/>
                <w:sz w:val="20"/>
                <w:szCs w:val="20"/>
              </w:rPr>
            </w:pPr>
            <w:r w:rsidRPr="000D1776">
              <w:rPr>
                <w:rFonts w:cstheme="minorHAnsi"/>
                <w:color w:val="000000"/>
                <w:sz w:val="20"/>
                <w:szCs w:val="20"/>
              </w:rPr>
              <w:t>RQ5. How did the authorization of the CARES Act change how PHAs implemented waivers?</w:t>
            </w:r>
          </w:p>
        </w:tc>
        <w:tc>
          <w:tcPr>
            <w:tcW w:w="720" w:type="pct"/>
            <w:shd w:val="clear" w:color="auto" w:fill="auto"/>
            <w:noWrap/>
            <w:vAlign w:val="center"/>
            <w:hideMark/>
          </w:tcPr>
          <w:p w:rsidR="007B76EA" w:rsidRPr="00CF3842" w:rsidP="001454DF" w14:paraId="40961EBC"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5A25D641"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78997226" w14:textId="77777777">
            <w:pPr>
              <w:jc w:val="center"/>
              <w:rPr>
                <w:rFonts w:ascii="Wingdings" w:hAnsi="Wingdings" w:cs="Calibri"/>
                <w:b/>
                <w:bCs/>
                <w:color w:val="000000"/>
                <w:sz w:val="20"/>
                <w:szCs w:val="20"/>
              </w:rPr>
            </w:pPr>
          </w:p>
        </w:tc>
        <w:tc>
          <w:tcPr>
            <w:tcW w:w="560" w:type="pct"/>
            <w:shd w:val="clear" w:color="auto" w:fill="auto"/>
            <w:noWrap/>
            <w:vAlign w:val="center"/>
            <w:hideMark/>
          </w:tcPr>
          <w:p w:rsidR="007B76EA" w:rsidRPr="00CF3842" w:rsidP="001454DF" w14:paraId="31BD0348" w14:textId="77777777">
            <w:pPr>
              <w:jc w:val="center"/>
              <w:rPr>
                <w:rFonts w:ascii="Wingdings" w:hAnsi="Wingdings" w:cs="Calibri"/>
                <w:b/>
                <w:bCs/>
                <w:color w:val="000000"/>
                <w:sz w:val="20"/>
                <w:szCs w:val="20"/>
              </w:rPr>
            </w:pPr>
          </w:p>
        </w:tc>
      </w:tr>
      <w:tr w14:paraId="55FACEF8"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49B96465" w14:textId="77777777">
            <w:pPr>
              <w:rPr>
                <w:rFonts w:cstheme="minorHAnsi"/>
                <w:color w:val="000000"/>
                <w:sz w:val="20"/>
                <w:szCs w:val="20"/>
              </w:rPr>
            </w:pPr>
            <w:r w:rsidRPr="000D1776">
              <w:rPr>
                <w:rFonts w:cstheme="minorHAnsi"/>
                <w:color w:val="000000"/>
                <w:sz w:val="20"/>
                <w:szCs w:val="20"/>
              </w:rPr>
              <w:t>RQ6. How did PHAs and HUD track the implementation of waivers?</w:t>
            </w:r>
          </w:p>
        </w:tc>
        <w:tc>
          <w:tcPr>
            <w:tcW w:w="720" w:type="pct"/>
            <w:shd w:val="clear" w:color="auto" w:fill="auto"/>
            <w:noWrap/>
            <w:vAlign w:val="center"/>
            <w:hideMark/>
          </w:tcPr>
          <w:p w:rsidR="007B76EA" w:rsidRPr="00CF3842" w:rsidP="001454DF" w14:paraId="684D5E9D"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740" w:type="pct"/>
            <w:shd w:val="clear" w:color="auto" w:fill="auto"/>
            <w:noWrap/>
            <w:vAlign w:val="center"/>
            <w:hideMark/>
          </w:tcPr>
          <w:p w:rsidR="007B76EA" w:rsidRPr="00CF3842" w:rsidP="001454DF" w14:paraId="7B33AAC3"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082AF31A" w14:textId="77777777">
            <w:pPr>
              <w:jc w:val="center"/>
              <w:rPr>
                <w:rFonts w:ascii="Wingdings" w:hAnsi="Wingdings" w:cs="Calibri"/>
                <w:b/>
                <w:bCs/>
                <w:color w:val="000000"/>
                <w:sz w:val="20"/>
                <w:szCs w:val="20"/>
              </w:rPr>
            </w:pPr>
          </w:p>
        </w:tc>
        <w:tc>
          <w:tcPr>
            <w:tcW w:w="560" w:type="pct"/>
            <w:shd w:val="clear" w:color="auto" w:fill="auto"/>
            <w:noWrap/>
            <w:vAlign w:val="center"/>
            <w:hideMark/>
          </w:tcPr>
          <w:p w:rsidR="007B76EA" w:rsidRPr="00CF3842" w:rsidP="001454DF" w14:paraId="72BCF473" w14:textId="77777777">
            <w:pPr>
              <w:jc w:val="center"/>
              <w:rPr>
                <w:rFonts w:ascii="Wingdings" w:hAnsi="Wingdings" w:cs="Calibri"/>
                <w:b/>
                <w:bCs/>
                <w:color w:val="000000"/>
                <w:sz w:val="20"/>
                <w:szCs w:val="20"/>
              </w:rPr>
            </w:pPr>
          </w:p>
        </w:tc>
      </w:tr>
      <w:tr w14:paraId="49FFD2C4" w14:textId="77777777" w:rsidTr="001454DF">
        <w:tblPrEx>
          <w:tblW w:w="4967" w:type="pct"/>
          <w:tblLook w:val="04A0"/>
        </w:tblPrEx>
        <w:trPr>
          <w:trHeight w:val="20"/>
        </w:trPr>
        <w:tc>
          <w:tcPr>
            <w:tcW w:w="5000" w:type="pct"/>
            <w:gridSpan w:val="5"/>
            <w:shd w:val="clear" w:color="auto" w:fill="F2F2F2" w:themeFill="background1" w:themeFillShade="F2"/>
            <w:vAlign w:val="center"/>
            <w:hideMark/>
          </w:tcPr>
          <w:p w:rsidR="007B76EA" w:rsidRPr="000D1776" w:rsidP="001454DF" w14:paraId="11E2EF37" w14:textId="77777777">
            <w:pPr>
              <w:rPr>
                <w:rFonts w:cstheme="minorHAnsi"/>
                <w:b/>
                <w:bCs/>
                <w:color w:val="000000"/>
                <w:sz w:val="20"/>
                <w:szCs w:val="20"/>
              </w:rPr>
            </w:pPr>
            <w:r w:rsidRPr="000D1776">
              <w:rPr>
                <w:rFonts w:cstheme="minorHAnsi"/>
                <w:b/>
                <w:bCs/>
                <w:color w:val="000000"/>
                <w:sz w:val="20"/>
                <w:szCs w:val="20"/>
              </w:rPr>
              <w:t>Outcomes</w:t>
            </w:r>
          </w:p>
        </w:tc>
      </w:tr>
      <w:tr w14:paraId="56B664EA"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76459579" w14:textId="77777777">
            <w:pPr>
              <w:rPr>
                <w:rFonts w:cstheme="minorHAnsi"/>
                <w:color w:val="000000"/>
                <w:sz w:val="20"/>
                <w:szCs w:val="20"/>
              </w:rPr>
            </w:pPr>
            <w:r w:rsidRPr="000D1776">
              <w:rPr>
                <w:rFonts w:cstheme="minorHAnsi"/>
                <w:color w:val="000000"/>
                <w:sz w:val="20"/>
                <w:szCs w:val="20"/>
              </w:rPr>
              <w:t>RQ7. Based on available evidence, how (if at all) did waivers authorized by the CARES Act benefit assisted households?</w:t>
            </w:r>
          </w:p>
        </w:tc>
        <w:tc>
          <w:tcPr>
            <w:tcW w:w="720" w:type="pct"/>
            <w:shd w:val="clear" w:color="auto" w:fill="auto"/>
            <w:noWrap/>
            <w:vAlign w:val="center"/>
            <w:hideMark/>
          </w:tcPr>
          <w:p w:rsidR="007B76EA" w:rsidRPr="00CF3842" w:rsidP="001454DF" w14:paraId="66842EDA"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7806509C"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254F74B3"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743CAC99"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39D1D28A"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2E4A3E40" w14:textId="77777777">
            <w:pPr>
              <w:rPr>
                <w:rFonts w:cstheme="minorHAnsi"/>
                <w:color w:val="000000"/>
                <w:sz w:val="20"/>
                <w:szCs w:val="20"/>
              </w:rPr>
            </w:pPr>
            <w:r w:rsidRPr="000D1776">
              <w:rPr>
                <w:rFonts w:cstheme="minorHAnsi"/>
                <w:color w:val="000000"/>
                <w:sz w:val="20"/>
                <w:szCs w:val="20"/>
              </w:rPr>
              <w:t xml:space="preserve">RQ8. Based on available evidence, how (if at all) did the waivers authorized by the CARES Act negatively affect assisted households? </w:t>
            </w:r>
          </w:p>
        </w:tc>
        <w:tc>
          <w:tcPr>
            <w:tcW w:w="720" w:type="pct"/>
            <w:shd w:val="clear" w:color="auto" w:fill="auto"/>
            <w:noWrap/>
            <w:vAlign w:val="center"/>
            <w:hideMark/>
          </w:tcPr>
          <w:p w:rsidR="007B76EA" w:rsidRPr="00CF3842" w:rsidP="001454DF" w14:paraId="7142DD89"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2D39CB21"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1D327C4B"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34D711C7"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6944CEF9"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4186CA68" w14:textId="77777777">
            <w:pPr>
              <w:rPr>
                <w:rFonts w:cstheme="minorHAnsi"/>
                <w:color w:val="000000"/>
                <w:sz w:val="20"/>
                <w:szCs w:val="20"/>
              </w:rPr>
            </w:pPr>
            <w:r w:rsidRPr="000D1776">
              <w:rPr>
                <w:rFonts w:cstheme="minorHAnsi"/>
                <w:color w:val="000000"/>
                <w:sz w:val="20"/>
                <w:szCs w:val="20"/>
              </w:rPr>
              <w:t>RQ9. How did waivers authorized by the CARES Act affect service delivery models and general PHA operations?</w:t>
            </w:r>
          </w:p>
        </w:tc>
        <w:tc>
          <w:tcPr>
            <w:tcW w:w="720" w:type="pct"/>
            <w:shd w:val="clear" w:color="auto" w:fill="auto"/>
            <w:noWrap/>
            <w:vAlign w:val="center"/>
            <w:hideMark/>
          </w:tcPr>
          <w:p w:rsidR="007B76EA" w:rsidRPr="00CF3842" w:rsidP="001454DF" w14:paraId="6B0FBC30" w14:textId="77777777">
            <w:pPr>
              <w:jc w:val="center"/>
              <w:rPr>
                <w:rFonts w:ascii="Wingdings" w:cs="Calibri"/>
                <w:b/>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55B3776B" w14:textId="77777777">
            <w:pPr>
              <w:jc w:val="center"/>
              <w:rPr>
                <w:rFonts w:ascii="Wingdings" w:cs="Calibri"/>
                <w:b/>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60F938FB" w14:textId="77777777">
            <w:pPr>
              <w:jc w:val="center"/>
              <w:rPr>
                <w:rFonts w:ascii="Wingdings" w:cs="Calibri"/>
                <w:b/>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540BF1B7" w14:textId="77777777">
            <w:pPr>
              <w:jc w:val="center"/>
              <w:rPr>
                <w:rFonts w:ascii="Wingdings" w:cs="Calibri"/>
                <w:b/>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1E27A22B"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0FC509F7" w14:textId="77777777">
            <w:pPr>
              <w:rPr>
                <w:rFonts w:cstheme="minorHAnsi"/>
                <w:color w:val="000000"/>
                <w:sz w:val="20"/>
                <w:szCs w:val="20"/>
              </w:rPr>
            </w:pPr>
            <w:r w:rsidRPr="000D1776">
              <w:rPr>
                <w:rFonts w:cstheme="minorHAnsi"/>
                <w:color w:val="000000"/>
                <w:sz w:val="20"/>
                <w:szCs w:val="20"/>
              </w:rPr>
              <w:t>a. How did these waivers affect quality of services and operations?</w:t>
            </w:r>
          </w:p>
        </w:tc>
        <w:tc>
          <w:tcPr>
            <w:tcW w:w="720" w:type="pct"/>
            <w:shd w:val="clear" w:color="auto" w:fill="auto"/>
            <w:noWrap/>
            <w:vAlign w:val="center"/>
            <w:hideMark/>
          </w:tcPr>
          <w:p w:rsidR="007B76EA" w:rsidRPr="00CF3842" w:rsidP="001454DF" w14:paraId="151C049A"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6EE94070"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055A073F"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69D4A76B"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301B4998"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71850D7B" w14:textId="77777777">
            <w:pPr>
              <w:rPr>
                <w:rFonts w:cstheme="minorHAnsi"/>
                <w:color w:val="000000"/>
                <w:sz w:val="20"/>
                <w:szCs w:val="20"/>
              </w:rPr>
            </w:pPr>
            <w:r w:rsidRPr="000D1776">
              <w:rPr>
                <w:rFonts w:cstheme="minorHAnsi"/>
                <w:color w:val="000000"/>
                <w:sz w:val="20"/>
                <w:szCs w:val="20"/>
              </w:rPr>
              <w:t>b. How did these waivers affect PHA workload?</w:t>
            </w:r>
          </w:p>
        </w:tc>
        <w:tc>
          <w:tcPr>
            <w:tcW w:w="720" w:type="pct"/>
            <w:shd w:val="clear" w:color="auto" w:fill="auto"/>
            <w:noWrap/>
            <w:vAlign w:val="center"/>
            <w:hideMark/>
          </w:tcPr>
          <w:p w:rsidR="007B76EA" w:rsidRPr="00CF3842" w:rsidP="001454DF" w14:paraId="18631AED"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2D0CB7A9"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5BEEA5C2"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6D59FBBC"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39F792D5"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21E30E15" w14:textId="77777777">
            <w:pPr>
              <w:rPr>
                <w:rFonts w:cstheme="minorHAnsi"/>
                <w:color w:val="000000"/>
                <w:sz w:val="20"/>
                <w:szCs w:val="20"/>
              </w:rPr>
            </w:pPr>
            <w:r w:rsidRPr="000D1776">
              <w:rPr>
                <w:rFonts w:cstheme="minorHAnsi"/>
                <w:color w:val="000000"/>
                <w:sz w:val="20"/>
                <w:szCs w:val="20"/>
              </w:rPr>
              <w:t>RQ10. How did waivers offered by the CARES Act change PHA reporting of administrative data? How did related changes (if any) affect program and performance monitoring?</w:t>
            </w:r>
          </w:p>
        </w:tc>
        <w:tc>
          <w:tcPr>
            <w:tcW w:w="720" w:type="pct"/>
            <w:shd w:val="clear" w:color="auto" w:fill="auto"/>
            <w:noWrap/>
            <w:vAlign w:val="center"/>
            <w:hideMark/>
          </w:tcPr>
          <w:p w:rsidR="007B76EA" w:rsidRPr="00CF3842" w:rsidP="001454DF" w14:paraId="1EA00882"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7C7324A3"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68517101"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176933DE"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r w:rsidRPr="00CF3842">
              <w:rPr>
                <w:rFonts w:ascii="Wingdings" w:cs="Calibri"/>
                <w:b/>
                <w:bCs/>
                <w:color w:val="000000"/>
                <w:sz w:val="20"/>
                <w:szCs w:val="20"/>
              </w:rPr>
              <w:t> </w:t>
            </w:r>
          </w:p>
        </w:tc>
      </w:tr>
      <w:tr w14:paraId="6A3F9ABB"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69C8BE48" w14:textId="77777777">
            <w:pPr>
              <w:rPr>
                <w:rFonts w:cstheme="minorHAnsi"/>
                <w:color w:val="000000"/>
                <w:sz w:val="20"/>
                <w:szCs w:val="20"/>
              </w:rPr>
            </w:pPr>
            <w:r w:rsidRPr="000D1776">
              <w:rPr>
                <w:rFonts w:cstheme="minorHAnsi"/>
                <w:color w:val="000000"/>
                <w:sz w:val="20"/>
                <w:szCs w:val="20"/>
              </w:rPr>
              <w:t xml:space="preserve">RQ11. How did additional PHA funding offered by the CARES Act (such as increased operating subsidies for Public Housing and increased administrative fees for </w:t>
            </w:r>
            <w:r w:rsidRPr="00C36F91">
              <w:rPr>
                <w:rFonts w:cstheme="minorHAnsi"/>
                <w:color w:val="000000"/>
                <w:sz w:val="20"/>
                <w:szCs w:val="20"/>
              </w:rPr>
              <w:t>HCV</w:t>
            </w:r>
            <w:r w:rsidRPr="000D1776">
              <w:rPr>
                <w:rFonts w:cstheme="minorHAnsi"/>
                <w:color w:val="000000"/>
                <w:sz w:val="20"/>
                <w:szCs w:val="20"/>
              </w:rPr>
              <w:t>) affect how PHA adopted or implemented waivers?</w:t>
            </w:r>
          </w:p>
        </w:tc>
        <w:tc>
          <w:tcPr>
            <w:tcW w:w="720" w:type="pct"/>
            <w:shd w:val="clear" w:color="auto" w:fill="auto"/>
            <w:noWrap/>
            <w:vAlign w:val="center"/>
            <w:hideMark/>
          </w:tcPr>
          <w:p w:rsidR="007B76EA" w:rsidRPr="00CF3842" w:rsidP="001454DF" w14:paraId="5538C63E"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7E1A1C8D"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4AC639DE"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31A6E22D"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r>
      <w:tr w14:paraId="23637E97"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251FF597" w14:textId="77777777">
            <w:pPr>
              <w:rPr>
                <w:rFonts w:cstheme="minorHAnsi"/>
                <w:color w:val="000000"/>
                <w:sz w:val="20"/>
                <w:szCs w:val="20"/>
              </w:rPr>
            </w:pPr>
            <w:r w:rsidRPr="000D1776">
              <w:rPr>
                <w:rFonts w:cstheme="minorHAnsi"/>
                <w:color w:val="000000"/>
                <w:sz w:val="20"/>
                <w:szCs w:val="20"/>
              </w:rPr>
              <w:t xml:space="preserve">RQ12. How did the expiration of waivers authorized by the CARES Act affect PHAs and assisted households? </w:t>
            </w:r>
          </w:p>
        </w:tc>
        <w:tc>
          <w:tcPr>
            <w:tcW w:w="720" w:type="pct"/>
            <w:shd w:val="clear" w:color="auto" w:fill="auto"/>
            <w:noWrap/>
            <w:vAlign w:val="center"/>
            <w:hideMark/>
          </w:tcPr>
          <w:p w:rsidR="007B76EA" w:rsidRPr="00CF3842" w:rsidP="001454DF" w14:paraId="561D6CC8"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41E32712"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425EC564"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48C75DBA"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r>
      <w:tr w14:paraId="50313683"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3AFC2E6A" w14:textId="77777777">
            <w:pPr>
              <w:rPr>
                <w:rFonts w:cstheme="minorHAnsi"/>
                <w:color w:val="000000"/>
                <w:sz w:val="20"/>
                <w:szCs w:val="20"/>
              </w:rPr>
            </w:pPr>
            <w:r w:rsidRPr="000D1776">
              <w:rPr>
                <w:rFonts w:cstheme="minorHAnsi"/>
                <w:color w:val="000000"/>
                <w:sz w:val="20"/>
                <w:szCs w:val="20"/>
              </w:rPr>
              <w:t>RQ13. How did the removal of HUD’s review and approval process for waivers authorized by the CARES Act affect PHAs? What were the related challenges and benefits?</w:t>
            </w:r>
          </w:p>
        </w:tc>
        <w:tc>
          <w:tcPr>
            <w:tcW w:w="720" w:type="pct"/>
            <w:shd w:val="clear" w:color="auto" w:fill="auto"/>
            <w:noWrap/>
            <w:vAlign w:val="center"/>
            <w:hideMark/>
          </w:tcPr>
          <w:p w:rsidR="007B76EA" w:rsidRPr="00CF3842" w:rsidP="001454DF" w14:paraId="778D5DE3"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0557D550"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159F1DAE"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144257DB"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r>
      <w:tr w14:paraId="77A78767"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0B052426" w14:textId="77777777">
            <w:pPr>
              <w:rPr>
                <w:rFonts w:cstheme="minorHAnsi"/>
                <w:color w:val="000000"/>
                <w:sz w:val="20"/>
                <w:szCs w:val="20"/>
              </w:rPr>
            </w:pPr>
            <w:r w:rsidRPr="000D1776">
              <w:rPr>
                <w:rFonts w:cstheme="minorHAnsi"/>
                <w:color w:val="000000"/>
                <w:sz w:val="20"/>
                <w:szCs w:val="20"/>
              </w:rPr>
              <w:t>RQ14. How did HUD efforts to continue some of the flexibilities offered by the CARES Act</w:t>
            </w:r>
            <w:r>
              <w:rPr>
                <w:rFonts w:cstheme="minorHAnsi"/>
                <w:color w:val="000000"/>
                <w:sz w:val="20"/>
                <w:szCs w:val="20"/>
              </w:rPr>
              <w:t xml:space="preserve"> (e.g., </w:t>
            </w:r>
            <w:r w:rsidRPr="000D1776">
              <w:rPr>
                <w:rFonts w:cstheme="minorHAnsi"/>
                <w:color w:val="000000"/>
                <w:sz w:val="20"/>
                <w:szCs w:val="20"/>
              </w:rPr>
              <w:t>the expedited regulatory waivers</w:t>
            </w:r>
            <w:r>
              <w:rPr>
                <w:rFonts w:cstheme="minorHAnsi"/>
                <w:color w:val="000000"/>
                <w:sz w:val="20"/>
                <w:szCs w:val="20"/>
              </w:rPr>
              <w:t>)</w:t>
            </w:r>
            <w:r w:rsidRPr="000D1776">
              <w:rPr>
                <w:rFonts w:cstheme="minorHAnsi"/>
                <w:color w:val="000000"/>
                <w:sz w:val="20"/>
                <w:szCs w:val="20"/>
              </w:rPr>
              <w:t xml:space="preserve"> affect PHAs and assisted households?</w:t>
            </w:r>
          </w:p>
        </w:tc>
        <w:tc>
          <w:tcPr>
            <w:tcW w:w="720" w:type="pct"/>
            <w:shd w:val="clear" w:color="auto" w:fill="auto"/>
            <w:noWrap/>
            <w:vAlign w:val="center"/>
            <w:hideMark/>
          </w:tcPr>
          <w:p w:rsidR="007B76EA" w:rsidRPr="00CF3842" w:rsidP="001454DF" w14:paraId="5F487023"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noWrap/>
            <w:vAlign w:val="center"/>
            <w:hideMark/>
          </w:tcPr>
          <w:p w:rsidR="007B76EA" w:rsidRPr="00CF3842" w:rsidP="001454DF" w14:paraId="7902E09A"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7E6F77BE"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560" w:type="pct"/>
            <w:shd w:val="clear" w:color="auto" w:fill="auto"/>
            <w:noWrap/>
            <w:vAlign w:val="center"/>
            <w:hideMark/>
          </w:tcPr>
          <w:p w:rsidR="007B76EA" w:rsidRPr="00CF3842" w:rsidP="001454DF" w14:paraId="1551A159"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r>
      <w:tr w14:paraId="088887AE" w14:textId="77777777" w:rsidTr="001454DF">
        <w:tblPrEx>
          <w:tblW w:w="4967" w:type="pct"/>
          <w:tblLook w:val="04A0"/>
        </w:tblPrEx>
        <w:trPr>
          <w:trHeight w:val="20"/>
        </w:trPr>
        <w:tc>
          <w:tcPr>
            <w:tcW w:w="5000" w:type="pct"/>
            <w:gridSpan w:val="5"/>
            <w:shd w:val="clear" w:color="auto" w:fill="F2F2F2" w:themeFill="background1" w:themeFillShade="F2"/>
            <w:vAlign w:val="center"/>
            <w:hideMark/>
          </w:tcPr>
          <w:p w:rsidR="007B76EA" w:rsidRPr="000D1776" w:rsidP="001454DF" w14:paraId="710283D5" w14:textId="77777777">
            <w:pPr>
              <w:rPr>
                <w:rFonts w:cstheme="minorHAnsi"/>
                <w:b/>
                <w:bCs/>
                <w:color w:val="000000"/>
                <w:sz w:val="20"/>
                <w:szCs w:val="20"/>
              </w:rPr>
            </w:pPr>
            <w:r w:rsidRPr="000D1776">
              <w:rPr>
                <w:rFonts w:cstheme="minorHAnsi"/>
                <w:b/>
                <w:bCs/>
                <w:color w:val="000000"/>
                <w:sz w:val="20"/>
                <w:szCs w:val="20"/>
              </w:rPr>
              <w:t>Trends and Characteristics</w:t>
            </w:r>
          </w:p>
        </w:tc>
      </w:tr>
      <w:tr w14:paraId="6D723080"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78C9D714" w14:textId="77777777">
            <w:pPr>
              <w:rPr>
                <w:rFonts w:cstheme="minorHAnsi"/>
                <w:color w:val="000000"/>
                <w:sz w:val="20"/>
                <w:szCs w:val="20"/>
              </w:rPr>
            </w:pPr>
            <w:r w:rsidRPr="000D1776">
              <w:rPr>
                <w:rFonts w:cstheme="minorHAnsi"/>
                <w:color w:val="000000"/>
                <w:sz w:val="20"/>
                <w:szCs w:val="20"/>
              </w:rPr>
              <w:t>RQ15. Which waivers offered by the CARES Act were the least and most adopted and why did PHAs tend to utilize some of these waivers more than others?</w:t>
            </w:r>
          </w:p>
        </w:tc>
        <w:tc>
          <w:tcPr>
            <w:tcW w:w="720" w:type="pct"/>
            <w:shd w:val="clear" w:color="auto" w:fill="auto"/>
            <w:noWrap/>
            <w:vAlign w:val="center"/>
            <w:hideMark/>
          </w:tcPr>
          <w:p w:rsidR="007B76EA" w:rsidRPr="00CF3842" w:rsidP="001454DF" w14:paraId="724D154C" w14:textId="77777777">
            <w:pPr>
              <w:jc w:val="center"/>
              <w:rPr>
                <w:rFonts w:ascii="Wingdings" w:hAnsi="Wingdings" w:cs="Calibri"/>
                <w:b/>
                <w:bCs/>
                <w:color w:val="000000"/>
                <w:sz w:val="20"/>
                <w:szCs w:val="20"/>
              </w:rPr>
            </w:pPr>
            <w:r w:rsidRPr="00CF3842">
              <w:rPr>
                <w:rFonts w:ascii="Wingdings" w:cs="Calibri"/>
                <w:b/>
                <w:bCs/>
                <w:color w:val="000000"/>
                <w:sz w:val="20"/>
                <w:szCs w:val="20"/>
              </w:rPr>
              <w:t> </w:t>
            </w:r>
          </w:p>
        </w:tc>
        <w:tc>
          <w:tcPr>
            <w:tcW w:w="740" w:type="pct"/>
            <w:shd w:val="clear" w:color="auto" w:fill="auto"/>
            <w:vAlign w:val="center"/>
            <w:hideMark/>
          </w:tcPr>
          <w:p w:rsidR="007B76EA" w:rsidRPr="00CF3842" w:rsidP="001454DF" w14:paraId="1236E858" w14:textId="77777777">
            <w:pPr>
              <w:jc w:val="center"/>
              <w:rPr>
                <w:rFonts w:cs="Calibri"/>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5F7C2274"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60" w:type="pct"/>
            <w:shd w:val="clear" w:color="auto" w:fill="auto"/>
            <w:noWrap/>
            <w:vAlign w:val="center"/>
            <w:hideMark/>
          </w:tcPr>
          <w:p w:rsidR="007B76EA" w:rsidRPr="00CF3842" w:rsidP="001454DF" w14:paraId="3842959B" w14:textId="77777777">
            <w:pPr>
              <w:jc w:val="center"/>
              <w:rPr>
                <w:rFonts w:ascii="Wingdings" w:hAnsi="Wingdings" w:cs="Calibri"/>
                <w:b/>
                <w:bCs/>
                <w:color w:val="000000"/>
                <w:sz w:val="20"/>
                <w:szCs w:val="20"/>
              </w:rPr>
            </w:pPr>
          </w:p>
        </w:tc>
      </w:tr>
      <w:tr w14:paraId="3CE36F40"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50BB8C7E" w14:textId="77777777">
            <w:pPr>
              <w:rPr>
                <w:rFonts w:cstheme="minorHAnsi"/>
                <w:color w:val="000000"/>
                <w:sz w:val="20"/>
                <w:szCs w:val="20"/>
              </w:rPr>
            </w:pPr>
            <w:r w:rsidRPr="000D1776">
              <w:rPr>
                <w:rFonts w:cstheme="minorHAnsi"/>
                <w:color w:val="000000"/>
                <w:sz w:val="20"/>
                <w:szCs w:val="20"/>
              </w:rPr>
              <w:t>RQ16. What are the characteristics of PHAs that utilized waivers offered by the CARES Act and those that did not utilize these waivers?</w:t>
            </w:r>
          </w:p>
        </w:tc>
        <w:tc>
          <w:tcPr>
            <w:tcW w:w="720" w:type="pct"/>
            <w:shd w:val="clear" w:color="auto" w:fill="auto"/>
            <w:vAlign w:val="center"/>
            <w:hideMark/>
          </w:tcPr>
          <w:p w:rsidR="007B76EA" w:rsidRPr="00CF3842" w:rsidP="001454DF" w14:paraId="4609B07D" w14:textId="77777777">
            <w:pPr>
              <w:rPr>
                <w:rFonts w:ascii="Calibri" w:hAnsi="Calibri" w:cs="Calibri"/>
                <w:color w:val="000000"/>
                <w:sz w:val="20"/>
                <w:szCs w:val="20"/>
              </w:rPr>
            </w:pPr>
            <w:r w:rsidRPr="00CF3842">
              <w:rPr>
                <w:rFonts w:cs="Calibri"/>
                <w:color w:val="000000"/>
                <w:sz w:val="20"/>
                <w:szCs w:val="20"/>
              </w:rPr>
              <w:t> </w:t>
            </w:r>
          </w:p>
        </w:tc>
        <w:tc>
          <w:tcPr>
            <w:tcW w:w="740" w:type="pct"/>
            <w:shd w:val="clear" w:color="auto" w:fill="auto"/>
            <w:vAlign w:val="center"/>
            <w:hideMark/>
          </w:tcPr>
          <w:p w:rsidR="007B76EA" w:rsidRPr="00CF3842" w:rsidP="001454DF" w14:paraId="7CC488C4" w14:textId="77777777">
            <w:pPr>
              <w:rPr>
                <w:rFonts w:cs="Calibri"/>
                <w:color w:val="000000"/>
                <w:sz w:val="20"/>
                <w:szCs w:val="20"/>
              </w:rPr>
            </w:pPr>
            <w:r w:rsidRPr="00CF3842">
              <w:rPr>
                <w:rFonts w:cs="Calibri"/>
                <w:color w:val="000000"/>
                <w:sz w:val="20"/>
                <w:szCs w:val="20"/>
              </w:rPr>
              <w:t> </w:t>
            </w:r>
          </w:p>
        </w:tc>
        <w:tc>
          <w:tcPr>
            <w:tcW w:w="533" w:type="pct"/>
            <w:shd w:val="clear" w:color="auto" w:fill="auto"/>
            <w:noWrap/>
            <w:vAlign w:val="center"/>
            <w:hideMark/>
          </w:tcPr>
          <w:p w:rsidR="007B76EA" w:rsidRPr="00CF3842" w:rsidP="001454DF" w14:paraId="1ABFD3D9"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60" w:type="pct"/>
            <w:shd w:val="clear" w:color="auto" w:fill="auto"/>
            <w:noWrap/>
            <w:vAlign w:val="center"/>
            <w:hideMark/>
          </w:tcPr>
          <w:p w:rsidR="007B76EA" w:rsidRPr="00CF3842" w:rsidP="001454DF" w14:paraId="4C2EDD0F" w14:textId="77777777">
            <w:pPr>
              <w:jc w:val="center"/>
              <w:rPr>
                <w:rFonts w:ascii="Wingdings" w:hAnsi="Wingdings" w:cs="Calibri"/>
                <w:b/>
                <w:bCs/>
                <w:color w:val="000000"/>
                <w:sz w:val="20"/>
                <w:szCs w:val="20"/>
              </w:rPr>
            </w:pPr>
          </w:p>
        </w:tc>
      </w:tr>
      <w:tr w14:paraId="19F43C9A"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7C2FCC2E" w14:textId="77777777">
            <w:pPr>
              <w:rPr>
                <w:rFonts w:cstheme="minorHAnsi"/>
                <w:color w:val="000000"/>
                <w:sz w:val="20"/>
                <w:szCs w:val="20"/>
              </w:rPr>
            </w:pPr>
            <w:r w:rsidRPr="000D1776">
              <w:rPr>
                <w:rFonts w:cstheme="minorHAnsi"/>
                <w:color w:val="000000"/>
                <w:sz w:val="20"/>
                <w:szCs w:val="20"/>
              </w:rPr>
              <w:t>RQ17. How did MTW PHAs utilize waivers compared to non-MTW PHAs?</w:t>
            </w:r>
          </w:p>
        </w:tc>
        <w:tc>
          <w:tcPr>
            <w:tcW w:w="720" w:type="pct"/>
            <w:shd w:val="clear" w:color="auto" w:fill="auto"/>
            <w:vAlign w:val="center"/>
            <w:hideMark/>
          </w:tcPr>
          <w:p w:rsidR="007B76EA" w:rsidRPr="00CF3842" w:rsidP="001454DF" w14:paraId="50B8EA0F" w14:textId="77777777">
            <w:pPr>
              <w:rPr>
                <w:rFonts w:ascii="Calibri" w:hAnsi="Calibri" w:cs="Calibri"/>
                <w:color w:val="000000"/>
                <w:sz w:val="20"/>
                <w:szCs w:val="20"/>
              </w:rPr>
            </w:pPr>
            <w:r w:rsidRPr="00CF3842">
              <w:rPr>
                <w:rFonts w:cs="Calibri"/>
                <w:color w:val="000000"/>
                <w:sz w:val="20"/>
                <w:szCs w:val="20"/>
              </w:rPr>
              <w:t> </w:t>
            </w:r>
          </w:p>
        </w:tc>
        <w:tc>
          <w:tcPr>
            <w:tcW w:w="740" w:type="pct"/>
            <w:shd w:val="clear" w:color="auto" w:fill="auto"/>
            <w:vAlign w:val="center"/>
            <w:hideMark/>
          </w:tcPr>
          <w:p w:rsidR="007B76EA" w:rsidRPr="00CF3842" w:rsidP="001454DF" w14:paraId="60F82A46" w14:textId="77777777">
            <w:pPr>
              <w:jc w:val="center"/>
              <w:rPr>
                <w:rFonts w:cs="Calibri"/>
                <w:color w:val="000000"/>
                <w:sz w:val="20"/>
                <w:szCs w:val="20"/>
              </w:rPr>
            </w:pPr>
          </w:p>
        </w:tc>
        <w:tc>
          <w:tcPr>
            <w:tcW w:w="533" w:type="pct"/>
            <w:shd w:val="clear" w:color="auto" w:fill="auto"/>
            <w:noWrap/>
            <w:vAlign w:val="center"/>
            <w:hideMark/>
          </w:tcPr>
          <w:p w:rsidR="007B76EA" w:rsidRPr="00CF3842" w:rsidP="001454DF" w14:paraId="2B7A9DB1"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60" w:type="pct"/>
            <w:shd w:val="clear" w:color="auto" w:fill="auto"/>
            <w:noWrap/>
            <w:vAlign w:val="center"/>
            <w:hideMark/>
          </w:tcPr>
          <w:p w:rsidR="007B76EA" w:rsidRPr="00CF3842" w:rsidP="001454DF" w14:paraId="1A00561C" w14:textId="77777777">
            <w:pPr>
              <w:jc w:val="center"/>
              <w:rPr>
                <w:rFonts w:ascii="Wingdings" w:hAnsi="Wingdings" w:cs="Calibri"/>
                <w:b/>
                <w:bCs/>
                <w:color w:val="000000"/>
                <w:sz w:val="20"/>
                <w:szCs w:val="20"/>
              </w:rPr>
            </w:pPr>
          </w:p>
        </w:tc>
      </w:tr>
      <w:tr w14:paraId="78DD56E4"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49C59DE9" w14:textId="77777777">
            <w:pPr>
              <w:rPr>
                <w:rFonts w:cstheme="minorHAnsi"/>
                <w:color w:val="000000"/>
                <w:sz w:val="20"/>
                <w:szCs w:val="20"/>
              </w:rPr>
            </w:pPr>
            <w:r w:rsidRPr="000D1776">
              <w:rPr>
                <w:rFonts w:cstheme="minorHAnsi"/>
                <w:color w:val="000000"/>
                <w:sz w:val="20"/>
                <w:szCs w:val="20"/>
              </w:rPr>
              <w:t>RQ18. Why did some PHAs decline the utilization of all waivers offered by the CARES Act, and what were the characteristics of these PHAs?</w:t>
            </w:r>
          </w:p>
        </w:tc>
        <w:tc>
          <w:tcPr>
            <w:tcW w:w="720" w:type="pct"/>
            <w:shd w:val="clear" w:color="auto" w:fill="auto"/>
            <w:vAlign w:val="center"/>
            <w:hideMark/>
          </w:tcPr>
          <w:p w:rsidR="007B76EA" w:rsidRPr="00CF3842" w:rsidP="001454DF" w14:paraId="3D47D5CD" w14:textId="77777777">
            <w:pPr>
              <w:rPr>
                <w:rFonts w:ascii="Calibri" w:hAnsi="Calibri" w:cs="Calibri"/>
                <w:color w:val="000000"/>
                <w:sz w:val="20"/>
                <w:szCs w:val="20"/>
              </w:rPr>
            </w:pPr>
            <w:r w:rsidRPr="00CF3842">
              <w:rPr>
                <w:rFonts w:cs="Calibri"/>
                <w:color w:val="000000"/>
                <w:sz w:val="20"/>
                <w:szCs w:val="20"/>
              </w:rPr>
              <w:t> </w:t>
            </w:r>
          </w:p>
        </w:tc>
        <w:tc>
          <w:tcPr>
            <w:tcW w:w="740" w:type="pct"/>
            <w:shd w:val="clear" w:color="auto" w:fill="auto"/>
            <w:vAlign w:val="center"/>
            <w:hideMark/>
          </w:tcPr>
          <w:p w:rsidR="007B76EA" w:rsidRPr="00CF3842" w:rsidP="001454DF" w14:paraId="07E1F15E" w14:textId="77777777">
            <w:pPr>
              <w:jc w:val="center"/>
              <w:rPr>
                <w:rFonts w:cs="Calibri"/>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hideMark/>
          </w:tcPr>
          <w:p w:rsidR="007B76EA" w:rsidRPr="00CF3842" w:rsidP="001454DF" w14:paraId="01F5591A"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60" w:type="pct"/>
            <w:shd w:val="clear" w:color="auto" w:fill="auto"/>
            <w:noWrap/>
            <w:vAlign w:val="center"/>
            <w:hideMark/>
          </w:tcPr>
          <w:p w:rsidR="007B76EA" w:rsidRPr="00CF3842" w:rsidP="001454DF" w14:paraId="3C67E588" w14:textId="77777777">
            <w:pPr>
              <w:jc w:val="center"/>
              <w:rPr>
                <w:rFonts w:ascii="Wingdings" w:hAnsi="Wingdings" w:cs="Calibri"/>
                <w:b/>
                <w:bCs/>
                <w:color w:val="000000"/>
                <w:sz w:val="20"/>
                <w:szCs w:val="20"/>
              </w:rPr>
            </w:pPr>
          </w:p>
        </w:tc>
      </w:tr>
      <w:tr w14:paraId="71A8A2CB" w14:textId="77777777" w:rsidTr="001454DF">
        <w:tblPrEx>
          <w:tblW w:w="4967" w:type="pct"/>
          <w:tblLook w:val="04A0"/>
        </w:tblPrEx>
        <w:trPr>
          <w:trHeight w:val="20"/>
        </w:trPr>
        <w:tc>
          <w:tcPr>
            <w:tcW w:w="5000" w:type="pct"/>
            <w:gridSpan w:val="5"/>
            <w:shd w:val="clear" w:color="auto" w:fill="F2F2F2" w:themeFill="background1" w:themeFillShade="F2"/>
            <w:vAlign w:val="center"/>
            <w:hideMark/>
          </w:tcPr>
          <w:p w:rsidR="007B76EA" w:rsidRPr="000D1776" w:rsidP="001454DF" w14:paraId="5E5B5A6B" w14:textId="77777777">
            <w:pPr>
              <w:rPr>
                <w:rFonts w:cstheme="minorHAnsi"/>
                <w:b/>
                <w:bCs/>
                <w:color w:val="000000"/>
                <w:sz w:val="20"/>
                <w:szCs w:val="20"/>
              </w:rPr>
            </w:pPr>
            <w:r w:rsidRPr="000D1776">
              <w:rPr>
                <w:rFonts w:cstheme="minorHAnsi"/>
                <w:b/>
                <w:bCs/>
                <w:color w:val="000000"/>
                <w:sz w:val="20"/>
                <w:szCs w:val="20"/>
              </w:rPr>
              <w:t>Policy and Program Implications</w:t>
            </w:r>
          </w:p>
        </w:tc>
      </w:tr>
      <w:tr w14:paraId="7C768A12"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6D7A4379" w14:textId="77777777">
            <w:pPr>
              <w:rPr>
                <w:rFonts w:cstheme="minorHAnsi"/>
                <w:color w:val="000000"/>
                <w:sz w:val="20"/>
                <w:szCs w:val="20"/>
              </w:rPr>
            </w:pPr>
            <w:r w:rsidRPr="000D1776">
              <w:rPr>
                <w:rFonts w:cstheme="minorHAnsi"/>
                <w:color w:val="000000"/>
                <w:sz w:val="20"/>
                <w:szCs w:val="20"/>
              </w:rPr>
              <w:t>RQ19. Which waivers would PHAs like to consider continuing through regulatory and statutory changes?</w:t>
            </w:r>
          </w:p>
        </w:tc>
        <w:tc>
          <w:tcPr>
            <w:tcW w:w="720" w:type="pct"/>
            <w:shd w:val="clear" w:color="auto" w:fill="auto"/>
            <w:noWrap/>
            <w:vAlign w:val="center"/>
          </w:tcPr>
          <w:p w:rsidR="007B76EA" w:rsidRPr="00CF3842" w:rsidP="001454DF" w14:paraId="067B715F"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48B8F917"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7B38CE4E"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4D4F7634" w14:textId="77777777">
            <w:pPr>
              <w:jc w:val="center"/>
              <w:rPr>
                <w:rFonts w:ascii="Wingdings" w:hAnsi="Wingdings" w:cs="Calibri"/>
                <w:b/>
                <w:bCs/>
                <w:color w:val="000000"/>
                <w:sz w:val="20"/>
                <w:szCs w:val="20"/>
              </w:rPr>
            </w:pPr>
          </w:p>
        </w:tc>
      </w:tr>
      <w:tr w14:paraId="07431F6E"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6A9BC4EE" w14:textId="77777777">
            <w:pPr>
              <w:rPr>
                <w:rFonts w:cstheme="minorHAnsi"/>
                <w:color w:val="000000"/>
                <w:sz w:val="20"/>
                <w:szCs w:val="20"/>
              </w:rPr>
            </w:pPr>
            <w:r w:rsidRPr="000D1776">
              <w:rPr>
                <w:rFonts w:cstheme="minorHAnsi"/>
                <w:color w:val="000000"/>
                <w:sz w:val="20"/>
                <w:szCs w:val="20"/>
              </w:rPr>
              <w:t xml:space="preserve">RQ19.a. What are the reasons for wanting to continue waivers? How would continuing the waivers benefit PHA operations or assisted households? How would </w:t>
            </w:r>
            <w:r>
              <w:rPr>
                <w:rFonts w:cstheme="minorHAnsi"/>
                <w:color w:val="000000"/>
                <w:sz w:val="20"/>
                <w:szCs w:val="20"/>
              </w:rPr>
              <w:t>dis</w:t>
            </w:r>
            <w:r w:rsidRPr="000D1776">
              <w:rPr>
                <w:rFonts w:cstheme="minorHAnsi"/>
                <w:color w:val="000000"/>
                <w:sz w:val="20"/>
                <w:szCs w:val="20"/>
              </w:rPr>
              <w:t>continuing the waivers harm PHA operations or assisted households?</w:t>
            </w:r>
          </w:p>
        </w:tc>
        <w:tc>
          <w:tcPr>
            <w:tcW w:w="720" w:type="pct"/>
            <w:shd w:val="clear" w:color="auto" w:fill="auto"/>
            <w:noWrap/>
            <w:vAlign w:val="center"/>
          </w:tcPr>
          <w:p w:rsidR="007B76EA" w:rsidRPr="00CF3842" w:rsidP="001454DF" w14:paraId="74DEC9FB"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21F79520"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3220B8AE"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2C59ACB3" w14:textId="77777777">
            <w:pPr>
              <w:jc w:val="center"/>
              <w:rPr>
                <w:rFonts w:ascii="Wingdings" w:hAnsi="Wingdings" w:cs="Calibri"/>
                <w:b/>
                <w:bCs/>
                <w:color w:val="000000"/>
                <w:sz w:val="20"/>
                <w:szCs w:val="20"/>
              </w:rPr>
            </w:pPr>
          </w:p>
        </w:tc>
      </w:tr>
      <w:tr w14:paraId="01B5D278"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35196E9E" w14:textId="77777777">
            <w:pPr>
              <w:rPr>
                <w:rFonts w:cstheme="minorHAnsi"/>
                <w:color w:val="000000"/>
                <w:sz w:val="20"/>
                <w:szCs w:val="20"/>
              </w:rPr>
            </w:pPr>
            <w:r w:rsidRPr="000D1776">
              <w:rPr>
                <w:rFonts w:cstheme="minorHAnsi"/>
                <w:color w:val="000000"/>
                <w:sz w:val="20"/>
                <w:szCs w:val="20"/>
              </w:rPr>
              <w:t>RQ19.b. What modifications (if any) would PHAs want to make to the waivers offered by the CARES Act if continued?</w:t>
            </w:r>
          </w:p>
        </w:tc>
        <w:tc>
          <w:tcPr>
            <w:tcW w:w="720" w:type="pct"/>
            <w:shd w:val="clear" w:color="auto" w:fill="auto"/>
            <w:noWrap/>
            <w:vAlign w:val="center"/>
          </w:tcPr>
          <w:p w:rsidR="007B76EA" w:rsidRPr="00CF3842" w:rsidP="001454DF" w14:paraId="2BB56AF5"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69D4FE63"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2B2FFD73"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6B1AE450" w14:textId="77777777">
            <w:pPr>
              <w:jc w:val="center"/>
              <w:rPr>
                <w:rFonts w:ascii="Wingdings" w:hAnsi="Wingdings" w:cs="Calibri"/>
                <w:b/>
                <w:bCs/>
                <w:color w:val="000000"/>
                <w:sz w:val="20"/>
                <w:szCs w:val="20"/>
              </w:rPr>
            </w:pPr>
          </w:p>
        </w:tc>
      </w:tr>
      <w:tr w14:paraId="67262B83"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3757ED62" w14:textId="77777777">
            <w:pPr>
              <w:rPr>
                <w:rFonts w:cstheme="minorHAnsi"/>
                <w:color w:val="000000"/>
                <w:sz w:val="20"/>
                <w:szCs w:val="20"/>
              </w:rPr>
            </w:pPr>
            <w:r w:rsidRPr="000D1776">
              <w:rPr>
                <w:rFonts w:cstheme="minorHAnsi"/>
                <w:color w:val="000000"/>
                <w:sz w:val="20"/>
                <w:szCs w:val="20"/>
              </w:rPr>
              <w:t xml:space="preserve">RQ19.c Are there any waivers PHAs would </w:t>
            </w:r>
            <w:r>
              <w:rPr>
                <w:rFonts w:cstheme="minorHAnsi"/>
                <w:color w:val="000000"/>
                <w:sz w:val="20"/>
                <w:szCs w:val="20"/>
              </w:rPr>
              <w:t>want dis</w:t>
            </w:r>
            <w:r w:rsidRPr="000D1776">
              <w:rPr>
                <w:rFonts w:cstheme="minorHAnsi"/>
                <w:color w:val="000000"/>
                <w:sz w:val="20"/>
                <w:szCs w:val="20"/>
              </w:rPr>
              <w:t xml:space="preserve">continued through regulatory and statutory changes? If so, which </w:t>
            </w:r>
            <w:r>
              <w:rPr>
                <w:rFonts w:cstheme="minorHAnsi"/>
                <w:color w:val="000000"/>
                <w:sz w:val="20"/>
                <w:szCs w:val="20"/>
              </w:rPr>
              <w:t xml:space="preserve">ones </w:t>
            </w:r>
            <w:r w:rsidRPr="000D1776">
              <w:rPr>
                <w:rFonts w:cstheme="minorHAnsi"/>
                <w:color w:val="000000"/>
                <w:sz w:val="20"/>
                <w:szCs w:val="20"/>
              </w:rPr>
              <w:t>and why?</w:t>
            </w:r>
          </w:p>
        </w:tc>
        <w:tc>
          <w:tcPr>
            <w:tcW w:w="720" w:type="pct"/>
            <w:shd w:val="clear" w:color="auto" w:fill="auto"/>
            <w:noWrap/>
            <w:vAlign w:val="center"/>
          </w:tcPr>
          <w:p w:rsidR="007B76EA" w:rsidRPr="00CF3842" w:rsidP="001454DF" w14:paraId="433A8D63"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384EF611"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4842C19E"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440AA343" w14:textId="77777777">
            <w:pPr>
              <w:jc w:val="center"/>
              <w:rPr>
                <w:rFonts w:ascii="Wingdings" w:hAnsi="Wingdings" w:cs="Calibri"/>
                <w:b/>
                <w:bCs/>
                <w:color w:val="000000"/>
                <w:sz w:val="20"/>
                <w:szCs w:val="20"/>
              </w:rPr>
            </w:pPr>
          </w:p>
        </w:tc>
      </w:tr>
      <w:tr w14:paraId="4B359148"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3E602931" w14:textId="77777777">
            <w:pPr>
              <w:rPr>
                <w:rFonts w:cstheme="minorHAnsi"/>
                <w:color w:val="000000"/>
                <w:sz w:val="20"/>
                <w:szCs w:val="20"/>
              </w:rPr>
            </w:pPr>
            <w:r w:rsidRPr="000D1776">
              <w:rPr>
                <w:rFonts w:cstheme="minorHAnsi"/>
                <w:color w:val="000000"/>
                <w:sz w:val="20"/>
                <w:szCs w:val="20"/>
              </w:rPr>
              <w:t>RQ20. How can HUD improve PHA flexibilities (</w:t>
            </w:r>
            <w:r>
              <w:rPr>
                <w:rFonts w:cstheme="minorHAnsi"/>
                <w:color w:val="000000"/>
                <w:sz w:val="20"/>
                <w:szCs w:val="20"/>
              </w:rPr>
              <w:t>e.g.,</w:t>
            </w:r>
            <w:r w:rsidRPr="000D1776">
              <w:rPr>
                <w:rFonts w:cstheme="minorHAnsi"/>
                <w:color w:val="000000"/>
                <w:sz w:val="20"/>
                <w:szCs w:val="20"/>
              </w:rPr>
              <w:t xml:space="preserve"> waivers offered by the CARES Act) that do not require new legislation or </w:t>
            </w:r>
            <w:r>
              <w:rPr>
                <w:rFonts w:cstheme="minorHAnsi"/>
                <w:color w:val="000000"/>
                <w:sz w:val="20"/>
                <w:szCs w:val="20"/>
              </w:rPr>
              <w:t>c</w:t>
            </w:r>
            <w:r w:rsidRPr="000D1776">
              <w:rPr>
                <w:rFonts w:cstheme="minorHAnsi"/>
                <w:color w:val="000000"/>
                <w:sz w:val="20"/>
                <w:szCs w:val="20"/>
              </w:rPr>
              <w:t>ongressional authorization?</w:t>
            </w:r>
          </w:p>
        </w:tc>
        <w:tc>
          <w:tcPr>
            <w:tcW w:w="720" w:type="pct"/>
            <w:shd w:val="clear" w:color="auto" w:fill="auto"/>
            <w:noWrap/>
            <w:vAlign w:val="center"/>
          </w:tcPr>
          <w:p w:rsidR="007B76EA" w:rsidRPr="00CF3842" w:rsidP="001454DF" w14:paraId="0A190629"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7D0DFFB3"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1D1767B2"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25F1E046" w14:textId="77777777">
            <w:pPr>
              <w:jc w:val="center"/>
              <w:rPr>
                <w:rFonts w:ascii="Wingdings" w:hAnsi="Wingdings" w:cs="Calibri"/>
                <w:b/>
                <w:bCs/>
                <w:color w:val="000000"/>
                <w:sz w:val="20"/>
                <w:szCs w:val="20"/>
              </w:rPr>
            </w:pPr>
          </w:p>
        </w:tc>
      </w:tr>
      <w:tr w14:paraId="19BA6FAD" w14:textId="77777777" w:rsidTr="001454DF">
        <w:tblPrEx>
          <w:tblW w:w="4967" w:type="pct"/>
          <w:tblLook w:val="04A0"/>
        </w:tblPrEx>
        <w:trPr>
          <w:trHeight w:val="20"/>
        </w:trPr>
        <w:tc>
          <w:tcPr>
            <w:tcW w:w="2447" w:type="pct"/>
            <w:shd w:val="clear" w:color="auto" w:fill="auto"/>
            <w:vAlign w:val="center"/>
            <w:hideMark/>
          </w:tcPr>
          <w:p w:rsidR="007B76EA" w:rsidRPr="000D1776" w:rsidP="001454DF" w14:paraId="6113454E" w14:textId="77777777">
            <w:pPr>
              <w:rPr>
                <w:rFonts w:cstheme="minorHAnsi"/>
                <w:color w:val="000000"/>
                <w:sz w:val="20"/>
                <w:szCs w:val="20"/>
              </w:rPr>
            </w:pPr>
            <w:r w:rsidRPr="000D1776">
              <w:rPr>
                <w:rFonts w:cstheme="minorHAnsi"/>
                <w:color w:val="000000"/>
                <w:sz w:val="20"/>
                <w:szCs w:val="20"/>
              </w:rPr>
              <w:t>RQ21. How can HUD improve regulatory waivers offered to PHAs? Are expedited regulatory waivers a good continuation or alternative to the waivers offered by the CARES Act?</w:t>
            </w:r>
          </w:p>
        </w:tc>
        <w:tc>
          <w:tcPr>
            <w:tcW w:w="720" w:type="pct"/>
            <w:shd w:val="clear" w:color="auto" w:fill="auto"/>
            <w:noWrap/>
            <w:vAlign w:val="center"/>
          </w:tcPr>
          <w:p w:rsidR="007B76EA" w:rsidRPr="00CF3842" w:rsidP="001454DF" w14:paraId="3B56AC7C" w14:textId="77777777">
            <w:pPr>
              <w:jc w:val="center"/>
              <w:rPr>
                <w:rFonts w:ascii="Wingdings" w:hAnsi="Wingdings" w:cs="Calibri"/>
                <w:b/>
                <w:bCs/>
                <w:color w:val="000000"/>
                <w:sz w:val="20"/>
                <w:szCs w:val="20"/>
              </w:rPr>
            </w:pPr>
          </w:p>
        </w:tc>
        <w:tc>
          <w:tcPr>
            <w:tcW w:w="740" w:type="pct"/>
            <w:shd w:val="clear" w:color="auto" w:fill="auto"/>
            <w:noWrap/>
            <w:vAlign w:val="center"/>
            <w:hideMark/>
          </w:tcPr>
          <w:p w:rsidR="007B76EA" w:rsidRPr="00CF3842" w:rsidP="001454DF" w14:paraId="0723E126" w14:textId="77777777">
            <w:pPr>
              <w:jc w:val="center"/>
              <w:rPr>
                <w:rFonts w:ascii="Wingdings" w:hAnsi="Wingdings" w:cs="Calibri"/>
                <w:b/>
                <w:bCs/>
                <w:color w:val="000000"/>
                <w:sz w:val="20"/>
                <w:szCs w:val="20"/>
              </w:rPr>
            </w:pPr>
            <w:r w:rsidRPr="00CF3842">
              <w:rPr>
                <w:rFonts w:ascii="Wingdings" w:hAnsi="Wingdings" w:cs="Calibri"/>
                <w:b/>
                <w:bCs/>
                <w:color w:val="000000"/>
                <w:sz w:val="20"/>
                <w:szCs w:val="20"/>
              </w:rPr>
              <w:t>ü</w:t>
            </w:r>
          </w:p>
        </w:tc>
        <w:tc>
          <w:tcPr>
            <w:tcW w:w="533" w:type="pct"/>
            <w:shd w:val="clear" w:color="auto" w:fill="auto"/>
            <w:noWrap/>
            <w:vAlign w:val="center"/>
          </w:tcPr>
          <w:p w:rsidR="007B76EA" w:rsidRPr="00CF3842" w:rsidP="001454DF" w14:paraId="068128F4" w14:textId="77777777">
            <w:pPr>
              <w:jc w:val="center"/>
              <w:rPr>
                <w:rFonts w:ascii="Wingdings" w:hAnsi="Wingdings" w:cs="Calibri"/>
                <w:b/>
                <w:bCs/>
                <w:color w:val="000000"/>
                <w:sz w:val="20"/>
                <w:szCs w:val="20"/>
              </w:rPr>
            </w:pPr>
          </w:p>
        </w:tc>
        <w:tc>
          <w:tcPr>
            <w:tcW w:w="560" w:type="pct"/>
            <w:shd w:val="clear" w:color="auto" w:fill="auto"/>
            <w:noWrap/>
            <w:vAlign w:val="center"/>
          </w:tcPr>
          <w:p w:rsidR="007B76EA" w:rsidRPr="00CF3842" w:rsidP="001454DF" w14:paraId="240CCA52" w14:textId="77777777">
            <w:pPr>
              <w:jc w:val="center"/>
              <w:rPr>
                <w:rFonts w:ascii="Wingdings" w:hAnsi="Wingdings" w:cs="Calibri"/>
                <w:b/>
                <w:bCs/>
                <w:color w:val="000000"/>
                <w:sz w:val="20"/>
                <w:szCs w:val="20"/>
              </w:rPr>
            </w:pPr>
          </w:p>
        </w:tc>
      </w:tr>
    </w:tbl>
    <w:p w:rsidR="007B76EA" w:rsidP="007B76EA" w14:paraId="205B090E" w14:textId="77777777">
      <w:pPr>
        <w:rPr>
          <w:noProof/>
          <w:sz w:val="16"/>
          <w:szCs w:val="16"/>
        </w:rPr>
      </w:pPr>
    </w:p>
    <w:p w:rsidR="00AD245C" w:rsidP="007418EB" w14:paraId="22F651BA" w14:textId="60EFDC1A">
      <w:pPr>
        <w:ind w:left="360"/>
      </w:pPr>
      <w:r w:rsidRPr="00514D0F">
        <w:rPr>
          <w:b/>
          <w:color w:val="000000"/>
        </w:rPr>
        <w:t xml:space="preserve">Exhibit </w:t>
      </w:r>
      <w:r w:rsidR="004158E5">
        <w:rPr>
          <w:b/>
          <w:color w:val="000000"/>
        </w:rPr>
        <w:t>B</w:t>
      </w:r>
      <w:r>
        <w:rPr>
          <w:color w:val="000000"/>
        </w:rPr>
        <w:t xml:space="preserve"> details the sections of the </w:t>
      </w:r>
      <w:r w:rsidR="00705038">
        <w:rPr>
          <w:color w:val="000000"/>
        </w:rPr>
        <w:t>M</w:t>
      </w:r>
      <w:r>
        <w:rPr>
          <w:color w:val="000000"/>
        </w:rPr>
        <w:t xml:space="preserve">aster </w:t>
      </w:r>
      <w:r w:rsidR="00705038">
        <w:rPr>
          <w:color w:val="000000"/>
        </w:rPr>
        <w:t>I</w:t>
      </w:r>
      <w:r>
        <w:rPr>
          <w:color w:val="000000"/>
        </w:rPr>
        <w:t xml:space="preserve">nterview </w:t>
      </w:r>
      <w:r w:rsidR="00705038">
        <w:rPr>
          <w:color w:val="000000"/>
        </w:rPr>
        <w:t>G</w:t>
      </w:r>
      <w:r>
        <w:rPr>
          <w:color w:val="000000"/>
        </w:rPr>
        <w:t>uide.</w:t>
      </w:r>
    </w:p>
    <w:p w:rsidR="00E34077" w:rsidRPr="00814C0C" w:rsidP="007418EB" w14:paraId="32DEB51E" w14:textId="77777777">
      <w:pPr>
        <w:ind w:left="360"/>
      </w:pPr>
    </w:p>
    <w:p w:rsidR="00E34077" w:rsidRPr="00814C0C" w:rsidP="007418EB" w14:paraId="4E198C72" w14:textId="48616A93">
      <w:pPr>
        <w:ind w:left="1290" w:hanging="930"/>
        <w:textAlignment w:val="baseline"/>
        <w:rPr>
          <w:b/>
          <w:bCs/>
          <w:color w:val="009CD3"/>
          <w:sz w:val="18"/>
          <w:szCs w:val="18"/>
        </w:rPr>
      </w:pPr>
      <w:r w:rsidRPr="00814C0C">
        <w:rPr>
          <w:b/>
          <w:bCs/>
          <w:color w:val="009CD3"/>
        </w:rPr>
        <w:t xml:space="preserve">Exhibit </w:t>
      </w:r>
      <w:r w:rsidR="004158E5">
        <w:rPr>
          <w:b/>
          <w:bCs/>
          <w:color w:val="009CD3"/>
        </w:rPr>
        <w:t xml:space="preserve">B </w:t>
      </w:r>
      <w:r w:rsidRPr="00814C0C">
        <w:rPr>
          <w:b/>
          <w:bCs/>
          <w:color w:val="009CD3"/>
        </w:rPr>
        <w:t>| Sections Comprising the Semi-Structured Master Interview Guide </w:t>
      </w:r>
    </w:p>
    <w:tbl>
      <w:tblPr>
        <w:tblW w:w="918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8640"/>
      </w:tblGrid>
      <w:tr w14:paraId="1970C779" w14:textId="77777777" w:rsidTr="007418EB">
        <w:tblPrEx>
          <w:tblW w:w="918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40" w:type="dxa"/>
            <w:tcBorders>
              <w:top w:val="nil"/>
              <w:left w:val="nil"/>
              <w:bottom w:val="single" w:sz="6" w:space="0" w:color="009CD3"/>
              <w:right w:val="nil"/>
            </w:tcBorders>
            <w:shd w:val="clear" w:color="auto" w:fill="auto"/>
            <w:hideMark/>
          </w:tcPr>
          <w:p w:rsidR="00E34077" w:rsidRPr="00814C0C" w14:paraId="452DCB8E" w14:textId="77777777">
            <w:pPr>
              <w:textAlignment w:val="baseline"/>
            </w:pPr>
            <w:r w:rsidRPr="00814C0C">
              <w:t>1. </w:t>
            </w:r>
          </w:p>
        </w:tc>
        <w:tc>
          <w:tcPr>
            <w:tcW w:w="8640" w:type="dxa"/>
            <w:tcBorders>
              <w:top w:val="nil"/>
              <w:left w:val="nil"/>
              <w:bottom w:val="single" w:sz="6" w:space="0" w:color="009CD3"/>
              <w:right w:val="nil"/>
            </w:tcBorders>
            <w:shd w:val="clear" w:color="auto" w:fill="auto"/>
            <w:hideMark/>
          </w:tcPr>
          <w:p w:rsidR="00E34077" w:rsidRPr="00814C0C" w14:paraId="08E6CDC6" w14:textId="77777777">
            <w:pPr>
              <w:textAlignment w:val="baseline"/>
            </w:pPr>
            <w:r w:rsidRPr="00814C0C">
              <w:t>Respondent Background </w:t>
            </w:r>
          </w:p>
        </w:tc>
      </w:tr>
      <w:tr w14:paraId="52CBE7CE" w14:textId="77777777" w:rsidTr="007418EB">
        <w:tblPrEx>
          <w:tblW w:w="9180" w:type="dxa"/>
          <w:tblInd w:w="360" w:type="dxa"/>
          <w:tblCellMar>
            <w:left w:w="0" w:type="dxa"/>
            <w:right w:w="0" w:type="dxa"/>
          </w:tblCellMar>
          <w:tblLook w:val="04A0"/>
        </w:tblPrEx>
        <w:tc>
          <w:tcPr>
            <w:tcW w:w="540" w:type="dxa"/>
            <w:tcBorders>
              <w:top w:val="single" w:sz="6" w:space="0" w:color="009CD3"/>
              <w:left w:val="nil"/>
              <w:bottom w:val="single" w:sz="6" w:space="0" w:color="009CD3"/>
              <w:right w:val="nil"/>
            </w:tcBorders>
            <w:shd w:val="clear" w:color="auto" w:fill="auto"/>
            <w:hideMark/>
          </w:tcPr>
          <w:p w:rsidR="00E34077" w:rsidRPr="00814C0C" w14:paraId="16A13CAF" w14:textId="77777777">
            <w:pPr>
              <w:textAlignment w:val="baseline"/>
            </w:pPr>
            <w:r w:rsidRPr="00814C0C">
              <w:t>2. </w:t>
            </w:r>
          </w:p>
        </w:tc>
        <w:tc>
          <w:tcPr>
            <w:tcW w:w="8640" w:type="dxa"/>
            <w:tcBorders>
              <w:top w:val="single" w:sz="6" w:space="0" w:color="009CD3"/>
              <w:left w:val="nil"/>
              <w:bottom w:val="single" w:sz="6" w:space="0" w:color="009CD3"/>
              <w:right w:val="nil"/>
            </w:tcBorders>
            <w:shd w:val="clear" w:color="auto" w:fill="auto"/>
            <w:hideMark/>
          </w:tcPr>
          <w:p w:rsidR="00E34077" w:rsidRPr="00814C0C" w14:paraId="42A1C33E" w14:textId="10E0CE1A">
            <w:pPr>
              <w:textAlignment w:val="baseline"/>
            </w:pPr>
            <w:r w:rsidRPr="00814C0C">
              <w:t>Context affecting the implementation of PHA waivers offered by the CARES Act</w:t>
            </w:r>
          </w:p>
        </w:tc>
      </w:tr>
      <w:tr w14:paraId="7D63077E" w14:textId="77777777" w:rsidTr="007418EB">
        <w:tblPrEx>
          <w:tblW w:w="9180" w:type="dxa"/>
          <w:tblInd w:w="360" w:type="dxa"/>
          <w:tblCellMar>
            <w:left w:w="0" w:type="dxa"/>
            <w:right w:w="0" w:type="dxa"/>
          </w:tblCellMar>
          <w:tblLook w:val="04A0"/>
        </w:tblPrEx>
        <w:tc>
          <w:tcPr>
            <w:tcW w:w="540" w:type="dxa"/>
            <w:tcBorders>
              <w:top w:val="single" w:sz="6" w:space="0" w:color="009CD3"/>
              <w:left w:val="nil"/>
              <w:bottom w:val="single" w:sz="6" w:space="0" w:color="009CD3"/>
              <w:right w:val="nil"/>
            </w:tcBorders>
            <w:shd w:val="clear" w:color="auto" w:fill="auto"/>
            <w:hideMark/>
          </w:tcPr>
          <w:p w:rsidR="00E34077" w:rsidRPr="00814C0C" w14:paraId="7388B235" w14:textId="77777777">
            <w:pPr>
              <w:ind w:right="75"/>
              <w:textAlignment w:val="baseline"/>
            </w:pPr>
            <w:r w:rsidRPr="00814C0C">
              <w:t>3. </w:t>
            </w:r>
          </w:p>
        </w:tc>
        <w:tc>
          <w:tcPr>
            <w:tcW w:w="8640" w:type="dxa"/>
            <w:tcBorders>
              <w:top w:val="single" w:sz="6" w:space="0" w:color="009CD3"/>
              <w:left w:val="nil"/>
              <w:bottom w:val="single" w:sz="6" w:space="0" w:color="009CD3"/>
              <w:right w:val="nil"/>
            </w:tcBorders>
            <w:shd w:val="clear" w:color="auto" w:fill="auto"/>
            <w:hideMark/>
          </w:tcPr>
          <w:p w:rsidR="00E34077" w:rsidRPr="00814C0C" w14:paraId="5E299C6E" w14:textId="77777777">
            <w:pPr>
              <w:ind w:right="75"/>
              <w:textAlignment w:val="baseline"/>
            </w:pPr>
            <w:r w:rsidRPr="00814C0C">
              <w:t>Process for the implementation of PHA waivers offered by the CARES Act </w:t>
            </w:r>
          </w:p>
        </w:tc>
      </w:tr>
      <w:tr w14:paraId="3528FBC2" w14:textId="77777777" w:rsidTr="007418EB">
        <w:tblPrEx>
          <w:tblW w:w="9180" w:type="dxa"/>
          <w:tblInd w:w="360" w:type="dxa"/>
          <w:tblCellMar>
            <w:left w:w="0" w:type="dxa"/>
            <w:right w:w="0" w:type="dxa"/>
          </w:tblCellMar>
          <w:tblLook w:val="04A0"/>
        </w:tblPrEx>
        <w:tc>
          <w:tcPr>
            <w:tcW w:w="540" w:type="dxa"/>
            <w:tcBorders>
              <w:top w:val="single" w:sz="6" w:space="0" w:color="009CD3"/>
              <w:left w:val="nil"/>
              <w:bottom w:val="single" w:sz="6" w:space="0" w:color="009CD3"/>
              <w:right w:val="nil"/>
            </w:tcBorders>
            <w:shd w:val="clear" w:color="auto" w:fill="auto"/>
            <w:hideMark/>
          </w:tcPr>
          <w:p w:rsidR="00E34077" w:rsidRPr="00814C0C" w14:paraId="5B235D50" w14:textId="77777777">
            <w:pPr>
              <w:textAlignment w:val="baseline"/>
            </w:pPr>
            <w:r w:rsidRPr="00814C0C">
              <w:t>4. </w:t>
            </w:r>
          </w:p>
        </w:tc>
        <w:tc>
          <w:tcPr>
            <w:tcW w:w="8640" w:type="dxa"/>
            <w:tcBorders>
              <w:top w:val="single" w:sz="6" w:space="0" w:color="009CD3"/>
              <w:left w:val="nil"/>
              <w:bottom w:val="single" w:sz="6" w:space="0" w:color="009CD3"/>
              <w:right w:val="nil"/>
            </w:tcBorders>
            <w:shd w:val="clear" w:color="auto" w:fill="auto"/>
            <w:hideMark/>
          </w:tcPr>
          <w:p w:rsidR="00E34077" w:rsidRPr="00814C0C" w14:paraId="76BFBFAB" w14:textId="77777777">
            <w:pPr>
              <w:textAlignment w:val="baseline"/>
            </w:pPr>
            <w:r w:rsidRPr="00814C0C">
              <w:t>Perceived outcomes associated with the implementation of PHA waivers offered by the CARES Act on PHAs and assisted households</w:t>
            </w:r>
          </w:p>
        </w:tc>
      </w:tr>
      <w:tr w14:paraId="1B6D5387" w14:textId="77777777" w:rsidTr="007418EB">
        <w:tblPrEx>
          <w:tblW w:w="9180" w:type="dxa"/>
          <w:tblInd w:w="360" w:type="dxa"/>
          <w:tblCellMar>
            <w:left w:w="0" w:type="dxa"/>
            <w:right w:w="0" w:type="dxa"/>
          </w:tblCellMar>
          <w:tblLook w:val="04A0"/>
        </w:tblPrEx>
        <w:tc>
          <w:tcPr>
            <w:tcW w:w="540" w:type="dxa"/>
            <w:tcBorders>
              <w:top w:val="single" w:sz="6" w:space="0" w:color="009CD3"/>
              <w:left w:val="nil"/>
              <w:bottom w:val="single" w:sz="6" w:space="0" w:color="009CD3"/>
              <w:right w:val="nil"/>
            </w:tcBorders>
            <w:shd w:val="clear" w:color="auto" w:fill="auto"/>
          </w:tcPr>
          <w:p w:rsidR="00E34077" w:rsidRPr="00814C0C" w14:paraId="004F060A" w14:textId="1FD9D10E">
            <w:pPr>
              <w:textAlignment w:val="baseline"/>
            </w:pPr>
            <w:r w:rsidRPr="00814C0C">
              <w:t>5</w:t>
            </w:r>
            <w:r w:rsidR="00833B28">
              <w:t>.</w:t>
            </w:r>
          </w:p>
        </w:tc>
        <w:tc>
          <w:tcPr>
            <w:tcW w:w="8640" w:type="dxa"/>
            <w:tcBorders>
              <w:top w:val="single" w:sz="6" w:space="0" w:color="009CD3"/>
              <w:left w:val="nil"/>
              <w:bottom w:val="single" w:sz="6" w:space="0" w:color="009CD3"/>
              <w:right w:val="nil"/>
            </w:tcBorders>
            <w:shd w:val="clear" w:color="auto" w:fill="auto"/>
          </w:tcPr>
          <w:p w:rsidR="00E34077" w:rsidRPr="00814C0C" w14:paraId="72A768D3" w14:textId="77777777">
            <w:pPr>
              <w:textAlignment w:val="baseline"/>
            </w:pPr>
            <w:r w:rsidRPr="00814C0C">
              <w:t>Challenges associated with the implementation of waivers offered by the CARES Act</w:t>
            </w:r>
          </w:p>
        </w:tc>
      </w:tr>
      <w:tr w14:paraId="32595677" w14:textId="77777777" w:rsidTr="007418EB">
        <w:tblPrEx>
          <w:tblW w:w="9180" w:type="dxa"/>
          <w:tblInd w:w="360" w:type="dxa"/>
          <w:tblCellMar>
            <w:left w:w="0" w:type="dxa"/>
            <w:right w:w="0" w:type="dxa"/>
          </w:tblCellMar>
          <w:tblLook w:val="04A0"/>
        </w:tblPrEx>
        <w:tc>
          <w:tcPr>
            <w:tcW w:w="540" w:type="dxa"/>
            <w:tcBorders>
              <w:top w:val="single" w:sz="6" w:space="0" w:color="009CD3"/>
              <w:left w:val="nil"/>
              <w:bottom w:val="nil"/>
              <w:right w:val="nil"/>
            </w:tcBorders>
            <w:shd w:val="clear" w:color="auto" w:fill="auto"/>
          </w:tcPr>
          <w:p w:rsidR="00E34077" w:rsidRPr="00814C0C" w14:paraId="4C2A210F" w14:textId="5650163A">
            <w:pPr>
              <w:textAlignment w:val="baseline"/>
            </w:pPr>
            <w:r w:rsidRPr="00814C0C">
              <w:t>6</w:t>
            </w:r>
            <w:r w:rsidR="00833B28">
              <w:t>.</w:t>
            </w:r>
          </w:p>
        </w:tc>
        <w:tc>
          <w:tcPr>
            <w:tcW w:w="8640" w:type="dxa"/>
            <w:tcBorders>
              <w:top w:val="single" w:sz="6" w:space="0" w:color="009CD3"/>
              <w:left w:val="nil"/>
              <w:bottom w:val="nil"/>
              <w:right w:val="nil"/>
            </w:tcBorders>
            <w:shd w:val="clear" w:color="auto" w:fill="auto"/>
          </w:tcPr>
          <w:p w:rsidR="00E34077" w:rsidRPr="00814C0C" w14:paraId="07430D13" w14:textId="79BA8F9E">
            <w:pPr>
              <w:textAlignment w:val="baseline"/>
            </w:pPr>
            <w:r w:rsidRPr="00814C0C">
              <w:t>Recommendations for improvement, expansion, and sustainability of PHA flexibilities</w:t>
            </w:r>
          </w:p>
        </w:tc>
      </w:tr>
    </w:tbl>
    <w:p w:rsidR="00E34077" w:rsidRPr="00814C0C" w:rsidP="007418EB" w14:paraId="7AE5A59F" w14:textId="77777777">
      <w:pPr>
        <w:ind w:left="360"/>
      </w:pPr>
    </w:p>
    <w:p w:rsidR="00245C42" w:rsidRPr="00245C42" w:rsidP="006E2A78" w14:paraId="0AA542F5" w14:textId="77777777">
      <w:pPr>
        <w:ind w:firstLine="720"/>
        <w:rPr>
          <w:b/>
          <w:bCs/>
        </w:rPr>
      </w:pPr>
      <w:r w:rsidRPr="00245C42">
        <w:rPr>
          <w:b/>
          <w:bCs/>
        </w:rPr>
        <w:t>Justification for Data Collection Instruments</w:t>
      </w:r>
    </w:p>
    <w:p w:rsidR="00D32CB7" w:rsidRPr="00245C42" w:rsidP="007418EB" w14:paraId="0D2CE586" w14:textId="77777777">
      <w:pPr>
        <w:ind w:left="360" w:firstLine="720"/>
        <w:rPr>
          <w:b/>
          <w:bCs/>
        </w:rPr>
      </w:pPr>
    </w:p>
    <w:p w:rsidR="00245C42" w:rsidP="007418EB" w14:paraId="49FCE2C1" w14:textId="4335B7C2">
      <w:pPr>
        <w:spacing w:after="160" w:line="259" w:lineRule="auto"/>
        <w:ind w:left="360"/>
      </w:pPr>
      <w:r w:rsidRPr="00245C42">
        <w:t xml:space="preserve">Qualitative data from PHA interviews will be used to comprehensively examine, document, and understand </w:t>
      </w:r>
      <w:r w:rsidR="0029510C">
        <w:t>how</w:t>
      </w:r>
      <w:r w:rsidRPr="00245C42">
        <w:t xml:space="preserve"> PHAs used the waivers to </w:t>
      </w:r>
      <w:r w:rsidR="0029510C">
        <w:t>maintain operations and</w:t>
      </w:r>
      <w:r w:rsidRPr="00245C42">
        <w:t xml:space="preserve"> support</w:t>
      </w:r>
      <w:r w:rsidR="00BB7CBB">
        <w:t xml:space="preserve"> residents and</w:t>
      </w:r>
      <w:r w:rsidRPr="00245C42">
        <w:t xml:space="preserve"> tenants</w:t>
      </w:r>
      <w:r w:rsidR="00BB7CBB">
        <w:t xml:space="preserve"> through</w:t>
      </w:r>
      <w:r w:rsidR="0001505E">
        <w:t>out</w:t>
      </w:r>
      <w:r w:rsidR="00BB7CBB">
        <w:t xml:space="preserve"> the pandemic</w:t>
      </w:r>
      <w:r w:rsidRPr="00245C42">
        <w:t xml:space="preserve">. </w:t>
      </w:r>
      <w:r w:rsidR="0001505E">
        <w:t>A</w:t>
      </w:r>
      <w:r w:rsidRPr="00245C42">
        <w:t>ddition</w:t>
      </w:r>
      <w:r w:rsidR="0001505E">
        <w:t>ally</w:t>
      </w:r>
      <w:r w:rsidRPr="00245C42">
        <w:t>, 2M will examine the outcomes, trends, and characteristics of the PHA waivers and explore program implications after the expiration of the</w:t>
      </w:r>
      <w:r w:rsidR="000E7EF5">
        <w:t>se</w:t>
      </w:r>
      <w:r w:rsidRPr="00245C42">
        <w:t xml:space="preserve"> waivers. </w:t>
      </w:r>
      <w:r w:rsidR="00E1399F">
        <w:t xml:space="preserve">Findings from </w:t>
      </w:r>
      <w:r w:rsidR="00EB67CF">
        <w:t xml:space="preserve">our </w:t>
      </w:r>
      <w:r w:rsidR="00E1399F">
        <w:t>interviews will</w:t>
      </w:r>
      <w:r w:rsidR="00712233">
        <w:t xml:space="preserve"> offer</w:t>
      </w:r>
      <w:r w:rsidR="00E1399F">
        <w:t xml:space="preserve"> </w:t>
      </w:r>
      <w:r w:rsidRPr="006237BB" w:rsidR="00E1399F">
        <w:t>implications</w:t>
      </w:r>
      <w:r w:rsidR="00E1399F">
        <w:t xml:space="preserve"> </w:t>
      </w:r>
      <w:r w:rsidRPr="006237BB" w:rsidR="00E1399F">
        <w:t>for</w:t>
      </w:r>
      <w:r w:rsidR="00E1399F">
        <w:t xml:space="preserve"> </w:t>
      </w:r>
      <w:r w:rsidR="0029510C">
        <w:t>ongoing and future PHA waiver policies.</w:t>
      </w:r>
    </w:p>
    <w:p w:rsidR="00245C42" w:rsidP="00245C42" w14:paraId="3D4C8B1F" w14:textId="6935A748">
      <w:pPr>
        <w:pStyle w:val="BodyText"/>
        <w:spacing w:after="0" w:line="276" w:lineRule="auto"/>
        <w:ind w:firstLine="720"/>
        <w:rPr>
          <w:b/>
          <w:sz w:val="24"/>
          <w:szCs w:val="24"/>
        </w:rPr>
      </w:pPr>
      <w:r>
        <w:rPr>
          <w:b/>
          <w:sz w:val="24"/>
          <w:szCs w:val="24"/>
        </w:rPr>
        <w:t xml:space="preserve">Key </w:t>
      </w:r>
      <w:r w:rsidRPr="00514D0F">
        <w:rPr>
          <w:b/>
          <w:sz w:val="24"/>
          <w:szCs w:val="24"/>
        </w:rPr>
        <w:t xml:space="preserve">Study Deliverables </w:t>
      </w:r>
    </w:p>
    <w:p w:rsidR="0029510C" w:rsidRPr="00514D0F" w:rsidP="00245C42" w14:paraId="5E5FC5F2" w14:textId="77777777">
      <w:pPr>
        <w:pStyle w:val="BodyText"/>
        <w:spacing w:after="0" w:line="276" w:lineRule="auto"/>
        <w:ind w:firstLine="720"/>
        <w:rPr>
          <w:b/>
          <w:sz w:val="24"/>
          <w:szCs w:val="24"/>
        </w:rPr>
      </w:pPr>
    </w:p>
    <w:p w:rsidR="00E34077" w:rsidRPr="00245C42" w:rsidP="007418EB" w14:paraId="3088CB53" w14:textId="107F476D">
      <w:pPr>
        <w:spacing w:after="160" w:line="259" w:lineRule="auto"/>
        <w:ind w:left="360"/>
      </w:pPr>
      <w:r w:rsidRPr="00514D0F">
        <w:t>The evaluation will result</w:t>
      </w:r>
      <w:r w:rsidR="0029510C">
        <w:t xml:space="preserve"> in</w:t>
      </w:r>
      <w:r w:rsidRPr="00514D0F">
        <w:t xml:space="preserve"> </w:t>
      </w:r>
      <w:r w:rsidR="0029510C">
        <w:t xml:space="preserve">the development of a Document Review Memo and a Final Comprehensive Report. </w:t>
      </w:r>
      <w:r w:rsidR="006C076C">
        <w:t xml:space="preserve"> </w:t>
      </w:r>
    </w:p>
    <w:p w:rsidR="00BF38CF" w:rsidRPr="00A70C24" w:rsidP="00BF38CF" w14:paraId="7BEC3EAD" w14:textId="27FCE05C">
      <w:pPr>
        <w:widowControl w:val="0"/>
        <w:numPr>
          <w:ilvl w:val="0"/>
          <w:numId w:val="4"/>
        </w:numPr>
        <w:kinsoku w:val="0"/>
        <w:rPr>
          <w:b/>
          <w:bCs/>
        </w:rPr>
      </w:pPr>
      <w:r w:rsidRPr="00A70C24">
        <w:rPr>
          <w:b/>
          <w:bCs/>
        </w:rPr>
        <w:t>Describe whether, and to what extent, the collection of information involves the use of automated, electronic, mechanical, or other technological collection techniques or other forms of information technology</w:t>
      </w:r>
      <w:r w:rsidR="00B82633">
        <w:rPr>
          <w:b/>
          <w:bCs/>
        </w:rPr>
        <w:t xml:space="preserve"> (</w:t>
      </w:r>
      <w:r w:rsidRPr="00A70C24">
        <w:rPr>
          <w:b/>
          <w:bCs/>
        </w:rPr>
        <w:t>e.g., permitting electronic submission of responses</w:t>
      </w:r>
      <w:r w:rsidR="009C3636">
        <w:rPr>
          <w:b/>
          <w:bCs/>
        </w:rPr>
        <w:t>)</w:t>
      </w:r>
      <w:r w:rsidRPr="00A70C24">
        <w:rPr>
          <w:b/>
          <w:bCs/>
        </w:rPr>
        <w:t xml:space="preserve">, and the basis for the decision </w:t>
      </w:r>
      <w:r w:rsidR="009C3636">
        <w:rPr>
          <w:b/>
          <w:bCs/>
        </w:rPr>
        <w:t>to</w:t>
      </w:r>
      <w:r w:rsidRPr="00A70C24">
        <w:rPr>
          <w:b/>
          <w:bCs/>
        </w:rPr>
        <w:t xml:space="preserve"> adopt this means of collection. </w:t>
      </w:r>
      <w:r w:rsidR="00982533">
        <w:rPr>
          <w:b/>
          <w:bCs/>
        </w:rPr>
        <w:t>Please a</w:t>
      </w:r>
      <w:r w:rsidRPr="00A70C24">
        <w:rPr>
          <w:b/>
          <w:bCs/>
        </w:rPr>
        <w:t xml:space="preserve">lso describe any consideration </w:t>
      </w:r>
      <w:r w:rsidR="00982533">
        <w:rPr>
          <w:b/>
          <w:bCs/>
        </w:rPr>
        <w:t>for</w:t>
      </w:r>
      <w:r w:rsidRPr="00A70C24">
        <w:rPr>
          <w:b/>
          <w:bCs/>
        </w:rPr>
        <w:t xml:space="preserve"> using information technology to reduce </w:t>
      </w:r>
      <w:r w:rsidR="007420D5">
        <w:rPr>
          <w:b/>
          <w:bCs/>
        </w:rPr>
        <w:t xml:space="preserve">respondent </w:t>
      </w:r>
      <w:r w:rsidRPr="00A70C24">
        <w:rPr>
          <w:b/>
          <w:bCs/>
        </w:rPr>
        <w:t>burden.</w:t>
      </w:r>
    </w:p>
    <w:p w:rsidR="00BF38CF" w:rsidRPr="00A70C24" w:rsidP="00BF38CF" w14:paraId="312D7526" w14:textId="77777777">
      <w:pPr>
        <w:pStyle w:val="ListParagraph"/>
        <w:rPr>
          <w:b/>
          <w:bCs/>
        </w:rPr>
      </w:pPr>
    </w:p>
    <w:p w:rsidR="003C1DD9" w:rsidP="00590232" w14:paraId="5A52ECDE" w14:textId="5CDF8A1F">
      <w:pPr>
        <w:spacing w:after="160" w:line="259" w:lineRule="auto"/>
        <w:ind w:left="360"/>
      </w:pPr>
      <w:r>
        <w:t>2M</w:t>
      </w:r>
      <w:r w:rsidR="00EC4E33">
        <w:t xml:space="preserve"> will conduct interviews remotely via </w:t>
      </w:r>
      <w:r w:rsidR="00CD7391">
        <w:t xml:space="preserve">a </w:t>
      </w:r>
      <w:r w:rsidR="00EC4E33">
        <w:t xml:space="preserve">secure videoconference platform </w:t>
      </w:r>
      <w:r w:rsidRPr="00514D0F" w:rsidR="00EC4E33">
        <w:t>(</w:t>
      </w:r>
      <w:r w:rsidR="00CD7391">
        <w:t xml:space="preserve">e.g., </w:t>
      </w:r>
      <w:r w:rsidRPr="00514D0F" w:rsidR="00EC4E33">
        <w:t>Microsoft Teams)</w:t>
      </w:r>
      <w:r w:rsidR="00EC4E33">
        <w:t xml:space="preserve"> or over the telephone</w:t>
      </w:r>
      <w:r w:rsidR="00CF14B5">
        <w:t xml:space="preserve">. </w:t>
      </w:r>
      <w:r w:rsidR="00756BAF">
        <w:t>Use of laptops will allow interviewers to quickly record data and continue with the interview without extended pauses or delays for note-taking purposes</w:t>
      </w:r>
      <w:r w:rsidR="00A619DD">
        <w:t xml:space="preserve"> (</w:t>
      </w:r>
      <w:r w:rsidR="008D677F">
        <w:t xml:space="preserve">and </w:t>
      </w:r>
      <w:r w:rsidR="00A619DD">
        <w:t xml:space="preserve">will also ensure </w:t>
      </w:r>
      <w:r w:rsidR="00035DD7">
        <w:t>a back</w:t>
      </w:r>
      <w:r w:rsidR="00245048">
        <w:t>-up record of responses</w:t>
      </w:r>
      <w:r w:rsidR="00A619DD">
        <w:t>)</w:t>
      </w:r>
      <w:r w:rsidR="00756BAF">
        <w:t>. The interviewers will</w:t>
      </w:r>
      <w:r w:rsidR="00756BAF">
        <w:t xml:space="preserve"> </w:t>
      </w:r>
      <w:r w:rsidR="00756BAF">
        <w:t xml:space="preserve">request permission </w:t>
      </w:r>
      <w:r w:rsidR="000C6AEC">
        <w:t xml:space="preserve">from </w:t>
      </w:r>
      <w:r w:rsidR="00F9220F">
        <w:t xml:space="preserve">respondents </w:t>
      </w:r>
      <w:r w:rsidR="000B49F3">
        <w:t xml:space="preserve">before </w:t>
      </w:r>
      <w:r w:rsidR="00756BAF">
        <w:t>record</w:t>
      </w:r>
      <w:r w:rsidR="000B49F3">
        <w:t>ing</w:t>
      </w:r>
      <w:r w:rsidR="00756BAF">
        <w:t xml:space="preserve"> the interview</w:t>
      </w:r>
      <w:r w:rsidR="000B49F3">
        <w:t>.</w:t>
      </w:r>
      <w:r w:rsidR="00756BAF">
        <w:t xml:space="preserve"> All recorded interviews will be transcribed for accuracy. </w:t>
      </w:r>
      <w:r w:rsidR="00CF14B5">
        <w:t xml:space="preserve">This recording </w:t>
      </w:r>
      <w:r w:rsidR="00756BAF">
        <w:t xml:space="preserve">and transcription </w:t>
      </w:r>
      <w:r w:rsidR="00CF14B5">
        <w:t xml:space="preserve">will be stored on SharePoint and </w:t>
      </w:r>
      <w:r w:rsidR="00AF38E8">
        <w:t xml:space="preserve">will </w:t>
      </w:r>
      <w:r w:rsidR="00CF14B5">
        <w:t xml:space="preserve">only </w:t>
      </w:r>
      <w:r w:rsidR="00AF38E8">
        <w:t xml:space="preserve">be </w:t>
      </w:r>
      <w:r w:rsidR="00CF14B5">
        <w:t xml:space="preserve">available to the study team. We </w:t>
      </w:r>
      <w:r w:rsidR="009829AA">
        <w:t xml:space="preserve">will </w:t>
      </w:r>
      <w:r w:rsidR="00756BAF">
        <w:t>upload the transcription</w:t>
      </w:r>
      <w:r w:rsidR="009829AA">
        <w:t xml:space="preserve"> to NVivo</w:t>
      </w:r>
      <w:r w:rsidR="00B260EF">
        <w:t xml:space="preserve">, </w:t>
      </w:r>
      <w:r w:rsidR="00EC4E33">
        <w:t>a qualitative data analysis software</w:t>
      </w:r>
      <w:r w:rsidR="00AF38E8">
        <w:t>,</w:t>
      </w:r>
      <w:r w:rsidR="00EC4E33">
        <w:t xml:space="preserve"> for coding and analysis</w:t>
      </w:r>
      <w:r w:rsidR="00D70BCF">
        <w:t xml:space="preserve"> using a multistage process.</w:t>
      </w:r>
      <w:r w:rsidR="00EC4E33">
        <w:t xml:space="preserve"> </w:t>
      </w:r>
    </w:p>
    <w:p w:rsidR="00590232" w:rsidP="00590232" w14:paraId="06C2B243" w14:textId="77777777">
      <w:pPr>
        <w:spacing w:after="160" w:line="259" w:lineRule="auto"/>
        <w:ind w:left="360"/>
      </w:pPr>
    </w:p>
    <w:p w:rsidR="003C1DD9" w:rsidRPr="00A70C24" w:rsidP="003C1DD9" w14:paraId="7429242D" w14:textId="77777777">
      <w:pPr>
        <w:widowControl w:val="0"/>
        <w:numPr>
          <w:ilvl w:val="0"/>
          <w:numId w:val="4"/>
        </w:numPr>
        <w:kinsoku w:val="0"/>
        <w:rPr>
          <w:b/>
          <w:bCs/>
        </w:rPr>
      </w:pPr>
      <w:r w:rsidRPr="00A70C24">
        <w:rPr>
          <w:b/>
          <w:bCs/>
        </w:rPr>
        <w:t xml:space="preserve">Describe efforts to identify duplication. Show specifically why any similar information already available cannot be used or modified for use for the purposes described </w:t>
      </w:r>
      <w:r>
        <w:rPr>
          <w:b/>
          <w:bCs/>
        </w:rPr>
        <w:t xml:space="preserve">above </w:t>
      </w:r>
      <w:r w:rsidRPr="00A70C24">
        <w:rPr>
          <w:b/>
          <w:bCs/>
        </w:rPr>
        <w:t>in Item 2.</w:t>
      </w:r>
    </w:p>
    <w:p w:rsidR="003C1DD9" w:rsidRPr="00A70C24" w:rsidP="003C1DD9" w14:paraId="695DDA7D" w14:textId="77777777">
      <w:pPr>
        <w:pStyle w:val="ListParagraph"/>
        <w:rPr>
          <w:b/>
          <w:bCs/>
        </w:rPr>
      </w:pPr>
    </w:p>
    <w:p w:rsidR="003C1DD9" w:rsidRPr="00514D0F" w:rsidP="003C1DD9" w14:paraId="5093EF43" w14:textId="77777777">
      <w:pPr>
        <w:pStyle w:val="BodyText"/>
        <w:spacing w:after="0" w:line="276" w:lineRule="auto"/>
        <w:ind w:left="360"/>
        <w:rPr>
          <w:sz w:val="24"/>
          <w:szCs w:val="24"/>
        </w:rPr>
      </w:pPr>
      <w:r w:rsidRPr="00514D0F">
        <w:rPr>
          <w:sz w:val="24"/>
          <w:szCs w:val="24"/>
        </w:rPr>
        <w:t xml:space="preserve">HUD is </w:t>
      </w:r>
      <w:r>
        <w:rPr>
          <w:sz w:val="24"/>
          <w:szCs w:val="24"/>
        </w:rPr>
        <w:t>currently un</w:t>
      </w:r>
      <w:r w:rsidRPr="00514D0F">
        <w:rPr>
          <w:sz w:val="24"/>
          <w:szCs w:val="24"/>
        </w:rPr>
        <w:t>aware of any other studies for which this study represents a duplicate research effort. The</w:t>
      </w:r>
      <w:r w:rsidRPr="00514D0F">
        <w:rPr>
          <w:sz w:val="24"/>
          <w:szCs w:val="24"/>
        </w:rPr>
        <w:t xml:space="preserve"> </w:t>
      </w:r>
      <w:r w:rsidRPr="00514D0F">
        <w:rPr>
          <w:sz w:val="24"/>
          <w:szCs w:val="24"/>
        </w:rPr>
        <w:t>study team will undertake a careful process to review all existing HUD and available research documents to ensure that the current ICR is not a duplication of effort.</w:t>
      </w:r>
    </w:p>
    <w:p w:rsidR="003C1DD9" w:rsidRPr="00514D0F" w:rsidP="003C1DD9" w14:paraId="564EAEDC" w14:textId="77777777">
      <w:pPr>
        <w:pStyle w:val="BodyText"/>
        <w:spacing w:after="0" w:line="276" w:lineRule="auto"/>
        <w:ind w:left="360"/>
        <w:rPr>
          <w:sz w:val="24"/>
          <w:szCs w:val="24"/>
        </w:rPr>
      </w:pPr>
    </w:p>
    <w:p w:rsidR="003C1DD9" w:rsidP="003C1DD9" w14:paraId="23971FBD" w14:textId="1A367B6E">
      <w:pPr>
        <w:pStyle w:val="BodyText"/>
        <w:spacing w:after="0" w:line="276" w:lineRule="auto"/>
        <w:ind w:left="360"/>
        <w:rPr>
          <w:sz w:val="24"/>
          <w:szCs w:val="24"/>
        </w:rPr>
      </w:pPr>
      <w:r>
        <w:rPr>
          <w:sz w:val="24"/>
          <w:szCs w:val="24"/>
        </w:rPr>
        <w:t>B</w:t>
      </w:r>
      <w:r w:rsidRPr="00514D0F">
        <w:rPr>
          <w:sz w:val="24"/>
          <w:szCs w:val="24"/>
        </w:rPr>
        <w:t xml:space="preserve">efore conducting interviews with </w:t>
      </w:r>
      <w:r w:rsidR="00084A95">
        <w:rPr>
          <w:sz w:val="24"/>
          <w:szCs w:val="24"/>
        </w:rPr>
        <w:t>stakeholders</w:t>
      </w:r>
      <w:r w:rsidRPr="00514D0F">
        <w:rPr>
          <w:sz w:val="24"/>
          <w:szCs w:val="24"/>
        </w:rPr>
        <w:t xml:space="preserve">, the study team will </w:t>
      </w:r>
      <w:r>
        <w:rPr>
          <w:sz w:val="24"/>
          <w:szCs w:val="24"/>
        </w:rPr>
        <w:t xml:space="preserve">try to reduce respondent burden by </w:t>
      </w:r>
      <w:r w:rsidRPr="00514D0F">
        <w:rPr>
          <w:sz w:val="24"/>
          <w:szCs w:val="24"/>
        </w:rPr>
        <w:t>review</w:t>
      </w:r>
      <w:r>
        <w:rPr>
          <w:sz w:val="24"/>
          <w:szCs w:val="24"/>
        </w:rPr>
        <w:t>ing</w:t>
      </w:r>
      <w:r w:rsidRPr="00514D0F">
        <w:rPr>
          <w:sz w:val="24"/>
          <w:szCs w:val="24"/>
        </w:rPr>
        <w:t xml:space="preserve"> all available information for each PHA</w:t>
      </w:r>
      <w:r w:rsidR="00DE138B">
        <w:rPr>
          <w:sz w:val="24"/>
          <w:szCs w:val="24"/>
        </w:rPr>
        <w:t xml:space="preserve">, which will mainly include the review of </w:t>
      </w:r>
      <w:r w:rsidRPr="00514D0F">
        <w:rPr>
          <w:sz w:val="24"/>
          <w:szCs w:val="24"/>
        </w:rPr>
        <w:t xml:space="preserve">CAWRT survey data </w:t>
      </w:r>
      <w:r w:rsidR="00DE138B">
        <w:rPr>
          <w:sz w:val="24"/>
          <w:szCs w:val="24"/>
        </w:rPr>
        <w:t>and HUD program documents.</w:t>
      </w:r>
      <w:r w:rsidRPr="00514D0F">
        <w:rPr>
          <w:sz w:val="24"/>
          <w:szCs w:val="24"/>
        </w:rPr>
        <w:t xml:space="preserve"> The team will </w:t>
      </w:r>
      <w:r w:rsidR="00DE138B">
        <w:rPr>
          <w:sz w:val="24"/>
          <w:szCs w:val="24"/>
        </w:rPr>
        <w:t>then tail</w:t>
      </w:r>
      <w:r w:rsidR="00F93E36">
        <w:rPr>
          <w:sz w:val="24"/>
          <w:szCs w:val="24"/>
        </w:rPr>
        <w:t>o</w:t>
      </w:r>
      <w:r w:rsidR="00DE138B">
        <w:rPr>
          <w:sz w:val="24"/>
          <w:szCs w:val="24"/>
        </w:rPr>
        <w:t>r the</w:t>
      </w:r>
      <w:r w:rsidRPr="00514D0F">
        <w:rPr>
          <w:sz w:val="24"/>
          <w:szCs w:val="24"/>
        </w:rPr>
        <w:t xml:space="preserve"> interview guides with information collected through the online CAWRT surveys and </w:t>
      </w:r>
      <w:r>
        <w:rPr>
          <w:sz w:val="24"/>
          <w:szCs w:val="24"/>
        </w:rPr>
        <w:t>a review of HUD documents</w:t>
      </w:r>
      <w:r w:rsidRPr="00514D0F">
        <w:rPr>
          <w:sz w:val="24"/>
          <w:szCs w:val="24"/>
        </w:rPr>
        <w:t xml:space="preserve"> to minimize the </w:t>
      </w:r>
      <w:r>
        <w:rPr>
          <w:sz w:val="24"/>
          <w:szCs w:val="24"/>
        </w:rPr>
        <w:t xml:space="preserve">respondent </w:t>
      </w:r>
      <w:r w:rsidRPr="00514D0F">
        <w:rPr>
          <w:sz w:val="24"/>
          <w:szCs w:val="24"/>
        </w:rPr>
        <w:t xml:space="preserve">burden on </w:t>
      </w:r>
      <w:r w:rsidR="00F445AC">
        <w:rPr>
          <w:sz w:val="24"/>
          <w:szCs w:val="24"/>
        </w:rPr>
        <w:t>stakeholders</w:t>
      </w:r>
      <w:r w:rsidRPr="00514D0F">
        <w:rPr>
          <w:sz w:val="24"/>
          <w:szCs w:val="24"/>
        </w:rPr>
        <w:t>.</w:t>
      </w:r>
    </w:p>
    <w:p w:rsidR="003C1DD9" w:rsidP="003C1DD9" w14:paraId="39B57757" w14:textId="01B00A85">
      <w:pPr>
        <w:pStyle w:val="BodyText"/>
        <w:spacing w:after="0" w:line="276" w:lineRule="auto"/>
        <w:ind w:left="360"/>
        <w:rPr>
          <w:sz w:val="24"/>
          <w:szCs w:val="24"/>
        </w:rPr>
      </w:pPr>
    </w:p>
    <w:p w:rsidR="003C1DD9" w:rsidRPr="00A70C24" w:rsidP="003C1DD9" w14:paraId="0B7A9779" w14:textId="77777777">
      <w:pPr>
        <w:widowControl w:val="0"/>
        <w:numPr>
          <w:ilvl w:val="0"/>
          <w:numId w:val="4"/>
        </w:numPr>
        <w:kinsoku w:val="0"/>
        <w:rPr>
          <w:b/>
          <w:bCs/>
        </w:rPr>
      </w:pPr>
      <w:r w:rsidRPr="00A70C24">
        <w:rPr>
          <w:b/>
          <w:bCs/>
        </w:rPr>
        <w:t xml:space="preserve">If the collection of information impacts small businesses or other small entities (Item 5 of OMB Form 83-I), </w:t>
      </w:r>
      <w:r>
        <w:rPr>
          <w:b/>
          <w:bCs/>
        </w:rPr>
        <w:t xml:space="preserve">please </w:t>
      </w:r>
      <w:r w:rsidRPr="00A70C24">
        <w:rPr>
          <w:b/>
          <w:bCs/>
        </w:rPr>
        <w:t xml:space="preserve">describe any methods used to minimize </w:t>
      </w:r>
      <w:r>
        <w:rPr>
          <w:b/>
          <w:bCs/>
        </w:rPr>
        <w:t xml:space="preserve">the </w:t>
      </w:r>
      <w:r w:rsidRPr="00A70C24">
        <w:rPr>
          <w:b/>
          <w:bCs/>
        </w:rPr>
        <w:t>burden.</w:t>
      </w:r>
    </w:p>
    <w:p w:rsidR="003C1DD9" w:rsidRPr="00A70C24" w:rsidP="003C1DD9" w14:paraId="7911A4E4" w14:textId="77777777">
      <w:pPr>
        <w:pStyle w:val="ListParagraph"/>
        <w:rPr>
          <w:b/>
          <w:bCs/>
        </w:rPr>
      </w:pPr>
    </w:p>
    <w:p w:rsidR="003C1DD9" w:rsidP="003C1DD9" w14:paraId="34EFB7EA" w14:textId="77777777">
      <w:pPr>
        <w:pStyle w:val="BodyText"/>
        <w:spacing w:after="0" w:line="276" w:lineRule="auto"/>
        <w:ind w:left="360"/>
        <w:rPr>
          <w:sz w:val="24"/>
          <w:szCs w:val="24"/>
        </w:rPr>
      </w:pPr>
      <w:r>
        <w:rPr>
          <w:sz w:val="24"/>
          <w:szCs w:val="24"/>
        </w:rPr>
        <w:t>This</w:t>
      </w:r>
      <w:r w:rsidRPr="00D45D89">
        <w:rPr>
          <w:sz w:val="24"/>
          <w:szCs w:val="24"/>
        </w:rPr>
        <w:t xml:space="preserve"> data collection </w:t>
      </w:r>
      <w:r>
        <w:rPr>
          <w:sz w:val="24"/>
          <w:szCs w:val="24"/>
        </w:rPr>
        <w:t>does not affect small businesses. Some of the PHAs in the study may qualify as small entities depending on the size of their jurisdictions. The methods used to reduce respondent burden for all PHAs would also apply to these PHAs.</w:t>
      </w:r>
    </w:p>
    <w:p w:rsidR="003C1DD9" w:rsidP="003C1DD9" w14:paraId="59902F7C" w14:textId="77777777">
      <w:pPr>
        <w:pStyle w:val="BodyText"/>
        <w:spacing w:after="0" w:line="276" w:lineRule="auto"/>
        <w:ind w:left="360"/>
        <w:rPr>
          <w:sz w:val="24"/>
          <w:szCs w:val="24"/>
        </w:rPr>
      </w:pPr>
    </w:p>
    <w:p w:rsidR="003C1DD9" w:rsidRPr="00A70C24" w:rsidP="003C1DD9" w14:paraId="403A9B3A" w14:textId="77777777">
      <w:pPr>
        <w:widowControl w:val="0"/>
        <w:numPr>
          <w:ilvl w:val="0"/>
          <w:numId w:val="4"/>
        </w:numPr>
        <w:kinsoku w:val="0"/>
        <w:rPr>
          <w:b/>
          <w:bCs/>
        </w:rPr>
      </w:pPr>
      <w:r w:rsidRPr="00A70C24">
        <w:rPr>
          <w:b/>
          <w:bCs/>
        </w:rPr>
        <w:t>Describe the consequence</w:t>
      </w:r>
      <w:r>
        <w:rPr>
          <w:b/>
          <w:bCs/>
        </w:rPr>
        <w:t>(s)</w:t>
      </w:r>
      <w:r w:rsidRPr="00A70C24">
        <w:rPr>
          <w:b/>
          <w:bCs/>
        </w:rPr>
        <w:t xml:space="preserve"> to </w:t>
      </w:r>
      <w:r>
        <w:rPr>
          <w:b/>
          <w:bCs/>
        </w:rPr>
        <w:t>f</w:t>
      </w:r>
      <w:r w:rsidRPr="00A70C24">
        <w:rPr>
          <w:b/>
          <w:bCs/>
        </w:rPr>
        <w:t>ederal program or policy activities if the collection is not conducted or is conducted less frequently, as well as any technical or legal obstacles to reducing burden.</w:t>
      </w:r>
    </w:p>
    <w:p w:rsidR="003C1DD9" w:rsidP="003C1DD9" w14:paraId="2361CEAC" w14:textId="77777777">
      <w:pPr>
        <w:pStyle w:val="ListParagraph"/>
      </w:pPr>
    </w:p>
    <w:p w:rsidR="003C1DD9" w:rsidP="007418EB" w14:paraId="2BB55555" w14:textId="1DFE6705">
      <w:pPr>
        <w:spacing w:after="160" w:line="259" w:lineRule="auto"/>
        <w:ind w:left="360"/>
      </w:pPr>
      <w:r w:rsidRPr="00874435">
        <w:t xml:space="preserve">Without this data collection effort, HUD will be unable to evaluate the implementation </w:t>
      </w:r>
      <w:r>
        <w:t xml:space="preserve">and impact of CARES Act waivers on PHA operations and assisted households. </w:t>
      </w:r>
      <w:r w:rsidRPr="00874435">
        <w:t>The data collection covered by this</w:t>
      </w:r>
      <w:r>
        <w:t xml:space="preserve"> information collection request</w:t>
      </w:r>
      <w:r w:rsidRPr="00874435">
        <w:t xml:space="preserve"> </w:t>
      </w:r>
      <w:r>
        <w:t>(</w:t>
      </w:r>
      <w:r w:rsidRPr="00874435">
        <w:t>ICR</w:t>
      </w:r>
      <w:r>
        <w:t>)</w:t>
      </w:r>
      <w:r w:rsidRPr="00874435">
        <w:t xml:space="preserve"> is essential for </w:t>
      </w:r>
      <w:r w:rsidR="00DE138B">
        <w:t>addressing the study’s research questions</w:t>
      </w:r>
      <w:r>
        <w:t xml:space="preserve"> regarding PHA CARES </w:t>
      </w:r>
      <w:r w:rsidR="00DE138B">
        <w:t xml:space="preserve">Act </w:t>
      </w:r>
      <w:r>
        <w:t>waiver implementation</w:t>
      </w:r>
      <w:r w:rsidR="00DE138B">
        <w:t xml:space="preserve">, impact on PHA operations and assisted households, </w:t>
      </w:r>
      <w:r>
        <w:t>and for providing context for interpreting any administrative data analysis</w:t>
      </w:r>
      <w:r w:rsidRPr="00874435">
        <w:t xml:space="preserve">. </w:t>
      </w:r>
      <w:r>
        <w:t xml:space="preserve">If this data collection is not conducted, HUD would be unable to adequately answer the study’s key </w:t>
      </w:r>
      <w:r w:rsidR="00DE138B">
        <w:t xml:space="preserve">research questions </w:t>
      </w:r>
      <w:r>
        <w:t xml:space="preserve">or improve the </w:t>
      </w:r>
      <w:r w:rsidRPr="00514D0F">
        <w:t>provi</w:t>
      </w:r>
      <w:r>
        <w:t>sion of</w:t>
      </w:r>
      <w:r w:rsidRPr="00514D0F">
        <w:t xml:space="preserve"> similar </w:t>
      </w:r>
      <w:r w:rsidR="00DE138B">
        <w:t xml:space="preserve">waivers or </w:t>
      </w:r>
      <w:r w:rsidRPr="00514D0F">
        <w:t>flexibilities</w:t>
      </w:r>
      <w:r w:rsidRPr="00514D0F">
        <w:t xml:space="preserve"> to PHAs in the future.</w:t>
      </w:r>
    </w:p>
    <w:p w:rsidR="00E83193" w:rsidP="007418EB" w14:paraId="508AED79" w14:textId="77777777">
      <w:pPr>
        <w:spacing w:after="160" w:line="259" w:lineRule="auto"/>
        <w:ind w:left="360"/>
      </w:pPr>
    </w:p>
    <w:p w:rsidR="00E83193" w:rsidP="007418EB" w14:paraId="2E2939E3" w14:textId="77777777">
      <w:pPr>
        <w:spacing w:after="160" w:line="259" w:lineRule="auto"/>
        <w:ind w:left="360"/>
      </w:pPr>
    </w:p>
    <w:p w:rsidR="003C1DD9" w:rsidRPr="00A70C24" w:rsidP="003C1DD9" w14:paraId="1BE3035C" w14:textId="77777777">
      <w:pPr>
        <w:widowControl w:val="0"/>
        <w:numPr>
          <w:ilvl w:val="0"/>
          <w:numId w:val="4"/>
        </w:numPr>
        <w:kinsoku w:val="0"/>
        <w:rPr>
          <w:b/>
          <w:bCs/>
        </w:rPr>
      </w:pPr>
      <w:r w:rsidRPr="00A70C24">
        <w:rPr>
          <w:b/>
          <w:bCs/>
        </w:rPr>
        <w:t xml:space="preserve">Explain any special circumstances that would cause an information collection </w:t>
      </w:r>
      <w:r>
        <w:rPr>
          <w:b/>
          <w:bCs/>
        </w:rPr>
        <w:t xml:space="preserve">effort </w:t>
      </w:r>
      <w:r w:rsidRPr="00A70C24">
        <w:rPr>
          <w:b/>
          <w:bCs/>
        </w:rPr>
        <w:t xml:space="preserve">to be conducted in </w:t>
      </w:r>
      <w:r>
        <w:rPr>
          <w:b/>
          <w:bCs/>
        </w:rPr>
        <w:t>any of the following ways</w:t>
      </w:r>
      <w:r w:rsidRPr="00A70C24">
        <w:rPr>
          <w:b/>
          <w:bCs/>
        </w:rPr>
        <w:t>:</w:t>
      </w:r>
    </w:p>
    <w:p w:rsidR="003C1DD9" w:rsidRPr="00CE0BC8" w:rsidP="003C1DD9" w14:paraId="6F0492D9" w14:textId="77777777">
      <w:pPr>
        <w:widowControl w:val="0"/>
        <w:kinsoku w:val="0"/>
      </w:pPr>
    </w:p>
    <w:p w:rsidR="003C1DD9" w:rsidP="007418EB" w14:paraId="56F4B84A" w14:textId="77777777">
      <w:pPr>
        <w:pStyle w:val="BodyText"/>
        <w:spacing w:after="0" w:line="276" w:lineRule="auto"/>
        <w:ind w:left="315"/>
        <w:rPr>
          <w:sz w:val="24"/>
          <w:szCs w:val="24"/>
        </w:rPr>
      </w:pPr>
      <w:r>
        <w:rPr>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conditions are </w:t>
      </w:r>
      <w:r w:rsidRPr="008412F6">
        <w:rPr>
          <w:sz w:val="24"/>
          <w:szCs w:val="24"/>
        </w:rPr>
        <w:t>“Not Applicable”</w:t>
      </w:r>
      <w:r>
        <w:rPr>
          <w:sz w:val="24"/>
          <w:szCs w:val="24"/>
        </w:rPr>
        <w:t xml:space="preserve"> to this collection:</w:t>
      </w:r>
      <w:r>
        <w:rPr>
          <w:sz w:val="24"/>
          <w:szCs w:val="24"/>
        </w:rPr>
        <w:tab/>
      </w:r>
    </w:p>
    <w:p w:rsidR="003C1DD9" w:rsidP="007418EB" w14:paraId="054ECA86" w14:textId="77777777">
      <w:pPr>
        <w:widowControl w:val="0"/>
        <w:numPr>
          <w:ilvl w:val="0"/>
          <w:numId w:val="12"/>
        </w:numPr>
        <w:tabs>
          <w:tab w:val="left" w:pos="-1440"/>
        </w:tabs>
        <w:autoSpaceDE w:val="0"/>
        <w:autoSpaceDN w:val="0"/>
        <w:adjustRightInd w:val="0"/>
        <w:spacing w:line="276" w:lineRule="auto"/>
        <w:ind w:left="1035"/>
      </w:pPr>
      <w:r>
        <w:t>requiring respondents to report information to the agency more than quarterly – “</w:t>
      </w:r>
      <w:r>
        <w:rPr>
          <w:b/>
        </w:rPr>
        <w:t xml:space="preserve">Not </w:t>
      </w:r>
      <w:r>
        <w:rPr>
          <w:b/>
        </w:rPr>
        <w:t>Applicable</w:t>
      </w:r>
      <w:r>
        <w:t>”</w:t>
      </w:r>
    </w:p>
    <w:p w:rsidR="003C1DD9" w:rsidP="007418EB" w14:paraId="3ABC2FC7" w14:textId="77777777">
      <w:pPr>
        <w:widowControl w:val="0"/>
        <w:numPr>
          <w:ilvl w:val="0"/>
          <w:numId w:val="12"/>
        </w:numPr>
        <w:tabs>
          <w:tab w:val="left" w:pos="-1440"/>
        </w:tabs>
        <w:autoSpaceDE w:val="0"/>
        <w:autoSpaceDN w:val="0"/>
        <w:adjustRightInd w:val="0"/>
        <w:spacing w:line="276" w:lineRule="auto"/>
        <w:ind w:left="1035"/>
      </w:pPr>
      <w:r>
        <w:t>requiring respondents to prepare a written response to a collection of information in fewer than 30 days after receipt of the request – “</w:t>
      </w:r>
      <w:r>
        <w:rPr>
          <w:b/>
        </w:rPr>
        <w:t xml:space="preserve">Not </w:t>
      </w:r>
      <w:r>
        <w:rPr>
          <w:b/>
        </w:rPr>
        <w:t>Applicable</w:t>
      </w:r>
      <w:r>
        <w:t>”</w:t>
      </w:r>
    </w:p>
    <w:p w:rsidR="003C1DD9" w:rsidP="007418EB" w14:paraId="6081A881" w14:textId="77777777">
      <w:pPr>
        <w:widowControl w:val="0"/>
        <w:numPr>
          <w:ilvl w:val="0"/>
          <w:numId w:val="12"/>
        </w:numPr>
        <w:tabs>
          <w:tab w:val="left" w:pos="-1440"/>
        </w:tabs>
        <w:autoSpaceDE w:val="0"/>
        <w:autoSpaceDN w:val="0"/>
        <w:adjustRightInd w:val="0"/>
        <w:spacing w:line="276" w:lineRule="auto"/>
        <w:ind w:left="1035"/>
      </w:pPr>
      <w:r>
        <w:t>requiring respondents to submit more than an original and two copies of any document – “</w:t>
      </w:r>
      <w:r>
        <w:rPr>
          <w:b/>
        </w:rPr>
        <w:t xml:space="preserve">Not </w:t>
      </w:r>
      <w:r>
        <w:rPr>
          <w:b/>
        </w:rPr>
        <w:t>Applicable</w:t>
      </w:r>
      <w:r>
        <w:t>”</w:t>
      </w:r>
    </w:p>
    <w:p w:rsidR="003C1DD9" w:rsidP="007418EB" w14:paraId="692A3414" w14:textId="77777777">
      <w:pPr>
        <w:widowControl w:val="0"/>
        <w:numPr>
          <w:ilvl w:val="0"/>
          <w:numId w:val="12"/>
        </w:numPr>
        <w:tabs>
          <w:tab w:val="left" w:pos="-1440"/>
        </w:tabs>
        <w:autoSpaceDE w:val="0"/>
        <w:autoSpaceDN w:val="0"/>
        <w:adjustRightInd w:val="0"/>
        <w:spacing w:line="276" w:lineRule="auto"/>
        <w:ind w:left="1035"/>
      </w:pPr>
      <w:r>
        <w:t>requiring respondents to retain records other than health, medical, government contract, grant-in-aid, or tax records for more than three years – “</w:t>
      </w:r>
      <w:r>
        <w:rPr>
          <w:b/>
        </w:rPr>
        <w:t xml:space="preserve">Not </w:t>
      </w:r>
      <w:r>
        <w:rPr>
          <w:b/>
        </w:rPr>
        <w:t>Applicable</w:t>
      </w:r>
      <w:r>
        <w:t>”</w:t>
      </w:r>
    </w:p>
    <w:p w:rsidR="003C1DD9" w:rsidP="007418EB" w14:paraId="131CCD98" w14:textId="77777777">
      <w:pPr>
        <w:widowControl w:val="0"/>
        <w:numPr>
          <w:ilvl w:val="0"/>
          <w:numId w:val="12"/>
        </w:numPr>
        <w:tabs>
          <w:tab w:val="left" w:pos="-1440"/>
        </w:tabs>
        <w:autoSpaceDE w:val="0"/>
        <w:autoSpaceDN w:val="0"/>
        <w:adjustRightInd w:val="0"/>
        <w:spacing w:line="276" w:lineRule="auto"/>
        <w:ind w:left="1035"/>
      </w:pPr>
      <w:r>
        <w:t>requiring a request in connection with a statistical survey that is not designed to produce valid and reliable results than can be generalized to the universe of study – “</w:t>
      </w:r>
      <w:r>
        <w:rPr>
          <w:b/>
        </w:rPr>
        <w:t xml:space="preserve">Not </w:t>
      </w:r>
      <w:r>
        <w:rPr>
          <w:b/>
        </w:rPr>
        <w:t>Applicable</w:t>
      </w:r>
      <w:r>
        <w:t>”</w:t>
      </w:r>
    </w:p>
    <w:p w:rsidR="003C1DD9" w:rsidP="007418EB" w14:paraId="5307EA07" w14:textId="77777777">
      <w:pPr>
        <w:widowControl w:val="0"/>
        <w:numPr>
          <w:ilvl w:val="0"/>
          <w:numId w:val="12"/>
        </w:numPr>
        <w:tabs>
          <w:tab w:val="left" w:pos="-1440"/>
        </w:tabs>
        <w:autoSpaceDE w:val="0"/>
        <w:autoSpaceDN w:val="0"/>
        <w:adjustRightInd w:val="0"/>
        <w:spacing w:line="276" w:lineRule="auto"/>
        <w:ind w:left="1035"/>
      </w:pPr>
      <w:r>
        <w:t>requiring the use of a statistical data classification that has not been reviewed and approved by OMB – “</w:t>
      </w:r>
      <w:r>
        <w:rPr>
          <w:b/>
        </w:rPr>
        <w:t xml:space="preserve">Not </w:t>
      </w:r>
      <w:r>
        <w:rPr>
          <w:b/>
        </w:rPr>
        <w:t>Applicable</w:t>
      </w:r>
      <w:r>
        <w:t>”</w:t>
      </w:r>
    </w:p>
    <w:p w:rsidR="003C1DD9" w:rsidP="007418EB" w14:paraId="71A9F604" w14:textId="77777777">
      <w:pPr>
        <w:widowControl w:val="0"/>
        <w:numPr>
          <w:ilvl w:val="0"/>
          <w:numId w:val="12"/>
        </w:numPr>
        <w:tabs>
          <w:tab w:val="left" w:pos="-1440"/>
        </w:tabs>
        <w:autoSpaceDE w:val="0"/>
        <w:autoSpaceDN w:val="0"/>
        <w:adjustRightInd w:val="0"/>
        <w:spacing w:line="276" w:lineRule="auto"/>
        <w:ind w:left="1035"/>
      </w:pPr>
      <w:r>
        <w:t>requiring a request that includes a pledge of confidentiality that is not supported by authority established in statute or regulation (and that is not supported by disclosure and data security policies that are consistent with the pledge, or which unnecessarily impedes sharing of data with other agencies for compatible confidential use) – “</w:t>
      </w:r>
      <w:r>
        <w:rPr>
          <w:b/>
        </w:rPr>
        <w:t xml:space="preserve">Not </w:t>
      </w:r>
      <w:r>
        <w:rPr>
          <w:b/>
        </w:rPr>
        <w:t>Applicable</w:t>
      </w:r>
      <w:r>
        <w:t xml:space="preserve">” </w:t>
      </w:r>
    </w:p>
    <w:p w:rsidR="003C1DD9" w:rsidP="007418EB" w14:paraId="204FF1BD" w14:textId="5344338F">
      <w:pPr>
        <w:widowControl w:val="0"/>
        <w:numPr>
          <w:ilvl w:val="0"/>
          <w:numId w:val="12"/>
        </w:numPr>
        <w:tabs>
          <w:tab w:val="left" w:pos="-1440"/>
        </w:tabs>
        <w:autoSpaceDE w:val="0"/>
        <w:autoSpaceDN w:val="0"/>
        <w:adjustRightInd w:val="0"/>
        <w:spacing w:line="276" w:lineRule="auto"/>
        <w:ind w:left="1035"/>
      </w:pPr>
      <w:r>
        <w:t>requiring respondents to submit proprietary trade secrets or other confidential information unless the agency can demonstrate that it has instituted procedures to protect the information’s confidentiality to the fullest extent permitted by law – “</w:t>
      </w:r>
      <w:r>
        <w:rPr>
          <w:b/>
        </w:rPr>
        <w:t xml:space="preserve">Not </w:t>
      </w:r>
      <w:r>
        <w:rPr>
          <w:b/>
        </w:rPr>
        <w:t>Applicable</w:t>
      </w:r>
      <w:r>
        <w:t>”</w:t>
      </w:r>
    </w:p>
    <w:p w:rsidR="003C1DD9" w:rsidP="00B2703D" w14:paraId="7311651A" w14:textId="77777777">
      <w:pPr>
        <w:widowControl w:val="0"/>
        <w:tabs>
          <w:tab w:val="left" w:pos="-1440"/>
        </w:tabs>
        <w:autoSpaceDE w:val="0"/>
        <w:autoSpaceDN w:val="0"/>
        <w:adjustRightInd w:val="0"/>
        <w:spacing w:line="276" w:lineRule="auto"/>
      </w:pPr>
    </w:p>
    <w:p w:rsidR="003C1DD9" w:rsidRPr="00A70C24" w:rsidP="003C1DD9" w14:paraId="6AD99F67" w14:textId="77777777">
      <w:pPr>
        <w:widowControl w:val="0"/>
        <w:numPr>
          <w:ilvl w:val="0"/>
          <w:numId w:val="4"/>
        </w:numPr>
        <w:kinsoku w:val="0"/>
        <w:rPr>
          <w:b/>
          <w:bCs/>
        </w:rPr>
      </w:pPr>
      <w:r w:rsidRPr="00A70C24">
        <w:rPr>
          <w:b/>
          <w:bCs/>
        </w:rPr>
        <w:t xml:space="preserve">If applicable, </w:t>
      </w:r>
      <w:r>
        <w:rPr>
          <w:b/>
          <w:bCs/>
        </w:rPr>
        <w:t xml:space="preserve">please </w:t>
      </w:r>
      <w:r w:rsidRPr="00A70C24">
        <w:rPr>
          <w:b/>
          <w:bCs/>
        </w:rPr>
        <w:t xml:space="preserve">provide a copy and identify the date and page number of </w:t>
      </w:r>
      <w:r w:rsidRPr="00A70C24">
        <w:rPr>
          <w:b/>
          <w:bCs/>
        </w:rPr>
        <w:t>publication</w:t>
      </w:r>
      <w:r w:rsidRPr="00A70C24">
        <w:rPr>
          <w:b/>
          <w:bCs/>
        </w:rPr>
        <w:t xml:space="preserve"> in the Federal Register of the agency’s notice</w:t>
      </w:r>
      <w:r>
        <w:rPr>
          <w:b/>
          <w:bCs/>
        </w:rPr>
        <w:t xml:space="preserve"> as </w:t>
      </w:r>
      <w:r w:rsidRPr="00A70C24">
        <w:rPr>
          <w:b/>
          <w:bCs/>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1DD9" w:rsidP="003C1DD9" w14:paraId="39C518D8" w14:textId="77777777">
      <w:pPr>
        <w:widowControl w:val="0"/>
        <w:kinsoku w:val="0"/>
        <w:ind w:left="360"/>
      </w:pPr>
    </w:p>
    <w:p w:rsidR="003C1DD9" w:rsidRPr="008A6B2F" w:rsidP="003C1DD9" w14:paraId="5956FBFF" w14:textId="77777777">
      <w:pPr>
        <w:pStyle w:val="ListParagraph"/>
        <w:widowControl w:val="0"/>
        <w:numPr>
          <w:ilvl w:val="0"/>
          <w:numId w:val="11"/>
        </w:numPr>
        <w:kinsoku w:val="0"/>
        <w:rPr>
          <w:b/>
          <w:bCs/>
        </w:rPr>
      </w:pPr>
      <w:r w:rsidRPr="008A6B2F">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1DD9" w:rsidRPr="008A6B2F" w:rsidP="003C1DD9" w14:paraId="790E4431" w14:textId="77777777">
      <w:pPr>
        <w:widowControl w:val="0"/>
        <w:kinsoku w:val="0"/>
        <w:ind w:left="360"/>
        <w:rPr>
          <w:b/>
          <w:bCs/>
        </w:rPr>
      </w:pPr>
    </w:p>
    <w:p w:rsidR="003C1DD9" w:rsidRPr="008A6B2F" w:rsidP="003C1DD9" w14:paraId="335B14D9" w14:textId="77777777">
      <w:pPr>
        <w:pStyle w:val="ListParagraph"/>
        <w:widowControl w:val="0"/>
        <w:numPr>
          <w:ilvl w:val="0"/>
          <w:numId w:val="11"/>
        </w:numPr>
        <w:kinsoku w:val="0"/>
        <w:rPr>
          <w:b/>
          <w:bCs/>
        </w:rPr>
      </w:pPr>
      <w:r w:rsidRPr="008A6B2F">
        <w:rPr>
          <w:b/>
          <w:bCs/>
        </w:rPr>
        <w:t xml:space="preserve">Consultation with representatives of those from whom information is to be obtained or those who must compile records should occur at least once every </w:t>
      </w:r>
      <w:r>
        <w:rPr>
          <w:b/>
          <w:bCs/>
        </w:rPr>
        <w:t>three</w:t>
      </w:r>
      <w:r w:rsidRPr="008A6B2F">
        <w:rPr>
          <w:b/>
          <w:bCs/>
        </w:rPr>
        <w:t xml:space="preserve"> years </w:t>
      </w:r>
      <w:r>
        <w:rPr>
          <w:b/>
          <w:bCs/>
        </w:rPr>
        <w:t>(</w:t>
      </w:r>
      <w:r w:rsidRPr="008A6B2F">
        <w:rPr>
          <w:b/>
          <w:bCs/>
        </w:rPr>
        <w:t>even if the collection of information activity is the same as in prior periods</w:t>
      </w:r>
      <w:r>
        <w:rPr>
          <w:b/>
          <w:bCs/>
        </w:rPr>
        <w:t>).</w:t>
      </w:r>
      <w:r w:rsidRPr="008A6B2F">
        <w:rPr>
          <w:b/>
          <w:bCs/>
        </w:rPr>
        <w:t xml:space="preserve"> There may be circumstances that may preclude consultation in a specific situation. These circumstances should be explained.</w:t>
      </w:r>
    </w:p>
    <w:p w:rsidR="003C1DD9" w:rsidP="003C1DD9" w14:paraId="483B84D9" w14:textId="77777777">
      <w:pPr>
        <w:widowControl w:val="0"/>
        <w:kinsoku w:val="0"/>
        <w:ind w:left="360"/>
      </w:pPr>
    </w:p>
    <w:p w:rsidR="003C1DD9" w:rsidP="007418EB" w14:paraId="2E6465A1" w14:textId="41F5F3E8">
      <w:pPr>
        <w:spacing w:after="160" w:line="259" w:lineRule="auto"/>
        <w:ind w:left="720"/>
      </w:pPr>
      <w:r w:rsidRPr="008A6B2F">
        <w:t xml:space="preserve">In accordance with 5 CFR 1320.8 (Paperwork Reduction Act of 1995), a Notice of Proposed Information Collection for publication in the Federal Register has been prepared to announce the agency’s intention to request an OMB review of data collection activities for the </w:t>
      </w:r>
      <w:r>
        <w:t xml:space="preserve">Evaluation of PHA CARES Act Waivers. </w:t>
      </w:r>
      <w:r w:rsidRPr="008A6B2F">
        <w:t xml:space="preserve">HUD published a 60-Day Notice of Proposed Information Collection in the Federal Register on </w:t>
      </w:r>
      <w:r w:rsidRPr="000C365C" w:rsidR="005A236B">
        <w:t>Apri</w:t>
      </w:r>
      <w:r w:rsidRPr="000C365C" w:rsidR="001A5070">
        <w:t>l 3, 2023</w:t>
      </w:r>
      <w:r w:rsidRPr="000C365C">
        <w:t>, (Docket No.</w:t>
      </w:r>
      <w:r w:rsidRPr="000C365C" w:rsidR="00C007B0">
        <w:t xml:space="preserve"> </w:t>
      </w:r>
      <w:r w:rsidRPr="000C365C" w:rsidR="00600E81">
        <w:t>FR-7075-N-02</w:t>
      </w:r>
      <w:r w:rsidRPr="000C365C">
        <w:t xml:space="preserve">, </w:t>
      </w:r>
      <w:r w:rsidRPr="000C365C" w:rsidR="000C365C">
        <w:t>pages: 19661-19663</w:t>
      </w:r>
      <w:r w:rsidRPr="000C365C">
        <w:t xml:space="preserve">). The notice provided a 60-day period for public comments. Comments are due </w:t>
      </w:r>
      <w:r w:rsidRPr="000C365C" w:rsidR="00CE21A8">
        <w:t>June</w:t>
      </w:r>
      <w:r w:rsidRPr="000C365C">
        <w:t xml:space="preserve"> </w:t>
      </w:r>
      <w:r w:rsidRPr="000C365C" w:rsidR="00CE21A8">
        <w:t>2</w:t>
      </w:r>
      <w:r w:rsidRPr="000C365C">
        <w:t xml:space="preserve">, </w:t>
      </w:r>
      <w:r w:rsidRPr="000C365C" w:rsidR="00CE21A8">
        <w:t>2023</w:t>
      </w:r>
      <w:r w:rsidRPr="000C365C">
        <w:t>.</w:t>
      </w:r>
    </w:p>
    <w:p w:rsidR="003C1DD9" w:rsidRPr="00CF29F1" w:rsidP="007418EB" w14:paraId="5C9BA16F" w14:textId="5754DE86">
      <w:pPr>
        <w:spacing w:after="160" w:line="259" w:lineRule="auto"/>
        <w:ind w:left="720"/>
      </w:pPr>
      <w:r w:rsidRPr="00CF29F1">
        <w:t>The</w:t>
      </w:r>
      <w:r>
        <w:t xml:space="preserve"> e</w:t>
      </w:r>
      <w:r w:rsidRPr="00CF29F1">
        <w:t xml:space="preserve">valuation was developed and is being implemented by </w:t>
      </w:r>
      <w:r>
        <w:t>2M Research</w:t>
      </w:r>
      <w:r w:rsidRPr="00CF29F1">
        <w:t>, HUD’s contractor</w:t>
      </w:r>
      <w:r>
        <w:t xml:space="preserve">, and </w:t>
      </w:r>
      <w:r w:rsidR="00F93108">
        <w:t>subcontractor,</w:t>
      </w:r>
      <w:r>
        <w:t xml:space="preserve"> the National Association of Housing and Redevelopment Officials (NAHRO)</w:t>
      </w:r>
      <w:r w:rsidRPr="00CF29F1">
        <w:t xml:space="preserve">. Key members of the </w:t>
      </w:r>
      <w:r>
        <w:t>2M</w:t>
      </w:r>
      <w:r w:rsidRPr="00CF29F1">
        <w:t xml:space="preserve"> team include Principal Investigator Dr. </w:t>
      </w:r>
      <w:r>
        <w:t>Hiren Nisar</w:t>
      </w:r>
      <w:r w:rsidRPr="00CF29F1">
        <w:t xml:space="preserve">; Project </w:t>
      </w:r>
      <w:r>
        <w:t xml:space="preserve">Manager </w:t>
      </w:r>
      <w:r w:rsidRPr="00CF29F1">
        <w:t xml:space="preserve">Dr. </w:t>
      </w:r>
      <w:r>
        <w:t>Dennis Okyere</w:t>
      </w:r>
      <w:r w:rsidRPr="00CF29F1">
        <w:t xml:space="preserve">; </w:t>
      </w:r>
      <w:r w:rsidR="00487F2B">
        <w:t xml:space="preserve">Qualitative Lead Dr. Emily </w:t>
      </w:r>
      <w:r w:rsidR="00487F2B">
        <w:t>Brimsek</w:t>
      </w:r>
      <w:r w:rsidR="00487F2B">
        <w:t xml:space="preserve">; and </w:t>
      </w:r>
      <w:r>
        <w:t xml:space="preserve">NAHRO Subject Matter Experts Eric Oberdorfer and Tushar </w:t>
      </w:r>
      <w:r>
        <w:t>Gurjal</w:t>
      </w:r>
      <w:r w:rsidRPr="00CF29F1">
        <w:t xml:space="preserve">. Staff from HUD’s Office of Policy Development and Research </w:t>
      </w:r>
      <w:r>
        <w:t xml:space="preserve">(PD&amp;R) </w:t>
      </w:r>
      <w:r w:rsidRPr="00CF29F1">
        <w:t xml:space="preserve">and Office of Public and Indian Housing </w:t>
      </w:r>
      <w:r>
        <w:t xml:space="preserve">(PIH) </w:t>
      </w:r>
      <w:r w:rsidRPr="00CF29F1">
        <w:t xml:space="preserve">have collaborated with the </w:t>
      </w:r>
      <w:r>
        <w:t>2M</w:t>
      </w:r>
      <w:r w:rsidRPr="00CF29F1">
        <w:t xml:space="preserve"> study team on </w:t>
      </w:r>
      <w:r>
        <w:t xml:space="preserve">the </w:t>
      </w:r>
      <w:r w:rsidRPr="00CF29F1">
        <w:t>study design and data collection plan.</w:t>
      </w:r>
    </w:p>
    <w:p w:rsidR="003C1DD9" w:rsidP="007418EB" w14:paraId="15F65744" w14:textId="77777777">
      <w:pPr>
        <w:spacing w:after="160" w:line="259" w:lineRule="auto"/>
        <w:ind w:left="720"/>
      </w:pPr>
      <w:r w:rsidRPr="00CF29F1">
        <w:t xml:space="preserve">The study’s data collection period is five </w:t>
      </w:r>
      <w:r>
        <w:t>months</w:t>
      </w:r>
      <w:r w:rsidRPr="00CF29F1">
        <w:t xml:space="preserve">. Throughout the data collection period, the </w:t>
      </w:r>
      <w:r>
        <w:t xml:space="preserve">2M </w:t>
      </w:r>
      <w:r w:rsidRPr="00CF29F1">
        <w:t xml:space="preserve">team will </w:t>
      </w:r>
      <w:r>
        <w:t xml:space="preserve">submit Monthly Data Collection Disposition Reports to </w:t>
      </w:r>
      <w:r w:rsidRPr="00CF29F1">
        <w:t xml:space="preserve">keep </w:t>
      </w:r>
      <w:r>
        <w:t>HUD</w:t>
      </w:r>
      <w:r w:rsidRPr="00CF29F1">
        <w:t xml:space="preserve"> apprised of data collection activities.</w:t>
      </w:r>
    </w:p>
    <w:p w:rsidR="003C1DD9" w:rsidRPr="00A70C24" w:rsidP="003C1DD9" w14:paraId="6321DDE8" w14:textId="77777777">
      <w:pPr>
        <w:widowControl w:val="0"/>
        <w:numPr>
          <w:ilvl w:val="0"/>
          <w:numId w:val="4"/>
        </w:numPr>
        <w:kinsoku w:val="0"/>
        <w:rPr>
          <w:b/>
          <w:bCs/>
        </w:rPr>
      </w:pPr>
      <w:r w:rsidRPr="00A70C24">
        <w:rPr>
          <w:b/>
          <w:bCs/>
        </w:rPr>
        <w:t>Explain any decision to provide any payment or gift to respondents, other than renumeration of contractors or grantees.</w:t>
      </w:r>
    </w:p>
    <w:p w:rsidR="003C1DD9" w:rsidP="003C1DD9" w14:paraId="254B0A6A" w14:textId="77777777">
      <w:pPr>
        <w:widowControl w:val="0"/>
        <w:kinsoku w:val="0"/>
      </w:pPr>
    </w:p>
    <w:p w:rsidR="003C1DD9" w:rsidP="007418EB" w14:paraId="4ADB4505" w14:textId="4CAE524B">
      <w:pPr>
        <w:widowControl w:val="0"/>
        <w:kinsoku w:val="0"/>
        <w:ind w:firstLine="360"/>
      </w:pPr>
      <w:r w:rsidRPr="00C31620">
        <w:t>There will be no payments or gifts to respondents.</w:t>
      </w:r>
    </w:p>
    <w:p w:rsidR="003C1DD9" w:rsidP="003C1DD9" w14:paraId="6AE18E67" w14:textId="6A20FB34">
      <w:pPr>
        <w:widowControl w:val="0"/>
        <w:kinsoku w:val="0"/>
      </w:pPr>
    </w:p>
    <w:p w:rsidR="003C1DD9" w:rsidRPr="00A70C24" w:rsidP="003C1DD9" w14:paraId="774DDAE9" w14:textId="77777777">
      <w:pPr>
        <w:widowControl w:val="0"/>
        <w:numPr>
          <w:ilvl w:val="0"/>
          <w:numId w:val="4"/>
        </w:numPr>
        <w:kinsoku w:val="0"/>
        <w:rPr>
          <w:b/>
          <w:bCs/>
        </w:rPr>
      </w:pPr>
      <w:r w:rsidRPr="00A70C24">
        <w:rPr>
          <w:b/>
          <w:bCs/>
        </w:rPr>
        <w:t>Describe any assurance of confidentiality provided to respondents and the basis for the assurance in statute, regulation, or agency policy.</w:t>
      </w:r>
    </w:p>
    <w:p w:rsidR="003C1DD9" w:rsidP="003C1DD9" w14:paraId="00D40386" w14:textId="77777777"/>
    <w:p w:rsidR="003C1DD9" w:rsidRPr="00A43BC1" w:rsidP="007418EB" w14:paraId="6097EE4A" w14:textId="77777777">
      <w:pPr>
        <w:ind w:left="360"/>
      </w:pPr>
      <w:r w:rsidRPr="00A43BC1">
        <w:t xml:space="preserve">HUD has </w:t>
      </w:r>
      <w:r w:rsidRPr="00A43BC1">
        <w:t>entered</w:t>
      </w:r>
      <w:r w:rsidRPr="00A43BC1">
        <w:t xml:space="preserve"> a contract with an independent research team, </w:t>
      </w:r>
      <w:r>
        <w:t>2M Research,</w:t>
      </w:r>
      <w:r w:rsidRPr="00A43BC1">
        <w:t xml:space="preserve"> to conduct this research effort. HUD and </w:t>
      </w:r>
      <w:r>
        <w:t>2M Research</w:t>
      </w:r>
      <w:r w:rsidRPr="00A43BC1">
        <w:t xml:space="preserve"> will make every effort to maintain the privacy of respondents to the </w:t>
      </w:r>
      <w:r>
        <w:t xml:space="preserve">fullest </w:t>
      </w:r>
      <w:r w:rsidRPr="00A43BC1">
        <w:t>extent permitted by law. The information requested under this collection is protected and held confidential in accordance with 42 U.S.C. 1306, 20 CFR 401 and 402, 5 U.S.C.552 (Freedom of Information Act), 5 U.S.C. 552a (Privacy Act of 1974)</w:t>
      </w:r>
      <w:r>
        <w:t>,</w:t>
      </w:r>
      <w:r w:rsidRPr="00A43BC1">
        <w:t xml:space="preserve"> and OMB Circular No. A-130.</w:t>
      </w:r>
    </w:p>
    <w:p w:rsidR="003C1DD9" w:rsidRPr="00A43BC1" w:rsidP="007418EB" w14:paraId="3F9D7915" w14:textId="77777777">
      <w:pPr>
        <w:ind w:left="360"/>
      </w:pPr>
    </w:p>
    <w:p w:rsidR="003C1DD9" w:rsidP="007418EB" w14:paraId="173AE4A9" w14:textId="4CBE72DF">
      <w:pPr>
        <w:ind w:left="360"/>
      </w:pPr>
      <w:r w:rsidRPr="00A43BC1">
        <w:t>All research staff working on the project have been trained to protect private information and the study has a Data Security Plan governing the storage and use of the data collected through the study. Individuals will not be cited as sources of information in prepared reports.</w:t>
      </w:r>
      <w:r>
        <w:t xml:space="preserve"> </w:t>
      </w:r>
      <w:r w:rsidRPr="00A43BC1">
        <w:t xml:space="preserve">All respondents included in the study will be informed that their participation in the data collection is voluntary and </w:t>
      </w:r>
      <w:r>
        <w:t xml:space="preserve">that </w:t>
      </w:r>
      <w:r w:rsidRPr="00A43BC1">
        <w:t>the information they provide will be used for research purposes</w:t>
      </w:r>
      <w:r>
        <w:t xml:space="preserve"> only</w:t>
      </w:r>
      <w:r w:rsidRPr="00A43BC1">
        <w:t>.</w:t>
      </w:r>
    </w:p>
    <w:p w:rsidR="003C1DD9" w:rsidP="003C1DD9" w14:paraId="4149A87B" w14:textId="41D15DDC"/>
    <w:p w:rsidR="003C1DD9" w:rsidP="003C1DD9" w14:paraId="6A8F549F" w14:textId="77777777">
      <w:pPr>
        <w:widowControl w:val="0"/>
        <w:numPr>
          <w:ilvl w:val="0"/>
          <w:numId w:val="4"/>
        </w:numPr>
        <w:kinsoku w:val="0"/>
        <w:rPr>
          <w:b/>
          <w:bCs/>
        </w:rPr>
      </w:pPr>
      <w:r w:rsidRPr="00A70C24">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1DD9" w:rsidRPr="00C31620" w:rsidP="003C1DD9" w14:paraId="17AE4250" w14:textId="77777777">
      <w:pPr>
        <w:pStyle w:val="ListParagraph"/>
      </w:pPr>
    </w:p>
    <w:p w:rsidR="003C1DD9" w:rsidP="007418EB" w14:paraId="1332B5C8" w14:textId="0A7BD513">
      <w:pPr>
        <w:widowControl w:val="0"/>
        <w:kinsoku w:val="0"/>
        <w:ind w:firstLine="360"/>
      </w:pPr>
      <w:r w:rsidRPr="00C31620">
        <w:t xml:space="preserve">The data collection instruments do not contain any </w:t>
      </w:r>
      <w:r>
        <w:t>questions of a sensitive or private nature.</w:t>
      </w:r>
    </w:p>
    <w:p w:rsidR="003C1DD9" w:rsidRPr="00A70C24" w:rsidP="003C1DD9" w14:paraId="4EBFCE09" w14:textId="77777777">
      <w:pPr>
        <w:widowControl w:val="0"/>
        <w:numPr>
          <w:ilvl w:val="0"/>
          <w:numId w:val="4"/>
        </w:numPr>
        <w:kinsoku w:val="0"/>
        <w:spacing w:before="100" w:beforeAutospacing="1" w:after="100" w:afterAutospacing="1"/>
        <w:rPr>
          <w:b/>
          <w:bCs/>
        </w:rPr>
      </w:pPr>
      <w:r w:rsidRPr="00A70C24">
        <w:rPr>
          <w:b/>
          <w:bCs/>
        </w:rPr>
        <w:t>Provide estimates of the hour burden of the collection of information. The statement should:</w:t>
      </w:r>
    </w:p>
    <w:p w:rsidR="003C1DD9" w:rsidRPr="00C31620" w:rsidP="003C1DD9" w14:paraId="2F4FFD1F" w14:textId="77777777">
      <w:pPr>
        <w:widowControl w:val="0"/>
        <w:numPr>
          <w:ilvl w:val="0"/>
          <w:numId w:val="1"/>
        </w:numPr>
        <w:kinsoku w:val="0"/>
        <w:rPr>
          <w:b/>
          <w:bCs/>
        </w:rPr>
      </w:pPr>
      <w:r w:rsidRPr="00C31620">
        <w:rPr>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C31620">
        <w:rPr>
          <w:b/>
          <w:bCs/>
        </w:rPr>
        <w:t>hour</w:t>
      </w:r>
      <w:r w:rsidRPr="00C31620">
        <w:rPr>
          <w:b/>
          <w:bCs/>
        </w:rPr>
        <w:t xml:space="preserve"> burden estimates. Consultation with a sample (fewer </w:t>
      </w:r>
      <w:r w:rsidRPr="00C31620">
        <w:rPr>
          <w:b/>
          <w:bCs/>
        </w:rPr>
        <w:t>than10</w:t>
      </w:r>
      <w:r w:rsidRPr="00C31620">
        <w:rPr>
          <w:b/>
          <w:bCs/>
        </w:rPr>
        <w:t>)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1DD9" w:rsidRPr="00C31620" w:rsidP="003C1DD9" w14:paraId="2AAE5D8A" w14:textId="77777777">
      <w:pPr>
        <w:widowControl w:val="0"/>
        <w:numPr>
          <w:ilvl w:val="0"/>
          <w:numId w:val="1"/>
        </w:numPr>
        <w:kinsoku w:val="0"/>
        <w:rPr>
          <w:b/>
          <w:bCs/>
          <w:sz w:val="19"/>
          <w:szCs w:val="19"/>
        </w:rPr>
      </w:pPr>
      <w:r w:rsidRPr="00C31620">
        <w:rPr>
          <w:b/>
          <w:bCs/>
        </w:rPr>
        <w:t xml:space="preserve">If this request for approval covers more than one form, provide separate hour burden estimates for each </w:t>
      </w:r>
      <w:r w:rsidRPr="00C31620">
        <w:rPr>
          <w:b/>
          <w:bCs/>
        </w:rPr>
        <w:t>form</w:t>
      </w:r>
      <w:r w:rsidRPr="00C31620">
        <w:rPr>
          <w:b/>
          <w:bCs/>
        </w:rPr>
        <w:t xml:space="preserve"> and aggregate the hour burdens in Item 13 of OMB Form </w:t>
      </w:r>
      <w:r w:rsidRPr="00163087">
        <w:rPr>
          <w:b/>
          <w:bCs/>
          <w:sz w:val="19"/>
          <w:szCs w:val="19"/>
        </w:rPr>
        <w:t>83-I.</w:t>
      </w:r>
    </w:p>
    <w:p w:rsidR="003C1DD9" w:rsidP="003C1DD9" w14:paraId="7E473159" w14:textId="77777777">
      <w:pPr>
        <w:widowControl w:val="0"/>
        <w:numPr>
          <w:ilvl w:val="0"/>
          <w:numId w:val="1"/>
        </w:numPr>
        <w:kinsoku w:val="0"/>
        <w:rPr>
          <w:b/>
          <w:bCs/>
        </w:rPr>
      </w:pPr>
      <w:r w:rsidRPr="00C31620">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C1DD9" w:rsidP="003C1DD9" w14:paraId="0C3D28B5" w14:textId="77777777">
      <w:pPr>
        <w:widowControl w:val="0"/>
        <w:kinsoku w:val="0"/>
        <w:rPr>
          <w:b/>
          <w:bCs/>
        </w:rPr>
      </w:pPr>
    </w:p>
    <w:p w:rsidR="003C1DD9" w:rsidP="007418EB" w14:paraId="214F6785" w14:textId="7DA77A70">
      <w:pPr>
        <w:widowControl w:val="0"/>
        <w:kinsoku w:val="0"/>
        <w:ind w:left="360"/>
      </w:pPr>
      <w:r w:rsidRPr="00162442">
        <w:t>2M will conduct interviews with stakeholders from the 50 selected PHAs</w:t>
      </w:r>
      <w:r w:rsidR="009B7A7E">
        <w:t>, a total of 1</w:t>
      </w:r>
      <w:r w:rsidR="00890C80">
        <w:t>4</w:t>
      </w:r>
      <w:r w:rsidR="00C9217C">
        <w:t>0</w:t>
      </w:r>
      <w:r w:rsidR="009B7A7E">
        <w:t xml:space="preserve"> interviews</w:t>
      </w:r>
      <w:r w:rsidR="00890C80">
        <w:t xml:space="preserve"> across </w:t>
      </w:r>
      <w:r w:rsidR="00C9217C">
        <w:t>145 respondents</w:t>
      </w:r>
      <w:r w:rsidRPr="00162442">
        <w:t xml:space="preserve">. We envision the first interview to </w:t>
      </w:r>
      <w:r>
        <w:t>involve</w:t>
      </w:r>
      <w:r w:rsidRPr="00162442">
        <w:t xml:space="preserve"> </w:t>
      </w:r>
      <w:r>
        <w:t>someone in a</w:t>
      </w:r>
      <w:r w:rsidRPr="00162442">
        <w:t xml:space="preserve"> leadership </w:t>
      </w:r>
      <w:r>
        <w:t xml:space="preserve">position </w:t>
      </w:r>
      <w:r w:rsidRPr="00162442">
        <w:t xml:space="preserve">from selected PHAs. This point of contact will also help </w:t>
      </w:r>
      <w:r>
        <w:t xml:space="preserve">to </w:t>
      </w:r>
      <w:r w:rsidRPr="00162442">
        <w:t xml:space="preserve">recruit other relevant stakeholders from the PHAs such as PHA </w:t>
      </w:r>
      <w:r w:rsidR="007C2B08">
        <w:t xml:space="preserve">staff (either </w:t>
      </w:r>
      <w:r w:rsidRPr="00162442">
        <w:t xml:space="preserve">outreach staff or other </w:t>
      </w:r>
      <w:r w:rsidR="00590232">
        <w:t>staff</w:t>
      </w:r>
      <w:r w:rsidRPr="00162442">
        <w:t xml:space="preserve"> that were involved </w:t>
      </w:r>
      <w:r w:rsidR="00590232">
        <w:t>in the</w:t>
      </w:r>
      <w:r w:rsidRPr="00162442">
        <w:t xml:space="preserve"> implementation of PHA waivers</w:t>
      </w:r>
      <w:r w:rsidR="007C2B08">
        <w:t xml:space="preserve">) and </w:t>
      </w:r>
      <w:r w:rsidR="00045338">
        <w:t>members</w:t>
      </w:r>
      <w:r w:rsidR="007C2B08">
        <w:t xml:space="preserve"> from R</w:t>
      </w:r>
      <w:r w:rsidRPr="00162442" w:rsidR="007C2B08">
        <w:t xml:space="preserve">esident </w:t>
      </w:r>
      <w:r w:rsidR="007C2B08">
        <w:t>A</w:t>
      </w:r>
      <w:r w:rsidRPr="00162442" w:rsidR="007C2B08">
        <w:t xml:space="preserve">dvisory </w:t>
      </w:r>
      <w:r w:rsidR="007C2B08">
        <w:t>B</w:t>
      </w:r>
      <w:r w:rsidRPr="00162442" w:rsidR="007C2B08">
        <w:t>oards</w:t>
      </w:r>
      <w:r w:rsidRPr="00162442">
        <w:t>.</w:t>
      </w:r>
      <w:r>
        <w:t xml:space="preserve"> </w:t>
      </w:r>
      <w:r w:rsidRPr="002D5897">
        <w:t>The</w:t>
      </w:r>
      <w:r>
        <w:t>se</w:t>
      </w:r>
      <w:r w:rsidRPr="002D5897">
        <w:t xml:space="preserve"> interviews will take </w:t>
      </w:r>
      <w:r>
        <w:t>approximately one hour to complete</w:t>
      </w:r>
      <w:r w:rsidR="007C2B08">
        <w:t xml:space="preserve">. </w:t>
      </w:r>
      <w:r w:rsidRPr="00CB6947">
        <w:t xml:space="preserve">The hour burden is detailed in </w:t>
      </w:r>
      <w:r w:rsidRPr="00163087">
        <w:rPr>
          <w:b/>
        </w:rPr>
        <w:t xml:space="preserve">Exhibit </w:t>
      </w:r>
      <w:r w:rsidR="001D1757">
        <w:rPr>
          <w:b/>
        </w:rPr>
        <w:t>C</w:t>
      </w:r>
      <w:r w:rsidRPr="00860C0F">
        <w:t>.</w:t>
      </w:r>
    </w:p>
    <w:p w:rsidR="00E83193" w:rsidP="007418EB" w14:paraId="37F9080C" w14:textId="77777777">
      <w:pPr>
        <w:widowControl w:val="0"/>
        <w:kinsoku w:val="0"/>
        <w:ind w:left="360"/>
      </w:pPr>
    </w:p>
    <w:p w:rsidR="003C1DD9" w:rsidP="003C1DD9" w14:paraId="709E9344" w14:textId="01158111">
      <w:pPr>
        <w:ind w:left="930" w:hanging="930"/>
        <w:textAlignment w:val="baseline"/>
        <w:rPr>
          <w:b/>
          <w:color w:val="009CD3"/>
        </w:rPr>
      </w:pPr>
      <w:r w:rsidRPr="001B1476">
        <w:rPr>
          <w:b/>
          <w:color w:val="009CD3"/>
        </w:rPr>
        <w:t xml:space="preserve">Exhibit </w:t>
      </w:r>
      <w:r w:rsidR="001D1757">
        <w:rPr>
          <w:b/>
          <w:bCs/>
          <w:color w:val="009CD3"/>
        </w:rPr>
        <w:t xml:space="preserve">C </w:t>
      </w:r>
      <w:r w:rsidRPr="001B1476">
        <w:rPr>
          <w:b/>
          <w:color w:val="009CD3"/>
        </w:rPr>
        <w:t>| Annualized Burden Table</w:t>
      </w:r>
    </w:p>
    <w:tbl>
      <w:tblPr>
        <w:tblStyle w:val="TableGrid"/>
        <w:tblW w:w="0" w:type="auto"/>
        <w:tblLayout w:type="fixed"/>
        <w:tblLook w:val="04A0"/>
      </w:tblPr>
      <w:tblGrid>
        <w:gridCol w:w="1345"/>
        <w:gridCol w:w="1350"/>
        <w:gridCol w:w="1170"/>
        <w:gridCol w:w="1170"/>
        <w:gridCol w:w="1260"/>
        <w:gridCol w:w="885"/>
        <w:gridCol w:w="1101"/>
        <w:gridCol w:w="1069"/>
      </w:tblGrid>
      <w:tr w14:paraId="3BAA234B" w14:textId="77777777" w:rsidTr="009E0CC8">
        <w:tblPrEx>
          <w:tblW w:w="0" w:type="auto"/>
          <w:tblLayout w:type="fixed"/>
          <w:tblLook w:val="04A0"/>
        </w:tblPrEx>
        <w:tc>
          <w:tcPr>
            <w:tcW w:w="9350" w:type="dxa"/>
            <w:gridSpan w:val="8"/>
          </w:tcPr>
          <w:p w:rsidR="00483DBA" w:rsidRPr="00E83193" w:rsidP="009E0CC8" w14:paraId="2403AA54" w14:textId="77777777">
            <w:pPr>
              <w:jc w:val="center"/>
              <w:rPr>
                <w:b/>
                <w:bCs/>
                <w:sz w:val="18"/>
                <w:szCs w:val="18"/>
              </w:rPr>
            </w:pPr>
            <w:r w:rsidRPr="00E83193">
              <w:rPr>
                <w:b/>
                <w:bCs/>
                <w:sz w:val="18"/>
                <w:szCs w:val="18"/>
              </w:rPr>
              <w:t>Annualized Burden Table</w:t>
            </w:r>
            <w:r>
              <w:rPr>
                <w:rStyle w:val="FootnoteReference"/>
                <w:b/>
                <w:bCs/>
                <w:sz w:val="18"/>
                <w:szCs w:val="18"/>
              </w:rPr>
              <w:footnoteReference w:id="5"/>
            </w:r>
          </w:p>
        </w:tc>
      </w:tr>
      <w:tr w14:paraId="67B4678D" w14:textId="77777777" w:rsidTr="009E0CC8">
        <w:tblPrEx>
          <w:tblW w:w="0" w:type="auto"/>
          <w:tblLayout w:type="fixed"/>
          <w:tblLook w:val="04A0"/>
        </w:tblPrEx>
        <w:tc>
          <w:tcPr>
            <w:tcW w:w="1345" w:type="dxa"/>
          </w:tcPr>
          <w:p w:rsidR="00483DBA" w:rsidRPr="00E83193" w:rsidP="009E0CC8" w14:paraId="0918D8BB" w14:textId="77777777">
            <w:pPr>
              <w:jc w:val="center"/>
              <w:rPr>
                <w:b/>
                <w:bCs/>
                <w:sz w:val="18"/>
                <w:szCs w:val="18"/>
              </w:rPr>
            </w:pPr>
            <w:r w:rsidRPr="00E83193">
              <w:rPr>
                <w:b/>
                <w:bCs/>
                <w:sz w:val="18"/>
                <w:szCs w:val="18"/>
              </w:rPr>
              <w:t>Information Collection</w:t>
            </w:r>
          </w:p>
        </w:tc>
        <w:tc>
          <w:tcPr>
            <w:tcW w:w="1350" w:type="dxa"/>
          </w:tcPr>
          <w:p w:rsidR="00483DBA" w:rsidRPr="00E83193" w:rsidP="009E0CC8" w14:paraId="193F214D" w14:textId="77777777">
            <w:pPr>
              <w:jc w:val="center"/>
              <w:rPr>
                <w:b/>
                <w:bCs/>
                <w:sz w:val="18"/>
                <w:szCs w:val="18"/>
              </w:rPr>
            </w:pPr>
            <w:r w:rsidRPr="00E83193">
              <w:rPr>
                <w:b/>
                <w:bCs/>
                <w:sz w:val="18"/>
                <w:szCs w:val="18"/>
              </w:rPr>
              <w:t>Number of Respondents</w:t>
            </w:r>
          </w:p>
        </w:tc>
        <w:tc>
          <w:tcPr>
            <w:tcW w:w="1170" w:type="dxa"/>
          </w:tcPr>
          <w:p w:rsidR="00483DBA" w:rsidRPr="00E83193" w:rsidP="009E0CC8" w14:paraId="25ED56A0" w14:textId="77777777">
            <w:pPr>
              <w:jc w:val="center"/>
              <w:rPr>
                <w:b/>
                <w:bCs/>
                <w:sz w:val="18"/>
                <w:szCs w:val="18"/>
              </w:rPr>
            </w:pPr>
            <w:r w:rsidRPr="00E83193">
              <w:rPr>
                <w:b/>
                <w:bCs/>
                <w:sz w:val="18"/>
                <w:szCs w:val="18"/>
              </w:rPr>
              <w:t>Frequency of Response</w:t>
            </w:r>
          </w:p>
        </w:tc>
        <w:tc>
          <w:tcPr>
            <w:tcW w:w="1170" w:type="dxa"/>
          </w:tcPr>
          <w:p w:rsidR="00483DBA" w:rsidRPr="00E83193" w:rsidP="009E0CC8" w14:paraId="1D20EED3" w14:textId="77777777">
            <w:pPr>
              <w:jc w:val="center"/>
              <w:rPr>
                <w:b/>
                <w:bCs/>
                <w:sz w:val="18"/>
                <w:szCs w:val="18"/>
              </w:rPr>
            </w:pPr>
            <w:r w:rsidRPr="00E83193">
              <w:rPr>
                <w:b/>
                <w:bCs/>
                <w:sz w:val="18"/>
                <w:szCs w:val="18"/>
              </w:rPr>
              <w:t>Responses Per Annum</w:t>
            </w:r>
          </w:p>
        </w:tc>
        <w:tc>
          <w:tcPr>
            <w:tcW w:w="1260" w:type="dxa"/>
          </w:tcPr>
          <w:p w:rsidR="00483DBA" w:rsidRPr="00E83193" w:rsidP="009E0CC8" w14:paraId="1376DF0F" w14:textId="77777777">
            <w:pPr>
              <w:jc w:val="center"/>
              <w:rPr>
                <w:b/>
                <w:bCs/>
                <w:sz w:val="18"/>
                <w:szCs w:val="18"/>
              </w:rPr>
            </w:pPr>
            <w:r w:rsidRPr="00E83193">
              <w:rPr>
                <w:b/>
                <w:bCs/>
                <w:sz w:val="18"/>
                <w:szCs w:val="18"/>
              </w:rPr>
              <w:t>Burden Hour Per Response</w:t>
            </w:r>
          </w:p>
        </w:tc>
        <w:tc>
          <w:tcPr>
            <w:tcW w:w="885" w:type="dxa"/>
          </w:tcPr>
          <w:p w:rsidR="00483DBA" w:rsidRPr="00E83193" w:rsidP="009E0CC8" w14:paraId="52580416" w14:textId="77777777">
            <w:pPr>
              <w:jc w:val="center"/>
              <w:rPr>
                <w:b/>
                <w:bCs/>
                <w:sz w:val="18"/>
                <w:szCs w:val="18"/>
              </w:rPr>
            </w:pPr>
            <w:r w:rsidRPr="00E83193">
              <w:rPr>
                <w:b/>
                <w:bCs/>
                <w:sz w:val="18"/>
                <w:szCs w:val="18"/>
              </w:rPr>
              <w:t>Annual Burden Hours</w:t>
            </w:r>
          </w:p>
        </w:tc>
        <w:tc>
          <w:tcPr>
            <w:tcW w:w="1101" w:type="dxa"/>
          </w:tcPr>
          <w:p w:rsidR="00483DBA" w:rsidRPr="00E83193" w:rsidP="009E0CC8" w14:paraId="15A19E54" w14:textId="77777777">
            <w:pPr>
              <w:jc w:val="center"/>
              <w:rPr>
                <w:b/>
                <w:bCs/>
                <w:sz w:val="18"/>
                <w:szCs w:val="18"/>
              </w:rPr>
            </w:pPr>
            <w:r w:rsidRPr="00E83193">
              <w:rPr>
                <w:b/>
                <w:bCs/>
                <w:sz w:val="18"/>
                <w:szCs w:val="18"/>
              </w:rPr>
              <w:t>Hourly Cost Per Response</w:t>
            </w:r>
          </w:p>
        </w:tc>
        <w:tc>
          <w:tcPr>
            <w:tcW w:w="1069" w:type="dxa"/>
          </w:tcPr>
          <w:p w:rsidR="00483DBA" w:rsidRPr="00E83193" w:rsidP="009E0CC8" w14:paraId="7443CA4A" w14:textId="77777777">
            <w:pPr>
              <w:jc w:val="center"/>
              <w:rPr>
                <w:b/>
                <w:bCs/>
                <w:sz w:val="18"/>
                <w:szCs w:val="18"/>
              </w:rPr>
            </w:pPr>
            <w:r w:rsidRPr="00E83193">
              <w:rPr>
                <w:b/>
                <w:bCs/>
                <w:sz w:val="18"/>
                <w:szCs w:val="18"/>
              </w:rPr>
              <w:t>Cost</w:t>
            </w:r>
          </w:p>
        </w:tc>
      </w:tr>
      <w:tr w14:paraId="78FCF29A" w14:textId="77777777" w:rsidTr="009E0CC8">
        <w:tblPrEx>
          <w:tblW w:w="0" w:type="auto"/>
          <w:tblLayout w:type="fixed"/>
          <w:tblLook w:val="04A0"/>
        </w:tblPrEx>
        <w:tc>
          <w:tcPr>
            <w:tcW w:w="9350" w:type="dxa"/>
            <w:gridSpan w:val="8"/>
            <w:shd w:val="clear" w:color="auto" w:fill="E7E6E6" w:themeFill="background2"/>
          </w:tcPr>
          <w:p w:rsidR="00483DBA" w:rsidRPr="00E83193" w:rsidP="009E0CC8" w14:paraId="0EF57101" w14:textId="77777777">
            <w:pPr>
              <w:rPr>
                <w:b/>
                <w:bCs/>
                <w:sz w:val="18"/>
                <w:szCs w:val="18"/>
              </w:rPr>
            </w:pPr>
            <w:r w:rsidRPr="00E83193">
              <w:rPr>
                <w:b/>
                <w:bCs/>
                <w:sz w:val="18"/>
                <w:szCs w:val="18"/>
              </w:rPr>
              <w:t>PHAs that Adopted a Waiver</w:t>
            </w:r>
          </w:p>
        </w:tc>
      </w:tr>
      <w:tr w14:paraId="212BAE77" w14:textId="77777777" w:rsidTr="009E0CC8">
        <w:tblPrEx>
          <w:tblW w:w="0" w:type="auto"/>
          <w:tblLayout w:type="fixed"/>
          <w:tblLook w:val="04A0"/>
        </w:tblPrEx>
        <w:tc>
          <w:tcPr>
            <w:tcW w:w="1345" w:type="dxa"/>
          </w:tcPr>
          <w:p w:rsidR="00E83193" w:rsidRPr="00E83193" w:rsidP="00E83193" w14:paraId="1AF3E37A" w14:textId="77777777">
            <w:pPr>
              <w:rPr>
                <w:sz w:val="18"/>
                <w:szCs w:val="18"/>
              </w:rPr>
            </w:pPr>
            <w:bookmarkStart w:id="1" w:name="_Hlk137453088"/>
            <w:r w:rsidRPr="00E83193">
              <w:rPr>
                <w:sz w:val="18"/>
                <w:szCs w:val="18"/>
              </w:rPr>
              <w:t>Interview of PHA Leadership</w:t>
            </w:r>
          </w:p>
        </w:tc>
        <w:tc>
          <w:tcPr>
            <w:tcW w:w="1350" w:type="dxa"/>
          </w:tcPr>
          <w:p w:rsidR="00E83193" w:rsidRPr="00E83193" w:rsidP="00E83193" w14:paraId="196A7798" w14:textId="77777777">
            <w:pPr>
              <w:jc w:val="center"/>
              <w:rPr>
                <w:sz w:val="18"/>
                <w:szCs w:val="18"/>
              </w:rPr>
            </w:pPr>
            <w:r w:rsidRPr="00E83193">
              <w:rPr>
                <w:sz w:val="18"/>
                <w:szCs w:val="18"/>
              </w:rPr>
              <w:t>45</w:t>
            </w:r>
          </w:p>
        </w:tc>
        <w:tc>
          <w:tcPr>
            <w:tcW w:w="1170" w:type="dxa"/>
          </w:tcPr>
          <w:p w:rsidR="00E83193" w:rsidRPr="00E83193" w:rsidP="00E83193" w14:paraId="247AC582" w14:textId="77777777">
            <w:pPr>
              <w:jc w:val="center"/>
              <w:rPr>
                <w:sz w:val="18"/>
                <w:szCs w:val="18"/>
              </w:rPr>
            </w:pPr>
            <w:r w:rsidRPr="00E83193">
              <w:rPr>
                <w:sz w:val="18"/>
                <w:szCs w:val="18"/>
              </w:rPr>
              <w:t>1</w:t>
            </w:r>
          </w:p>
        </w:tc>
        <w:tc>
          <w:tcPr>
            <w:tcW w:w="1170" w:type="dxa"/>
          </w:tcPr>
          <w:p w:rsidR="00E83193" w:rsidRPr="00E83193" w:rsidP="00E83193" w14:paraId="14F7C40D" w14:textId="6D0CB0B2">
            <w:pPr>
              <w:jc w:val="center"/>
              <w:rPr>
                <w:sz w:val="18"/>
                <w:szCs w:val="18"/>
              </w:rPr>
            </w:pPr>
            <w:r w:rsidRPr="00E83193">
              <w:rPr>
                <w:sz w:val="18"/>
                <w:szCs w:val="18"/>
              </w:rPr>
              <w:t>45</w:t>
            </w:r>
          </w:p>
        </w:tc>
        <w:tc>
          <w:tcPr>
            <w:tcW w:w="1260" w:type="dxa"/>
          </w:tcPr>
          <w:p w:rsidR="00E83193" w:rsidRPr="00E83193" w:rsidP="00E83193" w14:paraId="0028E691" w14:textId="77777777">
            <w:pPr>
              <w:jc w:val="center"/>
              <w:rPr>
                <w:sz w:val="18"/>
                <w:szCs w:val="18"/>
              </w:rPr>
            </w:pPr>
            <w:r w:rsidRPr="00E83193">
              <w:rPr>
                <w:sz w:val="18"/>
                <w:szCs w:val="18"/>
              </w:rPr>
              <w:t>1.0</w:t>
            </w:r>
          </w:p>
        </w:tc>
        <w:tc>
          <w:tcPr>
            <w:tcW w:w="885" w:type="dxa"/>
          </w:tcPr>
          <w:p w:rsidR="00E83193" w:rsidRPr="00E83193" w:rsidP="00E83193" w14:paraId="3C21F2DC" w14:textId="77777777">
            <w:pPr>
              <w:jc w:val="center"/>
              <w:rPr>
                <w:sz w:val="18"/>
                <w:szCs w:val="18"/>
              </w:rPr>
            </w:pPr>
            <w:r w:rsidRPr="00E83193">
              <w:rPr>
                <w:sz w:val="18"/>
                <w:szCs w:val="18"/>
              </w:rPr>
              <w:t>45.0</w:t>
            </w:r>
          </w:p>
        </w:tc>
        <w:tc>
          <w:tcPr>
            <w:tcW w:w="1101" w:type="dxa"/>
          </w:tcPr>
          <w:p w:rsidR="00E83193" w:rsidRPr="00E83193" w:rsidP="00E83193" w14:paraId="7D6EC5E0" w14:textId="77777777">
            <w:pPr>
              <w:jc w:val="center"/>
              <w:rPr>
                <w:sz w:val="18"/>
                <w:szCs w:val="18"/>
              </w:rPr>
            </w:pPr>
            <w:r w:rsidRPr="00E83193">
              <w:rPr>
                <w:sz w:val="18"/>
                <w:szCs w:val="18"/>
              </w:rPr>
              <w:t>$77.58</w:t>
            </w:r>
          </w:p>
        </w:tc>
        <w:tc>
          <w:tcPr>
            <w:tcW w:w="1069" w:type="dxa"/>
          </w:tcPr>
          <w:p w:rsidR="00E83193" w:rsidRPr="00E83193" w:rsidP="00E83193" w14:paraId="1DAA1671" w14:textId="77777777">
            <w:pPr>
              <w:jc w:val="center"/>
              <w:rPr>
                <w:sz w:val="18"/>
                <w:szCs w:val="18"/>
              </w:rPr>
            </w:pPr>
            <w:r w:rsidRPr="00E83193">
              <w:rPr>
                <w:sz w:val="18"/>
                <w:szCs w:val="18"/>
              </w:rPr>
              <w:t>$3,491.10</w:t>
            </w:r>
          </w:p>
        </w:tc>
      </w:tr>
      <w:tr w14:paraId="2F7B6F19" w14:textId="77777777" w:rsidTr="009E0CC8">
        <w:tblPrEx>
          <w:tblW w:w="0" w:type="auto"/>
          <w:tblLayout w:type="fixed"/>
          <w:tblLook w:val="04A0"/>
        </w:tblPrEx>
        <w:tc>
          <w:tcPr>
            <w:tcW w:w="1345" w:type="dxa"/>
          </w:tcPr>
          <w:p w:rsidR="00E83193" w:rsidRPr="00E83193" w:rsidP="00E83193" w14:paraId="23D0D4AA" w14:textId="77777777">
            <w:pPr>
              <w:rPr>
                <w:sz w:val="18"/>
                <w:szCs w:val="18"/>
              </w:rPr>
            </w:pPr>
            <w:r w:rsidRPr="00E83193">
              <w:rPr>
                <w:sz w:val="18"/>
                <w:szCs w:val="18"/>
              </w:rPr>
              <w:t>Interview of PHA Operations Staff</w:t>
            </w:r>
          </w:p>
        </w:tc>
        <w:tc>
          <w:tcPr>
            <w:tcW w:w="1350" w:type="dxa"/>
          </w:tcPr>
          <w:p w:rsidR="00E83193" w:rsidRPr="00E83193" w:rsidP="00E83193" w14:paraId="1D7B3189" w14:textId="77777777">
            <w:pPr>
              <w:jc w:val="center"/>
              <w:rPr>
                <w:sz w:val="18"/>
                <w:szCs w:val="18"/>
              </w:rPr>
            </w:pPr>
            <w:r w:rsidRPr="00E83193">
              <w:rPr>
                <w:sz w:val="18"/>
                <w:szCs w:val="18"/>
              </w:rPr>
              <w:t>45</w:t>
            </w:r>
          </w:p>
        </w:tc>
        <w:tc>
          <w:tcPr>
            <w:tcW w:w="1170" w:type="dxa"/>
          </w:tcPr>
          <w:p w:rsidR="00E83193" w:rsidRPr="00E83193" w:rsidP="00E83193" w14:paraId="1A281BF4" w14:textId="77777777">
            <w:pPr>
              <w:jc w:val="center"/>
              <w:rPr>
                <w:sz w:val="18"/>
                <w:szCs w:val="18"/>
              </w:rPr>
            </w:pPr>
            <w:r w:rsidRPr="00E83193">
              <w:rPr>
                <w:sz w:val="18"/>
                <w:szCs w:val="18"/>
              </w:rPr>
              <w:t>1</w:t>
            </w:r>
          </w:p>
        </w:tc>
        <w:tc>
          <w:tcPr>
            <w:tcW w:w="1170" w:type="dxa"/>
          </w:tcPr>
          <w:p w:rsidR="00E83193" w:rsidRPr="00E83193" w:rsidP="00E83193" w14:paraId="0FC5288D" w14:textId="259909EB">
            <w:pPr>
              <w:jc w:val="center"/>
              <w:rPr>
                <w:sz w:val="18"/>
                <w:szCs w:val="18"/>
              </w:rPr>
            </w:pPr>
            <w:r w:rsidRPr="00E83193">
              <w:rPr>
                <w:sz w:val="18"/>
                <w:szCs w:val="18"/>
              </w:rPr>
              <w:t>45</w:t>
            </w:r>
          </w:p>
        </w:tc>
        <w:tc>
          <w:tcPr>
            <w:tcW w:w="1260" w:type="dxa"/>
          </w:tcPr>
          <w:p w:rsidR="00E83193" w:rsidRPr="00E83193" w:rsidP="00E83193" w14:paraId="19B15296" w14:textId="77777777">
            <w:pPr>
              <w:jc w:val="center"/>
              <w:rPr>
                <w:sz w:val="18"/>
                <w:szCs w:val="18"/>
              </w:rPr>
            </w:pPr>
            <w:r w:rsidRPr="00E83193">
              <w:rPr>
                <w:sz w:val="18"/>
                <w:szCs w:val="18"/>
              </w:rPr>
              <w:t>1.0</w:t>
            </w:r>
          </w:p>
        </w:tc>
        <w:tc>
          <w:tcPr>
            <w:tcW w:w="885" w:type="dxa"/>
          </w:tcPr>
          <w:p w:rsidR="00E83193" w:rsidRPr="00E83193" w:rsidP="00E83193" w14:paraId="42BA0229" w14:textId="77777777">
            <w:pPr>
              <w:jc w:val="center"/>
              <w:rPr>
                <w:sz w:val="18"/>
                <w:szCs w:val="18"/>
              </w:rPr>
            </w:pPr>
            <w:r w:rsidRPr="00E83193">
              <w:rPr>
                <w:sz w:val="18"/>
                <w:szCs w:val="18"/>
              </w:rPr>
              <w:t>45.0</w:t>
            </w:r>
          </w:p>
        </w:tc>
        <w:tc>
          <w:tcPr>
            <w:tcW w:w="1101" w:type="dxa"/>
          </w:tcPr>
          <w:p w:rsidR="00E83193" w:rsidRPr="00E83193" w:rsidP="00E83193" w14:paraId="74F1A52D" w14:textId="77777777">
            <w:pPr>
              <w:jc w:val="center"/>
              <w:rPr>
                <w:sz w:val="18"/>
                <w:szCs w:val="18"/>
              </w:rPr>
            </w:pPr>
            <w:r w:rsidRPr="00E83193">
              <w:rPr>
                <w:sz w:val="18"/>
                <w:szCs w:val="18"/>
              </w:rPr>
              <w:t>$29.89</w:t>
            </w:r>
          </w:p>
        </w:tc>
        <w:tc>
          <w:tcPr>
            <w:tcW w:w="1069" w:type="dxa"/>
          </w:tcPr>
          <w:p w:rsidR="00E83193" w:rsidRPr="00E83193" w:rsidP="00E83193" w14:paraId="755A97B8" w14:textId="77777777">
            <w:pPr>
              <w:jc w:val="center"/>
              <w:rPr>
                <w:sz w:val="18"/>
                <w:szCs w:val="18"/>
              </w:rPr>
            </w:pPr>
            <w:r w:rsidRPr="00E83193">
              <w:rPr>
                <w:sz w:val="18"/>
                <w:szCs w:val="18"/>
              </w:rPr>
              <w:t>$1,345.05</w:t>
            </w:r>
          </w:p>
        </w:tc>
      </w:tr>
      <w:tr w14:paraId="24A044FE" w14:textId="77777777" w:rsidTr="009E0CC8">
        <w:tblPrEx>
          <w:tblW w:w="0" w:type="auto"/>
          <w:tblLayout w:type="fixed"/>
          <w:tblLook w:val="04A0"/>
        </w:tblPrEx>
        <w:tc>
          <w:tcPr>
            <w:tcW w:w="1345" w:type="dxa"/>
          </w:tcPr>
          <w:p w:rsidR="00E83193" w:rsidRPr="00E83193" w:rsidP="00E83193" w14:paraId="2D61D24C" w14:textId="77777777">
            <w:pPr>
              <w:rPr>
                <w:sz w:val="18"/>
                <w:szCs w:val="18"/>
              </w:rPr>
            </w:pPr>
            <w:r w:rsidRPr="00E83193">
              <w:rPr>
                <w:sz w:val="18"/>
                <w:szCs w:val="18"/>
              </w:rPr>
              <w:t>Interview of Members of Residents Advisory Board</w:t>
            </w:r>
          </w:p>
        </w:tc>
        <w:tc>
          <w:tcPr>
            <w:tcW w:w="1350" w:type="dxa"/>
          </w:tcPr>
          <w:p w:rsidR="00E83193" w:rsidRPr="00E83193" w:rsidP="00E83193" w14:paraId="1CCD7AA3" w14:textId="77777777">
            <w:pPr>
              <w:jc w:val="center"/>
              <w:rPr>
                <w:sz w:val="18"/>
                <w:szCs w:val="18"/>
              </w:rPr>
            </w:pPr>
            <w:r w:rsidRPr="00E83193">
              <w:rPr>
                <w:sz w:val="18"/>
                <w:szCs w:val="18"/>
              </w:rPr>
              <w:t>45</w:t>
            </w:r>
          </w:p>
        </w:tc>
        <w:tc>
          <w:tcPr>
            <w:tcW w:w="1170" w:type="dxa"/>
          </w:tcPr>
          <w:p w:rsidR="00E83193" w:rsidRPr="00E83193" w:rsidP="00E83193" w14:paraId="11E68E91" w14:textId="77777777">
            <w:pPr>
              <w:jc w:val="center"/>
              <w:rPr>
                <w:sz w:val="18"/>
                <w:szCs w:val="18"/>
              </w:rPr>
            </w:pPr>
            <w:r w:rsidRPr="00E83193">
              <w:rPr>
                <w:sz w:val="18"/>
                <w:szCs w:val="18"/>
              </w:rPr>
              <w:t>1</w:t>
            </w:r>
          </w:p>
        </w:tc>
        <w:tc>
          <w:tcPr>
            <w:tcW w:w="1170" w:type="dxa"/>
          </w:tcPr>
          <w:p w:rsidR="00E83193" w:rsidRPr="00E83193" w:rsidP="00E83193" w14:paraId="54F811DD" w14:textId="50C801DF">
            <w:pPr>
              <w:jc w:val="center"/>
              <w:rPr>
                <w:sz w:val="18"/>
                <w:szCs w:val="18"/>
              </w:rPr>
            </w:pPr>
            <w:r w:rsidRPr="00E83193">
              <w:rPr>
                <w:sz w:val="18"/>
                <w:szCs w:val="18"/>
              </w:rPr>
              <w:t>45</w:t>
            </w:r>
          </w:p>
        </w:tc>
        <w:tc>
          <w:tcPr>
            <w:tcW w:w="1260" w:type="dxa"/>
          </w:tcPr>
          <w:p w:rsidR="00E83193" w:rsidRPr="00E83193" w:rsidP="00E83193" w14:paraId="4BD2262C" w14:textId="77777777">
            <w:pPr>
              <w:jc w:val="center"/>
              <w:rPr>
                <w:sz w:val="18"/>
                <w:szCs w:val="18"/>
              </w:rPr>
            </w:pPr>
            <w:r w:rsidRPr="00E83193">
              <w:rPr>
                <w:sz w:val="18"/>
                <w:szCs w:val="18"/>
              </w:rPr>
              <w:t>1.0</w:t>
            </w:r>
          </w:p>
        </w:tc>
        <w:tc>
          <w:tcPr>
            <w:tcW w:w="885" w:type="dxa"/>
          </w:tcPr>
          <w:p w:rsidR="00E83193" w:rsidRPr="00E83193" w:rsidP="00E83193" w14:paraId="580F4C7C" w14:textId="77777777">
            <w:pPr>
              <w:jc w:val="center"/>
              <w:rPr>
                <w:sz w:val="18"/>
                <w:szCs w:val="18"/>
              </w:rPr>
            </w:pPr>
            <w:r w:rsidRPr="00E83193">
              <w:rPr>
                <w:sz w:val="18"/>
                <w:szCs w:val="18"/>
              </w:rPr>
              <w:t>45.0</w:t>
            </w:r>
          </w:p>
        </w:tc>
        <w:tc>
          <w:tcPr>
            <w:tcW w:w="1101" w:type="dxa"/>
          </w:tcPr>
          <w:p w:rsidR="00E83193" w:rsidRPr="00E83193" w:rsidP="00E83193" w14:paraId="5DF61D77" w14:textId="77777777">
            <w:pPr>
              <w:jc w:val="center"/>
              <w:rPr>
                <w:sz w:val="18"/>
                <w:szCs w:val="18"/>
              </w:rPr>
            </w:pPr>
            <w:r w:rsidRPr="00E83193">
              <w:rPr>
                <w:sz w:val="18"/>
                <w:szCs w:val="18"/>
              </w:rPr>
              <w:t>$59.78</w:t>
            </w:r>
          </w:p>
        </w:tc>
        <w:tc>
          <w:tcPr>
            <w:tcW w:w="1069" w:type="dxa"/>
          </w:tcPr>
          <w:p w:rsidR="00E83193" w:rsidRPr="00E83193" w:rsidP="00E83193" w14:paraId="45D55810" w14:textId="77777777">
            <w:pPr>
              <w:jc w:val="center"/>
              <w:rPr>
                <w:sz w:val="18"/>
                <w:szCs w:val="18"/>
              </w:rPr>
            </w:pPr>
            <w:r w:rsidRPr="00E83193">
              <w:rPr>
                <w:sz w:val="18"/>
                <w:szCs w:val="18"/>
              </w:rPr>
              <w:t>$2,690.10</w:t>
            </w:r>
          </w:p>
        </w:tc>
      </w:tr>
      <w:bookmarkEnd w:id="1"/>
      <w:tr w14:paraId="56452A88" w14:textId="77777777" w:rsidTr="009E0CC8">
        <w:tblPrEx>
          <w:tblW w:w="0" w:type="auto"/>
          <w:tblLayout w:type="fixed"/>
          <w:tblLook w:val="04A0"/>
        </w:tblPrEx>
        <w:tc>
          <w:tcPr>
            <w:tcW w:w="9350" w:type="dxa"/>
            <w:gridSpan w:val="8"/>
            <w:shd w:val="clear" w:color="auto" w:fill="E7E6E6" w:themeFill="background2"/>
          </w:tcPr>
          <w:p w:rsidR="00483DBA" w:rsidRPr="00E83193" w:rsidP="009E0CC8" w14:paraId="33837C52" w14:textId="77777777">
            <w:pPr>
              <w:rPr>
                <w:sz w:val="18"/>
                <w:szCs w:val="18"/>
              </w:rPr>
            </w:pPr>
            <w:r w:rsidRPr="00E83193">
              <w:rPr>
                <w:b/>
                <w:bCs/>
                <w:sz w:val="18"/>
                <w:szCs w:val="18"/>
              </w:rPr>
              <w:t>PHAs that did not Adopted a Waiver</w:t>
            </w:r>
          </w:p>
        </w:tc>
      </w:tr>
      <w:tr w14:paraId="72B304F7" w14:textId="77777777" w:rsidTr="009E0CC8">
        <w:tblPrEx>
          <w:tblW w:w="0" w:type="auto"/>
          <w:tblLayout w:type="fixed"/>
          <w:tblLook w:val="04A0"/>
        </w:tblPrEx>
        <w:tc>
          <w:tcPr>
            <w:tcW w:w="1345" w:type="dxa"/>
          </w:tcPr>
          <w:p w:rsidR="00483DBA" w:rsidRPr="00E83193" w:rsidP="009E0CC8" w14:paraId="367D8DF5" w14:textId="77777777">
            <w:pPr>
              <w:rPr>
                <w:sz w:val="18"/>
                <w:szCs w:val="18"/>
              </w:rPr>
            </w:pPr>
            <w:r w:rsidRPr="00E83193">
              <w:rPr>
                <w:sz w:val="18"/>
                <w:szCs w:val="18"/>
              </w:rPr>
              <w:t>Interview of PHA Leadership and Staff (combined)</w:t>
            </w:r>
          </w:p>
        </w:tc>
        <w:tc>
          <w:tcPr>
            <w:tcW w:w="1350" w:type="dxa"/>
          </w:tcPr>
          <w:p w:rsidR="00483DBA" w:rsidRPr="00E83193" w:rsidP="009E0CC8" w14:paraId="09BBAEB9" w14:textId="77777777">
            <w:pPr>
              <w:jc w:val="center"/>
              <w:rPr>
                <w:sz w:val="18"/>
                <w:szCs w:val="18"/>
              </w:rPr>
            </w:pPr>
            <w:r w:rsidRPr="00E83193">
              <w:rPr>
                <w:sz w:val="18"/>
                <w:szCs w:val="18"/>
              </w:rPr>
              <w:t>10</w:t>
            </w:r>
          </w:p>
        </w:tc>
        <w:tc>
          <w:tcPr>
            <w:tcW w:w="1170" w:type="dxa"/>
          </w:tcPr>
          <w:p w:rsidR="00483DBA" w:rsidRPr="00E83193" w:rsidP="009E0CC8" w14:paraId="002AA3F6" w14:textId="77777777">
            <w:pPr>
              <w:jc w:val="center"/>
              <w:rPr>
                <w:sz w:val="18"/>
                <w:szCs w:val="18"/>
              </w:rPr>
            </w:pPr>
            <w:r w:rsidRPr="00E83193">
              <w:rPr>
                <w:sz w:val="18"/>
                <w:szCs w:val="18"/>
              </w:rPr>
              <w:t>1</w:t>
            </w:r>
          </w:p>
        </w:tc>
        <w:tc>
          <w:tcPr>
            <w:tcW w:w="1170" w:type="dxa"/>
          </w:tcPr>
          <w:p w:rsidR="00483DBA" w:rsidRPr="00E83193" w:rsidP="009E0CC8" w14:paraId="7EE0C30B" w14:textId="23FCBAE1">
            <w:pPr>
              <w:jc w:val="center"/>
              <w:rPr>
                <w:sz w:val="18"/>
                <w:szCs w:val="18"/>
              </w:rPr>
            </w:pPr>
            <w:r w:rsidRPr="00E83193">
              <w:rPr>
                <w:sz w:val="18"/>
                <w:szCs w:val="18"/>
              </w:rPr>
              <w:t>1</w:t>
            </w:r>
            <w:r w:rsidRPr="00E83193" w:rsidR="00E83193">
              <w:rPr>
                <w:sz w:val="18"/>
                <w:szCs w:val="18"/>
              </w:rPr>
              <w:t>0</w:t>
            </w:r>
          </w:p>
        </w:tc>
        <w:tc>
          <w:tcPr>
            <w:tcW w:w="1260" w:type="dxa"/>
          </w:tcPr>
          <w:p w:rsidR="00483DBA" w:rsidRPr="00E83193" w:rsidP="009E0CC8" w14:paraId="0FA7836C" w14:textId="77777777">
            <w:pPr>
              <w:jc w:val="center"/>
              <w:rPr>
                <w:sz w:val="18"/>
                <w:szCs w:val="18"/>
              </w:rPr>
            </w:pPr>
            <w:r w:rsidRPr="00E83193">
              <w:rPr>
                <w:sz w:val="18"/>
                <w:szCs w:val="18"/>
              </w:rPr>
              <w:t>1.0</w:t>
            </w:r>
          </w:p>
        </w:tc>
        <w:tc>
          <w:tcPr>
            <w:tcW w:w="885" w:type="dxa"/>
          </w:tcPr>
          <w:p w:rsidR="00483DBA" w:rsidRPr="00E83193" w:rsidP="009E0CC8" w14:paraId="286982DA" w14:textId="77777777">
            <w:pPr>
              <w:jc w:val="center"/>
              <w:rPr>
                <w:sz w:val="18"/>
                <w:szCs w:val="18"/>
              </w:rPr>
            </w:pPr>
            <w:r w:rsidRPr="00E83193">
              <w:rPr>
                <w:sz w:val="18"/>
                <w:szCs w:val="18"/>
              </w:rPr>
              <w:t>10.0</w:t>
            </w:r>
          </w:p>
        </w:tc>
        <w:tc>
          <w:tcPr>
            <w:tcW w:w="1101" w:type="dxa"/>
          </w:tcPr>
          <w:p w:rsidR="00483DBA" w:rsidRPr="00E83193" w:rsidP="009E0CC8" w14:paraId="72CDBD02" w14:textId="77777777">
            <w:pPr>
              <w:jc w:val="center"/>
              <w:rPr>
                <w:sz w:val="18"/>
                <w:szCs w:val="18"/>
              </w:rPr>
            </w:pPr>
            <w:r w:rsidRPr="00E83193">
              <w:rPr>
                <w:sz w:val="18"/>
                <w:szCs w:val="18"/>
              </w:rPr>
              <w:t>$53.74</w:t>
            </w:r>
            <w:r>
              <w:rPr>
                <w:rStyle w:val="FootnoteReference"/>
                <w:sz w:val="18"/>
                <w:szCs w:val="18"/>
              </w:rPr>
              <w:footnoteReference w:id="6"/>
            </w:r>
          </w:p>
        </w:tc>
        <w:tc>
          <w:tcPr>
            <w:tcW w:w="1069" w:type="dxa"/>
          </w:tcPr>
          <w:p w:rsidR="00483DBA" w:rsidRPr="00E83193" w:rsidP="009E0CC8" w14:paraId="59D8F16F" w14:textId="77777777">
            <w:pPr>
              <w:jc w:val="center"/>
              <w:rPr>
                <w:sz w:val="18"/>
                <w:szCs w:val="18"/>
              </w:rPr>
            </w:pPr>
            <w:r w:rsidRPr="00E83193">
              <w:rPr>
                <w:sz w:val="18"/>
                <w:szCs w:val="18"/>
              </w:rPr>
              <w:t>$537.40</w:t>
            </w:r>
          </w:p>
        </w:tc>
      </w:tr>
      <w:tr w14:paraId="59535D7B" w14:textId="77777777" w:rsidTr="009E0CC8">
        <w:tblPrEx>
          <w:tblW w:w="0" w:type="auto"/>
          <w:tblLayout w:type="fixed"/>
          <w:tblLook w:val="04A0"/>
        </w:tblPrEx>
        <w:tc>
          <w:tcPr>
            <w:tcW w:w="1345" w:type="dxa"/>
          </w:tcPr>
          <w:p w:rsidR="00483DBA" w:rsidRPr="00E83193" w:rsidP="009E0CC8" w14:paraId="58D2692C" w14:textId="77777777">
            <w:pPr>
              <w:rPr>
                <w:b/>
                <w:bCs/>
                <w:sz w:val="18"/>
                <w:szCs w:val="18"/>
              </w:rPr>
            </w:pPr>
            <w:r w:rsidRPr="00E83193">
              <w:rPr>
                <w:b/>
                <w:bCs/>
                <w:sz w:val="18"/>
                <w:szCs w:val="18"/>
              </w:rPr>
              <w:t xml:space="preserve">Total </w:t>
            </w:r>
          </w:p>
        </w:tc>
        <w:tc>
          <w:tcPr>
            <w:tcW w:w="1350" w:type="dxa"/>
          </w:tcPr>
          <w:p w:rsidR="00483DBA" w:rsidRPr="00E83193" w:rsidP="009E0CC8" w14:paraId="1B199720" w14:textId="77777777">
            <w:pPr>
              <w:jc w:val="center"/>
              <w:rPr>
                <w:b/>
                <w:bCs/>
                <w:sz w:val="18"/>
                <w:szCs w:val="18"/>
              </w:rPr>
            </w:pPr>
            <w:r w:rsidRPr="00E83193">
              <w:rPr>
                <w:b/>
                <w:bCs/>
                <w:sz w:val="18"/>
                <w:szCs w:val="18"/>
              </w:rPr>
              <w:t>145</w:t>
            </w:r>
          </w:p>
        </w:tc>
        <w:tc>
          <w:tcPr>
            <w:tcW w:w="1170" w:type="dxa"/>
          </w:tcPr>
          <w:p w:rsidR="00483DBA" w:rsidRPr="00E83193" w:rsidP="009E0CC8" w14:paraId="3FC76DCF" w14:textId="77777777">
            <w:pPr>
              <w:jc w:val="center"/>
              <w:rPr>
                <w:b/>
                <w:bCs/>
                <w:sz w:val="18"/>
                <w:szCs w:val="18"/>
              </w:rPr>
            </w:pPr>
          </w:p>
        </w:tc>
        <w:tc>
          <w:tcPr>
            <w:tcW w:w="1170" w:type="dxa"/>
          </w:tcPr>
          <w:p w:rsidR="00483DBA" w:rsidRPr="00E83193" w:rsidP="009E0CC8" w14:paraId="60CC671A" w14:textId="77777777">
            <w:pPr>
              <w:jc w:val="center"/>
              <w:rPr>
                <w:b/>
                <w:bCs/>
                <w:sz w:val="18"/>
                <w:szCs w:val="18"/>
              </w:rPr>
            </w:pPr>
          </w:p>
        </w:tc>
        <w:tc>
          <w:tcPr>
            <w:tcW w:w="1260" w:type="dxa"/>
          </w:tcPr>
          <w:p w:rsidR="00483DBA" w:rsidRPr="00E83193" w:rsidP="009E0CC8" w14:paraId="1C9C4689" w14:textId="77777777">
            <w:pPr>
              <w:jc w:val="center"/>
              <w:rPr>
                <w:b/>
                <w:bCs/>
                <w:sz w:val="18"/>
                <w:szCs w:val="18"/>
              </w:rPr>
            </w:pPr>
          </w:p>
        </w:tc>
        <w:tc>
          <w:tcPr>
            <w:tcW w:w="885" w:type="dxa"/>
          </w:tcPr>
          <w:p w:rsidR="00483DBA" w:rsidRPr="00E83193" w:rsidP="009E0CC8" w14:paraId="324AB370" w14:textId="77777777">
            <w:pPr>
              <w:jc w:val="center"/>
              <w:rPr>
                <w:b/>
                <w:bCs/>
                <w:sz w:val="18"/>
                <w:szCs w:val="18"/>
              </w:rPr>
            </w:pPr>
            <w:r w:rsidRPr="00E83193">
              <w:rPr>
                <w:b/>
                <w:bCs/>
                <w:sz w:val="18"/>
                <w:szCs w:val="18"/>
              </w:rPr>
              <w:t>145.0</w:t>
            </w:r>
          </w:p>
        </w:tc>
        <w:tc>
          <w:tcPr>
            <w:tcW w:w="1101" w:type="dxa"/>
          </w:tcPr>
          <w:p w:rsidR="00483DBA" w:rsidRPr="00E83193" w:rsidP="009E0CC8" w14:paraId="76D295F8" w14:textId="77777777">
            <w:pPr>
              <w:jc w:val="center"/>
              <w:rPr>
                <w:b/>
                <w:bCs/>
                <w:sz w:val="18"/>
                <w:szCs w:val="18"/>
              </w:rPr>
            </w:pPr>
          </w:p>
        </w:tc>
        <w:tc>
          <w:tcPr>
            <w:tcW w:w="1069" w:type="dxa"/>
          </w:tcPr>
          <w:p w:rsidR="00483DBA" w:rsidRPr="00E83193" w:rsidP="009E0CC8" w14:paraId="07D03379" w14:textId="77777777">
            <w:pPr>
              <w:jc w:val="center"/>
              <w:rPr>
                <w:b/>
                <w:bCs/>
                <w:sz w:val="18"/>
                <w:szCs w:val="18"/>
              </w:rPr>
            </w:pPr>
            <w:r w:rsidRPr="00E83193">
              <w:rPr>
                <w:b/>
                <w:bCs/>
                <w:sz w:val="18"/>
                <w:szCs w:val="18"/>
              </w:rPr>
              <w:t>$8,063.65</w:t>
            </w:r>
          </w:p>
        </w:tc>
      </w:tr>
    </w:tbl>
    <w:p w:rsidR="003C1DD9" w:rsidRPr="009772AA" w:rsidP="003C1DD9" w14:paraId="4A551590" w14:textId="77777777">
      <w:pPr>
        <w:widowControl w:val="0"/>
        <w:kinsoku w:val="0"/>
        <w:ind w:left="360"/>
      </w:pPr>
    </w:p>
    <w:p w:rsidR="003C1DD9" w:rsidP="00D634EC" w14:paraId="3D290BC8" w14:textId="227D6459">
      <w:pPr>
        <w:pStyle w:val="BodyText"/>
        <w:spacing w:after="0" w:line="276" w:lineRule="auto"/>
        <w:rPr>
          <w:sz w:val="24"/>
          <w:szCs w:val="24"/>
        </w:rPr>
      </w:pPr>
      <w:r>
        <w:rPr>
          <w:color w:val="000000"/>
          <w:sz w:val="24"/>
          <w:szCs w:val="24"/>
        </w:rPr>
        <w:t xml:space="preserve">The total estimated annual cost for this information collection is </w:t>
      </w:r>
      <w:r w:rsidRPr="00A02C82">
        <w:rPr>
          <w:color w:val="000000"/>
          <w:sz w:val="24"/>
          <w:szCs w:val="24"/>
        </w:rPr>
        <w:t>$</w:t>
      </w:r>
      <w:r w:rsidR="00483DBA">
        <w:rPr>
          <w:color w:val="000000"/>
          <w:sz w:val="24"/>
          <w:szCs w:val="24"/>
        </w:rPr>
        <w:t>8,063.65</w:t>
      </w:r>
      <w:r w:rsidRPr="009772AA">
        <w:rPr>
          <w:color w:val="000000"/>
          <w:sz w:val="24"/>
          <w:szCs w:val="24"/>
        </w:rPr>
        <w:t>.</w:t>
      </w:r>
      <w:r>
        <w:rPr>
          <w:color w:val="000000"/>
          <w:sz w:val="24"/>
          <w:szCs w:val="24"/>
        </w:rPr>
        <w:t xml:space="preserve"> The total estimated annual cost is the total number of respondent hours </w:t>
      </w:r>
      <w:r w:rsidR="00D91488">
        <w:rPr>
          <w:color w:val="000000"/>
          <w:sz w:val="24"/>
          <w:szCs w:val="24"/>
        </w:rPr>
        <w:t>per type</w:t>
      </w:r>
      <w:r>
        <w:rPr>
          <w:color w:val="000000"/>
          <w:sz w:val="24"/>
          <w:szCs w:val="24"/>
        </w:rPr>
        <w:t xml:space="preserve"> multiplied by the hourly cost per respondent. </w:t>
      </w:r>
      <w:r w:rsidRPr="00514D0F">
        <w:rPr>
          <w:color w:val="000000"/>
          <w:sz w:val="24"/>
          <w:szCs w:val="24"/>
        </w:rPr>
        <w:t xml:space="preserve">To estimate the hourly cost per respondent, </w:t>
      </w:r>
      <w:r>
        <w:rPr>
          <w:color w:val="000000"/>
          <w:sz w:val="24"/>
          <w:szCs w:val="24"/>
        </w:rPr>
        <w:t>2M</w:t>
      </w:r>
      <w:r w:rsidRPr="00514D0F">
        <w:rPr>
          <w:color w:val="000000"/>
          <w:sz w:val="24"/>
          <w:szCs w:val="24"/>
        </w:rPr>
        <w:t xml:space="preserve"> used the average hourly compensation (wages and benefits) for </w:t>
      </w:r>
      <w:r w:rsidR="000C4E88">
        <w:rPr>
          <w:color w:val="000000"/>
          <w:sz w:val="24"/>
          <w:szCs w:val="24"/>
        </w:rPr>
        <w:t>private</w:t>
      </w:r>
      <w:r w:rsidRPr="00514D0F">
        <w:rPr>
          <w:color w:val="000000"/>
          <w:sz w:val="24"/>
          <w:szCs w:val="24"/>
        </w:rPr>
        <w:t xml:space="preserve"> workers </w:t>
      </w:r>
      <w:r w:rsidR="000C4E88">
        <w:rPr>
          <w:color w:val="000000"/>
          <w:sz w:val="24"/>
          <w:szCs w:val="24"/>
        </w:rPr>
        <w:t xml:space="preserve">in </w:t>
      </w:r>
      <w:r w:rsidR="002C1711">
        <w:rPr>
          <w:color w:val="000000"/>
          <w:sz w:val="24"/>
          <w:szCs w:val="24"/>
        </w:rPr>
        <w:t>S</w:t>
      </w:r>
      <w:r w:rsidR="000C4E88">
        <w:rPr>
          <w:color w:val="000000"/>
          <w:sz w:val="24"/>
          <w:szCs w:val="24"/>
        </w:rPr>
        <w:t>ervice-</w:t>
      </w:r>
      <w:r w:rsidR="002C1711">
        <w:rPr>
          <w:color w:val="000000"/>
          <w:sz w:val="24"/>
          <w:szCs w:val="24"/>
        </w:rPr>
        <w:t>P</w:t>
      </w:r>
      <w:r w:rsidR="000C4E88">
        <w:rPr>
          <w:color w:val="000000"/>
          <w:sz w:val="24"/>
          <w:szCs w:val="24"/>
        </w:rPr>
        <w:t xml:space="preserve">roviding </w:t>
      </w:r>
      <w:r w:rsidR="002C1711">
        <w:rPr>
          <w:color w:val="000000"/>
          <w:sz w:val="24"/>
          <w:szCs w:val="24"/>
        </w:rPr>
        <w:t>I</w:t>
      </w:r>
      <w:r w:rsidR="000C4E88">
        <w:rPr>
          <w:color w:val="000000"/>
          <w:sz w:val="24"/>
          <w:szCs w:val="24"/>
        </w:rPr>
        <w:t xml:space="preserve">ndustry </w:t>
      </w:r>
      <w:r w:rsidRPr="00514D0F">
        <w:rPr>
          <w:color w:val="000000"/>
          <w:sz w:val="24"/>
          <w:szCs w:val="24"/>
        </w:rPr>
        <w:t>a</w:t>
      </w:r>
      <w:r w:rsidRPr="00514D0F">
        <w:rPr>
          <w:sz w:val="24"/>
          <w:szCs w:val="24"/>
        </w:rPr>
        <w:t xml:space="preserve">ccording to the </w:t>
      </w:r>
      <w:r>
        <w:rPr>
          <w:sz w:val="24"/>
          <w:szCs w:val="24"/>
        </w:rPr>
        <w:t xml:space="preserve">U.S. </w:t>
      </w:r>
      <w:r w:rsidRPr="00514D0F">
        <w:rPr>
          <w:sz w:val="24"/>
          <w:szCs w:val="24"/>
        </w:rPr>
        <w:t xml:space="preserve">Bureau of Labor Statistics’ Employer Costs for Employee Compensation </w:t>
      </w:r>
      <w:r>
        <w:rPr>
          <w:sz w:val="24"/>
          <w:szCs w:val="24"/>
        </w:rPr>
        <w:t>S</w:t>
      </w:r>
      <w:r w:rsidRPr="00514D0F">
        <w:rPr>
          <w:sz w:val="24"/>
          <w:szCs w:val="24"/>
        </w:rPr>
        <w:t xml:space="preserve">urvey from June 2022 </w:t>
      </w:r>
      <w:r w:rsidRPr="00514D0F">
        <w:rPr>
          <w:color w:val="000000"/>
          <w:sz w:val="24"/>
          <w:szCs w:val="24"/>
        </w:rPr>
        <w:t>(</w:t>
      </w:r>
      <w:hyperlink r:id="rId9" w:history="1">
        <w:r w:rsidRPr="00514D0F">
          <w:rPr>
            <w:rStyle w:val="Hyperlink"/>
            <w:sz w:val="24"/>
            <w:szCs w:val="24"/>
          </w:rPr>
          <w:t>https://www.bls.gov/news.release/pdf/ecec.pdf</w:t>
        </w:r>
      </w:hyperlink>
      <w:r w:rsidRPr="00514D0F">
        <w:rPr>
          <w:color w:val="000000"/>
          <w:sz w:val="24"/>
          <w:szCs w:val="24"/>
        </w:rPr>
        <w:t>)</w:t>
      </w:r>
      <w:r w:rsidRPr="00514D0F">
        <w:rPr>
          <w:sz w:val="24"/>
          <w:szCs w:val="24"/>
        </w:rPr>
        <w:t>.</w:t>
      </w:r>
    </w:p>
    <w:p w:rsidR="003C1DD9" w:rsidP="007418EB" w14:paraId="6AB5C2A8" w14:textId="77777777">
      <w:pPr>
        <w:pStyle w:val="BodyText"/>
        <w:spacing w:after="0" w:line="276" w:lineRule="auto"/>
        <w:ind w:left="720"/>
        <w:rPr>
          <w:sz w:val="24"/>
          <w:szCs w:val="24"/>
        </w:rPr>
      </w:pPr>
    </w:p>
    <w:p w:rsidR="003C1DD9" w:rsidP="00D634EC" w14:paraId="59F9A06A" w14:textId="478A4659">
      <w:pPr>
        <w:pStyle w:val="BodyText"/>
        <w:spacing w:after="0" w:line="276" w:lineRule="auto"/>
        <w:rPr>
          <w:sz w:val="24"/>
          <w:szCs w:val="24"/>
        </w:rPr>
      </w:pPr>
      <w:r w:rsidRPr="00514D0F">
        <w:rPr>
          <w:sz w:val="24"/>
          <w:szCs w:val="24"/>
        </w:rPr>
        <w:t>There is a maximum of 1</w:t>
      </w:r>
      <w:r w:rsidR="007B0545">
        <w:rPr>
          <w:sz w:val="24"/>
          <w:szCs w:val="24"/>
        </w:rPr>
        <w:t>45</w:t>
      </w:r>
      <w:r w:rsidRPr="00514D0F">
        <w:rPr>
          <w:sz w:val="24"/>
          <w:szCs w:val="24"/>
        </w:rPr>
        <w:t xml:space="preserve"> respondents, an estimated annualized hour burden of 1</w:t>
      </w:r>
      <w:r w:rsidR="007B0545">
        <w:rPr>
          <w:sz w:val="24"/>
          <w:szCs w:val="24"/>
        </w:rPr>
        <w:t>45</w:t>
      </w:r>
      <w:r w:rsidRPr="00514D0F">
        <w:rPr>
          <w:sz w:val="24"/>
          <w:szCs w:val="24"/>
        </w:rPr>
        <w:t xml:space="preserve"> hours, and </w:t>
      </w:r>
      <w:r>
        <w:rPr>
          <w:sz w:val="24"/>
          <w:szCs w:val="24"/>
        </w:rPr>
        <w:t xml:space="preserve">an </w:t>
      </w:r>
      <w:r w:rsidRPr="00514D0F">
        <w:rPr>
          <w:sz w:val="24"/>
          <w:szCs w:val="24"/>
        </w:rPr>
        <w:t xml:space="preserve">average annualized cost of </w:t>
      </w:r>
      <w:r w:rsidRPr="00A02C82">
        <w:rPr>
          <w:sz w:val="24"/>
          <w:szCs w:val="24"/>
        </w:rPr>
        <w:t>$</w:t>
      </w:r>
      <w:r w:rsidR="00A674B0">
        <w:rPr>
          <w:sz w:val="24"/>
          <w:szCs w:val="24"/>
        </w:rPr>
        <w:t>8</w:t>
      </w:r>
      <w:r w:rsidR="000C4E88">
        <w:rPr>
          <w:sz w:val="24"/>
          <w:szCs w:val="24"/>
        </w:rPr>
        <w:t>,0</w:t>
      </w:r>
      <w:r w:rsidR="00A674B0">
        <w:rPr>
          <w:sz w:val="24"/>
          <w:szCs w:val="24"/>
        </w:rPr>
        <w:t>63.65</w:t>
      </w:r>
      <w:r>
        <w:rPr>
          <w:sz w:val="24"/>
          <w:szCs w:val="24"/>
        </w:rPr>
        <w:t>.</w:t>
      </w:r>
    </w:p>
    <w:p w:rsidR="003C1DD9" w:rsidP="003C1DD9" w14:paraId="62D5E243" w14:textId="42561183">
      <w:pPr>
        <w:pStyle w:val="BodyText"/>
        <w:spacing w:after="0" w:line="276" w:lineRule="auto"/>
        <w:rPr>
          <w:sz w:val="24"/>
          <w:szCs w:val="24"/>
        </w:rPr>
      </w:pPr>
    </w:p>
    <w:p w:rsidR="003C1DD9" w:rsidRPr="00A70C24" w:rsidP="003C1DD9" w14:paraId="1549CCC9" w14:textId="77777777">
      <w:pPr>
        <w:widowControl w:val="0"/>
        <w:numPr>
          <w:ilvl w:val="0"/>
          <w:numId w:val="4"/>
        </w:numPr>
        <w:kinsoku w:val="0"/>
        <w:rPr>
          <w:b/>
          <w:bCs/>
        </w:rPr>
      </w:pPr>
      <w:r w:rsidRPr="00A70C24">
        <w:rPr>
          <w:b/>
          <w:bCs/>
        </w:rPr>
        <w:t>Provide an estimate for the total annual cost burden to respondents or recordkeepers resulting from the collection of information. (Do not include the cost of any hour burden shown in Items 12 and 14).</w:t>
      </w:r>
    </w:p>
    <w:p w:rsidR="003C1DD9" w:rsidRPr="00A70C24" w:rsidP="003C1DD9" w14:paraId="4B41F6E3" w14:textId="77777777">
      <w:pPr>
        <w:widowControl w:val="0"/>
        <w:kinsoku w:val="0"/>
        <w:rPr>
          <w:b/>
          <w:bCs/>
        </w:rPr>
      </w:pPr>
    </w:p>
    <w:p w:rsidR="003C1DD9" w:rsidRPr="00C31620" w:rsidP="003C1DD9" w14:paraId="3CA94153" w14:textId="77777777">
      <w:pPr>
        <w:widowControl w:val="0"/>
        <w:numPr>
          <w:ilvl w:val="0"/>
          <w:numId w:val="2"/>
        </w:numPr>
        <w:kinsoku w:val="0"/>
        <w:rPr>
          <w:b/>
          <w:bCs/>
        </w:rPr>
      </w:pPr>
      <w:r w:rsidRPr="00C31620">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31620">
        <w:rPr>
          <w:b/>
          <w:bCs/>
        </w:rPr>
        <w:t>take into account</w:t>
      </w:r>
      <w:r w:rsidRPr="00C31620">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31620">
        <w:rPr>
          <w:b/>
          <w:bCs/>
        </w:rPr>
        <w:t>time period</w:t>
      </w:r>
      <w:r w:rsidRPr="00C31620">
        <w:rPr>
          <w:b/>
          <w:bCs/>
        </w:rPr>
        <w:t xml:space="preserve"> over which costs will be incurred. Capital and start-up costs include, among other items, preparations for collecting information such as purchasing computers and software; monitoring, sampling, </w:t>
      </w:r>
      <w:r w:rsidRPr="00C31620">
        <w:rPr>
          <w:b/>
          <w:bCs/>
        </w:rPr>
        <w:t>drilling</w:t>
      </w:r>
      <w:r w:rsidRPr="00C31620">
        <w:rPr>
          <w:b/>
          <w:bCs/>
        </w:rPr>
        <w:t xml:space="preserve"> and testing equipment; and record storage facilities.</w:t>
      </w:r>
    </w:p>
    <w:p w:rsidR="003C1DD9" w:rsidRPr="00C31620" w:rsidP="003C1DD9" w14:paraId="443BE558" w14:textId="77777777">
      <w:pPr>
        <w:widowControl w:val="0"/>
        <w:numPr>
          <w:ilvl w:val="0"/>
          <w:numId w:val="2"/>
        </w:numPr>
        <w:kinsoku w:val="0"/>
        <w:rPr>
          <w:b/>
          <w:bCs/>
        </w:rPr>
      </w:pPr>
      <w:r w:rsidRPr="00C31620">
        <w:rPr>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C31620">
        <w:rPr>
          <w:b/>
          <w:bCs/>
        </w:rPr>
        <w:t>process</w:t>
      </w:r>
      <w:r w:rsidRPr="00C31620">
        <w:rPr>
          <w:b/>
          <w:bCs/>
        </w:rPr>
        <w:t xml:space="preserve"> and use existing economic or regulatory impact analysis associated with the rulemaking containing the information collection, as appropriate.</w:t>
      </w:r>
    </w:p>
    <w:p w:rsidR="003C1DD9" w:rsidRPr="00C31620" w:rsidP="003C1DD9" w14:paraId="48DA32CA" w14:textId="77777777">
      <w:pPr>
        <w:widowControl w:val="0"/>
        <w:numPr>
          <w:ilvl w:val="0"/>
          <w:numId w:val="2"/>
        </w:numPr>
        <w:kinsoku w:val="0"/>
        <w:rPr>
          <w:b/>
          <w:bCs/>
        </w:rPr>
      </w:pPr>
      <w:r w:rsidRPr="00C3162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1DD9" w:rsidP="003C1DD9" w14:paraId="75DB56B5" w14:textId="77777777">
      <w:pPr>
        <w:widowControl w:val="0"/>
        <w:kinsoku w:val="0"/>
        <w:ind w:left="360"/>
      </w:pPr>
    </w:p>
    <w:p w:rsidR="003C1DD9" w:rsidP="00BA30DB" w14:paraId="7A9A4A19" w14:textId="2844CAD9">
      <w:pPr>
        <w:widowControl w:val="0"/>
        <w:kinsoku w:val="0"/>
        <w:ind w:left="360"/>
      </w:pPr>
      <w:r w:rsidRPr="00C31620">
        <w:t xml:space="preserve">This data collection effort involves no recordkeeping or reporting costs for respondents other than the time burden to respond to questions on the data collection instruments as described in </w:t>
      </w:r>
      <w:r>
        <w:t>I</w:t>
      </w:r>
      <w:r w:rsidRPr="00C31620">
        <w:t xml:space="preserve">tem 12 above. There is no known </w:t>
      </w:r>
      <w:r>
        <w:t xml:space="preserve">additional </w:t>
      </w:r>
      <w:r w:rsidRPr="00C31620">
        <w:t>cost burden to the respondents.</w:t>
      </w:r>
    </w:p>
    <w:p w:rsidR="003C1DD9" w:rsidP="003C1DD9" w14:paraId="7226B4E8" w14:textId="51F70C76">
      <w:pPr>
        <w:widowControl w:val="0"/>
        <w:kinsoku w:val="0"/>
        <w:ind w:left="360"/>
      </w:pPr>
    </w:p>
    <w:p w:rsidR="003C1DD9" w:rsidRPr="00A70C24" w:rsidP="003C1DD9" w14:paraId="2F6F0EFF" w14:textId="77777777">
      <w:pPr>
        <w:widowControl w:val="0"/>
        <w:numPr>
          <w:ilvl w:val="0"/>
          <w:numId w:val="4"/>
        </w:numPr>
        <w:kinsoku w:val="0"/>
        <w:rPr>
          <w:b/>
          <w:bCs/>
        </w:rPr>
      </w:pPr>
      <w:r w:rsidRPr="00A70C24">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C1DD9" w:rsidP="003C1DD9" w14:paraId="529F2414" w14:textId="77777777">
      <w:pPr>
        <w:spacing w:line="276" w:lineRule="auto"/>
      </w:pPr>
    </w:p>
    <w:p w:rsidR="003C1DD9" w:rsidP="007418EB" w14:paraId="3E37EC22" w14:textId="29C2034C">
      <w:pPr>
        <w:spacing w:line="276" w:lineRule="auto"/>
        <w:ind w:left="360"/>
      </w:pPr>
      <w:r w:rsidRPr="00994B6D">
        <w:t>The current effort is being carried out under a HUD Contract with 2M Research. HUD estimates the costs to the Federal government for these data collection and analysis efforts to be approximately $499,981 for two years in professional services.</w:t>
      </w:r>
      <w:r>
        <w:rPr>
          <w:rStyle w:val="FootnoteReference"/>
        </w:rPr>
        <w:footnoteReference w:id="7"/>
      </w:r>
      <w:r w:rsidRPr="00994B6D">
        <w:t xml:space="preserve"> The professional labor cost estimates for this information collection include project management staff, survey methodologists, interviewers, IT support staff, and data analysis and reporting staff. </w:t>
      </w:r>
      <w:r w:rsidRPr="00994B6D">
        <w:rPr>
          <w:b/>
        </w:rPr>
        <w:t>Exhibit</w:t>
      </w:r>
      <w:r w:rsidRPr="00994B6D">
        <w:rPr>
          <w:b/>
        </w:rPr>
        <w:t xml:space="preserve"> </w:t>
      </w:r>
      <w:r w:rsidR="00142749">
        <w:rPr>
          <w:b/>
        </w:rPr>
        <w:t>D</w:t>
      </w:r>
      <w:r w:rsidRPr="00994B6D">
        <w:t xml:space="preserve"> summarizes the cost breakdown.</w:t>
      </w:r>
    </w:p>
    <w:p w:rsidR="003C1DD9" w:rsidP="003C1DD9" w14:paraId="026A982A" w14:textId="77777777">
      <w:pPr>
        <w:widowControl w:val="0"/>
        <w:kinsoku w:val="0"/>
      </w:pPr>
    </w:p>
    <w:p w:rsidR="003C1DD9" w:rsidRPr="00333DB9" w:rsidP="003C1DD9" w14:paraId="4E5C457E" w14:textId="0B8BE61A">
      <w:pPr>
        <w:ind w:left="930" w:hanging="930"/>
        <w:textAlignment w:val="baseline"/>
        <w:rPr>
          <w:rFonts w:eastAsia="Calibri"/>
        </w:rPr>
      </w:pPr>
      <w:r w:rsidRPr="00F75AFB">
        <w:rPr>
          <w:b/>
          <w:color w:val="009CD3"/>
        </w:rPr>
        <w:t xml:space="preserve">Exhibit </w:t>
      </w:r>
      <w:r w:rsidR="00142749">
        <w:rPr>
          <w:b/>
          <w:bCs/>
          <w:color w:val="009CD3"/>
        </w:rPr>
        <w:t xml:space="preserve">D </w:t>
      </w:r>
      <w:r w:rsidRPr="00F75AFB">
        <w:rPr>
          <w:b/>
          <w:color w:val="009CD3"/>
        </w:rPr>
        <w:t>| Estimated Cost Breakdown</w:t>
      </w:r>
    </w:p>
    <w:tbl>
      <w:tblPr>
        <w:tblStyle w:val="ListTable31"/>
        <w:tblW w:w="5000" w:type="pct"/>
        <w:tblInd w:w="-5" w:type="dxa"/>
        <w:tblLook w:val="0000"/>
      </w:tblPr>
      <w:tblGrid>
        <w:gridCol w:w="3116"/>
        <w:gridCol w:w="3117"/>
        <w:gridCol w:w="3117"/>
      </w:tblGrid>
      <w:tr w14:paraId="61595A4E" w14:textId="77777777" w:rsidTr="007418EB">
        <w:tblPrEx>
          <w:tblW w:w="5000" w:type="pct"/>
          <w:tblInd w:w="-5" w:type="dxa"/>
          <w:tblLook w:val="0000"/>
        </w:tblPrEx>
        <w:trPr>
          <w:trHeight w:val="20"/>
        </w:trPr>
        <w:tc>
          <w:tcPr>
            <w:tcW w:w="1666" w:type="pct"/>
            <w:shd w:val="clear" w:color="auto" w:fill="D9E2F3" w:themeFill="accent1" w:themeFillTint="33"/>
            <w:vAlign w:val="center"/>
          </w:tcPr>
          <w:p w:rsidR="003C1DD9" w:rsidRPr="00E83193" w:rsidP="00716311" w14:paraId="44E2E27E" w14:textId="77777777">
            <w:pPr>
              <w:spacing w:line="276" w:lineRule="auto"/>
              <w:rPr>
                <w:b/>
                <w:sz w:val="20"/>
                <w:szCs w:val="20"/>
              </w:rPr>
            </w:pPr>
            <w:r w:rsidRPr="00E83193">
              <w:rPr>
                <w:rFonts w:eastAsia="Calibri"/>
                <w:b/>
                <w:color w:val="000000"/>
                <w:sz w:val="20"/>
                <w:szCs w:val="20"/>
              </w:rPr>
              <w:t>Activity</w:t>
            </w:r>
          </w:p>
        </w:tc>
        <w:tc>
          <w:tcPr>
            <w:tcW w:w="1667" w:type="pct"/>
            <w:shd w:val="clear" w:color="auto" w:fill="D9E2F3" w:themeFill="accent1" w:themeFillTint="33"/>
            <w:vAlign w:val="center"/>
          </w:tcPr>
          <w:p w:rsidR="003C1DD9" w:rsidRPr="00E83193" w:rsidP="00716311" w14:paraId="4F17E5F2" w14:textId="77777777">
            <w:pPr>
              <w:spacing w:line="276" w:lineRule="auto"/>
              <w:rPr>
                <w:b/>
                <w:sz w:val="20"/>
                <w:szCs w:val="20"/>
              </w:rPr>
            </w:pPr>
            <w:r w:rsidRPr="00E83193">
              <w:rPr>
                <w:rFonts w:eastAsia="Calibri"/>
                <w:b/>
                <w:color w:val="000000"/>
                <w:sz w:val="20"/>
                <w:szCs w:val="20"/>
              </w:rPr>
              <w:t>Estimated Cost to Federal Government</w:t>
            </w:r>
          </w:p>
        </w:tc>
        <w:tc>
          <w:tcPr>
            <w:tcW w:w="1667" w:type="pct"/>
            <w:shd w:val="clear" w:color="auto" w:fill="D9E2F3" w:themeFill="accent1" w:themeFillTint="33"/>
          </w:tcPr>
          <w:p w:rsidR="003C1DD9" w:rsidRPr="00E83193" w:rsidP="00716311" w14:paraId="62DD5D83" w14:textId="77777777">
            <w:pPr>
              <w:spacing w:line="276" w:lineRule="auto"/>
              <w:rPr>
                <w:rFonts w:eastAsia="Calibri"/>
                <w:b/>
                <w:color w:val="000000"/>
                <w:sz w:val="20"/>
                <w:szCs w:val="20"/>
              </w:rPr>
            </w:pPr>
            <w:r w:rsidRPr="00E83193">
              <w:rPr>
                <w:rFonts w:eastAsia="Calibri"/>
                <w:b/>
                <w:color w:val="000000"/>
                <w:sz w:val="20"/>
                <w:szCs w:val="20"/>
              </w:rPr>
              <w:t xml:space="preserve">Total Labor Hours </w:t>
            </w:r>
            <w:r w:rsidRPr="00E83193">
              <w:rPr>
                <w:rFonts w:eastAsia="Calibri"/>
                <w:b/>
                <w:color w:val="000000"/>
                <w:sz w:val="20"/>
                <w:szCs w:val="20"/>
              </w:rPr>
              <w:t>For</w:t>
            </w:r>
            <w:r w:rsidRPr="00E83193">
              <w:rPr>
                <w:rFonts w:eastAsia="Calibri"/>
                <w:b/>
                <w:color w:val="000000"/>
                <w:sz w:val="20"/>
                <w:szCs w:val="20"/>
              </w:rPr>
              <w:t xml:space="preserve"> Information Collection</w:t>
            </w:r>
          </w:p>
        </w:tc>
      </w:tr>
      <w:tr w14:paraId="28F31640" w14:textId="77777777" w:rsidTr="007418EB">
        <w:tblPrEx>
          <w:tblW w:w="5000" w:type="pct"/>
          <w:tblInd w:w="-5" w:type="dxa"/>
          <w:tblLook w:val="0000"/>
        </w:tblPrEx>
        <w:trPr>
          <w:trHeight w:val="20"/>
        </w:trPr>
        <w:tc>
          <w:tcPr>
            <w:tcW w:w="1666" w:type="pct"/>
            <w:vAlign w:val="center"/>
          </w:tcPr>
          <w:p w:rsidR="003C1DD9" w:rsidRPr="00E83193" w:rsidP="00716311" w14:paraId="3BEA5BDF" w14:textId="77777777">
            <w:pPr>
              <w:pStyle w:val="NoSpacing"/>
              <w:spacing w:line="276" w:lineRule="auto"/>
              <w:rPr>
                <w:sz w:val="20"/>
                <w:szCs w:val="20"/>
              </w:rPr>
            </w:pPr>
            <w:r w:rsidRPr="00E83193">
              <w:rPr>
                <w:color w:val="000000"/>
                <w:sz w:val="20"/>
                <w:szCs w:val="20"/>
              </w:rPr>
              <w:t>Professional Labor</w:t>
            </w:r>
          </w:p>
        </w:tc>
        <w:tc>
          <w:tcPr>
            <w:tcW w:w="1667" w:type="pct"/>
            <w:vAlign w:val="center"/>
          </w:tcPr>
          <w:p w:rsidR="003C1DD9" w:rsidRPr="00E83193" w:rsidP="00716311" w14:paraId="28D34551" w14:textId="77777777">
            <w:pPr>
              <w:pStyle w:val="NoSpacing"/>
              <w:spacing w:line="276" w:lineRule="auto"/>
              <w:rPr>
                <w:sz w:val="20"/>
                <w:szCs w:val="20"/>
              </w:rPr>
            </w:pPr>
            <w:r w:rsidRPr="00E83193">
              <w:rPr>
                <w:color w:val="000000"/>
                <w:sz w:val="20"/>
                <w:szCs w:val="20"/>
              </w:rPr>
              <w:t>$ 499,981.00</w:t>
            </w:r>
          </w:p>
        </w:tc>
        <w:tc>
          <w:tcPr>
            <w:tcW w:w="1667" w:type="pct"/>
          </w:tcPr>
          <w:p w:rsidR="003C1DD9" w:rsidRPr="00E83193" w:rsidP="00716311" w14:paraId="4C16FCF5" w14:textId="77777777">
            <w:pPr>
              <w:pStyle w:val="NoSpacing"/>
              <w:spacing w:line="276" w:lineRule="auto"/>
              <w:rPr>
                <w:color w:val="000000"/>
                <w:sz w:val="20"/>
                <w:szCs w:val="20"/>
              </w:rPr>
            </w:pPr>
            <w:r w:rsidRPr="00E83193">
              <w:rPr>
                <w:color w:val="000000"/>
                <w:sz w:val="20"/>
                <w:szCs w:val="20"/>
              </w:rPr>
              <w:t>3,476 hours</w:t>
            </w:r>
          </w:p>
        </w:tc>
      </w:tr>
    </w:tbl>
    <w:p w:rsidR="00E83193" w:rsidP="003C1DD9" w14:paraId="39BBFDBD" w14:textId="77777777">
      <w:pPr>
        <w:spacing w:after="160" w:line="259" w:lineRule="auto"/>
        <w:rPr>
          <w:b/>
          <w:bCs/>
        </w:rPr>
      </w:pPr>
    </w:p>
    <w:p w:rsidR="003C1DD9" w:rsidRPr="00A70C24" w:rsidP="003C1DD9" w14:paraId="0F0A97E9" w14:textId="77777777">
      <w:pPr>
        <w:widowControl w:val="0"/>
        <w:numPr>
          <w:ilvl w:val="0"/>
          <w:numId w:val="4"/>
        </w:numPr>
        <w:kinsoku w:val="0"/>
        <w:rPr>
          <w:b/>
          <w:bCs/>
        </w:rPr>
      </w:pPr>
      <w:r w:rsidRPr="00A70C24">
        <w:rPr>
          <w:b/>
          <w:bCs/>
        </w:rPr>
        <w:t xml:space="preserve">Explain the reasons for any program changes or adjustments reported in Items 13 or 14 of the OMB Form 83-I. </w:t>
      </w:r>
    </w:p>
    <w:p w:rsidR="003C1DD9" w:rsidRPr="00A70C24" w:rsidP="003C1DD9" w14:paraId="24727F91" w14:textId="77777777">
      <w:pPr>
        <w:pStyle w:val="ListParagraph"/>
        <w:rPr>
          <w:b/>
          <w:bCs/>
        </w:rPr>
      </w:pPr>
    </w:p>
    <w:p w:rsidR="003C1DD9" w:rsidP="007418EB" w14:paraId="5794A0CF" w14:textId="01CC4354">
      <w:pPr>
        <w:ind w:left="360"/>
      </w:pPr>
      <w:r w:rsidRPr="00C31620">
        <w:t>This submission to OMB is an initial submission and does not involve any program changes or adjustments.</w:t>
      </w:r>
    </w:p>
    <w:p w:rsidR="003C1DD9" w:rsidP="003C1DD9" w14:paraId="143FA2B8" w14:textId="68521EF9"/>
    <w:p w:rsidR="00E83193" w:rsidP="003C1DD9" w14:paraId="51666848" w14:textId="77777777"/>
    <w:p w:rsidR="003C1DD9" w:rsidRPr="00A70C24" w:rsidP="003C1DD9" w14:paraId="36D6B940" w14:textId="77777777">
      <w:pPr>
        <w:widowControl w:val="0"/>
        <w:numPr>
          <w:ilvl w:val="0"/>
          <w:numId w:val="4"/>
        </w:numPr>
        <w:kinsoku w:val="0"/>
        <w:rPr>
          <w:b/>
          <w:bCs/>
        </w:rPr>
      </w:pPr>
      <w:r w:rsidRPr="00A70C24">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1DD9" w:rsidP="003C1DD9" w14:paraId="668DAAE2" w14:textId="77777777">
      <w:pPr>
        <w:rPr>
          <w:b/>
          <w:bCs/>
        </w:rPr>
      </w:pPr>
    </w:p>
    <w:p w:rsidR="003C1DD9" w:rsidP="003C1DD9" w14:paraId="63E189C0" w14:textId="54F24E08">
      <w:pPr>
        <w:pStyle w:val="BodyText"/>
        <w:spacing w:after="0" w:line="276" w:lineRule="auto"/>
        <w:ind w:left="360"/>
        <w:rPr>
          <w:b/>
          <w:sz w:val="24"/>
          <w:szCs w:val="24"/>
        </w:rPr>
      </w:pPr>
      <w:r w:rsidRPr="00A438DC">
        <w:rPr>
          <w:sz w:val="24"/>
          <w:szCs w:val="24"/>
        </w:rPr>
        <w:t>The data collected for the</w:t>
      </w:r>
      <w:r>
        <w:rPr>
          <w:sz w:val="24"/>
          <w:szCs w:val="24"/>
        </w:rPr>
        <w:t xml:space="preserve"> study</w:t>
      </w:r>
      <w:r w:rsidRPr="00A438DC">
        <w:rPr>
          <w:sz w:val="24"/>
          <w:szCs w:val="24"/>
        </w:rPr>
        <w:t xml:space="preserve"> will be analyzed, tabulated, and reported to HUD by </w:t>
      </w:r>
      <w:r>
        <w:rPr>
          <w:sz w:val="24"/>
          <w:szCs w:val="24"/>
        </w:rPr>
        <w:t>2M Research</w:t>
      </w:r>
      <w:r w:rsidRPr="00A438DC">
        <w:rPr>
          <w:sz w:val="24"/>
          <w:szCs w:val="24"/>
        </w:rPr>
        <w:t xml:space="preserve">. </w:t>
      </w:r>
      <w:r w:rsidRPr="00163087">
        <w:rPr>
          <w:b/>
          <w:sz w:val="24"/>
          <w:szCs w:val="24"/>
        </w:rPr>
        <w:t xml:space="preserve">Exhibit </w:t>
      </w:r>
      <w:r w:rsidR="0005750F">
        <w:rPr>
          <w:b/>
          <w:sz w:val="24"/>
          <w:szCs w:val="24"/>
        </w:rPr>
        <w:t>E</w:t>
      </w:r>
      <w:r w:rsidRPr="00A438DC">
        <w:rPr>
          <w:sz w:val="24"/>
          <w:szCs w:val="24"/>
        </w:rPr>
        <w:t xml:space="preserve"> presents an overview of </w:t>
      </w:r>
      <w:r>
        <w:rPr>
          <w:sz w:val="24"/>
          <w:szCs w:val="24"/>
        </w:rPr>
        <w:t>the time schedule for the entire project.</w:t>
      </w:r>
      <w:r w:rsidRPr="00A438DC">
        <w:rPr>
          <w:sz w:val="24"/>
          <w:szCs w:val="24"/>
        </w:rPr>
        <w:t xml:space="preserve"> </w:t>
      </w:r>
      <w:r w:rsidRPr="00CB6947">
        <w:rPr>
          <w:sz w:val="24"/>
          <w:szCs w:val="24"/>
        </w:rPr>
        <w:t xml:space="preserve">This schedule assumes that data collection begins after OMB clearance in </w:t>
      </w:r>
      <w:r>
        <w:rPr>
          <w:sz w:val="24"/>
          <w:szCs w:val="24"/>
        </w:rPr>
        <w:t>September</w:t>
      </w:r>
      <w:r w:rsidRPr="00FE5224">
        <w:rPr>
          <w:sz w:val="24"/>
          <w:szCs w:val="24"/>
        </w:rPr>
        <w:t xml:space="preserve"> 2023.</w:t>
      </w:r>
      <w:r>
        <w:rPr>
          <w:sz w:val="24"/>
          <w:szCs w:val="24"/>
        </w:rPr>
        <w:br/>
      </w:r>
    </w:p>
    <w:p w:rsidR="003C1DD9" w:rsidRPr="00333DB9" w:rsidP="003C1DD9" w14:paraId="5E6E68EF" w14:textId="67B18204">
      <w:pPr>
        <w:ind w:left="930" w:hanging="930"/>
        <w:textAlignment w:val="baseline"/>
        <w:rPr>
          <w:rFonts w:eastAsia="Calibri"/>
        </w:rPr>
      </w:pPr>
      <w:r w:rsidRPr="00B925D5">
        <w:rPr>
          <w:b/>
          <w:color w:val="009CD3"/>
        </w:rPr>
        <w:t xml:space="preserve">Exhibit </w:t>
      </w:r>
      <w:r w:rsidR="0005750F">
        <w:rPr>
          <w:b/>
          <w:bCs/>
          <w:color w:val="009CD3"/>
        </w:rPr>
        <w:t xml:space="preserve">E </w:t>
      </w:r>
      <w:r w:rsidRPr="00B925D5">
        <w:rPr>
          <w:b/>
          <w:color w:val="009CD3"/>
        </w:rPr>
        <w:t>| Project Schedule/Timeline</w:t>
      </w:r>
    </w:p>
    <w:tbl>
      <w:tblPr>
        <w:tblW w:w="5000" w:type="pct"/>
        <w:tblLook w:val="04A0"/>
      </w:tblPr>
      <w:tblGrid>
        <w:gridCol w:w="1520"/>
        <w:gridCol w:w="4108"/>
        <w:gridCol w:w="2102"/>
        <w:gridCol w:w="1610"/>
      </w:tblGrid>
      <w:tr w14:paraId="7840E11C" w14:textId="77777777" w:rsidTr="00716311">
        <w:tblPrEx>
          <w:tblW w:w="5000" w:type="pct"/>
          <w:tblLook w:val="04A0"/>
        </w:tblPrEx>
        <w:trPr>
          <w:trHeight w:val="300"/>
          <w:tblHeader/>
        </w:trPr>
        <w:tc>
          <w:tcPr>
            <w:tcW w:w="814" w:type="pct"/>
            <w:tcBorders>
              <w:top w:val="single" w:sz="8" w:space="0" w:color="4472C4" w:themeColor="accent1"/>
              <w:left w:val="single" w:sz="8" w:space="0" w:color="4472C4" w:themeColor="accent1"/>
              <w:bottom w:val="single" w:sz="8" w:space="0" w:color="4472C4" w:themeColor="accent1"/>
              <w:right w:val="single" w:sz="8" w:space="0" w:color="FFFFFF" w:themeColor="background1"/>
            </w:tcBorders>
            <w:shd w:val="clear" w:color="auto" w:fill="A5A5A5" w:themeFill="accent3"/>
            <w:vAlign w:val="center"/>
            <w:hideMark/>
          </w:tcPr>
          <w:p w:rsidR="003C1DD9" w:rsidRPr="00823EDB" w:rsidP="00716311" w14:paraId="4CBC7F07" w14:textId="77777777">
            <w:pPr>
              <w:rPr>
                <w:rFonts w:cstheme="minorHAnsi"/>
                <w:b/>
                <w:color w:val="FFFFFF"/>
                <w:sz w:val="20"/>
                <w:szCs w:val="20"/>
              </w:rPr>
            </w:pPr>
            <w:r w:rsidRPr="00823EDB">
              <w:rPr>
                <w:rFonts w:cstheme="minorHAnsi"/>
                <w:b/>
                <w:color w:val="FFFFFF"/>
                <w:sz w:val="20"/>
                <w:szCs w:val="20"/>
              </w:rPr>
              <w:t>Task/Del Num</w:t>
            </w:r>
          </w:p>
        </w:tc>
        <w:tc>
          <w:tcPr>
            <w:tcW w:w="2199" w:type="pct"/>
            <w:tcBorders>
              <w:top w:val="single" w:sz="8" w:space="0" w:color="4472C4" w:themeColor="accent1"/>
              <w:left w:val="nil"/>
              <w:bottom w:val="single" w:sz="8" w:space="0" w:color="4472C4" w:themeColor="accent1"/>
              <w:right w:val="single" w:sz="8" w:space="0" w:color="FFFFFF" w:themeColor="background1"/>
            </w:tcBorders>
            <w:shd w:val="clear" w:color="auto" w:fill="A5A5A5" w:themeFill="accent3"/>
            <w:vAlign w:val="center"/>
            <w:hideMark/>
          </w:tcPr>
          <w:p w:rsidR="003C1DD9" w:rsidRPr="00823EDB" w:rsidP="00716311" w14:paraId="76620016" w14:textId="77777777">
            <w:pPr>
              <w:rPr>
                <w:rFonts w:cstheme="minorHAnsi"/>
                <w:b/>
                <w:color w:val="FFFFFF"/>
                <w:sz w:val="20"/>
                <w:szCs w:val="20"/>
              </w:rPr>
            </w:pPr>
            <w:r w:rsidRPr="00823EDB">
              <w:rPr>
                <w:rFonts w:cstheme="minorHAnsi"/>
                <w:b/>
                <w:color w:val="FFFFFF"/>
                <w:sz w:val="20"/>
                <w:szCs w:val="20"/>
              </w:rPr>
              <w:t>Deliverable</w:t>
            </w:r>
          </w:p>
        </w:tc>
        <w:tc>
          <w:tcPr>
            <w:tcW w:w="1125" w:type="pct"/>
            <w:tcBorders>
              <w:top w:val="single" w:sz="8" w:space="0" w:color="4472C4" w:themeColor="accent1"/>
              <w:left w:val="nil"/>
              <w:bottom w:val="single" w:sz="8" w:space="0" w:color="4472C4" w:themeColor="accent1"/>
              <w:right w:val="single" w:sz="8" w:space="0" w:color="FFFFFF" w:themeColor="background1"/>
            </w:tcBorders>
            <w:shd w:val="clear" w:color="auto" w:fill="A5A5A5" w:themeFill="accent3"/>
            <w:vAlign w:val="center"/>
            <w:hideMark/>
          </w:tcPr>
          <w:p w:rsidR="003C1DD9" w:rsidRPr="00823EDB" w:rsidP="00716311" w14:paraId="28AA5650" w14:textId="77777777">
            <w:pPr>
              <w:rPr>
                <w:rFonts w:cstheme="minorHAnsi"/>
                <w:b/>
                <w:color w:val="FFFFFF"/>
                <w:sz w:val="20"/>
                <w:szCs w:val="20"/>
              </w:rPr>
            </w:pPr>
            <w:r w:rsidRPr="00823EDB">
              <w:rPr>
                <w:rFonts w:cstheme="minorHAnsi"/>
                <w:b/>
                <w:color w:val="FFFFFF"/>
                <w:sz w:val="20"/>
                <w:szCs w:val="20"/>
              </w:rPr>
              <w:t>Due Date</w:t>
            </w:r>
          </w:p>
        </w:tc>
        <w:tc>
          <w:tcPr>
            <w:tcW w:w="862" w:type="pct"/>
            <w:tcBorders>
              <w:top w:val="single" w:sz="8" w:space="0" w:color="4472C4" w:themeColor="accent1"/>
              <w:left w:val="nil"/>
              <w:bottom w:val="single" w:sz="8" w:space="0" w:color="4472C4" w:themeColor="accent1"/>
              <w:right w:val="single" w:sz="8" w:space="0" w:color="4472C4" w:themeColor="accent1"/>
            </w:tcBorders>
            <w:shd w:val="clear" w:color="auto" w:fill="A5A5A5" w:themeFill="accent3"/>
            <w:vAlign w:val="center"/>
            <w:hideMark/>
          </w:tcPr>
          <w:p w:rsidR="003C1DD9" w:rsidRPr="00823EDB" w:rsidP="00716311" w14:paraId="29BDFA87" w14:textId="77777777">
            <w:pPr>
              <w:rPr>
                <w:rFonts w:cstheme="minorHAnsi"/>
                <w:b/>
                <w:color w:val="FFFFFF"/>
                <w:sz w:val="20"/>
                <w:szCs w:val="20"/>
              </w:rPr>
            </w:pPr>
            <w:r w:rsidRPr="00823EDB">
              <w:rPr>
                <w:rFonts w:cstheme="minorHAnsi"/>
                <w:b/>
                <w:color w:val="FFFFFF"/>
                <w:sz w:val="20"/>
                <w:szCs w:val="20"/>
              </w:rPr>
              <w:t>HUD Response</w:t>
            </w:r>
          </w:p>
        </w:tc>
      </w:tr>
      <w:tr w14:paraId="556C4687" w14:textId="77777777" w:rsidTr="00716311">
        <w:tblPrEx>
          <w:tblW w:w="5000" w:type="pct"/>
          <w:tblLook w:val="04A0"/>
        </w:tblPrEx>
        <w:trPr>
          <w:trHeight w:val="115"/>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6C08E7BB" w14:textId="77777777">
            <w:pPr>
              <w:rPr>
                <w:rFonts w:cstheme="minorHAnsi"/>
                <w:color w:val="000000"/>
                <w:sz w:val="20"/>
                <w:szCs w:val="20"/>
              </w:rPr>
            </w:pP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2CAED4D1" w14:textId="77777777">
            <w:pPr>
              <w:rPr>
                <w:rFonts w:cstheme="minorHAnsi"/>
                <w:i/>
                <w:color w:val="000000"/>
                <w:sz w:val="20"/>
                <w:szCs w:val="20"/>
              </w:rPr>
            </w:pPr>
            <w:r w:rsidRPr="00823EDB">
              <w:rPr>
                <w:rFonts w:cstheme="minorHAnsi"/>
                <w:i/>
                <w:color w:val="000000"/>
                <w:sz w:val="20"/>
                <w:szCs w:val="20"/>
              </w:rPr>
              <w:t>Contract Start Date</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4A270E59" w14:textId="77777777">
            <w:pPr>
              <w:rPr>
                <w:rFonts w:cstheme="minorHAnsi"/>
                <w:color w:val="000000"/>
                <w:sz w:val="20"/>
                <w:szCs w:val="20"/>
              </w:rPr>
            </w:pPr>
            <w:r w:rsidRPr="00823EDB">
              <w:rPr>
                <w:rFonts w:cstheme="minorHAnsi"/>
                <w:color w:val="000000"/>
                <w:sz w:val="20"/>
                <w:szCs w:val="20"/>
              </w:rPr>
              <w:t>30-Sep-22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575E3D8E" w14:textId="77777777">
            <w:pPr>
              <w:rPr>
                <w:rFonts w:cstheme="minorHAnsi"/>
                <w:color w:val="000000"/>
                <w:sz w:val="20"/>
                <w:szCs w:val="20"/>
              </w:rPr>
            </w:pPr>
            <w:r w:rsidRPr="00823EDB">
              <w:rPr>
                <w:rFonts w:cstheme="minorHAnsi"/>
                <w:color w:val="000000"/>
                <w:sz w:val="20"/>
                <w:szCs w:val="20"/>
              </w:rPr>
              <w:t xml:space="preserve"> </w:t>
            </w:r>
          </w:p>
        </w:tc>
      </w:tr>
      <w:tr w14:paraId="079550C9"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35DA8FFF" w14:textId="77777777">
            <w:pPr>
              <w:rPr>
                <w:rFonts w:cstheme="minorHAnsi"/>
                <w:color w:val="000000"/>
                <w:sz w:val="20"/>
                <w:szCs w:val="20"/>
              </w:rPr>
            </w:pPr>
            <w:r w:rsidRPr="00823EDB">
              <w:rPr>
                <w:rFonts w:cstheme="minorHAnsi"/>
                <w:color w:val="000000"/>
                <w:sz w:val="20"/>
                <w:szCs w:val="20"/>
              </w:rPr>
              <w:t>1/A001</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1CD2F325" w14:textId="77777777">
            <w:pPr>
              <w:rPr>
                <w:rFonts w:cstheme="minorHAnsi"/>
                <w:i/>
                <w:color w:val="000000"/>
                <w:sz w:val="20"/>
                <w:szCs w:val="20"/>
              </w:rPr>
            </w:pPr>
            <w:r w:rsidRPr="00823EDB">
              <w:rPr>
                <w:rFonts w:cstheme="minorHAnsi"/>
                <w:i/>
                <w:color w:val="000000"/>
                <w:sz w:val="20"/>
                <w:szCs w:val="20"/>
              </w:rPr>
              <w:t>Draft slide deck for Opening Meeting</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63C68D2F" w14:textId="77777777">
            <w:pPr>
              <w:rPr>
                <w:rFonts w:cstheme="minorHAnsi"/>
                <w:color w:val="000000"/>
                <w:sz w:val="20"/>
                <w:szCs w:val="20"/>
              </w:rPr>
            </w:pPr>
            <w:r w:rsidRPr="00823EDB">
              <w:rPr>
                <w:rFonts w:cstheme="minorHAnsi"/>
                <w:color w:val="000000"/>
                <w:sz w:val="20"/>
                <w:szCs w:val="20"/>
              </w:rPr>
              <w:t>7-Oct-22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53232D7F" w14:textId="77777777">
            <w:pPr>
              <w:rPr>
                <w:rFonts w:cstheme="minorHAnsi"/>
                <w:color w:val="000000"/>
                <w:sz w:val="20"/>
                <w:szCs w:val="20"/>
              </w:rPr>
            </w:pPr>
            <w:r w:rsidRPr="00823EDB">
              <w:rPr>
                <w:rFonts w:cstheme="minorHAnsi"/>
                <w:color w:val="000000"/>
                <w:sz w:val="20"/>
                <w:szCs w:val="20"/>
              </w:rPr>
              <w:t>3 days</w:t>
            </w:r>
          </w:p>
        </w:tc>
      </w:tr>
      <w:tr w14:paraId="55FD3439" w14:textId="77777777" w:rsidTr="00716311">
        <w:tblPrEx>
          <w:tblW w:w="5000" w:type="pct"/>
          <w:tblLook w:val="04A0"/>
        </w:tblPrEx>
        <w:trPr>
          <w:trHeight w:val="115"/>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0648D4DD" w14:textId="77777777">
            <w:pPr>
              <w:rPr>
                <w:rFonts w:cstheme="minorHAnsi"/>
                <w:color w:val="000000"/>
                <w:sz w:val="20"/>
                <w:szCs w:val="20"/>
              </w:rPr>
            </w:pPr>
            <w:r w:rsidRPr="00823EDB">
              <w:rPr>
                <w:rFonts w:cstheme="minorHAnsi"/>
                <w:color w:val="000000"/>
                <w:sz w:val="20"/>
                <w:szCs w:val="20"/>
              </w:rPr>
              <w:t>1/A002</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331ACB59" w14:textId="77777777">
            <w:pPr>
              <w:rPr>
                <w:rFonts w:cstheme="minorHAnsi"/>
                <w:i/>
                <w:color w:val="000000"/>
                <w:sz w:val="20"/>
                <w:szCs w:val="20"/>
              </w:rPr>
            </w:pPr>
            <w:r w:rsidRPr="00823EDB">
              <w:rPr>
                <w:rFonts w:cstheme="minorHAnsi"/>
                <w:i/>
                <w:color w:val="000000"/>
                <w:sz w:val="20"/>
                <w:szCs w:val="20"/>
              </w:rPr>
              <w:t>Final slide deck for Opening Meeting</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25F7DD7D" w14:textId="77777777">
            <w:pPr>
              <w:rPr>
                <w:rFonts w:cstheme="minorHAnsi"/>
                <w:color w:val="000000"/>
                <w:sz w:val="20"/>
                <w:szCs w:val="20"/>
              </w:rPr>
            </w:pPr>
            <w:r w:rsidRPr="00823EDB">
              <w:rPr>
                <w:rFonts w:cstheme="minorHAnsi"/>
                <w:color w:val="000000"/>
                <w:sz w:val="20"/>
                <w:szCs w:val="20"/>
              </w:rPr>
              <w:t>14-Oct-22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30F8DB2E" w14:textId="77777777">
            <w:pPr>
              <w:rPr>
                <w:rFonts w:cstheme="minorHAnsi"/>
                <w:color w:val="000000"/>
                <w:sz w:val="20"/>
                <w:szCs w:val="20"/>
              </w:rPr>
            </w:pPr>
            <w:r w:rsidRPr="00823EDB">
              <w:rPr>
                <w:rFonts w:cstheme="minorHAnsi"/>
                <w:color w:val="000000"/>
                <w:sz w:val="20"/>
                <w:szCs w:val="20"/>
              </w:rPr>
              <w:t>NA</w:t>
            </w:r>
          </w:p>
        </w:tc>
      </w:tr>
      <w:tr w14:paraId="57E8600D" w14:textId="77777777" w:rsidTr="00716311">
        <w:tblPrEx>
          <w:tblW w:w="5000" w:type="pct"/>
          <w:tblLook w:val="04A0"/>
        </w:tblPrEx>
        <w:trPr>
          <w:trHeight w:val="151"/>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6DC9579B" w14:textId="77777777">
            <w:pPr>
              <w:rPr>
                <w:rFonts w:cstheme="minorHAnsi"/>
                <w:color w:val="000000"/>
                <w:sz w:val="20"/>
                <w:szCs w:val="20"/>
              </w:rPr>
            </w:pPr>
            <w:r w:rsidRPr="00823EDB">
              <w:rPr>
                <w:rFonts w:cstheme="minorHAnsi"/>
                <w:color w:val="000000"/>
                <w:sz w:val="20"/>
                <w:szCs w:val="20"/>
              </w:rPr>
              <w:t>1/A003</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6032BA89" w14:textId="77777777">
            <w:pPr>
              <w:rPr>
                <w:rFonts w:cstheme="minorHAnsi"/>
                <w:i/>
                <w:color w:val="000000"/>
                <w:sz w:val="20"/>
                <w:szCs w:val="20"/>
              </w:rPr>
            </w:pPr>
            <w:r w:rsidRPr="00823EDB">
              <w:rPr>
                <w:rFonts w:cstheme="minorHAnsi"/>
                <w:i/>
                <w:color w:val="000000"/>
                <w:sz w:val="20"/>
                <w:szCs w:val="20"/>
              </w:rPr>
              <w:t>Draft Management and Work Plan</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152B02E6" w14:textId="77777777">
            <w:pPr>
              <w:rPr>
                <w:rFonts w:cstheme="minorHAnsi"/>
                <w:color w:val="000000"/>
                <w:sz w:val="20"/>
                <w:szCs w:val="20"/>
              </w:rPr>
            </w:pPr>
            <w:r w:rsidRPr="00823EDB">
              <w:rPr>
                <w:rFonts w:cstheme="minorHAnsi"/>
                <w:color w:val="000000"/>
                <w:sz w:val="20"/>
                <w:szCs w:val="20"/>
              </w:rPr>
              <w:t>28-Oct-22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2E1ADEF6" w14:textId="77777777">
            <w:pPr>
              <w:rPr>
                <w:rFonts w:cstheme="minorHAnsi"/>
                <w:color w:val="000000"/>
                <w:sz w:val="20"/>
                <w:szCs w:val="20"/>
              </w:rPr>
            </w:pPr>
            <w:r w:rsidRPr="00823EDB">
              <w:rPr>
                <w:rFonts w:cstheme="minorHAnsi"/>
                <w:color w:val="000000"/>
                <w:sz w:val="20"/>
                <w:szCs w:val="20"/>
              </w:rPr>
              <w:t>2 weeks</w:t>
            </w:r>
          </w:p>
        </w:tc>
      </w:tr>
      <w:tr w14:paraId="72211983" w14:textId="77777777" w:rsidTr="00716311">
        <w:tblPrEx>
          <w:tblW w:w="5000" w:type="pct"/>
          <w:tblLook w:val="04A0"/>
        </w:tblPrEx>
        <w:trPr>
          <w:trHeight w:val="106"/>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08B9C704" w14:textId="77777777">
            <w:pPr>
              <w:rPr>
                <w:rFonts w:cstheme="minorHAnsi"/>
                <w:color w:val="000000"/>
                <w:sz w:val="20"/>
                <w:szCs w:val="20"/>
              </w:rPr>
            </w:pPr>
            <w:r w:rsidRPr="00823EDB">
              <w:rPr>
                <w:rFonts w:cstheme="minorHAnsi"/>
                <w:color w:val="000000"/>
                <w:sz w:val="20"/>
                <w:szCs w:val="20"/>
              </w:rPr>
              <w:t>1/A004</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5A149455" w14:textId="77777777">
            <w:pPr>
              <w:rPr>
                <w:rFonts w:cstheme="minorHAnsi"/>
                <w:i/>
                <w:color w:val="000000"/>
                <w:sz w:val="20"/>
                <w:szCs w:val="20"/>
              </w:rPr>
            </w:pPr>
            <w:r w:rsidRPr="00823EDB">
              <w:rPr>
                <w:rFonts w:cstheme="minorHAnsi"/>
                <w:i/>
                <w:color w:val="000000"/>
                <w:sz w:val="20"/>
                <w:szCs w:val="20"/>
              </w:rPr>
              <w:t>Final Management and Work Plan</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628B5D57" w14:textId="77777777">
            <w:pPr>
              <w:rPr>
                <w:rFonts w:cstheme="minorHAnsi"/>
                <w:color w:val="000000"/>
                <w:sz w:val="20"/>
                <w:szCs w:val="20"/>
              </w:rPr>
            </w:pPr>
            <w:r w:rsidRPr="00823EDB">
              <w:rPr>
                <w:rFonts w:cstheme="minorHAnsi"/>
                <w:color w:val="000000"/>
                <w:sz w:val="20"/>
                <w:szCs w:val="20"/>
              </w:rPr>
              <w:t>21-Nov-22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1788B1FE" w14:textId="77777777">
            <w:pPr>
              <w:rPr>
                <w:rFonts w:cstheme="minorHAnsi"/>
                <w:color w:val="000000"/>
                <w:sz w:val="20"/>
                <w:szCs w:val="20"/>
              </w:rPr>
            </w:pPr>
            <w:r w:rsidRPr="00823EDB">
              <w:rPr>
                <w:rFonts w:cstheme="minorHAnsi"/>
                <w:color w:val="000000"/>
                <w:sz w:val="20"/>
                <w:szCs w:val="20"/>
              </w:rPr>
              <w:t>2 weeks</w:t>
            </w:r>
          </w:p>
        </w:tc>
      </w:tr>
      <w:tr w14:paraId="7914D05D" w14:textId="77777777" w:rsidTr="00716311">
        <w:tblPrEx>
          <w:tblW w:w="5000" w:type="pct"/>
          <w:tblLook w:val="04A0"/>
        </w:tblPrEx>
        <w:trPr>
          <w:trHeight w:val="88"/>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7ADCB84A" w14:textId="77777777">
            <w:pPr>
              <w:rPr>
                <w:rFonts w:cstheme="minorHAnsi"/>
                <w:color w:val="000000"/>
                <w:sz w:val="20"/>
                <w:szCs w:val="20"/>
              </w:rPr>
            </w:pPr>
            <w:r w:rsidRPr="00823EDB">
              <w:rPr>
                <w:rFonts w:cstheme="minorHAnsi"/>
                <w:color w:val="000000"/>
                <w:sz w:val="20"/>
                <w:szCs w:val="20"/>
              </w:rPr>
              <w:t>1/A005</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0096D8E9" w14:textId="77777777">
            <w:pPr>
              <w:rPr>
                <w:rFonts w:cstheme="minorHAnsi"/>
                <w:i/>
                <w:color w:val="000000"/>
                <w:sz w:val="20"/>
                <w:szCs w:val="20"/>
              </w:rPr>
            </w:pPr>
            <w:r w:rsidRPr="00823EDB">
              <w:rPr>
                <w:rFonts w:cstheme="minorHAnsi"/>
                <w:i/>
                <w:color w:val="000000"/>
                <w:sz w:val="20"/>
                <w:szCs w:val="20"/>
              </w:rPr>
              <w:t>Monthly Progress Reports (MPR)</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60C1705" w14:textId="77777777">
            <w:pPr>
              <w:rPr>
                <w:rFonts w:cstheme="minorHAnsi"/>
                <w:color w:val="000000"/>
                <w:sz w:val="20"/>
                <w:szCs w:val="20"/>
              </w:rPr>
            </w:pPr>
            <w:r w:rsidRPr="00823EDB">
              <w:rPr>
                <w:rFonts w:cstheme="minorHAnsi"/>
                <w:color w:val="000000"/>
                <w:sz w:val="20"/>
                <w:szCs w:val="20"/>
              </w:rPr>
              <w:t>By 25</w:t>
            </w:r>
            <w:r w:rsidRPr="00823EDB">
              <w:rPr>
                <w:rFonts w:cstheme="minorHAnsi"/>
                <w:color w:val="000000"/>
                <w:sz w:val="20"/>
                <w:szCs w:val="20"/>
                <w:vertAlign w:val="superscript"/>
              </w:rPr>
              <w:t>th</w:t>
            </w:r>
            <w:r w:rsidRPr="00823EDB">
              <w:rPr>
                <w:rFonts w:cstheme="minorHAnsi"/>
                <w:color w:val="000000"/>
                <w:sz w:val="20"/>
                <w:szCs w:val="20"/>
              </w:rPr>
              <w:t xml:space="preserve"> of every month</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08DBF363" w14:textId="77777777">
            <w:pPr>
              <w:rPr>
                <w:rFonts w:cstheme="minorHAnsi"/>
                <w:color w:val="000000"/>
                <w:sz w:val="20"/>
                <w:szCs w:val="20"/>
              </w:rPr>
            </w:pPr>
            <w:r w:rsidRPr="00823EDB">
              <w:rPr>
                <w:rFonts w:cstheme="minorHAnsi"/>
                <w:color w:val="000000"/>
                <w:sz w:val="20"/>
                <w:szCs w:val="20"/>
              </w:rPr>
              <w:t>3 days</w:t>
            </w:r>
          </w:p>
        </w:tc>
      </w:tr>
      <w:tr w14:paraId="5767F6EA" w14:textId="77777777" w:rsidTr="00716311">
        <w:tblPrEx>
          <w:tblW w:w="5000" w:type="pct"/>
          <w:tblLook w:val="04A0"/>
        </w:tblPrEx>
        <w:trPr>
          <w:trHeight w:val="223"/>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2E8A70DA" w14:textId="77777777">
            <w:pPr>
              <w:rPr>
                <w:rFonts w:cstheme="minorHAnsi"/>
                <w:color w:val="000000"/>
                <w:sz w:val="20"/>
                <w:szCs w:val="20"/>
              </w:rPr>
            </w:pPr>
            <w:r w:rsidRPr="00823EDB">
              <w:rPr>
                <w:rFonts w:cstheme="minorHAnsi"/>
                <w:color w:val="000000"/>
                <w:sz w:val="20"/>
                <w:szCs w:val="20"/>
              </w:rPr>
              <w:t>2/A006</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101838C9" w14:textId="77777777">
            <w:pPr>
              <w:rPr>
                <w:rFonts w:cstheme="minorHAnsi"/>
                <w:i/>
                <w:color w:val="000000"/>
                <w:sz w:val="20"/>
                <w:szCs w:val="20"/>
              </w:rPr>
            </w:pPr>
            <w:r w:rsidRPr="00823EDB">
              <w:rPr>
                <w:rFonts w:cstheme="minorHAnsi"/>
                <w:i/>
                <w:color w:val="000000"/>
                <w:sz w:val="20"/>
                <w:szCs w:val="20"/>
              </w:rPr>
              <w:t>Draft Research Design, Data Collection</w:t>
            </w:r>
            <w:r>
              <w:rPr>
                <w:rFonts w:cstheme="minorHAnsi"/>
                <w:i/>
                <w:color w:val="000000"/>
                <w:sz w:val="20"/>
                <w:szCs w:val="20"/>
              </w:rPr>
              <w:t>,</w:t>
            </w:r>
            <w:r w:rsidRPr="00823EDB">
              <w:rPr>
                <w:rFonts w:cstheme="minorHAnsi"/>
                <w:i/>
                <w:color w:val="000000"/>
                <w:sz w:val="20"/>
                <w:szCs w:val="20"/>
              </w:rPr>
              <w:t xml:space="preserve"> and Analysis Plan</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0C47257B" w14:textId="77777777">
            <w:pPr>
              <w:rPr>
                <w:rFonts w:cstheme="minorHAnsi"/>
                <w:color w:val="000000"/>
                <w:sz w:val="20"/>
                <w:szCs w:val="20"/>
              </w:rPr>
            </w:pPr>
            <w:r w:rsidRPr="00823EDB">
              <w:rPr>
                <w:rFonts w:cstheme="minorHAnsi"/>
                <w:color w:val="000000"/>
                <w:sz w:val="20"/>
                <w:szCs w:val="20"/>
              </w:rPr>
              <w:t>12-Dec-22</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2075847A" w14:textId="77777777">
            <w:pPr>
              <w:rPr>
                <w:rFonts w:cstheme="minorHAnsi"/>
                <w:color w:val="000000"/>
                <w:sz w:val="20"/>
                <w:szCs w:val="20"/>
              </w:rPr>
            </w:pPr>
            <w:r w:rsidRPr="00823EDB">
              <w:rPr>
                <w:rFonts w:cstheme="minorHAnsi"/>
                <w:color w:val="000000"/>
                <w:sz w:val="20"/>
                <w:szCs w:val="20"/>
              </w:rPr>
              <w:t>2 weeks</w:t>
            </w:r>
          </w:p>
        </w:tc>
      </w:tr>
      <w:tr w14:paraId="434998FA"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4A784A7F" w14:textId="77777777">
            <w:pPr>
              <w:rPr>
                <w:rFonts w:cstheme="minorHAnsi"/>
                <w:color w:val="000000"/>
                <w:sz w:val="20"/>
                <w:szCs w:val="20"/>
              </w:rPr>
            </w:pPr>
            <w:r w:rsidRPr="00823EDB">
              <w:rPr>
                <w:rFonts w:cstheme="minorHAnsi"/>
                <w:color w:val="000000"/>
                <w:sz w:val="20"/>
                <w:szCs w:val="20"/>
              </w:rPr>
              <w:t>2/A007</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03CEBBAA" w14:textId="77777777">
            <w:pPr>
              <w:rPr>
                <w:rFonts w:cstheme="minorHAnsi"/>
                <w:i/>
                <w:color w:val="000000"/>
                <w:sz w:val="20"/>
                <w:szCs w:val="20"/>
              </w:rPr>
            </w:pPr>
            <w:r w:rsidRPr="00823EDB">
              <w:rPr>
                <w:rFonts w:cstheme="minorHAnsi"/>
                <w:i/>
                <w:color w:val="000000"/>
                <w:sz w:val="20"/>
                <w:szCs w:val="20"/>
              </w:rPr>
              <w:t>Final Research Design, Data Collection and Analysis Plan</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2D020DD9" w14:textId="77777777">
            <w:pPr>
              <w:rPr>
                <w:rFonts w:cstheme="minorHAnsi"/>
                <w:color w:val="000000"/>
                <w:sz w:val="20"/>
                <w:szCs w:val="20"/>
              </w:rPr>
            </w:pPr>
            <w:r w:rsidRPr="00823EDB">
              <w:rPr>
                <w:rFonts w:cstheme="minorHAnsi"/>
                <w:color w:val="000000"/>
                <w:sz w:val="20"/>
                <w:szCs w:val="20"/>
              </w:rPr>
              <w:t>2-Jan-23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42DA144D" w14:textId="77777777">
            <w:pPr>
              <w:rPr>
                <w:rFonts w:cstheme="minorHAnsi"/>
                <w:color w:val="000000"/>
                <w:sz w:val="20"/>
                <w:szCs w:val="20"/>
              </w:rPr>
            </w:pPr>
            <w:r w:rsidRPr="00823EDB">
              <w:rPr>
                <w:rFonts w:cstheme="minorHAnsi"/>
                <w:color w:val="000000"/>
                <w:sz w:val="20"/>
                <w:szCs w:val="20"/>
              </w:rPr>
              <w:t>2 weeks</w:t>
            </w:r>
          </w:p>
        </w:tc>
      </w:tr>
      <w:tr w14:paraId="0E57BAFC" w14:textId="77777777" w:rsidTr="00716311">
        <w:tblPrEx>
          <w:tblW w:w="5000" w:type="pct"/>
          <w:tblLook w:val="04A0"/>
        </w:tblPrEx>
        <w:trPr>
          <w:trHeight w:val="295"/>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797E81D6" w14:textId="77777777">
            <w:pPr>
              <w:rPr>
                <w:rFonts w:cstheme="minorHAnsi"/>
                <w:color w:val="000000"/>
                <w:sz w:val="20"/>
                <w:szCs w:val="20"/>
              </w:rPr>
            </w:pPr>
            <w:r w:rsidRPr="00823EDB">
              <w:rPr>
                <w:rFonts w:cstheme="minorHAnsi"/>
                <w:color w:val="000000"/>
                <w:sz w:val="20"/>
                <w:szCs w:val="20"/>
              </w:rPr>
              <w:t>3/A008</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0547F8D7" w14:textId="77777777">
            <w:pPr>
              <w:rPr>
                <w:rFonts w:cstheme="minorHAnsi"/>
                <w:i/>
                <w:color w:val="000000"/>
                <w:sz w:val="20"/>
                <w:szCs w:val="20"/>
              </w:rPr>
            </w:pPr>
            <w:r w:rsidRPr="00823EDB">
              <w:rPr>
                <w:rFonts w:cstheme="minorHAnsi"/>
                <w:i/>
                <w:color w:val="000000"/>
                <w:sz w:val="20"/>
                <w:szCs w:val="20"/>
              </w:rPr>
              <w:t>Draft OMB Clearance Package</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521FA97" w14:textId="77777777">
            <w:pPr>
              <w:rPr>
                <w:rFonts w:cstheme="minorHAnsi"/>
                <w:color w:val="000000"/>
                <w:sz w:val="20"/>
                <w:szCs w:val="20"/>
              </w:rPr>
            </w:pPr>
            <w:r w:rsidRPr="00823EDB">
              <w:rPr>
                <w:rFonts w:cstheme="minorHAnsi"/>
                <w:color w:val="000000"/>
                <w:sz w:val="20"/>
                <w:szCs w:val="20"/>
              </w:rPr>
              <w:t>9-Jan 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73974C51" w14:textId="77777777">
            <w:pPr>
              <w:rPr>
                <w:rFonts w:cstheme="minorHAnsi"/>
                <w:color w:val="000000"/>
                <w:sz w:val="20"/>
                <w:szCs w:val="20"/>
              </w:rPr>
            </w:pPr>
            <w:r w:rsidRPr="00823EDB">
              <w:rPr>
                <w:rFonts w:cstheme="minorHAnsi"/>
                <w:color w:val="000000"/>
                <w:sz w:val="20"/>
                <w:szCs w:val="20"/>
              </w:rPr>
              <w:t>2 weeks</w:t>
            </w:r>
          </w:p>
        </w:tc>
      </w:tr>
      <w:tr w14:paraId="339D3C3A"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56AD1D41" w14:textId="77777777">
            <w:pPr>
              <w:rPr>
                <w:rFonts w:cstheme="minorHAnsi"/>
                <w:color w:val="000000"/>
                <w:sz w:val="20"/>
                <w:szCs w:val="20"/>
              </w:rPr>
            </w:pPr>
            <w:r w:rsidRPr="00823EDB">
              <w:rPr>
                <w:rFonts w:cstheme="minorHAnsi"/>
                <w:color w:val="000000"/>
                <w:sz w:val="20"/>
                <w:szCs w:val="20"/>
              </w:rPr>
              <w:t>3/A009</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4A4819EF" w14:textId="77777777">
            <w:pPr>
              <w:rPr>
                <w:rFonts w:cstheme="minorHAnsi"/>
                <w:i/>
                <w:color w:val="000000"/>
                <w:sz w:val="20"/>
                <w:szCs w:val="20"/>
              </w:rPr>
            </w:pPr>
            <w:r w:rsidRPr="00823EDB">
              <w:rPr>
                <w:rFonts w:cstheme="minorHAnsi"/>
                <w:i/>
                <w:color w:val="000000"/>
                <w:sz w:val="20"/>
                <w:szCs w:val="20"/>
              </w:rPr>
              <w:t>Final OMB Clearance Package</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4B17BF10" w14:textId="77777777">
            <w:pPr>
              <w:rPr>
                <w:rFonts w:cstheme="minorHAnsi"/>
                <w:color w:val="000000"/>
                <w:sz w:val="20"/>
                <w:szCs w:val="20"/>
              </w:rPr>
            </w:pPr>
            <w:r w:rsidRPr="00823EDB">
              <w:rPr>
                <w:rFonts w:cstheme="minorHAnsi"/>
                <w:color w:val="000000"/>
                <w:sz w:val="20"/>
                <w:szCs w:val="20"/>
              </w:rPr>
              <w:t>30-Jan-23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6909AF76" w14:textId="77777777">
            <w:pPr>
              <w:rPr>
                <w:rFonts w:cstheme="minorHAnsi"/>
                <w:color w:val="000000"/>
                <w:sz w:val="20"/>
                <w:szCs w:val="20"/>
              </w:rPr>
            </w:pPr>
            <w:r w:rsidRPr="00823EDB">
              <w:rPr>
                <w:rFonts w:cstheme="minorHAnsi"/>
                <w:color w:val="000000"/>
                <w:sz w:val="20"/>
                <w:szCs w:val="20"/>
              </w:rPr>
              <w:t>2 weeks</w:t>
            </w:r>
          </w:p>
        </w:tc>
      </w:tr>
      <w:tr w14:paraId="0D8B0BF9" w14:textId="77777777" w:rsidTr="00716311">
        <w:tblPrEx>
          <w:tblW w:w="5000" w:type="pct"/>
          <w:tblLook w:val="04A0"/>
        </w:tblPrEx>
        <w:trPr>
          <w:trHeight w:val="52"/>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321C484D" w14:textId="77777777">
            <w:pPr>
              <w:rPr>
                <w:rFonts w:cstheme="minorHAnsi"/>
                <w:color w:val="000000"/>
                <w:sz w:val="20"/>
                <w:szCs w:val="20"/>
              </w:rPr>
            </w:pPr>
            <w:r w:rsidRPr="00823EDB">
              <w:rPr>
                <w:rFonts w:cstheme="minorHAnsi"/>
                <w:color w:val="000000"/>
                <w:sz w:val="20"/>
                <w:szCs w:val="20"/>
              </w:rPr>
              <w:t>4/A010</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020E738A" w14:textId="77777777">
            <w:pPr>
              <w:rPr>
                <w:rFonts w:cstheme="minorHAnsi"/>
                <w:i/>
                <w:color w:val="000000"/>
                <w:sz w:val="20"/>
                <w:szCs w:val="20"/>
              </w:rPr>
            </w:pPr>
            <w:r>
              <w:rPr>
                <w:rFonts w:cstheme="minorHAnsi"/>
                <w:i/>
                <w:color w:val="000000"/>
                <w:sz w:val="20"/>
                <w:szCs w:val="20"/>
              </w:rPr>
              <w:t>Document Review Memo</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7F732622" w14:textId="77777777">
            <w:pPr>
              <w:rPr>
                <w:rFonts w:cstheme="minorHAnsi"/>
                <w:color w:val="000000"/>
                <w:sz w:val="20"/>
                <w:szCs w:val="20"/>
              </w:rPr>
            </w:pPr>
            <w:r w:rsidRPr="00823EDB">
              <w:rPr>
                <w:rFonts w:cstheme="minorHAnsi"/>
                <w:color w:val="000000"/>
                <w:sz w:val="20"/>
                <w:szCs w:val="20"/>
              </w:rPr>
              <w:t>1-Aug-23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7F8ADE9C" w14:textId="77777777">
            <w:pPr>
              <w:rPr>
                <w:rFonts w:cstheme="minorHAnsi"/>
                <w:color w:val="000000"/>
                <w:sz w:val="20"/>
                <w:szCs w:val="20"/>
              </w:rPr>
            </w:pPr>
            <w:r w:rsidRPr="00823EDB">
              <w:rPr>
                <w:rFonts w:cstheme="minorHAnsi"/>
                <w:color w:val="000000"/>
                <w:sz w:val="20"/>
                <w:szCs w:val="20"/>
              </w:rPr>
              <w:t>2 weeks</w:t>
            </w:r>
          </w:p>
        </w:tc>
      </w:tr>
      <w:tr w14:paraId="4E286F63" w14:textId="77777777" w:rsidTr="00716311">
        <w:tblPrEx>
          <w:tblW w:w="5000" w:type="pct"/>
          <w:tblLook w:val="04A0"/>
        </w:tblPrEx>
        <w:trPr>
          <w:trHeight w:val="133"/>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2A570854" w14:textId="77777777">
            <w:pPr>
              <w:rPr>
                <w:rFonts w:cstheme="minorHAnsi"/>
                <w:color w:val="000000"/>
                <w:sz w:val="20"/>
                <w:szCs w:val="20"/>
              </w:rPr>
            </w:pPr>
            <w:r w:rsidRPr="00823EDB">
              <w:rPr>
                <w:rFonts w:cstheme="minorHAnsi"/>
                <w:color w:val="000000"/>
                <w:sz w:val="20"/>
                <w:szCs w:val="20"/>
              </w:rPr>
              <w:t>5/A01</w:t>
            </w:r>
            <w:r>
              <w:rPr>
                <w:rFonts w:cstheme="minorHAnsi"/>
                <w:color w:val="000000"/>
                <w:sz w:val="20"/>
                <w:szCs w:val="20"/>
              </w:rPr>
              <w:t>1</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67E7532F" w14:textId="77777777">
            <w:pPr>
              <w:rPr>
                <w:rFonts w:cstheme="minorHAnsi"/>
                <w:i/>
                <w:color w:val="000000"/>
                <w:sz w:val="20"/>
                <w:szCs w:val="20"/>
              </w:rPr>
            </w:pPr>
            <w:r w:rsidRPr="00823EDB">
              <w:rPr>
                <w:rFonts w:cstheme="minorHAnsi"/>
                <w:i/>
                <w:color w:val="000000"/>
                <w:sz w:val="20"/>
                <w:szCs w:val="20"/>
              </w:rPr>
              <w:t>Monthly Data Collection Disposition Reports</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06F15A8" w14:textId="77777777">
            <w:pPr>
              <w:rPr>
                <w:rFonts w:cstheme="minorHAnsi"/>
                <w:color w:val="000000"/>
                <w:sz w:val="20"/>
                <w:szCs w:val="20"/>
              </w:rPr>
            </w:pPr>
            <w:r w:rsidRPr="00823EDB">
              <w:rPr>
                <w:rFonts w:cstheme="minorHAnsi"/>
                <w:color w:val="000000"/>
                <w:sz w:val="20"/>
                <w:szCs w:val="20"/>
              </w:rPr>
              <w:t>By 15</w:t>
            </w:r>
            <w:r w:rsidRPr="00823EDB">
              <w:rPr>
                <w:rFonts w:cstheme="minorHAnsi"/>
                <w:color w:val="000000"/>
                <w:sz w:val="20"/>
                <w:szCs w:val="20"/>
                <w:vertAlign w:val="superscript"/>
              </w:rPr>
              <w:t>th</w:t>
            </w:r>
            <w:r w:rsidRPr="00823EDB">
              <w:rPr>
                <w:rFonts w:cstheme="minorHAnsi"/>
                <w:color w:val="000000"/>
                <w:sz w:val="20"/>
                <w:szCs w:val="20"/>
              </w:rPr>
              <w:t xml:space="preserve"> of every month </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309E90DE" w14:textId="77777777">
            <w:pPr>
              <w:rPr>
                <w:rFonts w:cstheme="minorHAnsi"/>
                <w:color w:val="000000"/>
                <w:sz w:val="20"/>
                <w:szCs w:val="20"/>
              </w:rPr>
            </w:pPr>
            <w:r w:rsidRPr="00823EDB">
              <w:rPr>
                <w:rFonts w:cstheme="minorHAnsi"/>
                <w:color w:val="000000"/>
                <w:sz w:val="20"/>
                <w:szCs w:val="20"/>
              </w:rPr>
              <w:t>3 days</w:t>
            </w:r>
          </w:p>
        </w:tc>
      </w:tr>
      <w:tr w14:paraId="26D65CCF"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00460189" w14:textId="77777777">
            <w:pPr>
              <w:rPr>
                <w:rFonts w:cstheme="minorHAnsi"/>
                <w:color w:val="000000"/>
                <w:sz w:val="20"/>
                <w:szCs w:val="20"/>
              </w:rPr>
            </w:pPr>
            <w:r w:rsidRPr="00823EDB">
              <w:rPr>
                <w:rFonts w:cstheme="minorHAnsi"/>
                <w:color w:val="000000"/>
                <w:sz w:val="20"/>
                <w:szCs w:val="20"/>
              </w:rPr>
              <w:t>5/A01</w:t>
            </w:r>
            <w:r>
              <w:rPr>
                <w:rFonts w:cstheme="minorHAnsi"/>
                <w:color w:val="000000"/>
                <w:sz w:val="20"/>
                <w:szCs w:val="20"/>
              </w:rPr>
              <w:t>2</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18B58CB6" w14:textId="77777777">
            <w:pPr>
              <w:rPr>
                <w:rFonts w:cstheme="minorHAnsi"/>
                <w:i/>
                <w:color w:val="000000"/>
                <w:sz w:val="20"/>
                <w:szCs w:val="20"/>
              </w:rPr>
            </w:pPr>
            <w:r w:rsidRPr="00823EDB">
              <w:rPr>
                <w:rFonts w:cstheme="minorHAnsi"/>
                <w:i/>
                <w:color w:val="000000"/>
                <w:sz w:val="20"/>
                <w:szCs w:val="20"/>
              </w:rPr>
              <w:t>Data Extract Memo</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07E3CE7B" w14:textId="448C3F53">
            <w:pPr>
              <w:rPr>
                <w:rFonts w:cstheme="minorHAnsi"/>
                <w:color w:val="000000"/>
                <w:sz w:val="20"/>
                <w:szCs w:val="20"/>
              </w:rPr>
            </w:pPr>
            <w:r w:rsidRPr="00823EDB">
              <w:rPr>
                <w:rFonts w:cstheme="minorHAnsi"/>
                <w:color w:val="000000"/>
                <w:sz w:val="20"/>
                <w:szCs w:val="20"/>
              </w:rPr>
              <w:t>31-Mar-23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4974F48B" w14:textId="77777777">
            <w:pPr>
              <w:rPr>
                <w:rFonts w:cstheme="minorHAnsi"/>
                <w:color w:val="000000"/>
                <w:sz w:val="20"/>
                <w:szCs w:val="20"/>
              </w:rPr>
            </w:pPr>
            <w:r w:rsidRPr="00823EDB">
              <w:rPr>
                <w:rFonts w:cstheme="minorHAnsi"/>
                <w:color w:val="000000"/>
                <w:sz w:val="20"/>
                <w:szCs w:val="20"/>
              </w:rPr>
              <w:t>2 weeks</w:t>
            </w:r>
          </w:p>
        </w:tc>
      </w:tr>
      <w:tr w14:paraId="0A2C92A5" w14:textId="77777777" w:rsidTr="00716311">
        <w:tblPrEx>
          <w:tblW w:w="5000" w:type="pct"/>
          <w:tblLook w:val="04A0"/>
        </w:tblPrEx>
        <w:trPr>
          <w:trHeight w:val="40"/>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08B334DD" w14:textId="77777777">
            <w:pPr>
              <w:rPr>
                <w:rFonts w:cstheme="minorHAnsi"/>
                <w:color w:val="000000"/>
                <w:sz w:val="20"/>
                <w:szCs w:val="20"/>
              </w:rPr>
            </w:pPr>
            <w:r w:rsidRPr="00823EDB">
              <w:rPr>
                <w:rFonts w:cstheme="minorHAnsi"/>
                <w:color w:val="000000"/>
                <w:sz w:val="20"/>
                <w:szCs w:val="20"/>
              </w:rPr>
              <w:t>6/A01</w:t>
            </w:r>
            <w:r>
              <w:rPr>
                <w:rFonts w:cstheme="minorHAnsi"/>
                <w:color w:val="000000"/>
                <w:sz w:val="20"/>
                <w:szCs w:val="20"/>
              </w:rPr>
              <w:t>3</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5DFFB695" w14:textId="77777777">
            <w:pPr>
              <w:rPr>
                <w:rFonts w:cstheme="minorHAnsi"/>
                <w:i/>
                <w:color w:val="000000"/>
                <w:sz w:val="20"/>
                <w:szCs w:val="20"/>
              </w:rPr>
            </w:pPr>
            <w:r w:rsidRPr="00823EDB">
              <w:rPr>
                <w:rFonts w:cstheme="minorHAnsi"/>
                <w:i/>
                <w:color w:val="000000"/>
                <w:sz w:val="20"/>
                <w:szCs w:val="20"/>
              </w:rPr>
              <w:t>Final Comprehensive Report Outline</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60C6A17" w14:textId="77777777">
            <w:pPr>
              <w:rPr>
                <w:rFonts w:cstheme="minorHAnsi"/>
                <w:color w:val="000000"/>
                <w:sz w:val="20"/>
                <w:szCs w:val="20"/>
              </w:rPr>
            </w:pPr>
            <w:r w:rsidRPr="00823EDB">
              <w:rPr>
                <w:rFonts w:cstheme="minorHAnsi"/>
                <w:color w:val="000000"/>
                <w:sz w:val="20"/>
                <w:szCs w:val="20"/>
              </w:rPr>
              <w:t>29-Sept-23</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154EC6C8" w14:textId="77777777">
            <w:pPr>
              <w:rPr>
                <w:rFonts w:cstheme="minorHAnsi"/>
                <w:color w:val="000000"/>
                <w:sz w:val="20"/>
                <w:szCs w:val="20"/>
              </w:rPr>
            </w:pPr>
            <w:r w:rsidRPr="00823EDB">
              <w:rPr>
                <w:rFonts w:cstheme="minorHAnsi"/>
                <w:color w:val="000000"/>
                <w:sz w:val="20"/>
                <w:szCs w:val="20"/>
              </w:rPr>
              <w:t>2 weeks</w:t>
            </w:r>
          </w:p>
        </w:tc>
      </w:tr>
      <w:tr w14:paraId="1547E5BB"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6B0268F4" w14:textId="77777777">
            <w:pPr>
              <w:rPr>
                <w:rFonts w:cstheme="minorHAnsi"/>
                <w:color w:val="000000"/>
                <w:sz w:val="20"/>
                <w:szCs w:val="20"/>
              </w:rPr>
            </w:pPr>
            <w:r w:rsidRPr="00823EDB">
              <w:rPr>
                <w:rFonts w:cstheme="minorHAnsi"/>
                <w:color w:val="000000"/>
                <w:sz w:val="20"/>
                <w:szCs w:val="20"/>
              </w:rPr>
              <w:t>6/A01</w:t>
            </w:r>
            <w:r>
              <w:rPr>
                <w:rFonts w:cstheme="minorHAnsi"/>
                <w:color w:val="000000"/>
                <w:sz w:val="20"/>
                <w:szCs w:val="20"/>
              </w:rPr>
              <w:t>4</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56814E80" w14:textId="77777777">
            <w:pPr>
              <w:rPr>
                <w:rFonts w:cstheme="minorHAnsi"/>
                <w:i/>
                <w:color w:val="000000"/>
                <w:sz w:val="20"/>
                <w:szCs w:val="20"/>
              </w:rPr>
            </w:pPr>
            <w:r w:rsidRPr="00823EDB">
              <w:rPr>
                <w:rFonts w:cstheme="minorHAnsi"/>
                <w:i/>
                <w:color w:val="000000"/>
                <w:sz w:val="20"/>
                <w:szCs w:val="20"/>
              </w:rPr>
              <w:t>Draft Final Comprehensive Report</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9AD7A10" w14:textId="77777777">
            <w:pPr>
              <w:rPr>
                <w:rFonts w:cstheme="minorHAnsi"/>
                <w:color w:val="000000"/>
                <w:sz w:val="20"/>
                <w:szCs w:val="20"/>
              </w:rPr>
            </w:pPr>
            <w:r w:rsidRPr="00823EDB">
              <w:rPr>
                <w:rFonts w:cstheme="minorHAnsi"/>
                <w:color w:val="000000"/>
                <w:sz w:val="20"/>
                <w:szCs w:val="20"/>
              </w:rPr>
              <w:t>14-June-24</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4F30916D" w14:textId="77777777">
            <w:pPr>
              <w:rPr>
                <w:rFonts w:cstheme="minorHAnsi"/>
                <w:color w:val="000000"/>
                <w:sz w:val="20"/>
                <w:szCs w:val="20"/>
              </w:rPr>
            </w:pPr>
            <w:r w:rsidRPr="00823EDB">
              <w:rPr>
                <w:rFonts w:cstheme="minorHAnsi"/>
                <w:color w:val="000000"/>
                <w:sz w:val="20"/>
                <w:szCs w:val="20"/>
              </w:rPr>
              <w:t>2 weeks</w:t>
            </w:r>
          </w:p>
        </w:tc>
      </w:tr>
      <w:tr w14:paraId="2FE0298A" w14:textId="77777777" w:rsidTr="00716311">
        <w:tblPrEx>
          <w:tblW w:w="5000" w:type="pct"/>
          <w:tblLook w:val="04A0"/>
        </w:tblPrEx>
        <w:trPr>
          <w:trHeight w:val="44"/>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0244F654" w14:textId="77777777">
            <w:pPr>
              <w:rPr>
                <w:rFonts w:cstheme="minorHAnsi"/>
                <w:color w:val="000000"/>
                <w:sz w:val="20"/>
                <w:szCs w:val="20"/>
              </w:rPr>
            </w:pPr>
            <w:r w:rsidRPr="00823EDB">
              <w:rPr>
                <w:rFonts w:cstheme="minorHAnsi"/>
                <w:color w:val="000000"/>
                <w:sz w:val="20"/>
                <w:szCs w:val="20"/>
              </w:rPr>
              <w:t>6/A01</w:t>
            </w:r>
            <w:r>
              <w:rPr>
                <w:rFonts w:cstheme="minorHAnsi"/>
                <w:color w:val="000000"/>
                <w:sz w:val="20"/>
                <w:szCs w:val="20"/>
              </w:rPr>
              <w:t>5</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2AAA9B41" w14:textId="77777777">
            <w:pPr>
              <w:rPr>
                <w:rFonts w:cstheme="minorHAnsi"/>
                <w:i/>
                <w:color w:val="000000"/>
                <w:sz w:val="20"/>
                <w:szCs w:val="20"/>
              </w:rPr>
            </w:pPr>
            <w:r w:rsidRPr="00823EDB">
              <w:rPr>
                <w:rFonts w:cstheme="minorHAnsi"/>
                <w:i/>
                <w:color w:val="000000"/>
                <w:sz w:val="20"/>
                <w:szCs w:val="20"/>
              </w:rPr>
              <w:t>Revised Final Comprehensive Report</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6E12E2EE" w14:textId="77777777">
            <w:pPr>
              <w:rPr>
                <w:rFonts w:cstheme="minorHAnsi"/>
                <w:color w:val="000000"/>
                <w:sz w:val="20"/>
                <w:szCs w:val="20"/>
              </w:rPr>
            </w:pPr>
            <w:r w:rsidRPr="00823EDB">
              <w:rPr>
                <w:rFonts w:cstheme="minorHAnsi"/>
                <w:color w:val="000000"/>
                <w:sz w:val="20"/>
                <w:szCs w:val="20"/>
              </w:rPr>
              <w:t>12-July-24</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6598BEE4" w14:textId="77777777">
            <w:pPr>
              <w:rPr>
                <w:rFonts w:cstheme="minorHAnsi"/>
                <w:color w:val="000000"/>
                <w:sz w:val="20"/>
                <w:szCs w:val="20"/>
              </w:rPr>
            </w:pPr>
            <w:r w:rsidRPr="00823EDB">
              <w:rPr>
                <w:rFonts w:cstheme="minorHAnsi"/>
                <w:color w:val="000000"/>
                <w:sz w:val="20"/>
                <w:szCs w:val="20"/>
              </w:rPr>
              <w:t>2 weeks</w:t>
            </w:r>
          </w:p>
        </w:tc>
      </w:tr>
      <w:tr w14:paraId="676916D7" w14:textId="77777777" w:rsidTr="00716311">
        <w:tblPrEx>
          <w:tblW w:w="5000" w:type="pct"/>
          <w:tblLook w:val="04A0"/>
        </w:tblPrEx>
        <w:trPr>
          <w:trHeight w:val="70"/>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45A65E83" w14:textId="77777777">
            <w:pPr>
              <w:rPr>
                <w:rFonts w:cstheme="minorHAnsi"/>
                <w:color w:val="000000"/>
                <w:sz w:val="20"/>
                <w:szCs w:val="20"/>
              </w:rPr>
            </w:pPr>
            <w:r w:rsidRPr="00823EDB">
              <w:rPr>
                <w:rFonts w:cstheme="minorHAnsi"/>
                <w:color w:val="000000"/>
                <w:sz w:val="20"/>
                <w:szCs w:val="20"/>
              </w:rPr>
              <w:t>7/A01</w:t>
            </w:r>
            <w:r>
              <w:rPr>
                <w:rFonts w:cstheme="minorHAnsi"/>
                <w:color w:val="000000"/>
                <w:sz w:val="20"/>
                <w:szCs w:val="20"/>
              </w:rPr>
              <w:t>6</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1A849717" w14:textId="77777777">
            <w:pPr>
              <w:rPr>
                <w:rFonts w:cstheme="minorHAnsi"/>
                <w:i/>
                <w:color w:val="000000"/>
                <w:sz w:val="20"/>
                <w:szCs w:val="20"/>
              </w:rPr>
            </w:pPr>
            <w:r w:rsidRPr="00823EDB">
              <w:rPr>
                <w:rFonts w:cstheme="minorHAnsi"/>
                <w:i/>
                <w:color w:val="000000"/>
                <w:sz w:val="20"/>
                <w:szCs w:val="20"/>
              </w:rPr>
              <w:t>Briefing on the Final Comprehensive Report</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6BA51C7A" w14:textId="77777777">
            <w:pPr>
              <w:rPr>
                <w:rFonts w:cstheme="minorHAnsi"/>
                <w:color w:val="000000"/>
                <w:sz w:val="20"/>
                <w:szCs w:val="20"/>
              </w:rPr>
            </w:pPr>
            <w:r w:rsidRPr="00823EDB">
              <w:rPr>
                <w:rFonts w:cstheme="minorHAnsi"/>
                <w:color w:val="000000"/>
                <w:sz w:val="20"/>
                <w:szCs w:val="20"/>
              </w:rPr>
              <w:t>July 2024</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38426D55" w14:textId="77777777">
            <w:pPr>
              <w:rPr>
                <w:rFonts w:cstheme="minorHAnsi"/>
                <w:color w:val="000000"/>
                <w:sz w:val="20"/>
                <w:szCs w:val="20"/>
              </w:rPr>
            </w:pPr>
            <w:r w:rsidRPr="00823EDB">
              <w:rPr>
                <w:rFonts w:cstheme="minorHAnsi"/>
                <w:color w:val="000000"/>
                <w:sz w:val="20"/>
                <w:szCs w:val="20"/>
              </w:rPr>
              <w:t>2 weeks</w:t>
            </w:r>
          </w:p>
        </w:tc>
      </w:tr>
      <w:tr w14:paraId="1B397D6A" w14:textId="77777777" w:rsidTr="00716311">
        <w:tblPrEx>
          <w:tblW w:w="5000" w:type="pct"/>
          <w:tblLook w:val="04A0"/>
        </w:tblPrEx>
        <w:trPr>
          <w:trHeight w:val="106"/>
        </w:trPr>
        <w:tc>
          <w:tcPr>
            <w:tcW w:w="814" w:type="pct"/>
            <w:tcBorders>
              <w:top w:val="nil"/>
              <w:left w:val="nil"/>
              <w:bottom w:val="single" w:sz="8" w:space="0" w:color="4472C4" w:themeColor="accent1"/>
              <w:right w:val="nil"/>
            </w:tcBorders>
            <w:shd w:val="clear" w:color="auto" w:fill="auto"/>
            <w:vAlign w:val="center"/>
            <w:hideMark/>
          </w:tcPr>
          <w:p w:rsidR="003C1DD9" w:rsidRPr="00823EDB" w:rsidP="00716311" w14:paraId="459E2274" w14:textId="77777777">
            <w:pPr>
              <w:rPr>
                <w:rFonts w:cstheme="minorHAnsi"/>
                <w:color w:val="000000"/>
                <w:sz w:val="20"/>
                <w:szCs w:val="20"/>
              </w:rPr>
            </w:pPr>
            <w:r w:rsidRPr="00823EDB">
              <w:rPr>
                <w:rFonts w:cstheme="minorHAnsi"/>
                <w:color w:val="000000"/>
                <w:sz w:val="20"/>
                <w:szCs w:val="20"/>
              </w:rPr>
              <w:t>8/A01</w:t>
            </w:r>
            <w:r>
              <w:rPr>
                <w:rFonts w:cstheme="minorHAnsi"/>
                <w:color w:val="000000"/>
                <w:sz w:val="20"/>
                <w:szCs w:val="20"/>
              </w:rPr>
              <w:t>7</w:t>
            </w:r>
          </w:p>
        </w:tc>
        <w:tc>
          <w:tcPr>
            <w:tcW w:w="2199" w:type="pct"/>
            <w:tcBorders>
              <w:top w:val="nil"/>
              <w:left w:val="nil"/>
              <w:bottom w:val="single" w:sz="8" w:space="0" w:color="4472C4" w:themeColor="accent1"/>
              <w:right w:val="nil"/>
            </w:tcBorders>
            <w:shd w:val="clear" w:color="auto" w:fill="auto"/>
            <w:vAlign w:val="center"/>
            <w:hideMark/>
          </w:tcPr>
          <w:p w:rsidR="003C1DD9" w:rsidRPr="00823EDB" w:rsidP="00716311" w14:paraId="5E9C88A4" w14:textId="77777777">
            <w:pPr>
              <w:rPr>
                <w:rFonts w:cstheme="minorHAnsi"/>
                <w:i/>
                <w:color w:val="000000"/>
                <w:sz w:val="20"/>
                <w:szCs w:val="20"/>
              </w:rPr>
            </w:pPr>
            <w:r w:rsidRPr="00823EDB">
              <w:rPr>
                <w:rFonts w:cstheme="minorHAnsi"/>
                <w:i/>
                <w:color w:val="000000"/>
                <w:sz w:val="20"/>
                <w:szCs w:val="20"/>
              </w:rPr>
              <w:t>Data Files and Accompanying Data Documentation</w:t>
            </w:r>
          </w:p>
        </w:tc>
        <w:tc>
          <w:tcPr>
            <w:tcW w:w="1125" w:type="pct"/>
            <w:tcBorders>
              <w:top w:val="nil"/>
              <w:left w:val="nil"/>
              <w:bottom w:val="single" w:sz="8" w:space="0" w:color="4472C4" w:themeColor="accent1"/>
              <w:right w:val="nil"/>
            </w:tcBorders>
            <w:shd w:val="clear" w:color="auto" w:fill="auto"/>
            <w:vAlign w:val="center"/>
            <w:hideMark/>
          </w:tcPr>
          <w:p w:rsidR="003C1DD9" w:rsidRPr="00823EDB" w:rsidP="00716311" w14:paraId="3632E6E0" w14:textId="77777777">
            <w:pPr>
              <w:rPr>
                <w:rFonts w:cstheme="minorHAnsi"/>
                <w:color w:val="000000"/>
                <w:sz w:val="20"/>
                <w:szCs w:val="20"/>
              </w:rPr>
            </w:pPr>
            <w:r w:rsidRPr="00823EDB">
              <w:rPr>
                <w:rFonts w:cstheme="minorHAnsi"/>
                <w:color w:val="000000"/>
                <w:sz w:val="20"/>
                <w:szCs w:val="20"/>
              </w:rPr>
              <w:t>19-July-24</w:t>
            </w:r>
          </w:p>
        </w:tc>
        <w:tc>
          <w:tcPr>
            <w:tcW w:w="862" w:type="pct"/>
            <w:tcBorders>
              <w:top w:val="nil"/>
              <w:left w:val="nil"/>
              <w:bottom w:val="single" w:sz="8" w:space="0" w:color="4472C4" w:themeColor="accent1"/>
              <w:right w:val="nil"/>
            </w:tcBorders>
            <w:shd w:val="clear" w:color="auto" w:fill="auto"/>
            <w:vAlign w:val="center"/>
            <w:hideMark/>
          </w:tcPr>
          <w:p w:rsidR="003C1DD9" w:rsidRPr="00823EDB" w:rsidP="00716311" w14:paraId="59CFFD69" w14:textId="77777777">
            <w:pPr>
              <w:rPr>
                <w:rFonts w:cstheme="minorHAnsi"/>
                <w:color w:val="000000"/>
                <w:sz w:val="20"/>
                <w:szCs w:val="20"/>
              </w:rPr>
            </w:pPr>
            <w:r w:rsidRPr="00823EDB">
              <w:rPr>
                <w:rFonts w:cstheme="minorHAnsi"/>
                <w:color w:val="000000"/>
                <w:sz w:val="20"/>
                <w:szCs w:val="20"/>
              </w:rPr>
              <w:t>2 weeks</w:t>
            </w:r>
          </w:p>
        </w:tc>
      </w:tr>
    </w:tbl>
    <w:p w:rsidR="003C1DD9" w:rsidP="003C1DD9" w14:paraId="6AEF290C" w14:textId="7406A977"/>
    <w:p w:rsidR="003C1DD9" w:rsidP="003C1DD9" w14:paraId="3EA04107" w14:textId="24EB7AB1"/>
    <w:p w:rsidR="003C1DD9" w:rsidRPr="00A70C24" w:rsidP="003C1DD9" w14:paraId="2AF41381" w14:textId="77777777">
      <w:pPr>
        <w:widowControl w:val="0"/>
        <w:numPr>
          <w:ilvl w:val="0"/>
          <w:numId w:val="4"/>
        </w:numPr>
        <w:kinsoku w:val="0"/>
        <w:rPr>
          <w:b/>
          <w:bCs/>
        </w:rPr>
      </w:pPr>
      <w:r w:rsidRPr="00A70C24">
        <w:rPr>
          <w:b/>
          <w:bCs/>
        </w:rPr>
        <w:t>If seeking approval to not display the expiration date for OMB approval of the information collection, explain the reasons that display would be inappropriate.</w:t>
      </w:r>
    </w:p>
    <w:p w:rsidR="003C1DD9" w:rsidP="003C1DD9" w14:paraId="709D0511" w14:textId="77777777"/>
    <w:p w:rsidR="00245C42" w:rsidRPr="003C1DD9" w:rsidP="007418EB" w14:paraId="7AD9A754" w14:textId="03565FD4">
      <w:pPr>
        <w:ind w:left="360"/>
      </w:pPr>
      <w:r w:rsidRPr="00841A31">
        <w:t>All data collection instruments will prominently display the expiration date for OMB approval.</w:t>
      </w:r>
    </w:p>
    <w:p w:rsidR="00245C42" w14:paraId="3DC1AC6D" w14:textId="5AB19DCD">
      <w:pPr>
        <w:spacing w:after="160" w:line="259" w:lineRule="auto"/>
        <w:rPr>
          <w:b/>
          <w:bCs/>
        </w:rPr>
      </w:pPr>
    </w:p>
    <w:p w:rsidR="007418EB" w:rsidRPr="00A70C24" w:rsidP="007418EB" w14:paraId="04C84CFB" w14:textId="77777777">
      <w:pPr>
        <w:widowControl w:val="0"/>
        <w:numPr>
          <w:ilvl w:val="0"/>
          <w:numId w:val="4"/>
        </w:numPr>
        <w:kinsoku w:val="0"/>
        <w:rPr>
          <w:b/>
          <w:bCs/>
        </w:rPr>
      </w:pPr>
      <w:r w:rsidRPr="00A70C24">
        <w:rPr>
          <w:b/>
          <w:bCs/>
        </w:rPr>
        <w:t>Explain each exception to the certification statement identified in Item 19, “Certification for Paperwork Reduction Act Submissions,” of OMB Form 83-I.</w:t>
      </w:r>
    </w:p>
    <w:p w:rsidR="007418EB" w:rsidP="007418EB" w14:paraId="133DDB81" w14:textId="77777777"/>
    <w:p w:rsidR="007418EB" w:rsidP="00E83193" w14:paraId="11E4777A" w14:textId="2957FFC4">
      <w:pPr>
        <w:ind w:left="360"/>
        <w:rPr>
          <w:b/>
          <w:bCs/>
        </w:rPr>
      </w:pPr>
      <w:r w:rsidRPr="00A70C24">
        <w:t>This submission describing data collection requests no exceptions to the Certificate for Paperwork Reduction Act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189B" w14:paraId="163E2C8C" w14:textId="77777777">
      <w:r>
        <w:separator/>
      </w:r>
    </w:p>
  </w:footnote>
  <w:footnote w:type="continuationSeparator" w:id="1">
    <w:p w:rsidR="006B189B" w14:paraId="2BA3C6CE" w14:textId="77777777">
      <w:r>
        <w:continuationSeparator/>
      </w:r>
    </w:p>
  </w:footnote>
  <w:footnote w:type="continuationNotice" w:id="2">
    <w:p w:rsidR="006B189B" w14:paraId="5E454AB5" w14:textId="77777777"/>
  </w:footnote>
  <w:footnote w:id="3">
    <w:p w:rsidR="00102D4A" w:rsidP="00102D4A" w14:paraId="63EDFD55" w14:textId="77777777">
      <w:pPr>
        <w:pStyle w:val="NormalWeb"/>
      </w:pPr>
      <w:r>
        <w:rPr>
          <w:rStyle w:val="FootnoteReference"/>
        </w:rPr>
        <w:footnoteRef/>
      </w:r>
      <w:r>
        <w:t xml:space="preserve"> </w:t>
      </w:r>
      <w:r>
        <w:rPr>
          <w:rFonts w:asciiTheme="minorHAnsi" w:hAnsiTheme="minorHAnsi" w:cstheme="minorHAnsi"/>
          <w:sz w:val="20"/>
          <w:szCs w:val="20"/>
        </w:rPr>
        <w:t xml:space="preserve">HUD PIH CARES Act Waiver notices: </w:t>
      </w:r>
      <w:hyperlink r:id="rId1" w:history="1">
        <w:r>
          <w:rPr>
            <w:rStyle w:val="Hyperlink"/>
            <w:rFonts w:asciiTheme="minorHAnsi" w:hAnsiTheme="minorHAnsi" w:cstheme="minorHAnsi"/>
            <w:sz w:val="20"/>
            <w:szCs w:val="20"/>
          </w:rPr>
          <w:t>PIH 2020-05</w:t>
        </w:r>
      </w:hyperlink>
      <w:r>
        <w:rPr>
          <w:rFonts w:asciiTheme="minorHAnsi" w:hAnsiTheme="minorHAnsi" w:cstheme="minorHAnsi"/>
          <w:sz w:val="20"/>
          <w:szCs w:val="20"/>
        </w:rPr>
        <w:t xml:space="preserve">, </w:t>
      </w:r>
      <w:hyperlink r:id="rId2" w:history="1">
        <w:r>
          <w:rPr>
            <w:rStyle w:val="Hyperlink"/>
            <w:rFonts w:asciiTheme="minorHAnsi" w:hAnsiTheme="minorHAnsi" w:cstheme="minorHAnsi"/>
            <w:sz w:val="20"/>
            <w:szCs w:val="20"/>
          </w:rPr>
          <w:t>PIH 2020-13,</w:t>
        </w:r>
      </w:hyperlink>
      <w:r>
        <w:rPr>
          <w:rFonts w:asciiTheme="minorHAnsi" w:hAnsiTheme="minorHAnsi" w:cstheme="minorHAnsi"/>
          <w:sz w:val="20"/>
          <w:szCs w:val="20"/>
        </w:rPr>
        <w:t xml:space="preserve"> </w:t>
      </w:r>
      <w:hyperlink r:id="rId3" w:history="1">
        <w:r>
          <w:rPr>
            <w:rStyle w:val="Hyperlink"/>
            <w:rFonts w:asciiTheme="minorHAnsi" w:hAnsiTheme="minorHAnsi" w:cstheme="minorHAnsi"/>
            <w:sz w:val="20"/>
            <w:szCs w:val="20"/>
          </w:rPr>
          <w:t>PIH 2020-33</w:t>
        </w:r>
      </w:hyperlink>
      <w:r>
        <w:rPr>
          <w:rFonts w:asciiTheme="minorHAnsi" w:hAnsiTheme="minorHAnsi" w:cstheme="minorHAnsi"/>
          <w:sz w:val="20"/>
          <w:szCs w:val="20"/>
        </w:rPr>
        <w:t xml:space="preserve">, and </w:t>
      </w:r>
      <w:hyperlink r:id="rId4" w:history="1">
        <w:r>
          <w:rPr>
            <w:rStyle w:val="Hyperlink"/>
            <w:rFonts w:asciiTheme="minorHAnsi" w:hAnsiTheme="minorHAnsi" w:cstheme="minorHAnsi"/>
            <w:sz w:val="20"/>
            <w:szCs w:val="20"/>
          </w:rPr>
          <w:t>PIH 2021-14.</w:t>
        </w:r>
      </w:hyperlink>
    </w:p>
    <w:p w:rsidR="00102D4A" w:rsidP="00102D4A" w14:paraId="3C1C7EE5" w14:textId="77777777">
      <w:pPr>
        <w:pStyle w:val="FootnoteText"/>
      </w:pPr>
    </w:p>
  </w:footnote>
  <w:footnote w:id="4">
    <w:p w:rsidR="00102D4A" w:rsidP="00102D4A" w14:paraId="2C3CE8F1" w14:textId="77777777">
      <w:pPr>
        <w:pStyle w:val="FootnoteText"/>
      </w:pPr>
      <w:r>
        <w:rPr>
          <w:rStyle w:val="FootnoteReference"/>
        </w:rPr>
        <w:footnoteRef/>
      </w:r>
      <w:r>
        <w:t xml:space="preserve"> Per 24 CFR 5.110, HUD is authorized to grant </w:t>
      </w:r>
      <w:r>
        <w:rPr>
          <w:i/>
          <w:iCs/>
        </w:rPr>
        <w:t>regulatory</w:t>
      </w:r>
      <w:r>
        <w:t xml:space="preserve"> waivers to PHAs at any time (including before and after the authorization of the CARES Act). HUD cannot grant </w:t>
      </w:r>
      <w:r>
        <w:rPr>
          <w:i/>
          <w:iCs/>
        </w:rPr>
        <w:t xml:space="preserve">statutory </w:t>
      </w:r>
      <w:r>
        <w:t xml:space="preserve">waivers to PHAs, unless authorized by Congress (such as the authorization given to HUD as part of the CARES Act). </w:t>
      </w:r>
    </w:p>
  </w:footnote>
  <w:footnote w:id="5">
    <w:p w:rsidR="00483DBA" w:rsidP="00483DBA" w14:paraId="46AE24AF" w14:textId="77777777">
      <w:pPr>
        <w:pStyle w:val="FootnoteText"/>
        <w:ind w:left="90" w:hanging="90"/>
      </w:pPr>
      <w:r>
        <w:rPr>
          <w:rStyle w:val="FootnoteReference"/>
        </w:rPr>
        <w:footnoteRef/>
      </w:r>
      <w:r>
        <w:t xml:space="preserve"> </w:t>
      </w:r>
      <w:r w:rsidRPr="00A13484">
        <w:t xml:space="preserve">To estimate the hourly cost per respondent, the research team used the average hourly compensation (wages and benefits) for </w:t>
      </w:r>
      <w:r>
        <w:t>private</w:t>
      </w:r>
      <w:r w:rsidRPr="00A13484">
        <w:t xml:space="preserve"> workers </w:t>
      </w:r>
      <w:r>
        <w:t xml:space="preserve">in Service-Providing Industry </w:t>
      </w:r>
      <w:r w:rsidRPr="00A13484">
        <w:t>according to</w:t>
      </w:r>
      <w:r>
        <w:t xml:space="preserve"> Table 4 on page 8 in</w:t>
      </w:r>
      <w:r w:rsidRPr="00A13484">
        <w:t xml:space="preserve"> the Bureau of Labor Statistics’ Employer Costs for Employee Compensation </w:t>
      </w:r>
      <w:r>
        <w:t>S</w:t>
      </w:r>
      <w:r w:rsidRPr="00A13484">
        <w:t xml:space="preserve">urvey from </w:t>
      </w:r>
      <w:r>
        <w:t>September</w:t>
      </w:r>
      <w:r w:rsidRPr="00A13484">
        <w:t xml:space="preserve"> 2022 (</w:t>
      </w:r>
      <w:hyperlink r:id="rId5" w:history="1">
        <w:r w:rsidRPr="00C263C3">
          <w:rPr>
            <w:rStyle w:val="Hyperlink"/>
          </w:rPr>
          <w:t>https://www.bls.gov/news.release/pdf/ecec.pdf</w:t>
        </w:r>
      </w:hyperlink>
      <w:r w:rsidRPr="00A13484">
        <w:t>).</w:t>
      </w:r>
      <w:r>
        <w:t xml:space="preserve"> The hourly cost for PHA leadership was assumed to be those who are in Management, business, and financial occupations. The hourly cost for PHA staff was assumed to be those in Office and administrative support occupations. The hourly cost for members of Resident Advisory Boards was assumed to be those in Professional and related occupations.</w:t>
      </w:r>
    </w:p>
  </w:footnote>
  <w:footnote w:id="6">
    <w:p w:rsidR="00483DBA" w:rsidP="00483DBA" w14:paraId="21C2155C" w14:textId="77777777">
      <w:pPr>
        <w:pStyle w:val="FootnoteText"/>
      </w:pPr>
      <w:r>
        <w:rPr>
          <w:rStyle w:val="FootnoteReference"/>
        </w:rPr>
        <w:footnoteRef/>
      </w:r>
      <w:r>
        <w:t xml:space="preserve"> The average hourly cost per response for the combined interviews of PHA Leadership and Staff was calculated as the average for the hourly rate for PHA Leadership ($77.58) and PHA Staff ($29.89) [($77.58+$29.89)/2].</w:t>
      </w:r>
    </w:p>
  </w:footnote>
  <w:footnote w:id="7">
    <w:p w:rsidR="003C1DD9" w:rsidP="003C1DD9" w14:paraId="5541F9F9" w14:textId="77777777">
      <w:pPr>
        <w:pStyle w:val="FootnoteText"/>
      </w:pPr>
      <w:r>
        <w:rPr>
          <w:rStyle w:val="FootnoteReference"/>
        </w:rPr>
        <w:footnoteRef/>
      </w:r>
      <w:r>
        <w:t xml:space="preserve"> This covers all the tasks for the entire project, including developing, administering, and analysis of interview data.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0745D6"/>
    <w:multiLevelType w:val="hybridMultilevel"/>
    <w:tmpl w:val="946469E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5A6613"/>
    <w:multiLevelType w:val="hybridMultilevel"/>
    <w:tmpl w:val="7688C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0F924AE"/>
    <w:multiLevelType w:val="hybridMultilevel"/>
    <w:tmpl w:val="BE7ADA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652FBA"/>
    <w:multiLevelType w:val="hybridMultilevel"/>
    <w:tmpl w:val="42D8E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A9205F"/>
    <w:multiLevelType w:val="hybridMultilevel"/>
    <w:tmpl w:val="1424E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83C5B30"/>
    <w:multiLevelType w:val="hybridMultilevel"/>
    <w:tmpl w:val="157C87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1BE2B66"/>
    <w:multiLevelType w:val="hybridMultilevel"/>
    <w:tmpl w:val="4B7655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2524F1"/>
    <w:multiLevelType w:val="hybridMultilevel"/>
    <w:tmpl w:val="781AD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037B25"/>
    <w:multiLevelType w:val="hybridMultilevel"/>
    <w:tmpl w:val="368876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82B791C"/>
    <w:multiLevelType w:val="hybridMultilevel"/>
    <w:tmpl w:val="0922A9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B4927C0"/>
    <w:multiLevelType w:val="hybridMultilevel"/>
    <w:tmpl w:val="68B69F32"/>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1615482154">
    <w:abstractNumId w:val="11"/>
  </w:num>
  <w:num w:numId="2" w16cid:durableId="362218589">
    <w:abstractNumId w:val="4"/>
  </w:num>
  <w:num w:numId="3" w16cid:durableId="403071615">
    <w:abstractNumId w:val="14"/>
  </w:num>
  <w:num w:numId="4" w16cid:durableId="2016566792">
    <w:abstractNumId w:val="13"/>
  </w:num>
  <w:num w:numId="5" w16cid:durableId="86728705">
    <w:abstractNumId w:val="6"/>
  </w:num>
  <w:num w:numId="6" w16cid:durableId="1611205440">
    <w:abstractNumId w:val="8"/>
  </w:num>
  <w:num w:numId="7" w16cid:durableId="1178155670">
    <w:abstractNumId w:val="10"/>
  </w:num>
  <w:num w:numId="8" w16cid:durableId="1036082609">
    <w:abstractNumId w:val="1"/>
  </w:num>
  <w:num w:numId="9" w16cid:durableId="369233678">
    <w:abstractNumId w:val="7"/>
  </w:num>
  <w:num w:numId="10" w16cid:durableId="908344061">
    <w:abstractNumId w:val="5"/>
  </w:num>
  <w:num w:numId="11" w16cid:durableId="1679768859">
    <w:abstractNumId w:val="12"/>
  </w:num>
  <w:num w:numId="12" w16cid:durableId="424770498">
    <w:abstractNumId w:val="9"/>
  </w:num>
  <w:num w:numId="13" w16cid:durableId="1107970934">
    <w:abstractNumId w:val="15"/>
  </w:num>
  <w:num w:numId="14" w16cid:durableId="933053343">
    <w:abstractNumId w:val="3"/>
  </w:num>
  <w:num w:numId="15" w16cid:durableId="1666783192">
    <w:abstractNumId w:val="0"/>
  </w:num>
  <w:num w:numId="16" w16cid:durableId="670646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CF"/>
    <w:rsid w:val="00000D54"/>
    <w:rsid w:val="000028E4"/>
    <w:rsid w:val="000139C8"/>
    <w:rsid w:val="0001505E"/>
    <w:rsid w:val="000159FD"/>
    <w:rsid w:val="00015E6D"/>
    <w:rsid w:val="00016964"/>
    <w:rsid w:val="00030AA3"/>
    <w:rsid w:val="00031962"/>
    <w:rsid w:val="00031C1A"/>
    <w:rsid w:val="00035DD7"/>
    <w:rsid w:val="000363BD"/>
    <w:rsid w:val="00041A37"/>
    <w:rsid w:val="00043A6B"/>
    <w:rsid w:val="00043B49"/>
    <w:rsid w:val="0004462F"/>
    <w:rsid w:val="00045338"/>
    <w:rsid w:val="00052B87"/>
    <w:rsid w:val="00054F4E"/>
    <w:rsid w:val="0005750F"/>
    <w:rsid w:val="00060738"/>
    <w:rsid w:val="00061AE7"/>
    <w:rsid w:val="00071A54"/>
    <w:rsid w:val="00071D13"/>
    <w:rsid w:val="00076013"/>
    <w:rsid w:val="00084A95"/>
    <w:rsid w:val="0008633B"/>
    <w:rsid w:val="00092510"/>
    <w:rsid w:val="00092FB9"/>
    <w:rsid w:val="00094E64"/>
    <w:rsid w:val="00095859"/>
    <w:rsid w:val="000A07B5"/>
    <w:rsid w:val="000A0D3F"/>
    <w:rsid w:val="000A5E42"/>
    <w:rsid w:val="000B084A"/>
    <w:rsid w:val="000B4136"/>
    <w:rsid w:val="000B49F3"/>
    <w:rsid w:val="000C1EEE"/>
    <w:rsid w:val="000C365C"/>
    <w:rsid w:val="000C3FE9"/>
    <w:rsid w:val="000C4465"/>
    <w:rsid w:val="000C4482"/>
    <w:rsid w:val="000C4636"/>
    <w:rsid w:val="000C4E88"/>
    <w:rsid w:val="000C6AEC"/>
    <w:rsid w:val="000D1776"/>
    <w:rsid w:val="000E3C7E"/>
    <w:rsid w:val="000E58D6"/>
    <w:rsid w:val="000E7EF5"/>
    <w:rsid w:val="000F10B0"/>
    <w:rsid w:val="000F1E76"/>
    <w:rsid w:val="000F5F68"/>
    <w:rsid w:val="000F66E0"/>
    <w:rsid w:val="00102D4A"/>
    <w:rsid w:val="00105622"/>
    <w:rsid w:val="0010771E"/>
    <w:rsid w:val="00107BA7"/>
    <w:rsid w:val="00117D2A"/>
    <w:rsid w:val="001241E5"/>
    <w:rsid w:val="001279E5"/>
    <w:rsid w:val="00130DBE"/>
    <w:rsid w:val="001333C7"/>
    <w:rsid w:val="0013525E"/>
    <w:rsid w:val="00136301"/>
    <w:rsid w:val="001404BD"/>
    <w:rsid w:val="0014148D"/>
    <w:rsid w:val="00141FD9"/>
    <w:rsid w:val="001422D3"/>
    <w:rsid w:val="00142749"/>
    <w:rsid w:val="001454DF"/>
    <w:rsid w:val="00145A66"/>
    <w:rsid w:val="00146A44"/>
    <w:rsid w:val="001546CB"/>
    <w:rsid w:val="00156D0F"/>
    <w:rsid w:val="001571BC"/>
    <w:rsid w:val="00162442"/>
    <w:rsid w:val="00163087"/>
    <w:rsid w:val="00164D25"/>
    <w:rsid w:val="001672E5"/>
    <w:rsid w:val="001677C5"/>
    <w:rsid w:val="00173317"/>
    <w:rsid w:val="0017497E"/>
    <w:rsid w:val="00174A1F"/>
    <w:rsid w:val="0017542F"/>
    <w:rsid w:val="00176D64"/>
    <w:rsid w:val="0017762A"/>
    <w:rsid w:val="001826A4"/>
    <w:rsid w:val="00185225"/>
    <w:rsid w:val="001934B3"/>
    <w:rsid w:val="00196D38"/>
    <w:rsid w:val="001A43E9"/>
    <w:rsid w:val="001A5070"/>
    <w:rsid w:val="001A55EB"/>
    <w:rsid w:val="001B05D3"/>
    <w:rsid w:val="001B13DC"/>
    <w:rsid w:val="001B1476"/>
    <w:rsid w:val="001B212F"/>
    <w:rsid w:val="001B2836"/>
    <w:rsid w:val="001B4D0E"/>
    <w:rsid w:val="001B7A25"/>
    <w:rsid w:val="001C0DE1"/>
    <w:rsid w:val="001C0F99"/>
    <w:rsid w:val="001C31C9"/>
    <w:rsid w:val="001C3B85"/>
    <w:rsid w:val="001C4AE5"/>
    <w:rsid w:val="001C6472"/>
    <w:rsid w:val="001C6A37"/>
    <w:rsid w:val="001D0D93"/>
    <w:rsid w:val="001D1757"/>
    <w:rsid w:val="001D694F"/>
    <w:rsid w:val="001E382B"/>
    <w:rsid w:val="001F1A81"/>
    <w:rsid w:val="001F27DD"/>
    <w:rsid w:val="001F3FF2"/>
    <w:rsid w:val="00205D5A"/>
    <w:rsid w:val="00207D6E"/>
    <w:rsid w:val="0021379C"/>
    <w:rsid w:val="00222DDD"/>
    <w:rsid w:val="00225873"/>
    <w:rsid w:val="00226436"/>
    <w:rsid w:val="0022677E"/>
    <w:rsid w:val="002269A5"/>
    <w:rsid w:val="00235DC0"/>
    <w:rsid w:val="0023634F"/>
    <w:rsid w:val="00236CB0"/>
    <w:rsid w:val="00237E0A"/>
    <w:rsid w:val="0024267B"/>
    <w:rsid w:val="00242D75"/>
    <w:rsid w:val="00242F6D"/>
    <w:rsid w:val="00243971"/>
    <w:rsid w:val="00245048"/>
    <w:rsid w:val="00245C42"/>
    <w:rsid w:val="00253DB6"/>
    <w:rsid w:val="00254B7F"/>
    <w:rsid w:val="00257FBC"/>
    <w:rsid w:val="00261212"/>
    <w:rsid w:val="00263EEB"/>
    <w:rsid w:val="0026528D"/>
    <w:rsid w:val="002657A0"/>
    <w:rsid w:val="002712B1"/>
    <w:rsid w:val="00275952"/>
    <w:rsid w:val="00275EB9"/>
    <w:rsid w:val="002820AA"/>
    <w:rsid w:val="00284F42"/>
    <w:rsid w:val="00287B52"/>
    <w:rsid w:val="00291885"/>
    <w:rsid w:val="0029510C"/>
    <w:rsid w:val="002963F2"/>
    <w:rsid w:val="00297C78"/>
    <w:rsid w:val="002A14AC"/>
    <w:rsid w:val="002A17AB"/>
    <w:rsid w:val="002A2489"/>
    <w:rsid w:val="002B0B21"/>
    <w:rsid w:val="002B58A9"/>
    <w:rsid w:val="002B60F5"/>
    <w:rsid w:val="002B6304"/>
    <w:rsid w:val="002B7DA4"/>
    <w:rsid w:val="002C1711"/>
    <w:rsid w:val="002D3338"/>
    <w:rsid w:val="002D5897"/>
    <w:rsid w:val="002D7BC8"/>
    <w:rsid w:val="002E27C5"/>
    <w:rsid w:val="002E724E"/>
    <w:rsid w:val="002F0D44"/>
    <w:rsid w:val="002F2FA8"/>
    <w:rsid w:val="002F7C52"/>
    <w:rsid w:val="00300857"/>
    <w:rsid w:val="003040F2"/>
    <w:rsid w:val="00304666"/>
    <w:rsid w:val="003119F0"/>
    <w:rsid w:val="00312518"/>
    <w:rsid w:val="00314DAE"/>
    <w:rsid w:val="003213D4"/>
    <w:rsid w:val="00324E40"/>
    <w:rsid w:val="00325DF1"/>
    <w:rsid w:val="00331E60"/>
    <w:rsid w:val="003324FC"/>
    <w:rsid w:val="00333DB9"/>
    <w:rsid w:val="00337E66"/>
    <w:rsid w:val="00343FC8"/>
    <w:rsid w:val="003521C9"/>
    <w:rsid w:val="00352298"/>
    <w:rsid w:val="00356BF0"/>
    <w:rsid w:val="0036570B"/>
    <w:rsid w:val="00365A8B"/>
    <w:rsid w:val="00365F9B"/>
    <w:rsid w:val="00370A1D"/>
    <w:rsid w:val="00373AE8"/>
    <w:rsid w:val="00375CE4"/>
    <w:rsid w:val="003760F8"/>
    <w:rsid w:val="00377294"/>
    <w:rsid w:val="00384ACD"/>
    <w:rsid w:val="0038556B"/>
    <w:rsid w:val="00385E3B"/>
    <w:rsid w:val="0038777E"/>
    <w:rsid w:val="003967C9"/>
    <w:rsid w:val="003969A5"/>
    <w:rsid w:val="00397996"/>
    <w:rsid w:val="003A4EC1"/>
    <w:rsid w:val="003B1FDF"/>
    <w:rsid w:val="003C1DD9"/>
    <w:rsid w:val="003C7656"/>
    <w:rsid w:val="003D04FB"/>
    <w:rsid w:val="003D08C1"/>
    <w:rsid w:val="003D698D"/>
    <w:rsid w:val="003D783A"/>
    <w:rsid w:val="003E3898"/>
    <w:rsid w:val="003E6E0F"/>
    <w:rsid w:val="003F2755"/>
    <w:rsid w:val="003F702E"/>
    <w:rsid w:val="003F71EA"/>
    <w:rsid w:val="00401D6E"/>
    <w:rsid w:val="00403A6E"/>
    <w:rsid w:val="004051BC"/>
    <w:rsid w:val="00412438"/>
    <w:rsid w:val="004158E5"/>
    <w:rsid w:val="00417814"/>
    <w:rsid w:val="00421502"/>
    <w:rsid w:val="00421FB0"/>
    <w:rsid w:val="00422592"/>
    <w:rsid w:val="00422DD9"/>
    <w:rsid w:val="00426146"/>
    <w:rsid w:val="00426F71"/>
    <w:rsid w:val="00434B11"/>
    <w:rsid w:val="00442B3B"/>
    <w:rsid w:val="00450525"/>
    <w:rsid w:val="0045355D"/>
    <w:rsid w:val="00453830"/>
    <w:rsid w:val="00454C44"/>
    <w:rsid w:val="00456EA9"/>
    <w:rsid w:val="00460782"/>
    <w:rsid w:val="00461377"/>
    <w:rsid w:val="0046194F"/>
    <w:rsid w:val="00470D09"/>
    <w:rsid w:val="00475227"/>
    <w:rsid w:val="0047706B"/>
    <w:rsid w:val="00483DBA"/>
    <w:rsid w:val="004853A1"/>
    <w:rsid w:val="004863A6"/>
    <w:rsid w:val="004876B4"/>
    <w:rsid w:val="00487F2B"/>
    <w:rsid w:val="00491BEC"/>
    <w:rsid w:val="0049295C"/>
    <w:rsid w:val="0049322D"/>
    <w:rsid w:val="00493427"/>
    <w:rsid w:val="00497BC5"/>
    <w:rsid w:val="004A0E2F"/>
    <w:rsid w:val="004A2898"/>
    <w:rsid w:val="004B0441"/>
    <w:rsid w:val="004B19A2"/>
    <w:rsid w:val="004B54E0"/>
    <w:rsid w:val="004B573E"/>
    <w:rsid w:val="004C157E"/>
    <w:rsid w:val="004C4CE9"/>
    <w:rsid w:val="004C5159"/>
    <w:rsid w:val="004D034C"/>
    <w:rsid w:val="004D16FD"/>
    <w:rsid w:val="004E13F3"/>
    <w:rsid w:val="004E2C39"/>
    <w:rsid w:val="004E550B"/>
    <w:rsid w:val="004F658D"/>
    <w:rsid w:val="00506CA6"/>
    <w:rsid w:val="00506CC5"/>
    <w:rsid w:val="00514D0F"/>
    <w:rsid w:val="00520FA7"/>
    <w:rsid w:val="00524E2D"/>
    <w:rsid w:val="00527DD8"/>
    <w:rsid w:val="00530454"/>
    <w:rsid w:val="00535C56"/>
    <w:rsid w:val="00542DB9"/>
    <w:rsid w:val="00542FF3"/>
    <w:rsid w:val="005440BF"/>
    <w:rsid w:val="005445DC"/>
    <w:rsid w:val="00553CA7"/>
    <w:rsid w:val="005545CB"/>
    <w:rsid w:val="00555769"/>
    <w:rsid w:val="0056558B"/>
    <w:rsid w:val="00565EBB"/>
    <w:rsid w:val="00570FB9"/>
    <w:rsid w:val="00572346"/>
    <w:rsid w:val="00573058"/>
    <w:rsid w:val="0057557D"/>
    <w:rsid w:val="00575B98"/>
    <w:rsid w:val="00576F8B"/>
    <w:rsid w:val="00580CAA"/>
    <w:rsid w:val="005812E7"/>
    <w:rsid w:val="00581393"/>
    <w:rsid w:val="00590232"/>
    <w:rsid w:val="0059023F"/>
    <w:rsid w:val="00591B66"/>
    <w:rsid w:val="005950EF"/>
    <w:rsid w:val="005A1F65"/>
    <w:rsid w:val="005A236B"/>
    <w:rsid w:val="005A4F8C"/>
    <w:rsid w:val="005B3578"/>
    <w:rsid w:val="005B3DA0"/>
    <w:rsid w:val="005B4874"/>
    <w:rsid w:val="005B58D8"/>
    <w:rsid w:val="005B5FDD"/>
    <w:rsid w:val="005C3533"/>
    <w:rsid w:val="005C3884"/>
    <w:rsid w:val="005C66FC"/>
    <w:rsid w:val="005D4792"/>
    <w:rsid w:val="005E14AC"/>
    <w:rsid w:val="005E2113"/>
    <w:rsid w:val="005E2B12"/>
    <w:rsid w:val="005F051E"/>
    <w:rsid w:val="005F5156"/>
    <w:rsid w:val="005F60ED"/>
    <w:rsid w:val="005F7A5C"/>
    <w:rsid w:val="00600D3B"/>
    <w:rsid w:val="00600E81"/>
    <w:rsid w:val="0060153C"/>
    <w:rsid w:val="00603462"/>
    <w:rsid w:val="006071B2"/>
    <w:rsid w:val="00610A81"/>
    <w:rsid w:val="00610C4A"/>
    <w:rsid w:val="0061165B"/>
    <w:rsid w:val="00612FBA"/>
    <w:rsid w:val="00614D8A"/>
    <w:rsid w:val="00615D69"/>
    <w:rsid w:val="00616440"/>
    <w:rsid w:val="00616981"/>
    <w:rsid w:val="00622EDF"/>
    <w:rsid w:val="0062300C"/>
    <w:rsid w:val="0062327D"/>
    <w:rsid w:val="006237BB"/>
    <w:rsid w:val="00623D6F"/>
    <w:rsid w:val="006373B6"/>
    <w:rsid w:val="00657F58"/>
    <w:rsid w:val="00660960"/>
    <w:rsid w:val="00661256"/>
    <w:rsid w:val="00662A5E"/>
    <w:rsid w:val="00666161"/>
    <w:rsid w:val="006704DE"/>
    <w:rsid w:val="00671332"/>
    <w:rsid w:val="006722B7"/>
    <w:rsid w:val="00672E85"/>
    <w:rsid w:val="00674CDE"/>
    <w:rsid w:val="00677A91"/>
    <w:rsid w:val="006812FB"/>
    <w:rsid w:val="006832C8"/>
    <w:rsid w:val="00683A51"/>
    <w:rsid w:val="00686FC4"/>
    <w:rsid w:val="006A03C5"/>
    <w:rsid w:val="006A0DF7"/>
    <w:rsid w:val="006A6E98"/>
    <w:rsid w:val="006B0622"/>
    <w:rsid w:val="006B10F6"/>
    <w:rsid w:val="006B1513"/>
    <w:rsid w:val="006B189B"/>
    <w:rsid w:val="006B4DD1"/>
    <w:rsid w:val="006B768A"/>
    <w:rsid w:val="006B77A2"/>
    <w:rsid w:val="006C076C"/>
    <w:rsid w:val="006C168E"/>
    <w:rsid w:val="006C4B91"/>
    <w:rsid w:val="006C4E8A"/>
    <w:rsid w:val="006C6424"/>
    <w:rsid w:val="006C7758"/>
    <w:rsid w:val="006E0922"/>
    <w:rsid w:val="006E2A78"/>
    <w:rsid w:val="006E2BCA"/>
    <w:rsid w:val="006E2F6B"/>
    <w:rsid w:val="006E432C"/>
    <w:rsid w:val="006E4E76"/>
    <w:rsid w:val="006F0757"/>
    <w:rsid w:val="006F564B"/>
    <w:rsid w:val="006F66A2"/>
    <w:rsid w:val="00704E4C"/>
    <w:rsid w:val="00705038"/>
    <w:rsid w:val="00705345"/>
    <w:rsid w:val="00706344"/>
    <w:rsid w:val="00710C7E"/>
    <w:rsid w:val="00712233"/>
    <w:rsid w:val="00716311"/>
    <w:rsid w:val="007163C4"/>
    <w:rsid w:val="00716911"/>
    <w:rsid w:val="00726EB1"/>
    <w:rsid w:val="00736827"/>
    <w:rsid w:val="007418EB"/>
    <w:rsid w:val="007420D5"/>
    <w:rsid w:val="00746D20"/>
    <w:rsid w:val="00756BAF"/>
    <w:rsid w:val="00756DBF"/>
    <w:rsid w:val="00757BB3"/>
    <w:rsid w:val="00760531"/>
    <w:rsid w:val="00762B71"/>
    <w:rsid w:val="0076453B"/>
    <w:rsid w:val="00766DF2"/>
    <w:rsid w:val="007706BD"/>
    <w:rsid w:val="00780CAE"/>
    <w:rsid w:val="00782D90"/>
    <w:rsid w:val="00786D7F"/>
    <w:rsid w:val="007876A5"/>
    <w:rsid w:val="00794364"/>
    <w:rsid w:val="00796378"/>
    <w:rsid w:val="007966A9"/>
    <w:rsid w:val="00797225"/>
    <w:rsid w:val="007A0E24"/>
    <w:rsid w:val="007A3E96"/>
    <w:rsid w:val="007A59AF"/>
    <w:rsid w:val="007A7A0D"/>
    <w:rsid w:val="007B0545"/>
    <w:rsid w:val="007B76EA"/>
    <w:rsid w:val="007C2B08"/>
    <w:rsid w:val="007D081B"/>
    <w:rsid w:val="007E7987"/>
    <w:rsid w:val="007F5C53"/>
    <w:rsid w:val="007F6DB6"/>
    <w:rsid w:val="007F6FB6"/>
    <w:rsid w:val="007F7868"/>
    <w:rsid w:val="00803691"/>
    <w:rsid w:val="0081225C"/>
    <w:rsid w:val="00814C0C"/>
    <w:rsid w:val="00820E24"/>
    <w:rsid w:val="00823EDB"/>
    <w:rsid w:val="00830663"/>
    <w:rsid w:val="00833B28"/>
    <w:rsid w:val="00833E43"/>
    <w:rsid w:val="00837CA1"/>
    <w:rsid w:val="008412F6"/>
    <w:rsid w:val="00841A31"/>
    <w:rsid w:val="0084344E"/>
    <w:rsid w:val="00846003"/>
    <w:rsid w:val="00846572"/>
    <w:rsid w:val="008471AF"/>
    <w:rsid w:val="00853891"/>
    <w:rsid w:val="00854BAB"/>
    <w:rsid w:val="00854FF8"/>
    <w:rsid w:val="00860C0F"/>
    <w:rsid w:val="00861E00"/>
    <w:rsid w:val="0086442E"/>
    <w:rsid w:val="00867FB4"/>
    <w:rsid w:val="00874435"/>
    <w:rsid w:val="00875C91"/>
    <w:rsid w:val="008768A5"/>
    <w:rsid w:val="0088052E"/>
    <w:rsid w:val="00890C80"/>
    <w:rsid w:val="0089163B"/>
    <w:rsid w:val="00893148"/>
    <w:rsid w:val="00897703"/>
    <w:rsid w:val="008A1F92"/>
    <w:rsid w:val="008A4BE7"/>
    <w:rsid w:val="008A4D7E"/>
    <w:rsid w:val="008A6B2F"/>
    <w:rsid w:val="008A715A"/>
    <w:rsid w:val="008A72B1"/>
    <w:rsid w:val="008A7499"/>
    <w:rsid w:val="008C47CB"/>
    <w:rsid w:val="008D0053"/>
    <w:rsid w:val="008D09F0"/>
    <w:rsid w:val="008D0E61"/>
    <w:rsid w:val="008D5127"/>
    <w:rsid w:val="008D598F"/>
    <w:rsid w:val="008D677F"/>
    <w:rsid w:val="008D74B7"/>
    <w:rsid w:val="008E0B16"/>
    <w:rsid w:val="008E22C0"/>
    <w:rsid w:val="008E311B"/>
    <w:rsid w:val="008E5DA0"/>
    <w:rsid w:val="008F033D"/>
    <w:rsid w:val="008F5603"/>
    <w:rsid w:val="008F65A3"/>
    <w:rsid w:val="0090049B"/>
    <w:rsid w:val="00900E09"/>
    <w:rsid w:val="00901D21"/>
    <w:rsid w:val="009031A8"/>
    <w:rsid w:val="009154E1"/>
    <w:rsid w:val="00915EAD"/>
    <w:rsid w:val="0092574E"/>
    <w:rsid w:val="0093275F"/>
    <w:rsid w:val="00933409"/>
    <w:rsid w:val="00934773"/>
    <w:rsid w:val="00936AF3"/>
    <w:rsid w:val="00940BBA"/>
    <w:rsid w:val="00942D9C"/>
    <w:rsid w:val="0094559D"/>
    <w:rsid w:val="00951467"/>
    <w:rsid w:val="00962875"/>
    <w:rsid w:val="0096662B"/>
    <w:rsid w:val="009716FD"/>
    <w:rsid w:val="00971C8D"/>
    <w:rsid w:val="00973E31"/>
    <w:rsid w:val="00973FE6"/>
    <w:rsid w:val="00974503"/>
    <w:rsid w:val="009755A1"/>
    <w:rsid w:val="009772AA"/>
    <w:rsid w:val="00980862"/>
    <w:rsid w:val="00982533"/>
    <w:rsid w:val="009829AA"/>
    <w:rsid w:val="00983B7B"/>
    <w:rsid w:val="0098555D"/>
    <w:rsid w:val="00985DDB"/>
    <w:rsid w:val="00987C60"/>
    <w:rsid w:val="00994B6D"/>
    <w:rsid w:val="00994F79"/>
    <w:rsid w:val="009A23CC"/>
    <w:rsid w:val="009A6426"/>
    <w:rsid w:val="009B3E97"/>
    <w:rsid w:val="009B7A7E"/>
    <w:rsid w:val="009C1D29"/>
    <w:rsid w:val="009C20A4"/>
    <w:rsid w:val="009C2D52"/>
    <w:rsid w:val="009C3636"/>
    <w:rsid w:val="009C55BE"/>
    <w:rsid w:val="009C6488"/>
    <w:rsid w:val="009D30DC"/>
    <w:rsid w:val="009D5D02"/>
    <w:rsid w:val="009D745B"/>
    <w:rsid w:val="009E0CC8"/>
    <w:rsid w:val="009F0BDF"/>
    <w:rsid w:val="009F15B2"/>
    <w:rsid w:val="009F1D04"/>
    <w:rsid w:val="009F3759"/>
    <w:rsid w:val="009F67AE"/>
    <w:rsid w:val="00A02C82"/>
    <w:rsid w:val="00A03554"/>
    <w:rsid w:val="00A04467"/>
    <w:rsid w:val="00A0643B"/>
    <w:rsid w:val="00A077B4"/>
    <w:rsid w:val="00A1228B"/>
    <w:rsid w:val="00A13484"/>
    <w:rsid w:val="00A1360F"/>
    <w:rsid w:val="00A15986"/>
    <w:rsid w:val="00A15C32"/>
    <w:rsid w:val="00A16243"/>
    <w:rsid w:val="00A17D35"/>
    <w:rsid w:val="00A20685"/>
    <w:rsid w:val="00A228EB"/>
    <w:rsid w:val="00A2501A"/>
    <w:rsid w:val="00A25CFA"/>
    <w:rsid w:val="00A25E90"/>
    <w:rsid w:val="00A3078C"/>
    <w:rsid w:val="00A32B06"/>
    <w:rsid w:val="00A34699"/>
    <w:rsid w:val="00A438DC"/>
    <w:rsid w:val="00A43BC1"/>
    <w:rsid w:val="00A45AA4"/>
    <w:rsid w:val="00A47D9D"/>
    <w:rsid w:val="00A52F74"/>
    <w:rsid w:val="00A57097"/>
    <w:rsid w:val="00A60FE5"/>
    <w:rsid w:val="00A614BB"/>
    <w:rsid w:val="00A618B1"/>
    <w:rsid w:val="00A619DD"/>
    <w:rsid w:val="00A63081"/>
    <w:rsid w:val="00A63745"/>
    <w:rsid w:val="00A670AD"/>
    <w:rsid w:val="00A674B0"/>
    <w:rsid w:val="00A70C24"/>
    <w:rsid w:val="00A75A62"/>
    <w:rsid w:val="00A7746B"/>
    <w:rsid w:val="00A845B5"/>
    <w:rsid w:val="00A94F57"/>
    <w:rsid w:val="00A97375"/>
    <w:rsid w:val="00AA072A"/>
    <w:rsid w:val="00AA0D1F"/>
    <w:rsid w:val="00AA266B"/>
    <w:rsid w:val="00AA546F"/>
    <w:rsid w:val="00AB64FA"/>
    <w:rsid w:val="00AC09A7"/>
    <w:rsid w:val="00AC7121"/>
    <w:rsid w:val="00AD245C"/>
    <w:rsid w:val="00AD73AA"/>
    <w:rsid w:val="00AE2C01"/>
    <w:rsid w:val="00AE4629"/>
    <w:rsid w:val="00AF38E8"/>
    <w:rsid w:val="00AF397F"/>
    <w:rsid w:val="00AF411A"/>
    <w:rsid w:val="00AF7F52"/>
    <w:rsid w:val="00B01DDF"/>
    <w:rsid w:val="00B022F7"/>
    <w:rsid w:val="00B04B27"/>
    <w:rsid w:val="00B13E48"/>
    <w:rsid w:val="00B25379"/>
    <w:rsid w:val="00B260EF"/>
    <w:rsid w:val="00B2703D"/>
    <w:rsid w:val="00B2757E"/>
    <w:rsid w:val="00B306D4"/>
    <w:rsid w:val="00B311EF"/>
    <w:rsid w:val="00B321F9"/>
    <w:rsid w:val="00B34D10"/>
    <w:rsid w:val="00B3712F"/>
    <w:rsid w:val="00B46FE1"/>
    <w:rsid w:val="00B535E8"/>
    <w:rsid w:val="00B57FBD"/>
    <w:rsid w:val="00B60B70"/>
    <w:rsid w:val="00B71538"/>
    <w:rsid w:val="00B716D5"/>
    <w:rsid w:val="00B73009"/>
    <w:rsid w:val="00B73989"/>
    <w:rsid w:val="00B77BC0"/>
    <w:rsid w:val="00B80C83"/>
    <w:rsid w:val="00B82633"/>
    <w:rsid w:val="00B90DAC"/>
    <w:rsid w:val="00B925D5"/>
    <w:rsid w:val="00BA30DB"/>
    <w:rsid w:val="00BA4D9A"/>
    <w:rsid w:val="00BA620C"/>
    <w:rsid w:val="00BA73DA"/>
    <w:rsid w:val="00BB4C68"/>
    <w:rsid w:val="00BB7CBB"/>
    <w:rsid w:val="00BC5156"/>
    <w:rsid w:val="00BC57CB"/>
    <w:rsid w:val="00BD21AC"/>
    <w:rsid w:val="00BD2948"/>
    <w:rsid w:val="00BD301D"/>
    <w:rsid w:val="00BD5262"/>
    <w:rsid w:val="00BD69BC"/>
    <w:rsid w:val="00BE3B77"/>
    <w:rsid w:val="00BF1EDE"/>
    <w:rsid w:val="00BF38CF"/>
    <w:rsid w:val="00BF5E3F"/>
    <w:rsid w:val="00BF65B8"/>
    <w:rsid w:val="00C007B0"/>
    <w:rsid w:val="00C06C5A"/>
    <w:rsid w:val="00C13C00"/>
    <w:rsid w:val="00C20C97"/>
    <w:rsid w:val="00C210DF"/>
    <w:rsid w:val="00C23387"/>
    <w:rsid w:val="00C263C3"/>
    <w:rsid w:val="00C27F28"/>
    <w:rsid w:val="00C31620"/>
    <w:rsid w:val="00C32E57"/>
    <w:rsid w:val="00C348CD"/>
    <w:rsid w:val="00C34A7E"/>
    <w:rsid w:val="00C36F91"/>
    <w:rsid w:val="00C415A2"/>
    <w:rsid w:val="00C51BFE"/>
    <w:rsid w:val="00C524CA"/>
    <w:rsid w:val="00C57F77"/>
    <w:rsid w:val="00C60B44"/>
    <w:rsid w:val="00C617F2"/>
    <w:rsid w:val="00C61A62"/>
    <w:rsid w:val="00C62263"/>
    <w:rsid w:val="00C72E08"/>
    <w:rsid w:val="00C73899"/>
    <w:rsid w:val="00C73C15"/>
    <w:rsid w:val="00C765A1"/>
    <w:rsid w:val="00C85452"/>
    <w:rsid w:val="00C8727B"/>
    <w:rsid w:val="00C9217C"/>
    <w:rsid w:val="00CA123D"/>
    <w:rsid w:val="00CA5AEC"/>
    <w:rsid w:val="00CB03F5"/>
    <w:rsid w:val="00CB0953"/>
    <w:rsid w:val="00CB2CDC"/>
    <w:rsid w:val="00CB35A3"/>
    <w:rsid w:val="00CB6947"/>
    <w:rsid w:val="00CC4BF0"/>
    <w:rsid w:val="00CD7391"/>
    <w:rsid w:val="00CE0BC8"/>
    <w:rsid w:val="00CE21A8"/>
    <w:rsid w:val="00CE4508"/>
    <w:rsid w:val="00CF13E8"/>
    <w:rsid w:val="00CF14B5"/>
    <w:rsid w:val="00CF29F1"/>
    <w:rsid w:val="00CF3842"/>
    <w:rsid w:val="00CF3C3F"/>
    <w:rsid w:val="00D01295"/>
    <w:rsid w:val="00D1384F"/>
    <w:rsid w:val="00D16F74"/>
    <w:rsid w:val="00D32CB7"/>
    <w:rsid w:val="00D353D9"/>
    <w:rsid w:val="00D411DF"/>
    <w:rsid w:val="00D427EC"/>
    <w:rsid w:val="00D45D89"/>
    <w:rsid w:val="00D47002"/>
    <w:rsid w:val="00D50CC4"/>
    <w:rsid w:val="00D5624D"/>
    <w:rsid w:val="00D6143F"/>
    <w:rsid w:val="00D634EC"/>
    <w:rsid w:val="00D67227"/>
    <w:rsid w:val="00D6758C"/>
    <w:rsid w:val="00D70BCF"/>
    <w:rsid w:val="00D7415D"/>
    <w:rsid w:val="00D767FC"/>
    <w:rsid w:val="00D8144D"/>
    <w:rsid w:val="00D823E8"/>
    <w:rsid w:val="00D83980"/>
    <w:rsid w:val="00D85308"/>
    <w:rsid w:val="00D858A2"/>
    <w:rsid w:val="00D86A6E"/>
    <w:rsid w:val="00D87D98"/>
    <w:rsid w:val="00D91488"/>
    <w:rsid w:val="00D95EDA"/>
    <w:rsid w:val="00DA26F4"/>
    <w:rsid w:val="00DA43E7"/>
    <w:rsid w:val="00DA4D55"/>
    <w:rsid w:val="00DA72E3"/>
    <w:rsid w:val="00DA7E4F"/>
    <w:rsid w:val="00DB0730"/>
    <w:rsid w:val="00DB1DFE"/>
    <w:rsid w:val="00DC0635"/>
    <w:rsid w:val="00DD2F89"/>
    <w:rsid w:val="00DD6954"/>
    <w:rsid w:val="00DE00B6"/>
    <w:rsid w:val="00DE138B"/>
    <w:rsid w:val="00DE3767"/>
    <w:rsid w:val="00DE7092"/>
    <w:rsid w:val="00DF2F73"/>
    <w:rsid w:val="00E02D96"/>
    <w:rsid w:val="00E041FA"/>
    <w:rsid w:val="00E04A73"/>
    <w:rsid w:val="00E07D76"/>
    <w:rsid w:val="00E12D6D"/>
    <w:rsid w:val="00E1399F"/>
    <w:rsid w:val="00E15829"/>
    <w:rsid w:val="00E34077"/>
    <w:rsid w:val="00E51FDA"/>
    <w:rsid w:val="00E53D0E"/>
    <w:rsid w:val="00E5616B"/>
    <w:rsid w:val="00E60513"/>
    <w:rsid w:val="00E60B82"/>
    <w:rsid w:val="00E60BC8"/>
    <w:rsid w:val="00E64097"/>
    <w:rsid w:val="00E65EC3"/>
    <w:rsid w:val="00E76013"/>
    <w:rsid w:val="00E77025"/>
    <w:rsid w:val="00E77186"/>
    <w:rsid w:val="00E82A67"/>
    <w:rsid w:val="00E83193"/>
    <w:rsid w:val="00E8513A"/>
    <w:rsid w:val="00E91CE8"/>
    <w:rsid w:val="00E96F75"/>
    <w:rsid w:val="00E97F60"/>
    <w:rsid w:val="00EB0DAC"/>
    <w:rsid w:val="00EB67CF"/>
    <w:rsid w:val="00EB7BF3"/>
    <w:rsid w:val="00EC4E33"/>
    <w:rsid w:val="00ED1C64"/>
    <w:rsid w:val="00ED292D"/>
    <w:rsid w:val="00EE1F14"/>
    <w:rsid w:val="00EE2F53"/>
    <w:rsid w:val="00EE34A3"/>
    <w:rsid w:val="00EE4D7C"/>
    <w:rsid w:val="00EE6E31"/>
    <w:rsid w:val="00EE75AB"/>
    <w:rsid w:val="00EF0844"/>
    <w:rsid w:val="00EF6875"/>
    <w:rsid w:val="00F06AC0"/>
    <w:rsid w:val="00F10CC0"/>
    <w:rsid w:val="00F120E7"/>
    <w:rsid w:val="00F14BB8"/>
    <w:rsid w:val="00F21C7C"/>
    <w:rsid w:val="00F3541A"/>
    <w:rsid w:val="00F407E2"/>
    <w:rsid w:val="00F417FC"/>
    <w:rsid w:val="00F434FF"/>
    <w:rsid w:val="00F445AC"/>
    <w:rsid w:val="00F45055"/>
    <w:rsid w:val="00F46BE9"/>
    <w:rsid w:val="00F479C4"/>
    <w:rsid w:val="00F50C74"/>
    <w:rsid w:val="00F5498E"/>
    <w:rsid w:val="00F55CE5"/>
    <w:rsid w:val="00F5693D"/>
    <w:rsid w:val="00F612C3"/>
    <w:rsid w:val="00F658ED"/>
    <w:rsid w:val="00F66D23"/>
    <w:rsid w:val="00F72B1D"/>
    <w:rsid w:val="00F75AFB"/>
    <w:rsid w:val="00F80CB1"/>
    <w:rsid w:val="00F8612E"/>
    <w:rsid w:val="00F90DC4"/>
    <w:rsid w:val="00F9220F"/>
    <w:rsid w:val="00F93108"/>
    <w:rsid w:val="00F93E36"/>
    <w:rsid w:val="00F94537"/>
    <w:rsid w:val="00F95E44"/>
    <w:rsid w:val="00FA002F"/>
    <w:rsid w:val="00FA0C6B"/>
    <w:rsid w:val="00FA1A00"/>
    <w:rsid w:val="00FA27DF"/>
    <w:rsid w:val="00FA3C42"/>
    <w:rsid w:val="00FA5B9C"/>
    <w:rsid w:val="00FA6A0C"/>
    <w:rsid w:val="00FB0CE7"/>
    <w:rsid w:val="00FC2567"/>
    <w:rsid w:val="00FD1BDC"/>
    <w:rsid w:val="00FD5098"/>
    <w:rsid w:val="00FD6A40"/>
    <w:rsid w:val="00FD7238"/>
    <w:rsid w:val="00FD79A1"/>
    <w:rsid w:val="00FE1BBA"/>
    <w:rsid w:val="00FE2D32"/>
    <w:rsid w:val="00FE5224"/>
    <w:rsid w:val="00FE5F2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2CE587"/>
  <w15:chartTrackingRefBased/>
  <w15:docId w15:val="{5AE300D8-509B-4B19-A556-E9A74455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BF38CF"/>
    <w:pPr>
      <w:ind w:left="720"/>
    </w:pPr>
  </w:style>
  <w:style w:type="paragraph" w:styleId="NoSpacing">
    <w:name w:val="No Spacing"/>
    <w:uiPriority w:val="1"/>
    <w:qFormat/>
    <w:rsid w:val="00BF38CF"/>
    <w:pPr>
      <w:widowControl w:val="0"/>
      <w:kinsoku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4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79C4"/>
    <w:pPr>
      <w:spacing w:after="180" w:line="264" w:lineRule="auto"/>
    </w:pPr>
    <w:rPr>
      <w:sz w:val="22"/>
      <w:szCs w:val="20"/>
    </w:rPr>
  </w:style>
  <w:style w:type="character" w:customStyle="1" w:styleId="BodyTextChar">
    <w:name w:val="Body Text Char"/>
    <w:basedOn w:val="DefaultParagraphFont"/>
    <w:link w:val="BodyText"/>
    <w:rsid w:val="00F479C4"/>
    <w:rPr>
      <w:rFonts w:ascii="Times New Roman" w:eastAsia="Times New Roman" w:hAnsi="Times New Roman" w:cs="Times New Roman"/>
      <w:szCs w:val="20"/>
    </w:rPr>
  </w:style>
  <w:style w:type="paragraph" w:customStyle="1" w:styleId="paragraph">
    <w:name w:val="paragraph"/>
    <w:basedOn w:val="Normal"/>
    <w:rsid w:val="00422DD9"/>
    <w:pPr>
      <w:spacing w:before="100" w:beforeAutospacing="1" w:after="100" w:afterAutospacing="1"/>
    </w:pPr>
  </w:style>
  <w:style w:type="character" w:customStyle="1" w:styleId="normaltextrun">
    <w:name w:val="normaltextrun"/>
    <w:basedOn w:val="DefaultParagraphFont"/>
    <w:rsid w:val="00422DD9"/>
  </w:style>
  <w:style w:type="character" w:customStyle="1" w:styleId="eop">
    <w:name w:val="eop"/>
    <w:basedOn w:val="DefaultParagraphFont"/>
    <w:rsid w:val="00422DD9"/>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DE7092"/>
    <w:rPr>
      <w:rFonts w:ascii="Times New Roman" w:eastAsia="Times New Roman" w:hAnsi="Times New Roman" w:cs="Times New Roman"/>
      <w:sz w:val="24"/>
      <w:szCs w:val="24"/>
    </w:rPr>
  </w:style>
  <w:style w:type="paragraph" w:styleId="Caption">
    <w:name w:val="caption"/>
    <w:aliases w:val="Caption - graphics,Caption Char Char Char Char1 Char2,Caption Char Char1 Char,Caption Char1 Char Char1 Char1,Caption ECSS,Exhibit Caption,Figure Caption,Figure Caption Char,IE Table,Table Caption,TableCaption,ca,table"/>
    <w:basedOn w:val="Normal"/>
    <w:next w:val="Normal"/>
    <w:link w:val="CaptionChar"/>
    <w:uiPriority w:val="35"/>
    <w:unhideWhenUsed/>
    <w:qFormat/>
    <w:rsid w:val="0036570B"/>
    <w:pPr>
      <w:keepNext/>
      <w:spacing w:after="200"/>
    </w:pPr>
    <w:rPr>
      <w:rFonts w:asciiTheme="minorHAnsi" w:eastAsiaTheme="minorHAnsi" w:hAnsiTheme="minorHAnsi" w:cstheme="minorBidi"/>
      <w:b/>
      <w:iCs/>
      <w:color w:val="A5A5A5" w:themeColor="accent3"/>
      <w:szCs w:val="18"/>
    </w:rPr>
  </w:style>
  <w:style w:type="character" w:customStyle="1" w:styleId="CaptionChar">
    <w:name w:val="Caption Char"/>
    <w:aliases w:val="Caption - graphics Char,Caption Char Char1 Char Char,Caption Char1 Char Char1 Char1 Char,Caption ECSS Char,Exhibit Caption Char,Figure Caption Char Char,Figure Caption Char1,Table Caption Char,TableCaption Char,ca Char,table Char"/>
    <w:basedOn w:val="DefaultParagraphFont"/>
    <w:link w:val="Caption"/>
    <w:uiPriority w:val="35"/>
    <w:locked/>
    <w:rsid w:val="0036570B"/>
    <w:rPr>
      <w:b/>
      <w:iCs/>
      <w:color w:val="A5A5A5" w:themeColor="accent3"/>
      <w:sz w:val="24"/>
      <w:szCs w:val="18"/>
    </w:rPr>
  </w:style>
  <w:style w:type="table" w:customStyle="1" w:styleId="ListTable31">
    <w:name w:val="List Table 31"/>
    <w:basedOn w:val="TableNormal"/>
    <w:uiPriority w:val="48"/>
    <w:rsid w:val="0036570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DefaultParagraphFont"/>
    <w:unhideWhenUsed/>
    <w:rsid w:val="00162442"/>
    <w:rPr>
      <w:color w:val="0000FF"/>
      <w:u w:val="single"/>
    </w:rPr>
  </w:style>
  <w:style w:type="character" w:styleId="CommentReference">
    <w:name w:val="annotation reference"/>
    <w:basedOn w:val="DefaultParagraphFont"/>
    <w:uiPriority w:val="99"/>
    <w:unhideWhenUsed/>
    <w:rsid w:val="00162442"/>
    <w:rPr>
      <w:sz w:val="16"/>
      <w:szCs w:val="16"/>
    </w:rPr>
  </w:style>
  <w:style w:type="paragraph" w:styleId="CommentText">
    <w:name w:val="annotation text"/>
    <w:basedOn w:val="Normal"/>
    <w:link w:val="CommentTextChar"/>
    <w:uiPriority w:val="99"/>
    <w:unhideWhenUsed/>
    <w:rsid w:val="00162442"/>
    <w:rPr>
      <w:sz w:val="20"/>
      <w:szCs w:val="20"/>
    </w:rPr>
  </w:style>
  <w:style w:type="character" w:customStyle="1" w:styleId="CommentTextChar">
    <w:name w:val="Comment Text Char"/>
    <w:basedOn w:val="DefaultParagraphFont"/>
    <w:link w:val="CommentText"/>
    <w:uiPriority w:val="99"/>
    <w:rsid w:val="001624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442"/>
    <w:rPr>
      <w:b/>
      <w:bCs/>
    </w:rPr>
  </w:style>
  <w:style w:type="character" w:customStyle="1" w:styleId="CommentSubjectChar">
    <w:name w:val="Comment Subject Char"/>
    <w:basedOn w:val="CommentTextChar"/>
    <w:link w:val="CommentSubject"/>
    <w:uiPriority w:val="99"/>
    <w:semiHidden/>
    <w:rsid w:val="00162442"/>
    <w:rPr>
      <w:rFonts w:ascii="Times New Roman" w:eastAsia="Times New Roman" w:hAnsi="Times New Roman" w:cs="Times New Roman"/>
      <w:b/>
      <w:bCs/>
      <w:sz w:val="20"/>
      <w:szCs w:val="20"/>
    </w:rPr>
  </w:style>
  <w:style w:type="paragraph" w:customStyle="1" w:styleId="BulletsLast">
    <w:name w:val="BulletsLast"/>
    <w:basedOn w:val="Bullets"/>
    <w:qFormat/>
    <w:rsid w:val="00EC4E33"/>
  </w:style>
  <w:style w:type="paragraph" w:customStyle="1" w:styleId="Bullets">
    <w:name w:val="Bullets"/>
    <w:basedOn w:val="BodyText"/>
    <w:rsid w:val="00EC4E33"/>
    <w:pPr>
      <w:numPr>
        <w:numId w:val="13"/>
      </w:numPr>
      <w:spacing w:after="120"/>
    </w:pPr>
  </w:style>
  <w:style w:type="character" w:styleId="Mention">
    <w:name w:val="Mention"/>
    <w:basedOn w:val="DefaultParagraphFont"/>
    <w:uiPriority w:val="99"/>
    <w:unhideWhenUsed/>
    <w:rsid w:val="004E13F3"/>
    <w:rPr>
      <w:color w:val="2B579A"/>
      <w:shd w:val="clear" w:color="auto" w:fill="E1DFDD"/>
    </w:rPr>
  </w:style>
  <w:style w:type="paragraph" w:styleId="Revision">
    <w:name w:val="Revision"/>
    <w:hidden/>
    <w:uiPriority w:val="99"/>
    <w:semiHidden/>
    <w:rsid w:val="0062300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1885"/>
    <w:pPr>
      <w:tabs>
        <w:tab w:val="center" w:pos="4680"/>
        <w:tab w:val="right" w:pos="9360"/>
      </w:tabs>
    </w:pPr>
  </w:style>
  <w:style w:type="character" w:customStyle="1" w:styleId="HeaderChar">
    <w:name w:val="Header Char"/>
    <w:basedOn w:val="DefaultParagraphFont"/>
    <w:link w:val="Header"/>
    <w:uiPriority w:val="99"/>
    <w:rsid w:val="002918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885"/>
    <w:pPr>
      <w:tabs>
        <w:tab w:val="center" w:pos="4680"/>
        <w:tab w:val="right" w:pos="9360"/>
      </w:tabs>
    </w:pPr>
  </w:style>
  <w:style w:type="character" w:customStyle="1" w:styleId="FooterChar">
    <w:name w:val="Footer Char"/>
    <w:basedOn w:val="DefaultParagraphFont"/>
    <w:link w:val="Footer"/>
    <w:uiPriority w:val="99"/>
    <w:rsid w:val="002918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91885"/>
    <w:rPr>
      <w:sz w:val="20"/>
      <w:szCs w:val="20"/>
    </w:rPr>
  </w:style>
  <w:style w:type="character" w:customStyle="1" w:styleId="FootnoteTextChar">
    <w:name w:val="Footnote Text Char"/>
    <w:basedOn w:val="DefaultParagraphFont"/>
    <w:link w:val="FootnoteText"/>
    <w:uiPriority w:val="99"/>
    <w:semiHidden/>
    <w:rsid w:val="002918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1885"/>
    <w:rPr>
      <w:vertAlign w:val="superscript"/>
    </w:rPr>
  </w:style>
  <w:style w:type="character" w:styleId="FollowedHyperlink">
    <w:name w:val="FollowedHyperlink"/>
    <w:basedOn w:val="DefaultParagraphFont"/>
    <w:uiPriority w:val="99"/>
    <w:semiHidden/>
    <w:unhideWhenUsed/>
    <w:rsid w:val="00325DF1"/>
    <w:rPr>
      <w:color w:val="954F72" w:themeColor="followedHyperlink"/>
      <w:u w:val="single"/>
    </w:rPr>
  </w:style>
  <w:style w:type="paragraph" w:styleId="NormalWeb">
    <w:name w:val="Normal (Web)"/>
    <w:basedOn w:val="Normal"/>
    <w:uiPriority w:val="99"/>
    <w:semiHidden/>
    <w:unhideWhenUsed/>
    <w:rsid w:val="00102D4A"/>
    <w:pPr>
      <w:spacing w:before="100" w:beforeAutospacing="1" w:after="100" w:afterAutospacing="1"/>
    </w:pPr>
  </w:style>
  <w:style w:type="character" w:customStyle="1" w:styleId="findhit">
    <w:name w:val="findhit"/>
    <w:basedOn w:val="DefaultParagraphFont"/>
    <w:rsid w:val="0093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ud.gov/sites/dfiles/OCHCO/documents/2020-05pihn.pdf" TargetMode="External" /><Relationship Id="rId2" Type="http://schemas.openxmlformats.org/officeDocument/2006/relationships/hyperlink" Target="https://www.hud.gov/sites/dfiles/OCHCO/documents/2020-13pihn.pdf" TargetMode="External" /><Relationship Id="rId3" Type="http://schemas.openxmlformats.org/officeDocument/2006/relationships/hyperlink" Target="https://www.hud.gov/sites/dfiles/PIH/documents/PIH2020-33.pdf" TargetMode="External" /><Relationship Id="rId4" Type="http://schemas.openxmlformats.org/officeDocument/2006/relationships/hyperlink" Target="https://www.hud.gov/sites/dfiles/PIH/documents/PIH2021-14.pdf" TargetMode="External" /><Relationship Id="rId5"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023c71-746b-4d76-8836-d28a99fbea83">
      <UserInfo>
        <DisplayName>Hiren Nisar, PhD</DisplayName>
        <AccountId>13</AccountId>
        <AccountType/>
      </UserInfo>
      <UserInfo>
        <DisplayName>Madison Davis</DisplayName>
        <AccountId>36</AccountId>
        <AccountType/>
      </UserInfo>
      <UserInfo>
        <DisplayName>Brenda Jenkins</DisplayName>
        <AccountId>48</AccountId>
        <AccountType/>
      </UserInfo>
      <UserInfo>
        <DisplayName>Lara R. Milavickas</DisplayName>
        <AccountId>49</AccountId>
        <AccountType/>
      </UserInfo>
      <UserInfo>
        <DisplayName>Dennis Okyere, PhD</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F97FF-A67E-4C74-8471-67DD07884828}">
  <ds:schemaRefs>
    <ds:schemaRef ds:uri="http://schemas.openxmlformats.org/officeDocument/2006/bibliography"/>
  </ds:schemaRefs>
</ds:datastoreItem>
</file>

<file path=customXml/itemProps2.xml><?xml version="1.0" encoding="utf-8"?>
<ds:datastoreItem xmlns:ds="http://schemas.openxmlformats.org/officeDocument/2006/customXml" ds:itemID="{CC84B131-EFB4-4D8C-9E49-02CB3A64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52430-1C30-487D-A4AB-F8DEE0CC93A4}">
  <ds:schemaRefs>
    <ds:schemaRef ds:uri="http://schemas.microsoft.com/office/2006/metadata/properties"/>
    <ds:schemaRef ds:uri="http://schemas.microsoft.com/office/infopath/2007/PartnerControls"/>
    <ds:schemaRef ds:uri="0b023c71-746b-4d76-8836-d28a99fbea83"/>
  </ds:schemaRefs>
</ds:datastoreItem>
</file>

<file path=customXml/itemProps4.xml><?xml version="1.0" encoding="utf-8"?>
<ds:datastoreItem xmlns:ds="http://schemas.openxmlformats.org/officeDocument/2006/customXml" ds:itemID="{EF72CB3F-33A0-42F6-879B-0D0FF76D9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Anne L</dc:creator>
  <cp:lastModifiedBy>Guido, Anna P</cp:lastModifiedBy>
  <cp:revision>2</cp:revision>
  <dcterms:created xsi:type="dcterms:W3CDTF">2023-06-13T14:30:00Z</dcterms:created>
  <dcterms:modified xsi:type="dcterms:W3CDTF">2023-06-13T14:30:00Z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748acc9d-63b8-4de6-b90a-b2cdd701d5c7</vt:lpwstr>
  </property>
  <property fmtid="{D5CDD505-2E9C-101B-9397-08002B2CF9AE}" pid="4" name="MSIP_Label_369b2100-d973-4476-b41a-3c0e2d6385ef_Enabled">
    <vt:lpwstr>True</vt:lpwstr>
  </property>
  <property fmtid="{D5CDD505-2E9C-101B-9397-08002B2CF9AE}" pid="5" name="MSIP_Label_369b2100-d973-4476-b41a-3c0e2d6385ef_Extended_MSFT_Method">
    <vt:lpwstr>Standard</vt:lpwstr>
  </property>
  <property fmtid="{D5CDD505-2E9C-101B-9397-08002B2CF9AE}" pid="6" name="MSIP_Label_369b2100-d973-4476-b41a-3c0e2d6385ef_Name">
    <vt:lpwstr>Unrestricted \ External</vt:lpwstr>
  </property>
  <property fmtid="{D5CDD505-2E9C-101B-9397-08002B2CF9AE}" pid="7" name="MSIP_Label_369b2100-d973-4476-b41a-3c0e2d6385ef_Parent">
    <vt:lpwstr>af5d926d-e6ee-4040-8bde-052b575afdda</vt:lpwstr>
  </property>
  <property fmtid="{D5CDD505-2E9C-101B-9397-08002B2CF9AE}" pid="8" name="MSIP_Label_369b2100-d973-4476-b41a-3c0e2d6385ef_Removed">
    <vt:lpwstr>False</vt:lpwstr>
  </property>
  <property fmtid="{D5CDD505-2E9C-101B-9397-08002B2CF9AE}" pid="9" name="MSIP_Label_369b2100-d973-4476-b41a-3c0e2d6385ef_SetDate">
    <vt:lpwstr>2022-11-02T20:11:42Z</vt:lpwstr>
  </property>
  <property fmtid="{D5CDD505-2E9C-101B-9397-08002B2CF9AE}" pid="10" name="MSIP_Label_369b2100-d973-4476-b41a-3c0e2d6385ef_SiteId">
    <vt:lpwstr>1404ce36-2c7c-4442-89bd-6434c26d13e7</vt:lpwstr>
  </property>
  <property fmtid="{D5CDD505-2E9C-101B-9397-08002B2CF9AE}" pid="11" name="MSIP_Label_af5d926d-e6ee-4040-8bde-052b575afdda_ActionId">
    <vt:lpwstr>968f5188-d022-4f03-8e6f-3ee550f794aa</vt:lpwstr>
  </property>
  <property fmtid="{D5CDD505-2E9C-101B-9397-08002B2CF9AE}" pid="12" name="MSIP_Label_af5d926d-e6ee-4040-8bde-052b575afdda_Enabled">
    <vt:lpwstr>True</vt:lpwstr>
  </property>
  <property fmtid="{D5CDD505-2E9C-101B-9397-08002B2CF9AE}" pid="13" name="MSIP_Label_af5d926d-e6ee-4040-8bde-052b575afdda_Extended_MSFT_Method">
    <vt:lpwstr>Standard</vt:lpwstr>
  </property>
  <property fmtid="{D5CDD505-2E9C-101B-9397-08002B2CF9AE}" pid="14" name="MSIP_Label_af5d926d-e6ee-4040-8bde-052b575afdda_Name">
    <vt:lpwstr>Unrestricted</vt:lpwstr>
  </property>
  <property fmtid="{D5CDD505-2E9C-101B-9397-08002B2CF9AE}" pid="15" name="MSIP_Label_af5d926d-e6ee-4040-8bde-052b575afdda_SetDate">
    <vt:lpwstr>2022-11-02T20:11:42Z</vt:lpwstr>
  </property>
  <property fmtid="{D5CDD505-2E9C-101B-9397-08002B2CF9AE}" pid="16" name="MSIP_Label_af5d926d-e6ee-4040-8bde-052b575afdda_SiteId">
    <vt:lpwstr>1404ce36-2c7c-4442-89bd-6434c26d13e7</vt:lpwstr>
  </property>
  <property fmtid="{D5CDD505-2E9C-101B-9397-08002B2CF9AE}" pid="17" name="Sensitivity">
    <vt:lpwstr>Unrestricted \ External Unrestricted</vt:lpwstr>
  </property>
</Properties>
</file>