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4CC0" w:rsidP="004A0BF6" w14:paraId="52464B34" w14:textId="0AA6528B">
      <w:pPr>
        <w:widowControl w:val="0"/>
        <w:kinsoku w:val="0"/>
        <w:jc w:val="center"/>
        <w:rPr>
          <w:b/>
          <w:bCs/>
        </w:rPr>
      </w:pPr>
      <w:r w:rsidRPr="00837EEE">
        <w:rPr>
          <w:b/>
          <w:bCs/>
        </w:rPr>
        <w:t>Evaluation of Public Housing Agencies (PHA) Coronavirus Aid, Relief, and Economic Security (CARES) Act Waivers</w:t>
      </w:r>
      <w:r w:rsidRPr="00CE0BC8">
        <w:rPr>
          <w:b/>
          <w:bCs/>
        </w:rPr>
        <w:t>:</w:t>
      </w:r>
    </w:p>
    <w:p w:rsidR="004A0BF6" w:rsidRPr="00CE0BC8" w:rsidP="004A0BF6" w14:paraId="4D61F566" w14:textId="6E5F1F72">
      <w:pPr>
        <w:widowControl w:val="0"/>
        <w:kinsoku w:val="0"/>
        <w:jc w:val="center"/>
        <w:rPr>
          <w:b/>
          <w:bCs/>
        </w:rPr>
      </w:pPr>
      <w:r w:rsidRPr="00CE0BC8">
        <w:rPr>
          <w:b/>
          <w:bCs/>
        </w:rPr>
        <w:t>Supporting Statement for Paperwork Reduction Act Submissions</w:t>
      </w:r>
    </w:p>
    <w:p w:rsidR="004A0BF6" w:rsidP="004A0BF6" w14:paraId="421031D5" w14:textId="77777777">
      <w:pPr>
        <w:widowControl w:val="0"/>
        <w:kinsoku w:val="0"/>
      </w:pPr>
    </w:p>
    <w:p w:rsidR="004A0BF6" w:rsidRPr="00CE0BC8" w:rsidP="004A0BF6" w14:paraId="025481D0" w14:textId="77777777">
      <w:pPr>
        <w:widowControl w:val="0"/>
        <w:kinsoku w:val="0"/>
        <w:rPr>
          <w:b/>
          <w:bCs/>
        </w:rPr>
      </w:pPr>
      <w:r w:rsidRPr="00CE0BC8">
        <w:rPr>
          <w:b/>
          <w:bCs/>
        </w:rPr>
        <w:t>B. Collections of Information Employing Statistical Methods</w:t>
      </w:r>
    </w:p>
    <w:p w:rsidR="004A0BF6" w:rsidRPr="00CE0BC8" w:rsidP="004A0BF6" w14:paraId="7F04BC56" w14:textId="77777777">
      <w:pPr>
        <w:widowControl w:val="0"/>
        <w:kinsoku w:val="0"/>
        <w:rPr>
          <w:b/>
          <w:bCs/>
        </w:rPr>
      </w:pPr>
    </w:p>
    <w:p w:rsidR="004A0BF6" w:rsidRPr="00011C56" w:rsidP="004A0BF6" w14:paraId="091150DA" w14:textId="77777777">
      <w:pPr>
        <w:pStyle w:val="NoSpacing"/>
        <w:numPr>
          <w:ilvl w:val="4"/>
          <w:numId w:val="1"/>
        </w:numPr>
        <w:ind w:left="270"/>
        <w:rPr>
          <w:b/>
          <w:bCs/>
        </w:rPr>
      </w:pPr>
      <w:r w:rsidRPr="00011C56">
        <w:rPr>
          <w:b/>
          <w:bCs/>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011C56">
        <w:rPr>
          <w:b/>
          <w:bCs/>
        </w:rPr>
        <w:t>collection as a whole</w:t>
      </w:r>
      <w:r w:rsidRPr="00011C56">
        <w:rPr>
          <w:b/>
          <w:bCs/>
        </w:rPr>
        <w:t>. If the collection had been conducted previously, include the actual response rate achieved during the last collection.</w:t>
      </w:r>
    </w:p>
    <w:p w:rsidR="004A0BF6" w:rsidP="004A0BF6" w14:paraId="78577C88" w14:textId="77777777">
      <w:pPr>
        <w:pStyle w:val="NoSpacing"/>
        <w:ind w:left="270"/>
      </w:pPr>
    </w:p>
    <w:p w:rsidR="00606E88" w:rsidP="00272819" w14:paraId="3C543B21" w14:textId="4EDC21B6">
      <w:pPr>
        <w:pStyle w:val="paragraph"/>
        <w:spacing w:before="0" w:beforeAutospacing="0" w:after="0" w:afterAutospacing="0"/>
        <w:textAlignment w:val="baseline"/>
      </w:pPr>
      <w:r>
        <w:t xml:space="preserve">On behalf of the U.S. Department of Housing and Urban Development (HUD), </w:t>
      </w:r>
      <w:r w:rsidR="00CC289A">
        <w:t>2M Research</w:t>
      </w:r>
      <w:r w:rsidR="00043A5B">
        <w:t xml:space="preserve"> </w:t>
      </w:r>
      <w:r w:rsidR="00CC289A">
        <w:t xml:space="preserve">is administering </w:t>
      </w:r>
      <w:r w:rsidR="0097387D">
        <w:t>t</w:t>
      </w:r>
      <w:r w:rsidRPr="00E1193C" w:rsidR="00E1193C">
        <w:t xml:space="preserve">he </w:t>
      </w:r>
      <w:r w:rsidR="0097387D">
        <w:t>e</w:t>
      </w:r>
      <w:r w:rsidRPr="00E1193C" w:rsidR="00E1193C">
        <w:t>valuation of PHA CARES Act Waivers</w:t>
      </w:r>
      <w:r w:rsidR="00CC289A">
        <w:t xml:space="preserve"> to</w:t>
      </w:r>
      <w:r w:rsidRPr="00E1193C" w:rsidR="00E1193C">
        <w:t xml:space="preserve"> understand how </w:t>
      </w:r>
      <w:r w:rsidR="00CC289A">
        <w:t xml:space="preserve">and why </w:t>
      </w:r>
      <w:r w:rsidRPr="00E1193C" w:rsidR="00E1193C">
        <w:t>PHAs implemented CARES Act waivers during the pandemic</w:t>
      </w:r>
      <w:r w:rsidR="007C31DB">
        <w:t>. 2M</w:t>
      </w:r>
      <w:r w:rsidR="005D78A8">
        <w:t xml:space="preserve"> Research</w:t>
      </w:r>
      <w:r w:rsidR="007C31DB">
        <w:t xml:space="preserve"> plans to </w:t>
      </w:r>
      <w:r w:rsidRPr="00E1193C" w:rsidR="00E1193C">
        <w:t>gather and analyz</w:t>
      </w:r>
      <w:r w:rsidR="007C31DB">
        <w:t>e</w:t>
      </w:r>
      <w:r w:rsidRPr="00E1193C" w:rsidR="00E1193C">
        <w:t xml:space="preserve"> feedback from </w:t>
      </w:r>
      <w:r w:rsidR="007C31DB">
        <w:t xml:space="preserve">PHA </w:t>
      </w:r>
      <w:r w:rsidR="00CC289A">
        <w:t xml:space="preserve">stakeholders </w:t>
      </w:r>
      <w:r w:rsidRPr="00E1193C" w:rsidR="00E1193C">
        <w:t xml:space="preserve">on the utility of these waivers on their general operations and assisted households. </w:t>
      </w:r>
    </w:p>
    <w:p w:rsidR="00606E88" w:rsidP="00272819" w14:paraId="37451F22" w14:textId="77777777">
      <w:pPr>
        <w:pStyle w:val="paragraph"/>
        <w:spacing w:before="0" w:beforeAutospacing="0" w:after="0" w:afterAutospacing="0"/>
        <w:textAlignment w:val="baseline"/>
      </w:pPr>
    </w:p>
    <w:p w:rsidR="00797979" w:rsidP="00272819" w14:paraId="39E4E461" w14:textId="2B298C39">
      <w:pPr>
        <w:pStyle w:val="paragraph"/>
        <w:spacing w:before="0" w:beforeAutospacing="0" w:after="0" w:afterAutospacing="0"/>
        <w:textAlignment w:val="baseline"/>
      </w:pPr>
      <w:r w:rsidRPr="00E1193C">
        <w:t xml:space="preserve">2M </w:t>
      </w:r>
      <w:r w:rsidR="00CC289A">
        <w:t xml:space="preserve">Research </w:t>
      </w:r>
      <w:r w:rsidRPr="00E1193C">
        <w:t xml:space="preserve">plans to conduct </w:t>
      </w:r>
      <w:r w:rsidR="00A608D8">
        <w:t>three</w:t>
      </w:r>
      <w:r w:rsidR="0089748D">
        <w:t xml:space="preserve"> </w:t>
      </w:r>
      <w:r w:rsidRPr="00E1193C">
        <w:t xml:space="preserve">semi-structured interviews with </w:t>
      </w:r>
      <w:r w:rsidR="004E2876">
        <w:t>three stakeholders (</w:t>
      </w:r>
      <w:r w:rsidR="002D64B0">
        <w:t xml:space="preserve">PHA </w:t>
      </w:r>
      <w:r w:rsidRPr="00E1193C">
        <w:t>leadership</w:t>
      </w:r>
      <w:r w:rsidR="002D64B0">
        <w:t>, PHA</w:t>
      </w:r>
      <w:r w:rsidRPr="00E1193C">
        <w:t xml:space="preserve"> </w:t>
      </w:r>
      <w:r w:rsidR="001333A1">
        <w:t xml:space="preserve">operations </w:t>
      </w:r>
      <w:r w:rsidRPr="00E1193C">
        <w:t>staff</w:t>
      </w:r>
      <w:r w:rsidR="00CC289A">
        <w:t>, and members of</w:t>
      </w:r>
      <w:r w:rsidR="002D64B0">
        <w:t xml:space="preserve"> Resident Advisory Boards</w:t>
      </w:r>
      <w:r w:rsidR="004E2876">
        <w:t>)</w:t>
      </w:r>
      <w:r w:rsidR="002D64B0">
        <w:t xml:space="preserve"> </w:t>
      </w:r>
      <w:r w:rsidRPr="00E1193C">
        <w:t>from a sample of 45 PHAs that adopted waivers to better understand the successes, challenges, and changes resulting from the waivers. 2M</w:t>
      </w:r>
      <w:r w:rsidR="00CC289A">
        <w:t xml:space="preserve"> </w:t>
      </w:r>
      <w:r w:rsidR="00CC289A">
        <w:t>Research</w:t>
      </w:r>
      <w:r w:rsidRPr="00E1193C">
        <w:t xml:space="preserve"> </w:t>
      </w:r>
      <w:r w:rsidRPr="00E1193C">
        <w:t xml:space="preserve">will also conduct </w:t>
      </w:r>
      <w:r w:rsidR="00A608D8">
        <w:t xml:space="preserve">one </w:t>
      </w:r>
      <w:r w:rsidRPr="00E1193C">
        <w:t xml:space="preserve">semi-structured </w:t>
      </w:r>
      <w:r w:rsidRPr="00E1193C">
        <w:t>interviews</w:t>
      </w:r>
      <w:r w:rsidRPr="00E1193C">
        <w:t xml:space="preserve"> with </w:t>
      </w:r>
      <w:r w:rsidR="007B08A7">
        <w:t xml:space="preserve">three </w:t>
      </w:r>
      <w:r w:rsidRPr="00E1193C">
        <w:t xml:space="preserve">stakeholders </w:t>
      </w:r>
      <w:r w:rsidR="004E2876">
        <w:t xml:space="preserve">(PHA </w:t>
      </w:r>
      <w:r w:rsidRPr="00E1193C" w:rsidR="004E2876">
        <w:t>leadership</w:t>
      </w:r>
      <w:r w:rsidR="004E2876">
        <w:t xml:space="preserve"> </w:t>
      </w:r>
      <w:r w:rsidR="004D0F95">
        <w:t xml:space="preserve">and </w:t>
      </w:r>
      <w:r w:rsidR="004E2876">
        <w:t>PHA</w:t>
      </w:r>
      <w:r w:rsidRPr="00E1193C" w:rsidR="004E2876">
        <w:t xml:space="preserve"> </w:t>
      </w:r>
      <w:r w:rsidR="004D0F95">
        <w:t xml:space="preserve">operations </w:t>
      </w:r>
      <w:r w:rsidRPr="00E1193C" w:rsidR="004E2876">
        <w:t>staff</w:t>
      </w:r>
      <w:r w:rsidR="004E2876">
        <w:t xml:space="preserve"> ) </w:t>
      </w:r>
      <w:r w:rsidRPr="00E1193C">
        <w:t>from a sample of five PHAs that did not adopt any waiver</w:t>
      </w:r>
      <w:r w:rsidR="00CC289A">
        <w:t>s</w:t>
      </w:r>
      <w:r w:rsidRPr="00E1193C">
        <w:t xml:space="preserve"> to understand their reasons for taking this course of action. </w:t>
      </w:r>
      <w:r w:rsidR="004D0F95">
        <w:t xml:space="preserve">Please note that the interviews with PHAs that adopted waivers, we will conduct separate interviews between leadership and operational staff on a case-by-case basis, depending on the size and capacity of the PHA. For small PHAs with few staff members, for example, we will consider conducting one group interview with leadership and operational staff. In all, </w:t>
      </w:r>
      <w:r w:rsidR="00576218">
        <w:rPr>
          <w:color w:val="000000"/>
        </w:rPr>
        <w:t>2M</w:t>
      </w:r>
      <w:r w:rsidR="005D78A8">
        <w:rPr>
          <w:color w:val="000000"/>
        </w:rPr>
        <w:t xml:space="preserve"> Research</w:t>
      </w:r>
      <w:r w:rsidR="00576218">
        <w:rPr>
          <w:color w:val="000000"/>
        </w:rPr>
        <w:t xml:space="preserve"> plans to conduct </w:t>
      </w:r>
      <w:r w:rsidR="0058530A">
        <w:rPr>
          <w:color w:val="000000"/>
        </w:rPr>
        <w:t>up to 140 interviews for this study (</w:t>
      </w:r>
      <w:r w:rsidR="005011BD">
        <w:rPr>
          <w:color w:val="000000"/>
        </w:rPr>
        <w:t>three interviews per 45 PHA</w:t>
      </w:r>
      <w:r w:rsidR="002C343D">
        <w:rPr>
          <w:color w:val="000000"/>
        </w:rPr>
        <w:t xml:space="preserve">s </w:t>
      </w:r>
      <w:r w:rsidR="005011BD">
        <w:rPr>
          <w:color w:val="000000"/>
        </w:rPr>
        <w:t xml:space="preserve">that adopted </w:t>
      </w:r>
      <w:r w:rsidR="000C6026">
        <w:rPr>
          <w:color w:val="000000"/>
        </w:rPr>
        <w:t xml:space="preserve">waivers, and one interview per five PHA that did not adopt </w:t>
      </w:r>
      <w:r w:rsidR="00C5242B">
        <w:rPr>
          <w:color w:val="000000"/>
        </w:rPr>
        <w:t xml:space="preserve">any </w:t>
      </w:r>
      <w:r w:rsidR="000C6026">
        <w:rPr>
          <w:color w:val="000000"/>
        </w:rPr>
        <w:t>waivers).</w:t>
      </w:r>
      <w:r w:rsidR="0030394F">
        <w:t xml:space="preserve"> </w:t>
      </w:r>
    </w:p>
    <w:p w:rsidR="00797979" w:rsidP="00272819" w14:paraId="03D4F3F2" w14:textId="77777777">
      <w:pPr>
        <w:pStyle w:val="paragraph"/>
        <w:spacing w:before="0" w:beforeAutospacing="0" w:after="0" w:afterAutospacing="0"/>
        <w:textAlignment w:val="baseline"/>
      </w:pPr>
    </w:p>
    <w:p w:rsidR="00272819" w:rsidP="00272819" w14:paraId="07101A24" w14:textId="73F52605">
      <w:pPr>
        <w:pStyle w:val="paragraph"/>
        <w:spacing w:before="0" w:beforeAutospacing="0" w:after="0" w:afterAutospacing="0"/>
        <w:textAlignment w:val="baseline"/>
        <w:rPr>
          <w:rStyle w:val="normaltextrun"/>
        </w:rPr>
      </w:pPr>
      <w:r w:rsidRPr="00F238DA">
        <w:rPr>
          <w:rStyle w:val="normaltextrun"/>
          <w:b/>
          <w:bCs/>
        </w:rPr>
        <w:t xml:space="preserve">Exhibit </w:t>
      </w:r>
      <w:r w:rsidR="00F238DA">
        <w:rPr>
          <w:rStyle w:val="normaltextrun"/>
          <w:b/>
          <w:bCs/>
        </w:rPr>
        <w:t>A</w:t>
      </w:r>
      <w:r w:rsidRPr="00F238DA">
        <w:rPr>
          <w:rStyle w:val="normaltextrun"/>
          <w:b/>
          <w:bCs/>
        </w:rPr>
        <w:t xml:space="preserve"> </w:t>
      </w:r>
      <w:r w:rsidRPr="00F238DA">
        <w:rPr>
          <w:rStyle w:val="normaltextrun"/>
        </w:rPr>
        <w:t>provides the sample description, expected sample size, and expected response rate for each data collection source.</w:t>
      </w:r>
      <w:r w:rsidRPr="00F238DA">
        <w:rPr>
          <w:rStyle w:val="eop"/>
        </w:rPr>
        <w:t> </w:t>
      </w:r>
      <w:r w:rsidRPr="00F238DA">
        <w:rPr>
          <w:rStyle w:val="normaltextrun"/>
        </w:rPr>
        <w:t>All of</w:t>
      </w:r>
      <w:r w:rsidRPr="00F238DA">
        <w:rPr>
          <w:rStyle w:val="normaltextrun"/>
        </w:rPr>
        <w:t xml:space="preserve"> the data collection in this </w:t>
      </w:r>
      <w:r w:rsidR="00A62337">
        <w:rPr>
          <w:rStyle w:val="normaltextrun"/>
        </w:rPr>
        <w:t>information collection report (</w:t>
      </w:r>
      <w:r w:rsidRPr="00F238DA">
        <w:rPr>
          <w:rStyle w:val="normaltextrun"/>
        </w:rPr>
        <w:t>ICR</w:t>
      </w:r>
      <w:r w:rsidR="00A62337">
        <w:rPr>
          <w:rStyle w:val="normaltextrun"/>
        </w:rPr>
        <w:t>)</w:t>
      </w:r>
      <w:r w:rsidRPr="00F238DA">
        <w:rPr>
          <w:rStyle w:val="normaltextrun"/>
        </w:rPr>
        <w:t xml:space="preserve"> will be done by </w:t>
      </w:r>
      <w:r w:rsidRPr="00F238DA" w:rsidR="001C221B">
        <w:rPr>
          <w:rStyle w:val="normaltextrun"/>
        </w:rPr>
        <w:t>2M</w:t>
      </w:r>
      <w:r w:rsidRPr="00F238DA" w:rsidR="001C221B">
        <w:rPr>
          <w:rStyle w:val="normaltextrun"/>
        </w:rPr>
        <w:t>Research</w:t>
      </w:r>
      <w:r w:rsidRPr="00F238DA">
        <w:rPr>
          <w:rStyle w:val="normaltextrun"/>
        </w:rPr>
        <w:t xml:space="preserve">. </w:t>
      </w:r>
      <w:r w:rsidR="007B2864">
        <w:rPr>
          <w:rStyle w:val="normaltextrun"/>
        </w:rPr>
        <w:t xml:space="preserve">2M </w:t>
      </w:r>
      <w:r w:rsidR="00E30181">
        <w:rPr>
          <w:rStyle w:val="normaltextrun"/>
        </w:rPr>
        <w:t>Research</w:t>
      </w:r>
      <w:r w:rsidR="007B2864">
        <w:rPr>
          <w:rStyle w:val="normaltextrun"/>
        </w:rPr>
        <w:t xml:space="preserve"> expects to collect data</w:t>
      </w:r>
      <w:r w:rsidR="009A7BDB">
        <w:rPr>
          <w:rStyle w:val="normaltextrun"/>
        </w:rPr>
        <w:t xml:space="preserve"> from</w:t>
      </w:r>
      <w:r w:rsidR="00DF52FB">
        <w:rPr>
          <w:rStyle w:val="normaltextrun"/>
        </w:rPr>
        <w:t xml:space="preserve"> all </w:t>
      </w:r>
      <w:r w:rsidR="00A63508">
        <w:rPr>
          <w:rStyle w:val="normaltextrun"/>
        </w:rPr>
        <w:t xml:space="preserve">the stakeholders identified above and shown in </w:t>
      </w:r>
      <w:r w:rsidRPr="0005057D" w:rsidR="00A63508">
        <w:rPr>
          <w:rStyle w:val="normaltextrun"/>
          <w:b/>
          <w:bCs/>
        </w:rPr>
        <w:t>Exhibit A</w:t>
      </w:r>
      <w:r w:rsidR="009A7BDB">
        <w:rPr>
          <w:rStyle w:val="normaltextrun"/>
        </w:rPr>
        <w:t xml:space="preserve"> with a 100 percent response rate. </w:t>
      </w:r>
    </w:p>
    <w:p w:rsidR="00797979" w:rsidP="00272819" w14:paraId="56CD0B07" w14:textId="77777777">
      <w:pPr>
        <w:pStyle w:val="paragraph"/>
        <w:spacing w:before="0" w:beforeAutospacing="0" w:after="0" w:afterAutospacing="0"/>
        <w:textAlignment w:val="baseline"/>
        <w:rPr>
          <w:rStyle w:val="normaltextrun"/>
        </w:rPr>
      </w:pPr>
    </w:p>
    <w:p w:rsidR="00060262" w:rsidP="00272819" w14:paraId="177E642D" w14:textId="77777777">
      <w:pPr>
        <w:pStyle w:val="paragraph"/>
        <w:spacing w:before="0" w:beforeAutospacing="0" w:after="0" w:afterAutospacing="0"/>
        <w:textAlignment w:val="baseline"/>
        <w:rPr>
          <w:rStyle w:val="normaltextrun"/>
        </w:rPr>
      </w:pPr>
    </w:p>
    <w:p w:rsidR="00060262" w:rsidP="00272819" w14:paraId="32CAF90C" w14:textId="77777777">
      <w:pPr>
        <w:pStyle w:val="paragraph"/>
        <w:spacing w:before="0" w:beforeAutospacing="0" w:after="0" w:afterAutospacing="0"/>
        <w:textAlignment w:val="baseline"/>
        <w:rPr>
          <w:rStyle w:val="normaltextrun"/>
        </w:rPr>
      </w:pPr>
    </w:p>
    <w:p w:rsidR="00060262" w:rsidP="00272819" w14:paraId="1EE3FDB3" w14:textId="77777777">
      <w:pPr>
        <w:pStyle w:val="paragraph"/>
        <w:spacing w:before="0" w:beforeAutospacing="0" w:after="0" w:afterAutospacing="0"/>
        <w:textAlignment w:val="baseline"/>
        <w:rPr>
          <w:rStyle w:val="normaltextrun"/>
        </w:rPr>
      </w:pPr>
    </w:p>
    <w:p w:rsidR="00060262" w:rsidP="00272819" w14:paraId="3085C75C" w14:textId="77777777">
      <w:pPr>
        <w:pStyle w:val="paragraph"/>
        <w:spacing w:before="0" w:beforeAutospacing="0" w:after="0" w:afterAutospacing="0"/>
        <w:textAlignment w:val="baseline"/>
        <w:rPr>
          <w:rStyle w:val="normaltextrun"/>
        </w:rPr>
      </w:pPr>
    </w:p>
    <w:p w:rsidR="00060262" w:rsidP="00272819" w14:paraId="39F0BFCB" w14:textId="77777777">
      <w:pPr>
        <w:pStyle w:val="paragraph"/>
        <w:spacing w:before="0" w:beforeAutospacing="0" w:after="0" w:afterAutospacing="0"/>
        <w:textAlignment w:val="baseline"/>
        <w:rPr>
          <w:rStyle w:val="normaltextrun"/>
        </w:rPr>
      </w:pPr>
    </w:p>
    <w:p w:rsidR="00060262" w:rsidP="00272819" w14:paraId="22395322" w14:textId="77777777">
      <w:pPr>
        <w:pStyle w:val="paragraph"/>
        <w:spacing w:before="0" w:beforeAutospacing="0" w:after="0" w:afterAutospacing="0"/>
        <w:textAlignment w:val="baseline"/>
        <w:rPr>
          <w:rStyle w:val="normaltextrun"/>
        </w:rPr>
      </w:pPr>
    </w:p>
    <w:p w:rsidR="00060262" w:rsidP="00272819" w14:paraId="33CC3827" w14:textId="77777777">
      <w:pPr>
        <w:pStyle w:val="paragraph"/>
        <w:spacing w:before="0" w:beforeAutospacing="0" w:after="0" w:afterAutospacing="0"/>
        <w:textAlignment w:val="baseline"/>
        <w:rPr>
          <w:rStyle w:val="normaltextrun"/>
        </w:rPr>
      </w:pPr>
    </w:p>
    <w:p w:rsidR="00272819" w:rsidRPr="00797979" w:rsidP="0005057D" w14:paraId="7565F7E4" w14:textId="13372B0A">
      <w:pPr>
        <w:pStyle w:val="paragraph"/>
        <w:spacing w:before="0" w:beforeAutospacing="0" w:after="240" w:afterAutospacing="0"/>
        <w:textAlignment w:val="baseline"/>
        <w:rPr>
          <w:rFonts w:ascii="Segoe UI" w:hAnsi="Segoe UI" w:cs="Segoe UI"/>
          <w:b/>
          <w:bCs/>
          <w:sz w:val="18"/>
          <w:szCs w:val="18"/>
        </w:rPr>
      </w:pPr>
      <w:r w:rsidRPr="00F238DA">
        <w:rPr>
          <w:rStyle w:val="eop"/>
        </w:rPr>
        <w:t> </w:t>
      </w:r>
      <w:r w:rsidRPr="0005057D" w:rsidR="007804B9">
        <w:rPr>
          <w:b/>
          <w:bCs/>
          <w:color w:val="00B0F0"/>
        </w:rPr>
        <w:t>Exhibit A | Sampling Plan</w:t>
      </w:r>
    </w:p>
    <w:tbl>
      <w:tblPr>
        <w:tblStyle w:val="GridTable4Accent1"/>
        <w:tblW w:w="9315" w:type="dxa"/>
        <w:tblLook w:val="04A0"/>
      </w:tblPr>
      <w:tblGrid>
        <w:gridCol w:w="1843"/>
        <w:gridCol w:w="2442"/>
        <w:gridCol w:w="2021"/>
        <w:gridCol w:w="1661"/>
        <w:gridCol w:w="1348"/>
      </w:tblGrid>
      <w:tr w14:paraId="6448C46C" w14:textId="77777777" w:rsidTr="009640EB">
        <w:tblPrEx>
          <w:tblW w:w="9315" w:type="dxa"/>
          <w:tblLook w:val="04A0"/>
        </w:tblPrEx>
        <w:trPr>
          <w:trHeight w:val="690"/>
        </w:trPr>
        <w:tc>
          <w:tcPr>
            <w:tcW w:w="1843" w:type="dxa"/>
            <w:hideMark/>
          </w:tcPr>
          <w:p w:rsidR="00272819" w:rsidRPr="00060262" w:rsidP="00272819" w14:paraId="63E3ED85" w14:textId="77777777">
            <w:pPr>
              <w:pStyle w:val="paragraph"/>
              <w:spacing w:before="0" w:beforeAutospacing="0" w:after="0" w:afterAutospacing="0"/>
              <w:textAlignment w:val="baseline"/>
              <w:rPr>
                <w:sz w:val="20"/>
                <w:szCs w:val="20"/>
              </w:rPr>
            </w:pPr>
            <w:r w:rsidRPr="00060262">
              <w:rPr>
                <w:rStyle w:val="normaltextrun"/>
                <w:sz w:val="20"/>
                <w:szCs w:val="20"/>
              </w:rPr>
              <w:t>Primary data collection source</w:t>
            </w:r>
            <w:r w:rsidRPr="00060262">
              <w:rPr>
                <w:rStyle w:val="eop"/>
                <w:sz w:val="20"/>
                <w:szCs w:val="20"/>
              </w:rPr>
              <w:t> </w:t>
            </w:r>
          </w:p>
        </w:tc>
        <w:tc>
          <w:tcPr>
            <w:tcW w:w="2442" w:type="dxa"/>
            <w:hideMark/>
          </w:tcPr>
          <w:p w:rsidR="00272819" w:rsidRPr="00060262" w:rsidP="00272819" w14:paraId="3A1C05B9" w14:textId="77777777">
            <w:pPr>
              <w:pStyle w:val="paragraph"/>
              <w:spacing w:before="0" w:beforeAutospacing="0" w:after="0" w:afterAutospacing="0"/>
              <w:textAlignment w:val="baseline"/>
              <w:rPr>
                <w:sz w:val="20"/>
                <w:szCs w:val="20"/>
              </w:rPr>
            </w:pPr>
            <w:r w:rsidRPr="00060262">
              <w:rPr>
                <w:rStyle w:val="normaltextrun"/>
                <w:sz w:val="20"/>
                <w:szCs w:val="20"/>
              </w:rPr>
              <w:t>Sample description</w:t>
            </w:r>
            <w:r w:rsidRPr="00060262">
              <w:rPr>
                <w:rStyle w:val="eop"/>
                <w:sz w:val="20"/>
                <w:szCs w:val="20"/>
              </w:rPr>
              <w:t> </w:t>
            </w:r>
          </w:p>
        </w:tc>
        <w:tc>
          <w:tcPr>
            <w:tcW w:w="2021" w:type="dxa"/>
            <w:hideMark/>
          </w:tcPr>
          <w:p w:rsidR="00272819" w:rsidRPr="00060262" w:rsidP="00272819" w14:paraId="60144E17" w14:textId="77777777">
            <w:pPr>
              <w:pStyle w:val="paragraph"/>
              <w:spacing w:before="0" w:beforeAutospacing="0" w:after="0" w:afterAutospacing="0"/>
              <w:textAlignment w:val="baseline"/>
              <w:rPr>
                <w:sz w:val="20"/>
                <w:szCs w:val="20"/>
              </w:rPr>
            </w:pPr>
            <w:r w:rsidRPr="00060262">
              <w:rPr>
                <w:rStyle w:val="normaltextrun"/>
                <w:sz w:val="20"/>
                <w:szCs w:val="20"/>
              </w:rPr>
              <w:t>Potential respondent universe</w:t>
            </w:r>
            <w:r w:rsidRPr="00060262">
              <w:rPr>
                <w:rStyle w:val="eop"/>
                <w:sz w:val="20"/>
                <w:szCs w:val="20"/>
              </w:rPr>
              <w:t> </w:t>
            </w:r>
          </w:p>
        </w:tc>
        <w:tc>
          <w:tcPr>
            <w:tcW w:w="1661" w:type="dxa"/>
            <w:hideMark/>
          </w:tcPr>
          <w:p w:rsidR="00272819" w:rsidRPr="00060262" w:rsidP="00272819" w14:paraId="0604B7ED" w14:textId="2730A116">
            <w:pPr>
              <w:pStyle w:val="paragraph"/>
              <w:spacing w:before="0" w:beforeAutospacing="0" w:after="0" w:afterAutospacing="0"/>
              <w:textAlignment w:val="baseline"/>
              <w:rPr>
                <w:sz w:val="20"/>
                <w:szCs w:val="20"/>
              </w:rPr>
            </w:pPr>
            <w:r w:rsidRPr="00060262">
              <w:rPr>
                <w:rStyle w:val="normaltextrun"/>
                <w:sz w:val="20"/>
                <w:szCs w:val="20"/>
              </w:rPr>
              <w:t>Expected respondent sample size per year</w:t>
            </w:r>
            <w:r w:rsidRPr="00060262">
              <w:rPr>
                <w:rStyle w:val="eop"/>
                <w:sz w:val="20"/>
                <w:szCs w:val="20"/>
              </w:rPr>
              <w:t> </w:t>
            </w:r>
          </w:p>
        </w:tc>
        <w:tc>
          <w:tcPr>
            <w:tcW w:w="1348" w:type="dxa"/>
            <w:hideMark/>
          </w:tcPr>
          <w:p w:rsidR="00272819" w:rsidRPr="00060262" w:rsidP="00272819" w14:paraId="7E10C454" w14:textId="148B3630">
            <w:pPr>
              <w:pStyle w:val="paragraph"/>
              <w:spacing w:before="0" w:beforeAutospacing="0" w:after="0" w:afterAutospacing="0"/>
              <w:textAlignment w:val="baseline"/>
              <w:rPr>
                <w:sz w:val="20"/>
                <w:szCs w:val="20"/>
              </w:rPr>
            </w:pPr>
            <w:r w:rsidRPr="00060262">
              <w:rPr>
                <w:rStyle w:val="normaltextrun"/>
                <w:sz w:val="20"/>
                <w:szCs w:val="20"/>
              </w:rPr>
              <w:t xml:space="preserve">Expected </w:t>
            </w:r>
            <w:r w:rsidRPr="00060262" w:rsidR="00065730">
              <w:rPr>
                <w:rStyle w:val="normaltextrun"/>
                <w:sz w:val="20"/>
                <w:szCs w:val="20"/>
              </w:rPr>
              <w:t>r</w:t>
            </w:r>
            <w:r w:rsidRPr="00060262">
              <w:rPr>
                <w:rStyle w:val="normaltextrun"/>
                <w:sz w:val="20"/>
                <w:szCs w:val="20"/>
              </w:rPr>
              <w:t xml:space="preserve">esponse </w:t>
            </w:r>
            <w:r w:rsidRPr="00060262" w:rsidR="00065730">
              <w:rPr>
                <w:rStyle w:val="normaltextrun"/>
                <w:sz w:val="20"/>
                <w:szCs w:val="20"/>
              </w:rPr>
              <w:t>r</w:t>
            </w:r>
            <w:r w:rsidRPr="00060262">
              <w:rPr>
                <w:rStyle w:val="normaltextrun"/>
                <w:sz w:val="20"/>
                <w:szCs w:val="20"/>
              </w:rPr>
              <w:t>ate</w:t>
            </w:r>
            <w:r w:rsidRPr="00060262">
              <w:rPr>
                <w:rStyle w:val="eop"/>
                <w:sz w:val="20"/>
                <w:szCs w:val="20"/>
              </w:rPr>
              <w:t> </w:t>
            </w:r>
          </w:p>
        </w:tc>
      </w:tr>
      <w:tr w14:paraId="2D5A3553" w14:textId="77777777" w:rsidTr="009640EB">
        <w:tblPrEx>
          <w:tblW w:w="9315" w:type="dxa"/>
          <w:tblLook w:val="04A0"/>
        </w:tblPrEx>
        <w:trPr>
          <w:trHeight w:val="960"/>
        </w:trPr>
        <w:tc>
          <w:tcPr>
            <w:tcW w:w="1843" w:type="dxa"/>
            <w:shd w:val="clear" w:color="auto" w:fill="auto"/>
          </w:tcPr>
          <w:p w:rsidR="009640EB" w:rsidRPr="00060262" w:rsidP="009640EB" w14:paraId="241B99E0" w14:textId="14C3D02B">
            <w:pPr>
              <w:pStyle w:val="paragraph"/>
              <w:spacing w:before="0" w:beforeAutospacing="0" w:after="0" w:afterAutospacing="0"/>
              <w:textAlignment w:val="baseline"/>
              <w:rPr>
                <w:rStyle w:val="normaltextrun"/>
                <w:sz w:val="20"/>
                <w:szCs w:val="20"/>
              </w:rPr>
            </w:pPr>
            <w:r w:rsidRPr="00060262">
              <w:rPr>
                <w:rStyle w:val="normaltextrun"/>
                <w:sz w:val="20"/>
                <w:szCs w:val="20"/>
              </w:rPr>
              <w:t xml:space="preserve">Semi-structured interviews with </w:t>
            </w:r>
            <w:r w:rsidRPr="00060262" w:rsidR="009A655E">
              <w:rPr>
                <w:rStyle w:val="normaltextrun"/>
                <w:sz w:val="20"/>
                <w:szCs w:val="20"/>
              </w:rPr>
              <w:t xml:space="preserve">PHA </w:t>
            </w:r>
            <w:r w:rsidRPr="00060262" w:rsidR="009B3D89">
              <w:rPr>
                <w:rStyle w:val="normaltextrun"/>
                <w:sz w:val="20"/>
                <w:szCs w:val="20"/>
              </w:rPr>
              <w:t>l</w:t>
            </w:r>
            <w:r w:rsidRPr="00060262">
              <w:rPr>
                <w:rStyle w:val="normaltextrun"/>
                <w:sz w:val="20"/>
                <w:szCs w:val="20"/>
              </w:rPr>
              <w:t>eadership from PHAs</w:t>
            </w:r>
            <w:r w:rsidRPr="00060262">
              <w:rPr>
                <w:rStyle w:val="eop"/>
                <w:sz w:val="20"/>
                <w:szCs w:val="20"/>
              </w:rPr>
              <w:t> that adopted waivers</w:t>
            </w:r>
          </w:p>
        </w:tc>
        <w:tc>
          <w:tcPr>
            <w:tcW w:w="2442" w:type="dxa"/>
            <w:shd w:val="clear" w:color="auto" w:fill="auto"/>
          </w:tcPr>
          <w:p w:rsidR="009640EB" w:rsidRPr="00060262" w:rsidP="009640EB" w14:paraId="51EADCFF" w14:textId="1C08780E">
            <w:pPr>
              <w:pStyle w:val="paragraph"/>
              <w:numPr>
                <w:ilvl w:val="0"/>
                <w:numId w:val="5"/>
              </w:numPr>
              <w:spacing w:before="0" w:beforeAutospacing="0" w:after="0" w:afterAutospacing="0"/>
              <w:ind w:left="290" w:hanging="180"/>
              <w:textAlignment w:val="baseline"/>
              <w:rPr>
                <w:rStyle w:val="normaltextrun"/>
                <w:sz w:val="20"/>
                <w:szCs w:val="20"/>
              </w:rPr>
            </w:pPr>
            <w:r w:rsidRPr="00060262">
              <w:rPr>
                <w:rStyle w:val="normaltextrun"/>
                <w:sz w:val="20"/>
                <w:szCs w:val="20"/>
              </w:rPr>
              <w:t xml:space="preserve">PHA’s executive leadership that were involved in the decision </w:t>
            </w:r>
            <w:r w:rsidRPr="00060262" w:rsidR="00007B03">
              <w:rPr>
                <w:rStyle w:val="normaltextrun"/>
                <w:sz w:val="20"/>
                <w:szCs w:val="20"/>
              </w:rPr>
              <w:t>for</w:t>
            </w:r>
            <w:r w:rsidRPr="00060262">
              <w:rPr>
                <w:rStyle w:val="normaltextrun"/>
                <w:sz w:val="20"/>
                <w:szCs w:val="20"/>
              </w:rPr>
              <w:t xml:space="preserve"> the implementation of PHA waivers</w:t>
            </w:r>
          </w:p>
        </w:tc>
        <w:tc>
          <w:tcPr>
            <w:tcW w:w="2021" w:type="dxa"/>
            <w:shd w:val="clear" w:color="auto" w:fill="auto"/>
          </w:tcPr>
          <w:p w:rsidR="009640EB" w:rsidRPr="00060262" w:rsidP="009640EB" w14:paraId="3A2D0C70" w14:textId="58CC0EF3">
            <w:pPr>
              <w:pStyle w:val="paragraph"/>
              <w:spacing w:before="0" w:beforeAutospacing="0" w:after="0" w:afterAutospacing="0"/>
              <w:textAlignment w:val="baseline"/>
              <w:rPr>
                <w:rStyle w:val="normaltextrun"/>
                <w:sz w:val="20"/>
                <w:szCs w:val="20"/>
              </w:rPr>
            </w:pPr>
            <w:r w:rsidRPr="00060262">
              <w:rPr>
                <w:rStyle w:val="normaltextrun"/>
                <w:sz w:val="20"/>
                <w:szCs w:val="20"/>
              </w:rPr>
              <w:t>Leadership staff with relevant information at the 45 selected PHAs that adopted waivers</w:t>
            </w:r>
          </w:p>
        </w:tc>
        <w:tc>
          <w:tcPr>
            <w:tcW w:w="1661" w:type="dxa"/>
            <w:shd w:val="clear" w:color="auto" w:fill="auto"/>
          </w:tcPr>
          <w:p w:rsidR="009640EB" w:rsidRPr="00060262" w:rsidP="009640EB" w14:paraId="6D42EA71" w14:textId="27667877">
            <w:pPr>
              <w:pStyle w:val="paragraph"/>
              <w:spacing w:before="0" w:beforeAutospacing="0" w:after="0" w:afterAutospacing="0"/>
              <w:textAlignment w:val="baseline"/>
              <w:rPr>
                <w:rStyle w:val="normaltextrun"/>
                <w:sz w:val="20"/>
                <w:szCs w:val="20"/>
              </w:rPr>
            </w:pPr>
            <w:r w:rsidRPr="00060262">
              <w:rPr>
                <w:rStyle w:val="normaltextrun"/>
                <w:sz w:val="20"/>
                <w:szCs w:val="20"/>
              </w:rPr>
              <w:t>45 (1 staff per PHA)</w:t>
            </w:r>
          </w:p>
        </w:tc>
        <w:tc>
          <w:tcPr>
            <w:tcW w:w="1348" w:type="dxa"/>
            <w:shd w:val="clear" w:color="auto" w:fill="auto"/>
          </w:tcPr>
          <w:p w:rsidR="009640EB" w:rsidRPr="00060262" w:rsidP="009640EB" w14:paraId="3B28F560" w14:textId="21282E32">
            <w:pPr>
              <w:pStyle w:val="paragraph"/>
              <w:spacing w:before="0" w:beforeAutospacing="0" w:after="0" w:afterAutospacing="0"/>
              <w:textAlignment w:val="baseline"/>
              <w:rPr>
                <w:rStyle w:val="normaltextrun"/>
                <w:sz w:val="20"/>
                <w:szCs w:val="20"/>
              </w:rPr>
            </w:pPr>
            <w:r w:rsidRPr="00060262">
              <w:rPr>
                <w:rStyle w:val="normaltextrun"/>
                <w:sz w:val="20"/>
                <w:szCs w:val="20"/>
              </w:rPr>
              <w:t>100%</w:t>
            </w:r>
            <w:r w:rsidRPr="00060262">
              <w:rPr>
                <w:rStyle w:val="eop"/>
                <w:sz w:val="20"/>
                <w:szCs w:val="20"/>
              </w:rPr>
              <w:t> </w:t>
            </w:r>
          </w:p>
        </w:tc>
      </w:tr>
      <w:tr w14:paraId="685967E9" w14:textId="77777777" w:rsidTr="009640EB">
        <w:tblPrEx>
          <w:tblW w:w="9315" w:type="dxa"/>
          <w:tblLook w:val="04A0"/>
        </w:tblPrEx>
        <w:trPr>
          <w:trHeight w:val="960"/>
        </w:trPr>
        <w:tc>
          <w:tcPr>
            <w:tcW w:w="1843" w:type="dxa"/>
            <w:shd w:val="clear" w:color="auto" w:fill="auto"/>
          </w:tcPr>
          <w:p w:rsidR="009640EB" w:rsidRPr="00060262" w:rsidP="009640EB" w14:paraId="78BC75A2" w14:textId="1D80FA26">
            <w:pPr>
              <w:pStyle w:val="paragraph"/>
              <w:spacing w:before="0" w:beforeAutospacing="0" w:after="0" w:afterAutospacing="0"/>
              <w:textAlignment w:val="baseline"/>
              <w:rPr>
                <w:rStyle w:val="normaltextrun"/>
                <w:sz w:val="20"/>
                <w:szCs w:val="20"/>
              </w:rPr>
            </w:pPr>
            <w:r w:rsidRPr="00060262">
              <w:rPr>
                <w:rStyle w:val="normaltextrun"/>
                <w:sz w:val="20"/>
                <w:szCs w:val="20"/>
              </w:rPr>
              <w:t>Semi-structured interviews with PHA staff from PHAs</w:t>
            </w:r>
            <w:r w:rsidRPr="00060262">
              <w:rPr>
                <w:rStyle w:val="eop"/>
                <w:sz w:val="20"/>
                <w:szCs w:val="20"/>
              </w:rPr>
              <w:t> that adopted waivers</w:t>
            </w:r>
          </w:p>
        </w:tc>
        <w:tc>
          <w:tcPr>
            <w:tcW w:w="2442" w:type="dxa"/>
            <w:shd w:val="clear" w:color="auto" w:fill="auto"/>
          </w:tcPr>
          <w:p w:rsidR="009640EB" w:rsidRPr="00060262" w:rsidP="009640EB" w14:paraId="70F9C8CD" w14:textId="7809504E">
            <w:pPr>
              <w:pStyle w:val="paragraph"/>
              <w:numPr>
                <w:ilvl w:val="0"/>
                <w:numId w:val="5"/>
              </w:numPr>
              <w:spacing w:before="0" w:beforeAutospacing="0" w:after="0" w:afterAutospacing="0"/>
              <w:ind w:left="290" w:hanging="180"/>
              <w:textAlignment w:val="baseline"/>
              <w:rPr>
                <w:rStyle w:val="normaltextrun"/>
                <w:sz w:val="20"/>
                <w:szCs w:val="20"/>
              </w:rPr>
            </w:pPr>
            <w:r w:rsidRPr="00060262">
              <w:rPr>
                <w:rStyle w:val="normaltextrun"/>
                <w:sz w:val="20"/>
                <w:szCs w:val="20"/>
              </w:rPr>
              <w:t xml:space="preserve">PHA staff (such as PHA residents and tenants outreach staff or other staff that were involved or impacted by the implementation of PHA waivers) </w:t>
            </w:r>
          </w:p>
        </w:tc>
        <w:tc>
          <w:tcPr>
            <w:tcW w:w="2021" w:type="dxa"/>
            <w:shd w:val="clear" w:color="auto" w:fill="auto"/>
          </w:tcPr>
          <w:p w:rsidR="009640EB" w:rsidRPr="00060262" w:rsidP="009640EB" w14:paraId="3999518A" w14:textId="185AABA3">
            <w:pPr>
              <w:pStyle w:val="paragraph"/>
              <w:spacing w:before="0" w:beforeAutospacing="0" w:after="0" w:afterAutospacing="0"/>
              <w:textAlignment w:val="baseline"/>
              <w:rPr>
                <w:rStyle w:val="normaltextrun"/>
                <w:sz w:val="20"/>
                <w:szCs w:val="20"/>
              </w:rPr>
            </w:pPr>
            <w:r w:rsidRPr="00060262">
              <w:rPr>
                <w:rStyle w:val="normaltextrun"/>
                <w:sz w:val="20"/>
                <w:szCs w:val="20"/>
              </w:rPr>
              <w:t>PHA staff with relevant information at the 45 selected PHAs that adopted waivers</w:t>
            </w:r>
          </w:p>
        </w:tc>
        <w:tc>
          <w:tcPr>
            <w:tcW w:w="1661" w:type="dxa"/>
            <w:shd w:val="clear" w:color="auto" w:fill="auto"/>
          </w:tcPr>
          <w:p w:rsidR="009640EB" w:rsidRPr="00060262" w:rsidP="009640EB" w14:paraId="49D9F8B8" w14:textId="697743E2">
            <w:pPr>
              <w:pStyle w:val="paragraph"/>
              <w:spacing w:before="0" w:beforeAutospacing="0" w:after="0" w:afterAutospacing="0"/>
              <w:textAlignment w:val="baseline"/>
              <w:rPr>
                <w:rStyle w:val="normaltextrun"/>
                <w:sz w:val="20"/>
                <w:szCs w:val="20"/>
              </w:rPr>
            </w:pPr>
            <w:r w:rsidRPr="00060262">
              <w:rPr>
                <w:rStyle w:val="normaltextrun"/>
                <w:sz w:val="20"/>
                <w:szCs w:val="20"/>
              </w:rPr>
              <w:t>45 (1 staff per PHA)</w:t>
            </w:r>
          </w:p>
        </w:tc>
        <w:tc>
          <w:tcPr>
            <w:tcW w:w="1348" w:type="dxa"/>
            <w:shd w:val="clear" w:color="auto" w:fill="auto"/>
          </w:tcPr>
          <w:p w:rsidR="009640EB" w:rsidRPr="00060262" w:rsidP="009640EB" w14:paraId="4A277FAA" w14:textId="1F7433BC">
            <w:pPr>
              <w:pStyle w:val="paragraph"/>
              <w:spacing w:before="0" w:beforeAutospacing="0" w:after="0" w:afterAutospacing="0"/>
              <w:textAlignment w:val="baseline"/>
              <w:rPr>
                <w:rStyle w:val="normaltextrun"/>
                <w:sz w:val="20"/>
                <w:szCs w:val="20"/>
              </w:rPr>
            </w:pPr>
            <w:r w:rsidRPr="00060262">
              <w:rPr>
                <w:rStyle w:val="normaltextrun"/>
                <w:sz w:val="20"/>
                <w:szCs w:val="20"/>
              </w:rPr>
              <w:t>100%</w:t>
            </w:r>
            <w:r w:rsidRPr="00060262">
              <w:rPr>
                <w:rStyle w:val="eop"/>
                <w:sz w:val="20"/>
                <w:szCs w:val="20"/>
              </w:rPr>
              <w:t> </w:t>
            </w:r>
          </w:p>
        </w:tc>
      </w:tr>
      <w:tr w14:paraId="6119F409" w14:textId="77777777" w:rsidTr="009640EB">
        <w:tblPrEx>
          <w:tblW w:w="9315" w:type="dxa"/>
          <w:tblLook w:val="04A0"/>
        </w:tblPrEx>
        <w:trPr>
          <w:trHeight w:val="960"/>
        </w:trPr>
        <w:tc>
          <w:tcPr>
            <w:tcW w:w="1843" w:type="dxa"/>
            <w:shd w:val="clear" w:color="auto" w:fill="auto"/>
            <w:hideMark/>
          </w:tcPr>
          <w:p w:rsidR="009640EB" w:rsidRPr="00060262" w:rsidP="009640EB" w14:paraId="56A45174" w14:textId="3E074DC4">
            <w:pPr>
              <w:pStyle w:val="paragraph"/>
              <w:spacing w:before="0" w:beforeAutospacing="0" w:after="0" w:afterAutospacing="0"/>
              <w:textAlignment w:val="baseline"/>
              <w:rPr>
                <w:sz w:val="20"/>
                <w:szCs w:val="20"/>
              </w:rPr>
            </w:pPr>
            <w:r w:rsidRPr="00060262">
              <w:rPr>
                <w:rStyle w:val="normaltextrun"/>
                <w:sz w:val="20"/>
                <w:szCs w:val="20"/>
              </w:rPr>
              <w:t>Semi-structured interviews with PHA’s Resident Advisory Board members from PHAs</w:t>
            </w:r>
            <w:r w:rsidRPr="00060262">
              <w:rPr>
                <w:rStyle w:val="eop"/>
                <w:sz w:val="20"/>
                <w:szCs w:val="20"/>
              </w:rPr>
              <w:t> that adopted waivers</w:t>
            </w:r>
          </w:p>
        </w:tc>
        <w:tc>
          <w:tcPr>
            <w:tcW w:w="2442" w:type="dxa"/>
            <w:shd w:val="clear" w:color="auto" w:fill="auto"/>
            <w:hideMark/>
          </w:tcPr>
          <w:p w:rsidR="009640EB" w:rsidRPr="00060262" w:rsidP="0005057D" w14:paraId="78D5B065" w14:textId="622575BA">
            <w:pPr>
              <w:pStyle w:val="paragraph"/>
              <w:numPr>
                <w:ilvl w:val="0"/>
                <w:numId w:val="5"/>
              </w:numPr>
              <w:spacing w:before="0" w:beforeAutospacing="0" w:after="0" w:afterAutospacing="0"/>
              <w:ind w:left="290" w:hanging="180"/>
              <w:textAlignment w:val="baseline"/>
              <w:rPr>
                <w:sz w:val="20"/>
                <w:szCs w:val="20"/>
              </w:rPr>
            </w:pPr>
            <w:r w:rsidRPr="00060262">
              <w:rPr>
                <w:rStyle w:val="normaltextrun"/>
                <w:sz w:val="20"/>
                <w:szCs w:val="20"/>
              </w:rPr>
              <w:t>Members</w:t>
            </w:r>
            <w:r w:rsidRPr="00060262">
              <w:rPr>
                <w:rStyle w:val="normaltextrun"/>
                <w:sz w:val="20"/>
                <w:szCs w:val="20"/>
              </w:rPr>
              <w:t xml:space="preserve"> from the PHA’s Resident Advisory Boards</w:t>
            </w:r>
            <w:r w:rsidRPr="00060262">
              <w:rPr>
                <w:rStyle w:val="normaltextrun"/>
                <w:sz w:val="20"/>
                <w:szCs w:val="20"/>
              </w:rPr>
              <w:t xml:space="preserve"> </w:t>
            </w:r>
          </w:p>
        </w:tc>
        <w:tc>
          <w:tcPr>
            <w:tcW w:w="2021" w:type="dxa"/>
            <w:shd w:val="clear" w:color="auto" w:fill="auto"/>
            <w:hideMark/>
          </w:tcPr>
          <w:p w:rsidR="009640EB" w:rsidRPr="00060262" w:rsidP="009640EB" w14:paraId="38DD0A0E" w14:textId="4DE2B34B">
            <w:pPr>
              <w:pStyle w:val="paragraph"/>
              <w:spacing w:before="0" w:beforeAutospacing="0" w:after="0" w:afterAutospacing="0"/>
              <w:textAlignment w:val="baseline"/>
              <w:rPr>
                <w:sz w:val="20"/>
                <w:szCs w:val="20"/>
              </w:rPr>
            </w:pPr>
            <w:r w:rsidRPr="00060262">
              <w:rPr>
                <w:rStyle w:val="normaltextrun"/>
                <w:sz w:val="20"/>
                <w:szCs w:val="20"/>
              </w:rPr>
              <w:t>PHA Resident Advisory Board members with relevant information at the 45 selected PHAs that adopted waivers</w:t>
            </w:r>
          </w:p>
        </w:tc>
        <w:tc>
          <w:tcPr>
            <w:tcW w:w="1661" w:type="dxa"/>
            <w:shd w:val="clear" w:color="auto" w:fill="auto"/>
            <w:hideMark/>
          </w:tcPr>
          <w:p w:rsidR="009640EB" w:rsidRPr="00060262" w:rsidP="009640EB" w14:paraId="12D77C34" w14:textId="3D2878C7">
            <w:pPr>
              <w:pStyle w:val="paragraph"/>
              <w:spacing w:before="0" w:beforeAutospacing="0" w:after="0" w:afterAutospacing="0"/>
              <w:textAlignment w:val="baseline"/>
              <w:rPr>
                <w:sz w:val="20"/>
                <w:szCs w:val="20"/>
              </w:rPr>
            </w:pPr>
            <w:r w:rsidRPr="00060262">
              <w:rPr>
                <w:rStyle w:val="normaltextrun"/>
                <w:sz w:val="20"/>
                <w:szCs w:val="20"/>
              </w:rPr>
              <w:t>45 (1 staff per PHA)</w:t>
            </w:r>
          </w:p>
        </w:tc>
        <w:tc>
          <w:tcPr>
            <w:tcW w:w="1348" w:type="dxa"/>
            <w:shd w:val="clear" w:color="auto" w:fill="auto"/>
            <w:hideMark/>
          </w:tcPr>
          <w:p w:rsidR="009640EB" w:rsidRPr="00060262" w:rsidP="009640EB" w14:paraId="6FC48472" w14:textId="3E728743">
            <w:pPr>
              <w:pStyle w:val="paragraph"/>
              <w:spacing w:before="0" w:beforeAutospacing="0" w:after="0" w:afterAutospacing="0"/>
              <w:textAlignment w:val="baseline"/>
              <w:rPr>
                <w:sz w:val="20"/>
                <w:szCs w:val="20"/>
              </w:rPr>
            </w:pPr>
            <w:r w:rsidRPr="00060262">
              <w:rPr>
                <w:rStyle w:val="normaltextrun"/>
                <w:sz w:val="20"/>
                <w:szCs w:val="20"/>
              </w:rPr>
              <w:t>100%</w:t>
            </w:r>
            <w:r w:rsidRPr="00060262">
              <w:rPr>
                <w:rStyle w:val="eop"/>
                <w:sz w:val="20"/>
                <w:szCs w:val="20"/>
              </w:rPr>
              <w:t> </w:t>
            </w:r>
          </w:p>
        </w:tc>
      </w:tr>
      <w:tr w14:paraId="7FAABD26" w14:textId="77777777" w:rsidTr="009640EB">
        <w:tblPrEx>
          <w:tblW w:w="9315" w:type="dxa"/>
          <w:tblLook w:val="04A0"/>
        </w:tblPrEx>
        <w:trPr>
          <w:trHeight w:val="960"/>
        </w:trPr>
        <w:tc>
          <w:tcPr>
            <w:tcW w:w="1843" w:type="dxa"/>
            <w:shd w:val="clear" w:color="auto" w:fill="auto"/>
          </w:tcPr>
          <w:p w:rsidR="00131974" w:rsidRPr="00060262" w:rsidP="00131974" w14:paraId="22101FCF" w14:textId="4814C7F4">
            <w:pPr>
              <w:pStyle w:val="paragraph"/>
              <w:spacing w:before="0" w:beforeAutospacing="0" w:after="0" w:afterAutospacing="0"/>
              <w:textAlignment w:val="baseline"/>
              <w:rPr>
                <w:rStyle w:val="normaltextrun"/>
                <w:sz w:val="20"/>
                <w:szCs w:val="20"/>
              </w:rPr>
            </w:pPr>
            <w:r w:rsidRPr="00060262">
              <w:rPr>
                <w:rStyle w:val="normaltextrun"/>
                <w:sz w:val="20"/>
                <w:szCs w:val="20"/>
              </w:rPr>
              <w:t>Semi-structured i</w:t>
            </w:r>
            <w:r w:rsidRPr="00060262">
              <w:rPr>
                <w:rStyle w:val="normaltextrun"/>
                <w:sz w:val="20"/>
                <w:szCs w:val="20"/>
              </w:rPr>
              <w:t xml:space="preserve">nterviews with </w:t>
            </w:r>
            <w:r w:rsidRPr="00060262" w:rsidR="00671034">
              <w:rPr>
                <w:rStyle w:val="normaltextrun"/>
                <w:sz w:val="20"/>
                <w:szCs w:val="20"/>
              </w:rPr>
              <w:t xml:space="preserve">leadership and </w:t>
            </w:r>
            <w:r w:rsidRPr="00060262" w:rsidR="00596EAC">
              <w:rPr>
                <w:rStyle w:val="normaltextrun"/>
                <w:sz w:val="20"/>
                <w:szCs w:val="20"/>
              </w:rPr>
              <w:t xml:space="preserve">staff from </w:t>
            </w:r>
            <w:r w:rsidRPr="00060262">
              <w:rPr>
                <w:rStyle w:val="normaltextrun"/>
                <w:sz w:val="20"/>
                <w:szCs w:val="20"/>
              </w:rPr>
              <w:t>PHAs</w:t>
            </w:r>
            <w:r w:rsidRPr="00060262">
              <w:rPr>
                <w:rStyle w:val="eop"/>
                <w:sz w:val="20"/>
                <w:szCs w:val="20"/>
              </w:rPr>
              <w:t xml:space="preserve"> that did not adopt </w:t>
            </w:r>
            <w:r w:rsidRPr="00060262" w:rsidR="00243D5D">
              <w:rPr>
                <w:rStyle w:val="eop"/>
                <w:sz w:val="20"/>
                <w:szCs w:val="20"/>
              </w:rPr>
              <w:t xml:space="preserve">a </w:t>
            </w:r>
            <w:r w:rsidRPr="00060262">
              <w:rPr>
                <w:rStyle w:val="eop"/>
                <w:sz w:val="20"/>
                <w:szCs w:val="20"/>
              </w:rPr>
              <w:t>waiver</w:t>
            </w:r>
          </w:p>
        </w:tc>
        <w:tc>
          <w:tcPr>
            <w:tcW w:w="2442" w:type="dxa"/>
            <w:shd w:val="clear" w:color="auto" w:fill="auto"/>
          </w:tcPr>
          <w:p w:rsidR="0066031E" w:rsidRPr="00060262" w:rsidP="000A73EF" w14:paraId="0778DAD9" w14:textId="33D7AD66">
            <w:pPr>
              <w:pStyle w:val="paragraph"/>
              <w:numPr>
                <w:ilvl w:val="0"/>
                <w:numId w:val="6"/>
              </w:numPr>
              <w:spacing w:before="0" w:beforeAutospacing="0" w:after="0" w:afterAutospacing="0"/>
              <w:ind w:left="290" w:hanging="180"/>
              <w:textAlignment w:val="baseline"/>
              <w:rPr>
                <w:rStyle w:val="normaltextrun"/>
                <w:sz w:val="20"/>
                <w:szCs w:val="20"/>
              </w:rPr>
            </w:pPr>
            <w:r w:rsidRPr="00060262">
              <w:rPr>
                <w:rStyle w:val="normaltextrun"/>
                <w:sz w:val="20"/>
                <w:szCs w:val="20"/>
              </w:rPr>
              <w:t>PHA executive leadership</w:t>
            </w:r>
            <w:r w:rsidRPr="00060262">
              <w:rPr>
                <w:rStyle w:val="normaltextrun"/>
                <w:sz w:val="20"/>
                <w:szCs w:val="20"/>
              </w:rPr>
              <w:t xml:space="preserve"> </w:t>
            </w:r>
          </w:p>
          <w:p w:rsidR="00131974" w:rsidRPr="00060262" w:rsidP="0005057D" w14:paraId="5FA11E71" w14:textId="46D32A18">
            <w:pPr>
              <w:pStyle w:val="paragraph"/>
              <w:numPr>
                <w:ilvl w:val="0"/>
                <w:numId w:val="6"/>
              </w:numPr>
              <w:spacing w:before="0" w:beforeAutospacing="0" w:after="0" w:afterAutospacing="0"/>
              <w:ind w:left="290" w:hanging="180"/>
              <w:textAlignment w:val="baseline"/>
              <w:rPr>
                <w:rStyle w:val="normaltextrun"/>
                <w:sz w:val="20"/>
                <w:szCs w:val="20"/>
              </w:rPr>
            </w:pPr>
            <w:r w:rsidRPr="00060262">
              <w:rPr>
                <w:rStyle w:val="normaltextrun"/>
                <w:sz w:val="20"/>
                <w:szCs w:val="20"/>
              </w:rPr>
              <w:t>PHA</w:t>
            </w:r>
            <w:r w:rsidRPr="00060262" w:rsidR="0066031E">
              <w:rPr>
                <w:rStyle w:val="normaltextrun"/>
                <w:sz w:val="20"/>
                <w:szCs w:val="20"/>
              </w:rPr>
              <w:t xml:space="preserve"> operations</w:t>
            </w:r>
            <w:r w:rsidRPr="00060262">
              <w:rPr>
                <w:rStyle w:val="normaltextrun"/>
                <w:sz w:val="20"/>
                <w:szCs w:val="20"/>
              </w:rPr>
              <w:t xml:space="preserve"> staff</w:t>
            </w:r>
          </w:p>
        </w:tc>
        <w:tc>
          <w:tcPr>
            <w:tcW w:w="2021" w:type="dxa"/>
            <w:shd w:val="clear" w:color="auto" w:fill="auto"/>
          </w:tcPr>
          <w:p w:rsidR="00131974" w:rsidRPr="00060262" w:rsidP="00131974" w14:paraId="4319B183" w14:textId="59DC867A">
            <w:pPr>
              <w:pStyle w:val="paragraph"/>
              <w:spacing w:before="0" w:beforeAutospacing="0" w:after="0" w:afterAutospacing="0"/>
              <w:textAlignment w:val="baseline"/>
              <w:rPr>
                <w:rStyle w:val="normaltextrun"/>
                <w:sz w:val="20"/>
                <w:szCs w:val="20"/>
              </w:rPr>
            </w:pPr>
            <w:r w:rsidRPr="00060262">
              <w:rPr>
                <w:rStyle w:val="normaltextrun"/>
                <w:sz w:val="20"/>
                <w:szCs w:val="20"/>
              </w:rPr>
              <w:t>Leadership and s</w:t>
            </w:r>
            <w:r w:rsidRPr="00060262">
              <w:rPr>
                <w:rStyle w:val="normaltextrun"/>
                <w:sz w:val="20"/>
                <w:szCs w:val="20"/>
              </w:rPr>
              <w:t xml:space="preserve">taff </w:t>
            </w:r>
            <w:r w:rsidRPr="00060262" w:rsidR="006243AE">
              <w:rPr>
                <w:rStyle w:val="normaltextrun"/>
                <w:sz w:val="20"/>
                <w:szCs w:val="20"/>
              </w:rPr>
              <w:t xml:space="preserve">at </w:t>
            </w:r>
            <w:r w:rsidRPr="00060262">
              <w:rPr>
                <w:rStyle w:val="normaltextrun"/>
                <w:sz w:val="20"/>
                <w:szCs w:val="20"/>
              </w:rPr>
              <w:t xml:space="preserve">PHAs </w:t>
            </w:r>
            <w:r w:rsidRPr="00060262" w:rsidR="00243D5D">
              <w:rPr>
                <w:rStyle w:val="normaltextrun"/>
                <w:sz w:val="20"/>
                <w:szCs w:val="20"/>
              </w:rPr>
              <w:t>that did not adopt a</w:t>
            </w:r>
            <w:r w:rsidRPr="00060262" w:rsidR="006243AE">
              <w:rPr>
                <w:rStyle w:val="normaltextrun"/>
                <w:sz w:val="20"/>
                <w:szCs w:val="20"/>
              </w:rPr>
              <w:t>ny</w:t>
            </w:r>
            <w:r w:rsidRPr="00060262" w:rsidR="00EA042D">
              <w:rPr>
                <w:rStyle w:val="normaltextrun"/>
                <w:sz w:val="20"/>
                <w:szCs w:val="20"/>
              </w:rPr>
              <w:t xml:space="preserve"> of the</w:t>
            </w:r>
            <w:r w:rsidRPr="00060262" w:rsidR="00243D5D">
              <w:rPr>
                <w:rStyle w:val="normaltextrun"/>
                <w:sz w:val="20"/>
                <w:szCs w:val="20"/>
              </w:rPr>
              <w:t xml:space="preserve"> waiver</w:t>
            </w:r>
            <w:r w:rsidRPr="00060262" w:rsidR="00EA042D">
              <w:rPr>
                <w:rStyle w:val="normaltextrun"/>
                <w:sz w:val="20"/>
                <w:szCs w:val="20"/>
              </w:rPr>
              <w:t>s offered by the CARES Act.</w:t>
            </w:r>
          </w:p>
        </w:tc>
        <w:tc>
          <w:tcPr>
            <w:tcW w:w="1661" w:type="dxa"/>
            <w:shd w:val="clear" w:color="auto" w:fill="auto"/>
          </w:tcPr>
          <w:p w:rsidR="00131974" w:rsidRPr="00060262" w:rsidP="00131974" w14:paraId="4BBBCDF9" w14:textId="328D8C4A">
            <w:pPr>
              <w:pStyle w:val="paragraph"/>
              <w:spacing w:before="0" w:beforeAutospacing="0" w:after="0" w:afterAutospacing="0"/>
              <w:textAlignment w:val="baseline"/>
              <w:rPr>
                <w:rStyle w:val="normaltextrun"/>
                <w:sz w:val="20"/>
                <w:szCs w:val="20"/>
              </w:rPr>
            </w:pPr>
            <w:r w:rsidRPr="00060262">
              <w:rPr>
                <w:rStyle w:val="normaltextrun"/>
                <w:sz w:val="20"/>
                <w:szCs w:val="20"/>
              </w:rPr>
              <w:t>1</w:t>
            </w:r>
            <w:r w:rsidRPr="00060262" w:rsidR="00243D5D">
              <w:rPr>
                <w:rStyle w:val="normaltextrun"/>
                <w:sz w:val="20"/>
                <w:szCs w:val="20"/>
              </w:rPr>
              <w:t>5 (</w:t>
            </w:r>
            <w:r w:rsidRPr="00060262" w:rsidR="003C0A90">
              <w:rPr>
                <w:rStyle w:val="normaltextrun"/>
                <w:sz w:val="20"/>
                <w:szCs w:val="20"/>
              </w:rPr>
              <w:t>one interview</w:t>
            </w:r>
            <w:r w:rsidRPr="00060262">
              <w:rPr>
                <w:rStyle w:val="normaltextrun"/>
                <w:sz w:val="20"/>
                <w:szCs w:val="20"/>
              </w:rPr>
              <w:t xml:space="preserve"> with up to 3 staff</w:t>
            </w:r>
            <w:r w:rsidRPr="00060262" w:rsidR="003C0A90">
              <w:rPr>
                <w:rStyle w:val="normaltextrun"/>
                <w:sz w:val="20"/>
                <w:szCs w:val="20"/>
              </w:rPr>
              <w:t xml:space="preserve"> per five </w:t>
            </w:r>
            <w:r w:rsidRPr="00060262">
              <w:rPr>
                <w:rStyle w:val="normaltextrun"/>
                <w:sz w:val="20"/>
                <w:szCs w:val="20"/>
              </w:rPr>
              <w:t>PH</w:t>
            </w:r>
            <w:r w:rsidRPr="00060262" w:rsidR="00243D5D">
              <w:rPr>
                <w:rStyle w:val="normaltextrun"/>
                <w:sz w:val="20"/>
                <w:szCs w:val="20"/>
              </w:rPr>
              <w:t>A</w:t>
            </w:r>
            <w:r w:rsidRPr="00060262" w:rsidR="00A537E5">
              <w:rPr>
                <w:rStyle w:val="normaltextrun"/>
                <w:sz w:val="20"/>
                <w:szCs w:val="20"/>
              </w:rPr>
              <w:t>s</w:t>
            </w:r>
            <w:r w:rsidRPr="00060262">
              <w:rPr>
                <w:rStyle w:val="normaltextrun"/>
                <w:sz w:val="20"/>
                <w:szCs w:val="20"/>
              </w:rPr>
              <w:t>)</w:t>
            </w:r>
            <w:r w:rsidRPr="00060262">
              <w:rPr>
                <w:rStyle w:val="eop"/>
                <w:sz w:val="20"/>
                <w:szCs w:val="20"/>
              </w:rPr>
              <w:t> </w:t>
            </w:r>
          </w:p>
        </w:tc>
        <w:tc>
          <w:tcPr>
            <w:tcW w:w="1348" w:type="dxa"/>
            <w:shd w:val="clear" w:color="auto" w:fill="auto"/>
          </w:tcPr>
          <w:p w:rsidR="00131974" w:rsidRPr="00060262" w:rsidP="00131974" w14:paraId="7ED9AC0F" w14:textId="72BB4082">
            <w:pPr>
              <w:pStyle w:val="paragraph"/>
              <w:spacing w:before="0" w:beforeAutospacing="0" w:after="0" w:afterAutospacing="0"/>
              <w:textAlignment w:val="baseline"/>
              <w:rPr>
                <w:rStyle w:val="normaltextrun"/>
                <w:sz w:val="20"/>
                <w:szCs w:val="20"/>
              </w:rPr>
            </w:pPr>
            <w:r w:rsidRPr="00060262">
              <w:rPr>
                <w:rStyle w:val="normaltextrun"/>
                <w:sz w:val="20"/>
                <w:szCs w:val="20"/>
              </w:rPr>
              <w:t>100%</w:t>
            </w:r>
          </w:p>
        </w:tc>
      </w:tr>
    </w:tbl>
    <w:p w:rsidR="006F3825" w14:paraId="6B4FF279" w14:textId="098EA616">
      <w:pPr>
        <w:spacing w:after="160" w:line="259" w:lineRule="auto"/>
      </w:pPr>
    </w:p>
    <w:p w:rsidR="004A0BF6" w:rsidRPr="00011C56" w:rsidP="004A0BF6" w14:paraId="4F51563B" w14:textId="7C33D3C4">
      <w:pPr>
        <w:pStyle w:val="NoSpacing"/>
        <w:numPr>
          <w:ilvl w:val="0"/>
          <w:numId w:val="1"/>
        </w:numPr>
        <w:rPr>
          <w:b/>
          <w:bCs/>
        </w:rPr>
      </w:pPr>
      <w:r w:rsidRPr="00011C56">
        <w:rPr>
          <w:b/>
          <w:bCs/>
        </w:rPr>
        <w:t>Describe the procedures for the collection of information including:</w:t>
      </w:r>
    </w:p>
    <w:p w:rsidR="004A0BF6" w:rsidRPr="00011C56" w:rsidP="004A0BF6" w14:paraId="7E65F3C4" w14:textId="77777777">
      <w:pPr>
        <w:widowControl w:val="0"/>
        <w:kinsoku w:val="0"/>
        <w:rPr>
          <w:b/>
          <w:bCs/>
        </w:rPr>
      </w:pPr>
    </w:p>
    <w:p w:rsidR="004A0BF6" w:rsidRPr="006A0E75" w:rsidP="004A0BF6" w14:paraId="28459A58" w14:textId="77777777">
      <w:pPr>
        <w:widowControl w:val="0"/>
        <w:numPr>
          <w:ilvl w:val="0"/>
          <w:numId w:val="2"/>
        </w:numPr>
        <w:kinsoku w:val="0"/>
      </w:pPr>
      <w:r w:rsidRPr="006A0E75">
        <w:t>Statistical methodology for stratification and sample selection,</w:t>
      </w:r>
    </w:p>
    <w:p w:rsidR="004A0BF6" w:rsidRPr="006A0E75" w:rsidP="004A0BF6" w14:paraId="113EEA6D" w14:textId="77777777">
      <w:pPr>
        <w:widowControl w:val="0"/>
        <w:numPr>
          <w:ilvl w:val="0"/>
          <w:numId w:val="2"/>
        </w:numPr>
        <w:kinsoku w:val="0"/>
      </w:pPr>
      <w:r w:rsidRPr="006A0E75">
        <w:t>Estimation procedure,</w:t>
      </w:r>
    </w:p>
    <w:p w:rsidR="004A0BF6" w:rsidRPr="006A0E75" w:rsidP="004A0BF6" w14:paraId="35B423E0" w14:textId="77777777">
      <w:pPr>
        <w:widowControl w:val="0"/>
        <w:numPr>
          <w:ilvl w:val="0"/>
          <w:numId w:val="2"/>
        </w:numPr>
        <w:kinsoku w:val="0"/>
      </w:pPr>
      <w:r w:rsidRPr="006A0E75">
        <w:t>Degree of accuracy needed for the purpose described in the justification,</w:t>
      </w:r>
    </w:p>
    <w:p w:rsidR="004A0BF6" w:rsidRPr="006A0E75" w:rsidP="004A0BF6" w14:paraId="5AD11EC4" w14:textId="77777777">
      <w:pPr>
        <w:widowControl w:val="0"/>
        <w:numPr>
          <w:ilvl w:val="0"/>
          <w:numId w:val="2"/>
        </w:numPr>
        <w:kinsoku w:val="0"/>
      </w:pPr>
      <w:r w:rsidRPr="006A0E75">
        <w:t>Unusual problems requiring specialized sampling procedures, and</w:t>
      </w:r>
    </w:p>
    <w:p w:rsidR="004A0BF6" w:rsidRPr="006A0E75" w:rsidP="004A0BF6" w14:paraId="23962F9A" w14:textId="77777777">
      <w:pPr>
        <w:widowControl w:val="0"/>
        <w:numPr>
          <w:ilvl w:val="0"/>
          <w:numId w:val="2"/>
        </w:numPr>
        <w:kinsoku w:val="0"/>
      </w:pPr>
      <w:r w:rsidRPr="006A0E75">
        <w:t>Any use of periodic (less frequent than annual) data collection cycles to reduce burden.</w:t>
      </w:r>
    </w:p>
    <w:p w:rsidR="004A0BF6" w:rsidP="004A0BF6" w14:paraId="53ACFE16" w14:textId="77777777">
      <w:pPr>
        <w:widowControl w:val="0"/>
        <w:kinsoku w:val="0"/>
      </w:pPr>
    </w:p>
    <w:p w:rsidR="009D79C1" w:rsidRPr="00E3635D" w:rsidP="002C49EF" w14:paraId="69302C81" w14:textId="2AC1AAFE">
      <w:pPr>
        <w:spacing w:after="160" w:line="259" w:lineRule="auto"/>
      </w:pPr>
      <w:r w:rsidRPr="00E3635D">
        <w:t xml:space="preserve">Below we highlight our </w:t>
      </w:r>
      <w:r w:rsidRPr="00E3635D" w:rsidR="00325B51">
        <w:t xml:space="preserve">plan to select a purposive sample of PHAs. </w:t>
      </w:r>
    </w:p>
    <w:p w:rsidR="000B5CA8" w:rsidRPr="00E3635D" w:rsidP="000B5CA8" w14:paraId="5CF63DC6" w14:textId="2057DF31">
      <w:pPr>
        <w:pStyle w:val="Heading2"/>
        <w:rPr>
          <w:rFonts w:ascii="Times New Roman" w:hAnsi="Times New Roman" w:cs="Times New Roman"/>
        </w:rPr>
      </w:pPr>
      <w:bookmarkStart w:id="0" w:name="_Toc121734485"/>
      <w:r w:rsidRPr="00E3635D">
        <w:rPr>
          <w:rFonts w:ascii="Times New Roman" w:hAnsi="Times New Roman" w:cs="Times New Roman"/>
        </w:rPr>
        <w:t>Sampl</w:t>
      </w:r>
      <w:r w:rsidRPr="00E3635D" w:rsidR="00C86B9C">
        <w:rPr>
          <w:rFonts w:ascii="Times New Roman" w:hAnsi="Times New Roman" w:cs="Times New Roman"/>
        </w:rPr>
        <w:t>e Selection</w:t>
      </w:r>
      <w:bookmarkEnd w:id="0"/>
    </w:p>
    <w:p w:rsidR="000B5CA8" w:rsidRPr="00E3635D" w:rsidP="000B5CA8" w14:paraId="6DACB01D" w14:textId="0C041E37">
      <w:r w:rsidRPr="00E3635D">
        <w:t xml:space="preserve">We will select </w:t>
      </w:r>
      <w:r w:rsidRPr="00E3635D" w:rsidR="009F189D">
        <w:t>a purposive</w:t>
      </w:r>
      <w:r w:rsidRPr="00E3635D">
        <w:t xml:space="preserve"> sample of 50 PHAs. In consultation with HUD, 2M </w:t>
      </w:r>
      <w:r w:rsidR="00CC289A">
        <w:t xml:space="preserve">Research </w:t>
      </w:r>
      <w:r w:rsidRPr="00E3635D">
        <w:t>will construct the sample using a stratified purposeful sampling procedure</w:t>
      </w:r>
      <w:r w:rsidR="00A664BD">
        <w:t xml:space="preserve">. The purpose of a stratified purposeful sample is to </w:t>
      </w:r>
      <w:r w:rsidRPr="00A7548F" w:rsidR="00A664BD">
        <w:t>capture common core</w:t>
      </w:r>
      <w:r w:rsidR="00A664BD">
        <w:t xml:space="preserve"> experiences</w:t>
      </w:r>
      <w:r w:rsidRPr="00A7548F" w:rsidR="00A664BD">
        <w:t xml:space="preserve"> </w:t>
      </w:r>
      <w:r w:rsidR="00A664BD">
        <w:t xml:space="preserve">and </w:t>
      </w:r>
      <w:r w:rsidRPr="00A7548F" w:rsidR="00A664BD">
        <w:t xml:space="preserve">major variations </w:t>
      </w:r>
      <w:r w:rsidR="00A664BD">
        <w:t>within</w:t>
      </w:r>
      <w:r w:rsidRPr="00A7548F" w:rsidR="00A664BD">
        <w:t xml:space="preserve"> a </w:t>
      </w:r>
      <w:r w:rsidRPr="00A7548F" w:rsidR="00A664BD">
        <w:t>fairly homogeneous</w:t>
      </w:r>
      <w:r w:rsidRPr="00A7548F" w:rsidR="00A664BD">
        <w:t xml:space="preserve"> </w:t>
      </w:r>
      <w:r w:rsidRPr="00E5519D" w:rsidR="00A664BD">
        <w:rPr>
          <w:shd w:val="clear" w:color="auto" w:fill="FFFFFF"/>
        </w:rPr>
        <w:t>sam</w:t>
      </w:r>
      <w:r w:rsidRPr="00CB5213" w:rsidR="00A664BD">
        <w:rPr>
          <w:rFonts w:cstheme="minorHAnsi"/>
          <w:shd w:val="clear" w:color="auto" w:fill="FFFFFF"/>
        </w:rPr>
        <w:t>ple</w:t>
      </w:r>
      <w:r w:rsidR="00FD1086">
        <w:rPr>
          <w:rFonts w:cstheme="minorHAnsi"/>
          <w:shd w:val="clear" w:color="auto" w:fill="FFFFFF"/>
        </w:rPr>
        <w:t>.</w:t>
      </w:r>
      <w:r w:rsidRPr="00E3635D">
        <w:t xml:space="preserve"> In line with this procedure, 2M </w:t>
      </w:r>
      <w:r w:rsidR="002A1ABD">
        <w:t>Research</w:t>
      </w:r>
      <w:r w:rsidRPr="00E3635D">
        <w:t xml:space="preserve"> will select the sample of 50 PHA sites based on several criteria including geographic regions, the size of the PHA, the types of programs administered, and </w:t>
      </w:r>
      <w:r w:rsidRPr="00E3635D" w:rsidR="00C22CCA">
        <w:t>Moving to Work (</w:t>
      </w:r>
      <w:r w:rsidRPr="00E3635D">
        <w:t>MTW</w:t>
      </w:r>
      <w:r w:rsidRPr="00E3635D" w:rsidR="00C22CCA">
        <w:t>)</w:t>
      </w:r>
      <w:r w:rsidRPr="00E3635D">
        <w:t xml:space="preserve"> status.</w:t>
      </w:r>
    </w:p>
    <w:p w:rsidR="00C22CCA" w:rsidRPr="00E3635D" w:rsidP="000B5CA8" w14:paraId="04327075" w14:textId="77777777"/>
    <w:p w:rsidR="00147D03" w:rsidRPr="00E3635D" w:rsidP="000B5CA8" w14:paraId="2468586C" w14:textId="1507D06A">
      <w:r>
        <w:t xml:space="preserve">The first stage of constructing the stratified purposive sample will be to define the population from which the sample will be taken. </w:t>
      </w:r>
      <w:r w:rsidRPr="00E3635D">
        <w:t>W</w:t>
      </w:r>
      <w:r w:rsidRPr="00E3635D" w:rsidR="000B5CA8">
        <w:t xml:space="preserve">e have determined two groups of PHAs for the study: </w:t>
      </w:r>
    </w:p>
    <w:p w:rsidR="00147D03" w:rsidRPr="00E3635D" w:rsidP="0005057D" w14:paraId="073F30F6" w14:textId="67D34155">
      <w:pPr>
        <w:pStyle w:val="ListParagraph"/>
        <w:numPr>
          <w:ilvl w:val="0"/>
          <w:numId w:val="7"/>
        </w:numPr>
      </w:pPr>
      <w:r w:rsidRPr="00E3635D">
        <w:t>PHAs that adopted at least one CARES Act</w:t>
      </w:r>
      <w:r w:rsidR="007F4A67">
        <w:t xml:space="preserve"> waiver</w:t>
      </w:r>
      <w:r w:rsidR="00F72A8C">
        <w:t>.</w:t>
      </w:r>
    </w:p>
    <w:p w:rsidR="00147D03" w:rsidRPr="00E3635D" w:rsidP="0005057D" w14:paraId="00B1D817" w14:textId="2E7E3704">
      <w:pPr>
        <w:pStyle w:val="ListParagraph"/>
        <w:numPr>
          <w:ilvl w:val="0"/>
          <w:numId w:val="7"/>
        </w:numPr>
      </w:pPr>
      <w:r w:rsidRPr="00E3635D">
        <w:t>PHAs that</w:t>
      </w:r>
      <w:r w:rsidRPr="00E3635D">
        <w:t xml:space="preserve"> did not utilize any CARES Act waivers. </w:t>
      </w:r>
    </w:p>
    <w:p w:rsidR="00147D03" w:rsidRPr="00E3635D" w:rsidP="000B5CA8" w14:paraId="55AE4589" w14:textId="77777777"/>
    <w:p w:rsidR="000B5CA8" w:rsidRPr="00E3635D" w:rsidP="000B5CA8" w14:paraId="14ED4AEA" w14:textId="257C3389">
      <w:r w:rsidRPr="00E3635D">
        <w:t xml:space="preserve">While the total sample size for the qualitative study </w:t>
      </w:r>
      <w:r w:rsidR="00957651">
        <w:t>is</w:t>
      </w:r>
      <w:r w:rsidRPr="00E3635D">
        <w:t xml:space="preserve"> 50 PHAs, we </w:t>
      </w:r>
      <w:r w:rsidRPr="00E3635D" w:rsidR="007C7EE3">
        <w:t>plan to select</w:t>
      </w:r>
      <w:r w:rsidRPr="00E3635D">
        <w:t xml:space="preserve"> 45 PHAs that adopted at least one waiver and five PHAs that did not utilize any waivers. </w:t>
      </w:r>
      <w:r w:rsidR="00AA3CF6">
        <w:t xml:space="preserve">Below, we describe our </w:t>
      </w:r>
      <w:r w:rsidR="006A776E">
        <w:t xml:space="preserve">criteria for selecting PHAs that utilized waivers and those that </w:t>
      </w:r>
      <w:r w:rsidR="00FE07C2">
        <w:t>chose</w:t>
      </w:r>
      <w:r w:rsidR="006A776E">
        <w:t xml:space="preserve"> not </w:t>
      </w:r>
      <w:r w:rsidR="00FE07C2">
        <w:t xml:space="preserve">to </w:t>
      </w:r>
      <w:r w:rsidR="006A776E">
        <w:t>adopt a waiver.</w:t>
      </w:r>
    </w:p>
    <w:p w:rsidR="000B5CA8" w:rsidRPr="00E3635D" w:rsidP="003555E1" w14:paraId="6E5FA894" w14:textId="77777777">
      <w:pPr>
        <w:pStyle w:val="Heading3"/>
        <w:rPr>
          <w:rFonts w:ascii="Times New Roman" w:hAnsi="Times New Roman" w:cs="Times New Roman"/>
          <w:u w:val="single"/>
        </w:rPr>
      </w:pPr>
      <w:bookmarkStart w:id="1" w:name="_Toc121734486"/>
      <w:r w:rsidRPr="00E3635D">
        <w:rPr>
          <w:rFonts w:ascii="Times New Roman" w:hAnsi="Times New Roman" w:cs="Times New Roman"/>
          <w:u w:val="single"/>
        </w:rPr>
        <w:t>Selection Criteria for PHAs that Utilized Waivers</w:t>
      </w:r>
      <w:bookmarkEnd w:id="1"/>
    </w:p>
    <w:p w:rsidR="000B5CA8" w:rsidRPr="00E3635D" w:rsidP="000B5CA8" w14:paraId="66D33118" w14:textId="3AC5ECB6">
      <w:r w:rsidRPr="00E3635D">
        <w:t>W</w:t>
      </w:r>
      <w:r w:rsidRPr="00E3635D">
        <w:t xml:space="preserve">e will divide the sample </w:t>
      </w:r>
      <w:r w:rsidRPr="00E3635D" w:rsidR="003555E1">
        <w:t xml:space="preserve">of PHAs that utilized the waivers </w:t>
      </w:r>
      <w:r w:rsidRPr="00E3635D">
        <w:t xml:space="preserve">into strata using HUD’s guidance in the </w:t>
      </w:r>
      <w:r w:rsidR="00311A52">
        <w:t>CARES Act Waivers Reporting Tool (</w:t>
      </w:r>
      <w:r w:rsidRPr="00E3635D">
        <w:t>CAWRT</w:t>
      </w:r>
      <w:r w:rsidR="00311A52">
        <w:t>)</w:t>
      </w:r>
      <w:r w:rsidRPr="00E3635D">
        <w:t xml:space="preserve"> Dashboard User Guide (see </w:t>
      </w:r>
      <w:r w:rsidRPr="00E3635D">
        <w:rPr>
          <w:b/>
          <w:bCs/>
        </w:rPr>
        <w:t xml:space="preserve">Exhibit </w:t>
      </w:r>
      <w:r w:rsidRPr="00E3635D" w:rsidR="00E3635D">
        <w:rPr>
          <w:b/>
          <w:bCs/>
        </w:rPr>
        <w:t>B</w:t>
      </w:r>
      <w:r w:rsidRPr="00E3635D">
        <w:t xml:space="preserve">). This </w:t>
      </w:r>
      <w:r w:rsidR="00A84769">
        <w:t>will help</w:t>
      </w:r>
      <w:r w:rsidRPr="00E3635D">
        <w:t xml:space="preserve"> ensure we are appropriately representing each stratum. Next, we will determine the sample size for each stratum. Additionally, we will strive to ensure diversity across the different categories of waivers offered under the CARES Act. </w:t>
      </w:r>
    </w:p>
    <w:p w:rsidR="00E3635D" w:rsidRPr="00E3635D" w:rsidP="000B5CA8" w14:paraId="47B169D3" w14:textId="77777777"/>
    <w:p w:rsidR="000B5CA8" w:rsidRPr="00E3635D" w:rsidP="000B5CA8" w14:paraId="4F0F6552" w14:textId="1F6CA6E8">
      <w:pPr>
        <w:pStyle w:val="Caption"/>
        <w:rPr>
          <w:rFonts w:ascii="Times New Roman" w:hAnsi="Times New Roman" w:cs="Times New Roman"/>
          <w:sz w:val="22"/>
          <w:szCs w:val="22"/>
        </w:rPr>
      </w:pPr>
      <w:r w:rsidRPr="00E3635D">
        <w:rPr>
          <w:rFonts w:ascii="Times New Roman" w:eastAsia="Calibri" w:hAnsi="Times New Roman" w:cs="Times New Roman"/>
          <w:sz w:val="22"/>
          <w:szCs w:val="22"/>
        </w:rPr>
        <w:t xml:space="preserve">Exhibit </w:t>
      </w:r>
      <w:r w:rsidRPr="00E3635D" w:rsidR="00E3635D">
        <w:rPr>
          <w:rFonts w:ascii="Times New Roman" w:eastAsia="Calibri" w:hAnsi="Times New Roman" w:cs="Times New Roman"/>
          <w:sz w:val="22"/>
          <w:szCs w:val="22"/>
        </w:rPr>
        <w:t>B</w:t>
      </w:r>
      <w:r w:rsidRPr="00E3635D">
        <w:rPr>
          <w:rFonts w:ascii="Times New Roman" w:hAnsi="Times New Roman" w:cs="Times New Roman"/>
          <w:sz w:val="22"/>
          <w:szCs w:val="22"/>
        </w:rPr>
        <w:t xml:space="preserve"> </w:t>
      </w:r>
      <w:r w:rsidRPr="00E3635D">
        <w:rPr>
          <w:rFonts w:ascii="Times New Roman" w:eastAsia="Calibri" w:hAnsi="Times New Roman" w:cs="Times New Roman"/>
          <w:sz w:val="22"/>
          <w:szCs w:val="22"/>
        </w:rPr>
        <w:t xml:space="preserve">| </w:t>
      </w:r>
      <w:r w:rsidRPr="00E3635D">
        <w:rPr>
          <w:rFonts w:ascii="Times New Roman" w:hAnsi="Times New Roman" w:cs="Times New Roman"/>
          <w:sz w:val="22"/>
          <w:szCs w:val="22"/>
        </w:rPr>
        <w:t>Criteria for Identifying PHAs</w:t>
      </w:r>
    </w:p>
    <w:tbl>
      <w:tblPr>
        <w:tblStyle w:val="GridTable4-Accent31"/>
        <w:tblW w:w="5000" w:type="pct"/>
        <w:tblLook w:val="06A0"/>
      </w:tblPr>
      <w:tblGrid>
        <w:gridCol w:w="2874"/>
        <w:gridCol w:w="6476"/>
      </w:tblGrid>
      <w:tr w14:paraId="603C1796" w14:textId="77777777" w:rsidTr="00E822FA">
        <w:tblPrEx>
          <w:tblW w:w="5000" w:type="pct"/>
          <w:tblLook w:val="06A0"/>
        </w:tblPrEx>
        <w:trPr>
          <w:trHeight w:val="20"/>
          <w:tblHeader/>
        </w:trPr>
        <w:tc>
          <w:tcPr>
            <w:tcW w:w="1537" w:type="pct"/>
            <w:tcBorders>
              <w:right w:val="single" w:sz="4" w:space="0" w:color="FFFFFF" w:themeColor="background1"/>
            </w:tcBorders>
            <w:vAlign w:val="center"/>
          </w:tcPr>
          <w:p w:rsidR="000B5CA8" w:rsidRPr="00060262" w:rsidP="00E822FA" w14:paraId="1CAEE171" w14:textId="77777777">
            <w:pPr>
              <w:rPr>
                <w:sz w:val="18"/>
                <w:szCs w:val="18"/>
              </w:rPr>
            </w:pPr>
            <w:r w:rsidRPr="00060262">
              <w:rPr>
                <w:sz w:val="18"/>
                <w:szCs w:val="18"/>
              </w:rPr>
              <w:t>Criteria</w:t>
            </w:r>
          </w:p>
        </w:tc>
        <w:tc>
          <w:tcPr>
            <w:tcW w:w="3463" w:type="pct"/>
            <w:tcBorders>
              <w:left w:val="single" w:sz="4" w:space="0" w:color="FFFFFF" w:themeColor="background1"/>
            </w:tcBorders>
            <w:vAlign w:val="center"/>
          </w:tcPr>
          <w:p w:rsidR="000B5CA8" w:rsidRPr="00060262" w:rsidP="00E822FA" w14:paraId="7C0B800B" w14:textId="77777777">
            <w:pPr>
              <w:rPr>
                <w:sz w:val="18"/>
                <w:szCs w:val="18"/>
              </w:rPr>
            </w:pPr>
            <w:r w:rsidRPr="00060262">
              <w:rPr>
                <w:sz w:val="18"/>
                <w:szCs w:val="18"/>
              </w:rPr>
              <w:t>Strata</w:t>
            </w:r>
          </w:p>
        </w:tc>
      </w:tr>
      <w:tr w14:paraId="2D0634E8" w14:textId="77777777" w:rsidTr="00E822FA">
        <w:tblPrEx>
          <w:tblW w:w="5000" w:type="pct"/>
          <w:tblLook w:val="06A0"/>
        </w:tblPrEx>
        <w:trPr>
          <w:trHeight w:val="20"/>
        </w:trPr>
        <w:tc>
          <w:tcPr>
            <w:tcW w:w="1537" w:type="pct"/>
            <w:vAlign w:val="center"/>
          </w:tcPr>
          <w:p w:rsidR="000B5CA8" w:rsidRPr="00060262" w:rsidP="00E822FA" w14:paraId="7C61BD6A" w14:textId="28D1C71E">
            <w:pPr>
              <w:contextualSpacing/>
              <w:rPr>
                <w:b w:val="0"/>
                <w:bCs w:val="0"/>
                <w:color w:val="000000"/>
                <w:sz w:val="18"/>
                <w:szCs w:val="18"/>
              </w:rPr>
            </w:pPr>
            <w:r w:rsidRPr="00060262">
              <w:rPr>
                <w:b w:val="0"/>
                <w:bCs w:val="0"/>
                <w:color w:val="000000"/>
                <w:sz w:val="18"/>
                <w:szCs w:val="18"/>
              </w:rPr>
              <w:t>Region</w:t>
            </w:r>
          </w:p>
        </w:tc>
        <w:tc>
          <w:tcPr>
            <w:tcW w:w="3463" w:type="pct"/>
            <w:vAlign w:val="center"/>
          </w:tcPr>
          <w:p w:rsidR="000B5CA8" w:rsidRPr="00060262" w:rsidP="000B5CA8" w14:paraId="4CAC893D" w14:textId="77777777">
            <w:pPr>
              <w:pStyle w:val="NoSpacing"/>
              <w:widowControl/>
              <w:numPr>
                <w:ilvl w:val="0"/>
                <w:numId w:val="4"/>
              </w:numPr>
              <w:kinsoku/>
              <w:ind w:left="340" w:hanging="180"/>
              <w:rPr>
                <w:sz w:val="18"/>
                <w:szCs w:val="18"/>
              </w:rPr>
            </w:pPr>
            <w:r w:rsidRPr="00060262">
              <w:rPr>
                <w:sz w:val="18"/>
                <w:szCs w:val="18"/>
              </w:rPr>
              <w:t>Northeast</w:t>
            </w:r>
          </w:p>
          <w:p w:rsidR="000B5CA8" w:rsidRPr="00060262" w:rsidP="000B5CA8" w14:paraId="1219BB36" w14:textId="77777777">
            <w:pPr>
              <w:pStyle w:val="NoSpacing"/>
              <w:widowControl/>
              <w:numPr>
                <w:ilvl w:val="0"/>
                <w:numId w:val="4"/>
              </w:numPr>
              <w:kinsoku/>
              <w:ind w:left="340" w:hanging="180"/>
              <w:rPr>
                <w:sz w:val="18"/>
                <w:szCs w:val="18"/>
              </w:rPr>
            </w:pPr>
            <w:r w:rsidRPr="00060262">
              <w:rPr>
                <w:sz w:val="18"/>
                <w:szCs w:val="18"/>
              </w:rPr>
              <w:t>Southeast</w:t>
            </w:r>
          </w:p>
          <w:p w:rsidR="000B5CA8" w:rsidRPr="00060262" w:rsidP="000B5CA8" w14:paraId="002FB620" w14:textId="77777777">
            <w:pPr>
              <w:pStyle w:val="NoSpacing"/>
              <w:widowControl/>
              <w:numPr>
                <w:ilvl w:val="0"/>
                <w:numId w:val="4"/>
              </w:numPr>
              <w:kinsoku/>
              <w:ind w:left="340" w:hanging="180"/>
              <w:rPr>
                <w:sz w:val="18"/>
                <w:szCs w:val="18"/>
              </w:rPr>
            </w:pPr>
            <w:r w:rsidRPr="00060262">
              <w:rPr>
                <w:sz w:val="18"/>
                <w:szCs w:val="18"/>
              </w:rPr>
              <w:t>Upper Midwest</w:t>
            </w:r>
          </w:p>
          <w:p w:rsidR="000B5CA8" w:rsidRPr="00060262" w:rsidP="000B5CA8" w14:paraId="416AA33F" w14:textId="77777777">
            <w:pPr>
              <w:pStyle w:val="NoSpacing"/>
              <w:widowControl/>
              <w:numPr>
                <w:ilvl w:val="0"/>
                <w:numId w:val="4"/>
              </w:numPr>
              <w:kinsoku/>
              <w:ind w:left="340" w:hanging="180"/>
              <w:rPr>
                <w:sz w:val="18"/>
                <w:szCs w:val="18"/>
              </w:rPr>
            </w:pPr>
            <w:r w:rsidRPr="00060262">
              <w:rPr>
                <w:sz w:val="18"/>
                <w:szCs w:val="18"/>
              </w:rPr>
              <w:t>Southeast</w:t>
            </w:r>
          </w:p>
          <w:p w:rsidR="000B5CA8" w:rsidRPr="00060262" w:rsidP="000B5CA8" w14:paraId="33057584" w14:textId="77777777">
            <w:pPr>
              <w:pStyle w:val="NoSpacing"/>
              <w:widowControl/>
              <w:numPr>
                <w:ilvl w:val="0"/>
                <w:numId w:val="4"/>
              </w:numPr>
              <w:kinsoku/>
              <w:ind w:left="340" w:hanging="180"/>
              <w:rPr>
                <w:sz w:val="18"/>
                <w:szCs w:val="18"/>
              </w:rPr>
            </w:pPr>
            <w:r w:rsidRPr="00060262">
              <w:rPr>
                <w:sz w:val="18"/>
                <w:szCs w:val="18"/>
              </w:rPr>
              <w:t>Midwest</w:t>
            </w:r>
          </w:p>
          <w:p w:rsidR="000B5CA8" w:rsidRPr="00060262" w:rsidP="000B5CA8" w14:paraId="737A11B5" w14:textId="77777777">
            <w:pPr>
              <w:pStyle w:val="NoSpacing"/>
              <w:widowControl/>
              <w:numPr>
                <w:ilvl w:val="0"/>
                <w:numId w:val="4"/>
              </w:numPr>
              <w:kinsoku/>
              <w:ind w:left="340" w:hanging="180"/>
              <w:rPr>
                <w:sz w:val="18"/>
                <w:szCs w:val="18"/>
              </w:rPr>
            </w:pPr>
            <w:r w:rsidRPr="00060262">
              <w:rPr>
                <w:sz w:val="18"/>
                <w:szCs w:val="18"/>
              </w:rPr>
              <w:t>Far West and Beyond</w:t>
            </w:r>
          </w:p>
        </w:tc>
      </w:tr>
      <w:tr w14:paraId="7542E997" w14:textId="77777777" w:rsidTr="00E822FA">
        <w:tblPrEx>
          <w:tblW w:w="5000" w:type="pct"/>
          <w:tblLook w:val="06A0"/>
        </w:tblPrEx>
        <w:trPr>
          <w:trHeight w:val="20"/>
        </w:trPr>
        <w:tc>
          <w:tcPr>
            <w:tcW w:w="1537" w:type="pct"/>
            <w:vAlign w:val="center"/>
          </w:tcPr>
          <w:p w:rsidR="000B5CA8" w:rsidRPr="00060262" w:rsidP="00E822FA" w14:paraId="62286E56" w14:textId="77777777">
            <w:pPr>
              <w:contextualSpacing/>
              <w:rPr>
                <w:b w:val="0"/>
                <w:bCs w:val="0"/>
                <w:color w:val="000000"/>
                <w:sz w:val="18"/>
                <w:szCs w:val="18"/>
              </w:rPr>
            </w:pPr>
            <w:r w:rsidRPr="00060262">
              <w:rPr>
                <w:b w:val="0"/>
                <w:bCs w:val="0"/>
                <w:color w:val="000000"/>
                <w:sz w:val="18"/>
                <w:szCs w:val="18"/>
              </w:rPr>
              <w:t>Program Type</w:t>
            </w:r>
          </w:p>
        </w:tc>
        <w:tc>
          <w:tcPr>
            <w:tcW w:w="3463" w:type="pct"/>
            <w:vAlign w:val="center"/>
          </w:tcPr>
          <w:p w:rsidR="000B5CA8" w:rsidRPr="00060262" w:rsidP="000B5CA8" w14:paraId="441DD313"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Combined (PHAs that have both Public Housing and HCS programs)</w:t>
            </w:r>
          </w:p>
          <w:p w:rsidR="000B5CA8" w:rsidRPr="00060262" w:rsidP="000B5CA8" w14:paraId="47376714"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HCV Only</w:t>
            </w:r>
          </w:p>
          <w:p w:rsidR="000B5CA8" w:rsidRPr="00060262" w:rsidP="000B5CA8" w14:paraId="337A48AD"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Public Housing Only</w:t>
            </w:r>
          </w:p>
        </w:tc>
      </w:tr>
      <w:tr w14:paraId="48B8A8E3" w14:textId="77777777" w:rsidTr="00E822FA">
        <w:tblPrEx>
          <w:tblW w:w="5000" w:type="pct"/>
          <w:tblLook w:val="06A0"/>
        </w:tblPrEx>
        <w:trPr>
          <w:trHeight w:val="20"/>
        </w:trPr>
        <w:tc>
          <w:tcPr>
            <w:tcW w:w="1537" w:type="pct"/>
            <w:vAlign w:val="center"/>
          </w:tcPr>
          <w:p w:rsidR="000B5CA8" w:rsidRPr="00060262" w:rsidP="00E822FA" w14:paraId="23083068" w14:textId="77777777">
            <w:pPr>
              <w:contextualSpacing/>
              <w:rPr>
                <w:rFonts w:eastAsia="Calibri"/>
                <w:b w:val="0"/>
                <w:color w:val="000000"/>
                <w:sz w:val="18"/>
                <w:szCs w:val="18"/>
              </w:rPr>
            </w:pPr>
            <w:r w:rsidRPr="00060262">
              <w:rPr>
                <w:rFonts w:eastAsia="Calibri"/>
                <w:b w:val="0"/>
                <w:color w:val="000000" w:themeColor="text1"/>
                <w:sz w:val="18"/>
                <w:szCs w:val="18"/>
              </w:rPr>
              <w:t>PHA Size*</w:t>
            </w:r>
          </w:p>
        </w:tc>
        <w:tc>
          <w:tcPr>
            <w:tcW w:w="3463" w:type="pct"/>
            <w:vAlign w:val="center"/>
          </w:tcPr>
          <w:p w:rsidR="000B5CA8" w:rsidRPr="00060262" w:rsidP="000B5CA8" w14:paraId="0C35C4A6"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Extra Small (0-249)</w:t>
            </w:r>
          </w:p>
          <w:p w:rsidR="000B5CA8" w:rsidRPr="00060262" w:rsidP="000B5CA8" w14:paraId="05C5D6FF"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Small (250-549)</w:t>
            </w:r>
          </w:p>
          <w:p w:rsidR="000B5CA8" w:rsidRPr="00060262" w:rsidP="000B5CA8" w14:paraId="11D59B14"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Medium (550-4,999)</w:t>
            </w:r>
          </w:p>
          <w:p w:rsidR="000B5CA8" w:rsidRPr="00060262" w:rsidP="000B5CA8" w14:paraId="4AAB08B6"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Large (5,000-57,999)</w:t>
            </w:r>
          </w:p>
          <w:p w:rsidR="000B5CA8" w:rsidRPr="00060262" w:rsidP="000B5CA8" w14:paraId="1E79FBAC"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Extra-Large (58,000 or Larger)</w:t>
            </w:r>
          </w:p>
        </w:tc>
      </w:tr>
      <w:tr w14:paraId="5132C5D7" w14:textId="77777777" w:rsidTr="00E822FA">
        <w:tblPrEx>
          <w:tblW w:w="5000" w:type="pct"/>
          <w:tblLook w:val="06A0"/>
        </w:tblPrEx>
        <w:trPr>
          <w:trHeight w:val="20"/>
        </w:trPr>
        <w:tc>
          <w:tcPr>
            <w:tcW w:w="1537" w:type="pct"/>
            <w:vAlign w:val="center"/>
          </w:tcPr>
          <w:p w:rsidR="000B5CA8" w:rsidRPr="00060262" w:rsidP="00E822FA" w14:paraId="6F33D72A" w14:textId="77777777">
            <w:pPr>
              <w:contextualSpacing/>
              <w:rPr>
                <w:b w:val="0"/>
                <w:bCs w:val="0"/>
                <w:color w:val="000000"/>
                <w:sz w:val="18"/>
                <w:szCs w:val="18"/>
              </w:rPr>
            </w:pPr>
            <w:r w:rsidRPr="00060262">
              <w:rPr>
                <w:b w:val="0"/>
                <w:bCs w:val="0"/>
                <w:color w:val="000000"/>
                <w:sz w:val="18"/>
                <w:szCs w:val="18"/>
              </w:rPr>
              <w:t>MTW Status</w:t>
            </w:r>
          </w:p>
        </w:tc>
        <w:tc>
          <w:tcPr>
            <w:tcW w:w="3463" w:type="pct"/>
            <w:vAlign w:val="center"/>
          </w:tcPr>
          <w:p w:rsidR="000B5CA8" w:rsidRPr="00060262" w:rsidP="000B5CA8" w14:paraId="32D26A22"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N</w:t>
            </w:r>
          </w:p>
          <w:p w:rsidR="000B5CA8" w:rsidRPr="00060262" w:rsidP="000B5CA8" w14:paraId="4D3E6834"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Y</w:t>
            </w:r>
          </w:p>
          <w:p w:rsidR="000B5CA8" w:rsidRPr="00060262" w:rsidP="000B5CA8" w14:paraId="6E30622A" w14:textId="77777777">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s>
              <w:spacing w:line="210" w:lineRule="atLeast"/>
              <w:ind w:left="340" w:hanging="180"/>
              <w:contextualSpacing/>
              <w:suppressOverlap/>
              <w:rPr>
                <w:sz w:val="18"/>
                <w:szCs w:val="18"/>
              </w:rPr>
            </w:pPr>
            <w:r w:rsidRPr="00060262">
              <w:rPr>
                <w:sz w:val="18"/>
                <w:szCs w:val="18"/>
              </w:rPr>
              <w:t>Y-Expansion</w:t>
            </w:r>
          </w:p>
        </w:tc>
      </w:tr>
    </w:tbl>
    <w:p w:rsidR="000B5CA8" w:rsidRPr="00E3635D" w:rsidP="000B5CA8" w14:paraId="23DCA831" w14:textId="77777777">
      <w:pPr>
        <w:rPr>
          <w:sz w:val="20"/>
          <w:szCs w:val="20"/>
        </w:rPr>
      </w:pPr>
      <w:r w:rsidRPr="00E3635D">
        <w:rPr>
          <w:b/>
          <w:bCs/>
          <w:sz w:val="20"/>
          <w:szCs w:val="20"/>
        </w:rPr>
        <w:t>Notes</w:t>
      </w:r>
      <w:r w:rsidRPr="00E3635D">
        <w:rPr>
          <w:sz w:val="20"/>
          <w:szCs w:val="20"/>
        </w:rPr>
        <w:t xml:space="preserve">: *We may combine certain groups to make sure we have an appropriate number of PHAs in each stratum. </w:t>
      </w:r>
    </w:p>
    <w:p w:rsidR="000B5CA8" w:rsidRPr="00A84769" w:rsidP="000B5CA8" w14:paraId="632D2688" w14:textId="77777777">
      <w:pPr>
        <w:pStyle w:val="Heading3"/>
        <w:rPr>
          <w:rFonts w:ascii="Times New Roman" w:hAnsi="Times New Roman" w:cs="Times New Roman"/>
          <w:u w:val="single"/>
        </w:rPr>
      </w:pPr>
      <w:bookmarkStart w:id="2" w:name="_Toc121734487"/>
      <w:r w:rsidRPr="00A84769">
        <w:rPr>
          <w:rFonts w:ascii="Times New Roman" w:hAnsi="Times New Roman" w:cs="Times New Roman"/>
          <w:u w:val="single"/>
        </w:rPr>
        <w:t>Selection Criteria for PHAs that did not Utilize Waivers</w:t>
      </w:r>
      <w:bookmarkEnd w:id="2"/>
    </w:p>
    <w:p w:rsidR="000B5CA8" w:rsidP="000B5CA8" w14:paraId="562C1B3A" w14:textId="1982D3D4">
      <w:r w:rsidRPr="00E3635D">
        <w:t>Our preliminary analysis shows that most (about 75 percent) of the PHAs that did not adopt a waiver are small PHAs</w:t>
      </w:r>
      <w:r w:rsidR="005516B3">
        <w:t>, with the rest comprising medium and large PHAs</w:t>
      </w:r>
      <w:r w:rsidRPr="00E3635D">
        <w:t xml:space="preserve">. As a result (and because our proposed sample size for this group will be relatively small), our selection criteria for PHAs </w:t>
      </w:r>
      <w:r w:rsidR="007971D6">
        <w:t>that</w:t>
      </w:r>
      <w:r w:rsidRPr="00E3635D" w:rsidR="007971D6">
        <w:t xml:space="preserve"> </w:t>
      </w:r>
      <w:r w:rsidR="005536B2">
        <w:t>declined to</w:t>
      </w:r>
      <w:r w:rsidRPr="00E3635D">
        <w:t xml:space="preserve"> adopt a waiver </w:t>
      </w:r>
      <w:r w:rsidR="007971D6">
        <w:t>would</w:t>
      </w:r>
      <w:r w:rsidRPr="00E3635D" w:rsidR="007971D6">
        <w:t xml:space="preserve"> </w:t>
      </w:r>
      <w:r w:rsidR="00EB31CD">
        <w:t>have favored</w:t>
      </w:r>
      <w:r w:rsidRPr="00E3635D">
        <w:t xml:space="preserve"> small PHAs. </w:t>
      </w:r>
      <w:r w:rsidR="00B504AE">
        <w:t>After discussions with HUD COR and SMEs, w</w:t>
      </w:r>
      <w:r w:rsidR="007530E0">
        <w:t xml:space="preserve">e have determined to select three small PHAs, one medium PHA, and one large PHA for this group. </w:t>
      </w:r>
      <w:r w:rsidRPr="00E3635D">
        <w:t xml:space="preserve">We will aim to ensure that these PHAs are </w:t>
      </w:r>
      <w:r w:rsidRPr="00E3635D">
        <w:t>in close proximity to</w:t>
      </w:r>
      <w:r w:rsidRPr="00E3635D">
        <w:t xml:space="preserve"> PHAs from the sample of PHAs that utilized a waiver. This ensures we </w:t>
      </w:r>
      <w:r w:rsidRPr="00E3635D">
        <w:t>are able to</w:t>
      </w:r>
      <w:r w:rsidRPr="00E3635D">
        <w:t xml:space="preserve"> control the environment within which PHAs operate, especially given that </w:t>
      </w:r>
      <w:r w:rsidR="00E7163B">
        <w:t xml:space="preserve">there may have been local or regional </w:t>
      </w:r>
      <w:r w:rsidRPr="002E6891" w:rsidR="00E7163B">
        <w:t xml:space="preserve">conditions </w:t>
      </w:r>
      <w:r w:rsidR="00E7163B">
        <w:t>that may have influenced PHAs in similar ways, regardless of PHA size.</w:t>
      </w:r>
      <w:r w:rsidRPr="00E3635D" w:rsidR="00E7163B">
        <w:t xml:space="preserve"> </w:t>
      </w:r>
      <w:r w:rsidR="008E0F2D">
        <w:t>This may have been the case especially during the early stages of the pandemic as localities had different policies on lockdowns, social distancing, and other COVID-19 prevention strategies that likely impacted PHAs and assisted households</w:t>
      </w:r>
      <w:r w:rsidRPr="002E6891" w:rsidR="008E0F2D">
        <w:t>.</w:t>
      </w:r>
      <w:r w:rsidR="008E0F2D">
        <w:t xml:space="preserve"> </w:t>
      </w:r>
      <w:r w:rsidRPr="00E3635D">
        <w:t xml:space="preserve">Such an approach will offer </w:t>
      </w:r>
      <w:r w:rsidR="00EE1DA2">
        <w:t xml:space="preserve">limited but </w:t>
      </w:r>
      <w:r w:rsidRPr="00E3635D">
        <w:t xml:space="preserve">useful insights into why PHAs operating in the same </w:t>
      </w:r>
      <w:r w:rsidR="0001654A">
        <w:t>localities or regions</w:t>
      </w:r>
      <w:r w:rsidRPr="00E3635D" w:rsidR="0001654A">
        <w:t xml:space="preserve"> </w:t>
      </w:r>
      <w:r w:rsidRPr="00E3635D">
        <w:t>had different or similar outcomes because of the utilization of waivers.</w:t>
      </w:r>
    </w:p>
    <w:p w:rsidR="00A84769" w:rsidRPr="00E3635D" w:rsidP="000B5CA8" w14:paraId="45014330" w14:textId="77777777"/>
    <w:p w:rsidR="000B5CA8" w:rsidP="00A84769" w14:paraId="2AA33D9D" w14:textId="29370B9F">
      <w:r>
        <w:t>We</w:t>
      </w:r>
      <w:r w:rsidRPr="00E3635D">
        <w:t xml:space="preserve"> will maintain a list of up to ten alternative PHAs should any of the original PHA</w:t>
      </w:r>
      <w:r w:rsidR="00EE1DA2">
        <w:t xml:space="preserve">s </w:t>
      </w:r>
      <w:r w:rsidRPr="00E3635D">
        <w:t xml:space="preserve">be </w:t>
      </w:r>
      <w:r w:rsidR="00A60C6B">
        <w:t>unavailable</w:t>
      </w:r>
      <w:r w:rsidRPr="00E3635D" w:rsidR="00A60C6B">
        <w:t xml:space="preserve"> </w:t>
      </w:r>
      <w:r w:rsidRPr="00E3635D">
        <w:t>or unresponsive to our recruitment efforts; this will ensure we interview stakeholders from 50 PHAs within the data collection period. Once we select the sample, we will provide HUD with the list of selected PHAs and secure HUD approval before beginning the recruitment of the PHAs for the study.</w:t>
      </w:r>
    </w:p>
    <w:p w:rsidR="00A84769" w:rsidRPr="00E3635D" w:rsidP="00A84769" w14:paraId="01DE0D58" w14:textId="2F5E4F2A">
      <w:pPr>
        <w:pStyle w:val="Heading2"/>
        <w:rPr>
          <w:rFonts w:ascii="Times New Roman" w:hAnsi="Times New Roman" w:cs="Times New Roman"/>
        </w:rPr>
      </w:pPr>
      <w:r w:rsidRPr="00A84769">
        <w:rPr>
          <w:rFonts w:ascii="Times New Roman" w:hAnsi="Times New Roman" w:cs="Times New Roman"/>
        </w:rPr>
        <w:t>Sample Recruitment</w:t>
      </w:r>
    </w:p>
    <w:p w:rsidR="005E3AD2" w:rsidP="000A389A" w14:paraId="0C5CB2E4" w14:textId="132013DC">
      <w:r>
        <w:t xml:space="preserve">After </w:t>
      </w:r>
      <w:r w:rsidR="00836714">
        <w:t>finalizing the sample</w:t>
      </w:r>
      <w:r w:rsidR="000A389A">
        <w:t xml:space="preserve">, </w:t>
      </w:r>
      <w:r w:rsidR="000F2A52">
        <w:t xml:space="preserve">HUD will provide the contact information or </w:t>
      </w:r>
      <w:r w:rsidR="000A389A">
        <w:t>2M</w:t>
      </w:r>
      <w:r w:rsidR="00CC289A">
        <w:t xml:space="preserve"> </w:t>
      </w:r>
      <w:r w:rsidR="00CC289A">
        <w:t>Research</w:t>
      </w:r>
      <w:r w:rsidR="000A389A">
        <w:t xml:space="preserve"> </w:t>
      </w:r>
      <w:r w:rsidR="000A389A">
        <w:t xml:space="preserve">will identify a point of contact for each </w:t>
      </w:r>
      <w:r w:rsidR="00CF32F7">
        <w:t xml:space="preserve">sampled </w:t>
      </w:r>
      <w:r w:rsidR="000F2A52">
        <w:t>PHA</w:t>
      </w:r>
      <w:r w:rsidR="000A389A">
        <w:t xml:space="preserve"> (where possible). </w:t>
      </w:r>
      <w:r>
        <w:t>We anticipate this contact will be in a leadership position or a staff member from selected PHAs.</w:t>
      </w:r>
      <w:r w:rsidRPr="000F2A52">
        <w:t xml:space="preserve"> </w:t>
      </w:r>
      <w:r w:rsidR="000F2A52">
        <w:t>To facilitate the recruitment of these PHAs, HUD will send an outreach email to each point of contact from the 50 selected PHAs. 2M</w:t>
      </w:r>
      <w:r w:rsidR="00CC289A">
        <w:t xml:space="preserve"> </w:t>
      </w:r>
      <w:r w:rsidR="00CC289A">
        <w:t>Research</w:t>
      </w:r>
      <w:r w:rsidR="000F2A52">
        <w:t xml:space="preserve"> </w:t>
      </w:r>
      <w:r w:rsidR="000F2A52">
        <w:t xml:space="preserve">will follow the outreach email by scheduling a call with each point of contact during which </w:t>
      </w:r>
      <w:r w:rsidR="00B61DE2">
        <w:t xml:space="preserve">a </w:t>
      </w:r>
      <w:r w:rsidR="000F2A52">
        <w:t>2M</w:t>
      </w:r>
      <w:r w:rsidR="00CC289A">
        <w:t xml:space="preserve"> </w:t>
      </w:r>
      <w:r w:rsidR="00CC289A">
        <w:t>Research</w:t>
      </w:r>
      <w:r w:rsidR="000F2A52">
        <w:t xml:space="preserve"> </w:t>
      </w:r>
      <w:r w:rsidR="0003252E">
        <w:t>liaison</w:t>
      </w:r>
      <w:r w:rsidR="000F2A52">
        <w:t xml:space="preserve"> will introduce the study, respond to any questions or concerns, and begin to work with them to </w:t>
      </w:r>
      <w:r w:rsidR="00A072B2">
        <w:t xml:space="preserve">identify </w:t>
      </w:r>
      <w:r w:rsidRPr="00D62F9D" w:rsidR="00A072B2">
        <w:t>other relevant stakeholders from the PHAs</w:t>
      </w:r>
      <w:r w:rsidR="00A072B2">
        <w:t>,</w:t>
      </w:r>
      <w:r w:rsidRPr="00D62F9D" w:rsidR="00A072B2">
        <w:t xml:space="preserve"> such as PHA </w:t>
      </w:r>
      <w:r w:rsidR="00A072B2">
        <w:rPr>
          <w:color w:val="000000"/>
        </w:rPr>
        <w:t>operations</w:t>
      </w:r>
      <w:r w:rsidRPr="00D62F9D" w:rsidR="00A072B2">
        <w:t xml:space="preserve"> </w:t>
      </w:r>
      <w:r w:rsidRPr="00D62F9D" w:rsidR="00A072B2">
        <w:t xml:space="preserve">staff, </w:t>
      </w:r>
      <w:r w:rsidR="00A072B2">
        <w:rPr>
          <w:color w:val="000000"/>
        </w:rPr>
        <w:t xml:space="preserve">members of </w:t>
      </w:r>
      <w:r w:rsidR="00A072B2">
        <w:t>R</w:t>
      </w:r>
      <w:r w:rsidRPr="00D62F9D" w:rsidR="00A072B2">
        <w:t xml:space="preserve">esident </w:t>
      </w:r>
      <w:r w:rsidR="00A072B2">
        <w:t>A</w:t>
      </w:r>
      <w:r w:rsidRPr="00D62F9D" w:rsidR="00A072B2">
        <w:t xml:space="preserve">dvisory </w:t>
      </w:r>
      <w:r w:rsidR="00A072B2">
        <w:t>B</w:t>
      </w:r>
      <w:r w:rsidRPr="00D62F9D" w:rsidR="00A072B2">
        <w:t xml:space="preserve">oards, </w:t>
      </w:r>
      <w:r w:rsidR="00A072B2">
        <w:t>or</w:t>
      </w:r>
      <w:r w:rsidRPr="00D62F9D" w:rsidR="00A072B2">
        <w:t xml:space="preserve"> other stakeholders that were involved or impacted by the implementation of PHA waivers. </w:t>
      </w:r>
      <w:r w:rsidR="00904017">
        <w:t>2M</w:t>
      </w:r>
      <w:r w:rsidRPr="00E3635D" w:rsidR="00904017">
        <w:t xml:space="preserve"> </w:t>
      </w:r>
      <w:r w:rsidR="000C4673">
        <w:t>Research</w:t>
      </w:r>
      <w:r w:rsidRPr="00E3635D" w:rsidR="00904017">
        <w:t xml:space="preserve"> </w:t>
      </w:r>
      <w:r w:rsidRPr="00E3635D" w:rsidR="000F2A52">
        <w:t xml:space="preserve">will work with each PHA’s </w:t>
      </w:r>
      <w:r w:rsidR="000F2A52">
        <w:t>point of contact</w:t>
      </w:r>
      <w:r w:rsidRPr="00E3635D" w:rsidR="000F2A52">
        <w:t xml:space="preserve"> to identify the most relevant staff to answer the study’s research questions. </w:t>
      </w:r>
      <w:r w:rsidR="00051E96">
        <w:t>F</w:t>
      </w:r>
      <w:r w:rsidRPr="006274C1" w:rsidR="00051E96">
        <w:t xml:space="preserve">or </w:t>
      </w:r>
      <w:r w:rsidR="00051E96">
        <w:t xml:space="preserve">the members of the Resident Advisory Boards, 2M </w:t>
      </w:r>
      <w:r w:rsidR="000C4673">
        <w:t>Research</w:t>
      </w:r>
      <w:r w:rsidRPr="006274C1" w:rsidR="000C4673">
        <w:t xml:space="preserve"> </w:t>
      </w:r>
      <w:r w:rsidRPr="006274C1" w:rsidR="00051E96">
        <w:t>anticipate</w:t>
      </w:r>
      <w:r w:rsidR="00051E96">
        <w:t>s</w:t>
      </w:r>
      <w:r w:rsidRPr="006274C1" w:rsidR="00051E96">
        <w:t xml:space="preserve"> assistance from </w:t>
      </w:r>
      <w:r w:rsidR="00051E96">
        <w:t>PHA leadership and operations staff</w:t>
      </w:r>
      <w:r w:rsidRPr="006274C1" w:rsidR="00051E96">
        <w:t xml:space="preserve"> to </w:t>
      </w:r>
      <w:r w:rsidR="00051E96">
        <w:t>help recruit for</w:t>
      </w:r>
      <w:r w:rsidRPr="006274C1" w:rsidR="00051E96">
        <w:t xml:space="preserve"> the interviews. </w:t>
      </w:r>
      <w:r w:rsidR="00051E96">
        <w:t xml:space="preserve">Following the introduction email from the PHA staff, </w:t>
      </w:r>
      <w:r w:rsidRPr="00FC23A1" w:rsidR="00051E96">
        <w:t xml:space="preserve">2M </w:t>
      </w:r>
      <w:r w:rsidR="000C4673">
        <w:t>Research</w:t>
      </w:r>
      <w:r w:rsidRPr="00FC23A1" w:rsidR="000C4673">
        <w:t xml:space="preserve"> </w:t>
      </w:r>
      <w:r w:rsidRPr="00FC23A1" w:rsidR="00051E96">
        <w:t xml:space="preserve">will </w:t>
      </w:r>
      <w:r w:rsidR="00051E96">
        <w:t>send a scripted email</w:t>
      </w:r>
      <w:r w:rsidRPr="00FC23A1" w:rsidR="00051E96">
        <w:t xml:space="preserve"> </w:t>
      </w:r>
      <w:r w:rsidR="00051E96">
        <w:t>to the</w:t>
      </w:r>
      <w:r w:rsidRPr="00FC23A1" w:rsidR="00051E96">
        <w:t xml:space="preserve"> </w:t>
      </w:r>
      <w:r w:rsidR="00051E96">
        <w:t>members of the Resident Advisory Boards</w:t>
      </w:r>
      <w:r w:rsidRPr="00FC23A1" w:rsidR="00051E96">
        <w:t xml:space="preserve"> introducing the study</w:t>
      </w:r>
      <w:r w:rsidR="00051E96">
        <w:t xml:space="preserve"> and the nature of questions that we hope to ask them</w:t>
      </w:r>
      <w:r w:rsidRPr="00FC23A1" w:rsidR="00051E96">
        <w:t>.</w:t>
      </w:r>
    </w:p>
    <w:p w:rsidR="005E3AD2" w:rsidP="000A389A" w14:paraId="60C97B14" w14:textId="77777777"/>
    <w:p w:rsidR="0003252E" w:rsidP="000A389A" w14:paraId="6FADCC9E" w14:textId="28AAA8B6">
      <w:r>
        <w:t xml:space="preserve">2M </w:t>
      </w:r>
      <w:r w:rsidR="00CC289A">
        <w:t xml:space="preserve">Research </w:t>
      </w:r>
      <w:r>
        <w:t>will designate two analysts as our lead points of contact for a minimum of 25 PHAs each, and they will serve as the primary points of contact for all respondents within each PHA to ensure the process is streamlined and coherent for stakeholders.</w:t>
      </w:r>
    </w:p>
    <w:p w:rsidR="006F3825" w:rsidP="0005057D" w14:paraId="66D5358F" w14:textId="322F011D"/>
    <w:p w:rsidR="004A0BF6" w:rsidRPr="00011C56" w:rsidP="004A0BF6" w14:paraId="2E9C7559" w14:textId="7515F7ED">
      <w:pPr>
        <w:widowControl w:val="0"/>
        <w:numPr>
          <w:ilvl w:val="0"/>
          <w:numId w:val="1"/>
        </w:numPr>
        <w:kinsoku w:val="0"/>
        <w:rPr>
          <w:b/>
          <w:bCs/>
        </w:rPr>
      </w:pPr>
      <w:r w:rsidRPr="00011C56">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A0BF6" w:rsidP="004A0BF6" w14:paraId="434EABA0" w14:textId="77777777">
      <w:pPr>
        <w:widowControl w:val="0"/>
        <w:kinsoku w:val="0"/>
        <w:ind w:left="360"/>
      </w:pPr>
    </w:p>
    <w:p w:rsidR="006466C9" w:rsidRPr="00986697" w:rsidP="006466C9" w14:paraId="3466E63E" w14:textId="6C440B37">
      <w:pPr>
        <w:spacing w:after="160" w:line="259" w:lineRule="auto"/>
      </w:pPr>
      <w:r>
        <w:t>E</w:t>
      </w:r>
      <w:r w:rsidRPr="00986697">
        <w:t xml:space="preserve">very data collection instrument and question </w:t>
      </w:r>
      <w:r>
        <w:t>has been</w:t>
      </w:r>
      <w:r w:rsidRPr="00986697">
        <w:t xml:space="preserve"> </w:t>
      </w:r>
      <w:r w:rsidRPr="00986697">
        <w:t>careful</w:t>
      </w:r>
      <w:r w:rsidRPr="00986697">
        <w:t xml:space="preserve"> scrutin</w:t>
      </w:r>
      <w:r>
        <w:t>ized</w:t>
      </w:r>
      <w:r w:rsidRPr="00986697">
        <w:t xml:space="preserve"> to make sure it </w:t>
      </w:r>
      <w:r>
        <w:t>aligns with the research questions, is</w:t>
      </w:r>
      <w:r w:rsidRPr="00986697">
        <w:t xml:space="preserve"> needed for the evaluation</w:t>
      </w:r>
      <w:r>
        <w:t>,</w:t>
      </w:r>
      <w:r w:rsidRPr="00986697">
        <w:t xml:space="preserve"> and does not duplicate other existing data sources. </w:t>
      </w:r>
      <w:r>
        <w:t>2M</w:t>
      </w:r>
      <w:r w:rsidRPr="00986697">
        <w:t xml:space="preserve"> </w:t>
      </w:r>
      <w:r w:rsidR="000C4673">
        <w:t>Research</w:t>
      </w:r>
      <w:r w:rsidRPr="00986697">
        <w:t xml:space="preserve"> will also clearly communicate the reason for collecting the data to the respondents and make it as easy as possible for respondents to provide the data.  </w:t>
      </w:r>
    </w:p>
    <w:p w:rsidR="006466C9" w:rsidRPr="00E614CE" w:rsidP="006466C9" w14:paraId="6EBAF21F" w14:textId="4C8F2F1E">
      <w:pPr>
        <w:spacing w:after="160" w:line="259" w:lineRule="auto"/>
      </w:pPr>
      <w:r w:rsidRPr="00E614CE">
        <w:t>PHAs</w:t>
      </w:r>
      <w:r w:rsidRPr="00E614CE">
        <w:t xml:space="preserve"> may have varying levels of interest in </w:t>
      </w:r>
      <w:r w:rsidR="005E3AD2">
        <w:t xml:space="preserve">participating in </w:t>
      </w:r>
      <w:r w:rsidR="005E3AD2">
        <w:t xml:space="preserve">the </w:t>
      </w:r>
      <w:r w:rsidR="0002676D">
        <w:t>semi</w:t>
      </w:r>
      <w:r w:rsidR="0002676D">
        <w:t>-structured</w:t>
      </w:r>
      <w:r w:rsidRPr="00E614CE">
        <w:t xml:space="preserve"> interviews. The non-</w:t>
      </w:r>
      <w:r w:rsidRPr="00E614CE" w:rsidR="00406541">
        <w:t>waiver</w:t>
      </w:r>
      <w:r w:rsidRPr="00E614CE">
        <w:t xml:space="preserve"> PHAs may be least likely to want to participate—knowing that they did not </w:t>
      </w:r>
      <w:r w:rsidR="0002676D">
        <w:t>adopt</w:t>
      </w:r>
      <w:r w:rsidRPr="00E614CE">
        <w:t xml:space="preserve"> the </w:t>
      </w:r>
      <w:r w:rsidRPr="00E614CE" w:rsidR="00406541">
        <w:t xml:space="preserve">CARES </w:t>
      </w:r>
      <w:r w:rsidRPr="00E614CE" w:rsidR="00E614CE">
        <w:t>waivers</w:t>
      </w:r>
      <w:r w:rsidRPr="00E614CE">
        <w:t xml:space="preserve"> and perhaps thinking they have nothing to offer the evaluation. Anticipating some reluctance on the part of PHAs, </w:t>
      </w:r>
      <w:r w:rsidR="00B51006">
        <w:t>2M</w:t>
      </w:r>
      <w:r w:rsidRPr="00E614CE">
        <w:t xml:space="preserve"> </w:t>
      </w:r>
      <w:r w:rsidR="000C4673">
        <w:t>Research</w:t>
      </w:r>
      <w:r w:rsidRPr="00E614CE" w:rsidR="000C4673">
        <w:t xml:space="preserve"> </w:t>
      </w:r>
      <w:r w:rsidRPr="00E614CE">
        <w:t>has tried to minimize the burden of the primary data collection by only asking PHAs for data that is not reported to HUD elsewhere and using the least time intensive approach</w:t>
      </w:r>
      <w:r w:rsidR="00583408">
        <w:t xml:space="preserve">, </w:t>
      </w:r>
      <w:r w:rsidR="00AA2093">
        <w:t>using virtual meeting software, such as Zoom, Teams, etc</w:t>
      </w:r>
      <w:r w:rsidRPr="00E614CE">
        <w:t xml:space="preserve">. We also hope to incentivize PHAs’ participation by being clear up front about what </w:t>
      </w:r>
      <w:r w:rsidR="00583408">
        <w:t>2M</w:t>
      </w:r>
      <w:r w:rsidRPr="00E614CE">
        <w:t xml:space="preserve"> </w:t>
      </w:r>
      <w:r w:rsidR="000C4673">
        <w:t>Research</w:t>
      </w:r>
      <w:r w:rsidRPr="00E614CE" w:rsidR="000C4673">
        <w:t xml:space="preserve"> </w:t>
      </w:r>
      <w:r w:rsidRPr="00E614CE">
        <w:t>will need from the PHAs and by offering something meaningful to PHAs in return, such as</w:t>
      </w:r>
      <w:r w:rsidR="0049490A">
        <w:t xml:space="preserve"> explaining </w:t>
      </w:r>
      <w:r w:rsidR="003D4803">
        <w:t>to them about the importance of this study t</w:t>
      </w:r>
      <w:r w:rsidR="00ED2BC7">
        <w:t>o improving policies for PHAs and assisted households</w:t>
      </w:r>
      <w:r w:rsidR="00326D2F">
        <w:t>.</w:t>
      </w:r>
      <w:r w:rsidRPr="00E614CE">
        <w:t xml:space="preserve"> </w:t>
      </w:r>
    </w:p>
    <w:p w:rsidR="0089204D" w:rsidP="006466C9" w14:paraId="4019E228" w14:textId="0498F0D0">
      <w:pPr>
        <w:spacing w:after="160" w:line="259" w:lineRule="auto"/>
      </w:pPr>
      <w:r w:rsidRPr="0028162B">
        <w:t xml:space="preserve">Each PHA will have a dedicated liaison from </w:t>
      </w:r>
      <w:r w:rsidRPr="0028162B" w:rsidR="009D36DA">
        <w:t xml:space="preserve">2M </w:t>
      </w:r>
      <w:r w:rsidR="00CC289A">
        <w:t>R</w:t>
      </w:r>
      <w:r w:rsidRPr="0028162B" w:rsidR="009D36DA">
        <w:t>esearch</w:t>
      </w:r>
      <w:r w:rsidRPr="0028162B">
        <w:t xml:space="preserve"> </w:t>
      </w:r>
      <w:r w:rsidR="00086753">
        <w:t xml:space="preserve">who </w:t>
      </w:r>
      <w:r w:rsidRPr="0028162B">
        <w:t xml:space="preserve">will be the primary point of contact </w:t>
      </w:r>
      <w:r w:rsidR="00086753">
        <w:t>for</w:t>
      </w:r>
      <w:r w:rsidRPr="0028162B" w:rsidR="00086753">
        <w:t xml:space="preserve"> </w:t>
      </w:r>
      <w:r w:rsidRPr="0028162B">
        <w:t>the PHA and will be responsible for conducting all data collection activities and achieving high response rates.</w:t>
      </w:r>
      <w:r>
        <w:t xml:space="preserve"> </w:t>
      </w:r>
    </w:p>
    <w:p w:rsidR="00842EB1" w:rsidP="0089204D" w14:paraId="7AB9EBF0" w14:textId="2C5B2D40">
      <w:r>
        <w:t>We</w:t>
      </w:r>
      <w:r w:rsidRPr="00E3635D" w:rsidR="0089204D">
        <w:t xml:space="preserve"> will maintain a list of up to ten alternative PHAs should any of the original PHA sites be uninterested or unresponsive to our recruitment efforts; this will ensure we interview stakeholders from 50 PHAs within the data collection period. </w:t>
      </w:r>
    </w:p>
    <w:p w:rsidR="006F3825" w:rsidP="0005057D" w14:paraId="3EB3336A" w14:textId="40E3A8F9"/>
    <w:p w:rsidR="004A0BF6" w:rsidRPr="00011C56" w:rsidP="004A0BF6" w14:paraId="3C1B003A" w14:textId="1C748F89">
      <w:pPr>
        <w:widowControl w:val="0"/>
        <w:numPr>
          <w:ilvl w:val="0"/>
          <w:numId w:val="1"/>
        </w:numPr>
        <w:kinsoku w:val="0"/>
        <w:rPr>
          <w:b/>
          <w:bCs/>
        </w:rPr>
      </w:pPr>
      <w:r w:rsidRPr="00011C56">
        <w:rPr>
          <w:b/>
          <w:bCs/>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011C56">
        <w:rPr>
          <w:b/>
          <w:bCs/>
        </w:rPr>
        <w:t>test</w:t>
      </w:r>
      <w:r w:rsidRPr="00011C56">
        <w:rPr>
          <w:b/>
          <w:bCs/>
        </w:rPr>
        <w:t xml:space="preserve"> may be submitted for approval separately or in combination with the main collection of information. </w:t>
      </w:r>
    </w:p>
    <w:p w:rsidR="004A0BF6" w:rsidP="004A0BF6" w14:paraId="72E48882" w14:textId="77777777">
      <w:pPr>
        <w:pStyle w:val="ListParagraph"/>
      </w:pPr>
    </w:p>
    <w:p w:rsidR="006F3825" w14:paraId="4EA3E9CB" w14:textId="200D21A7">
      <w:pPr>
        <w:spacing w:after="160" w:line="259" w:lineRule="auto"/>
      </w:pPr>
      <w:r>
        <w:t>No pretesting will occur for this data collection.</w:t>
      </w:r>
      <w:r w:rsidR="00AF614C">
        <w:t xml:space="preserve"> </w:t>
      </w:r>
      <w:r w:rsidR="00D24BD5">
        <w:t>2M</w:t>
      </w:r>
      <w:r w:rsidRPr="00514D0F" w:rsidR="00AF614C">
        <w:t xml:space="preserve"> </w:t>
      </w:r>
      <w:r w:rsidR="00522498">
        <w:t>Research</w:t>
      </w:r>
      <w:r w:rsidRPr="00514D0F" w:rsidR="00AF614C">
        <w:t xml:space="preserve"> will </w:t>
      </w:r>
      <w:r w:rsidR="00AF614C">
        <w:t xml:space="preserve">try to reduce respondent burden by </w:t>
      </w:r>
      <w:r w:rsidRPr="00514D0F" w:rsidR="00AF614C">
        <w:t>review</w:t>
      </w:r>
      <w:r w:rsidR="00AF614C">
        <w:t>ing</w:t>
      </w:r>
      <w:r w:rsidRPr="00514D0F" w:rsidR="00AF614C">
        <w:t xml:space="preserve"> all available information for each PHA </w:t>
      </w:r>
      <w:r w:rsidR="00AF614C">
        <w:t xml:space="preserve">(e.g., </w:t>
      </w:r>
      <w:r w:rsidRPr="00514D0F" w:rsidR="00AF614C">
        <w:t xml:space="preserve">the </w:t>
      </w:r>
      <w:r w:rsidRPr="005312FD" w:rsidR="005312FD">
        <w:t xml:space="preserve">CARES Act Waiver Reporting Tool </w:t>
      </w:r>
      <w:r w:rsidR="005312FD">
        <w:t>[</w:t>
      </w:r>
      <w:r w:rsidRPr="005312FD" w:rsidR="005312FD">
        <w:t>CAWRT</w:t>
      </w:r>
      <w:r w:rsidR="005312FD">
        <w:t>]</w:t>
      </w:r>
      <w:r w:rsidRPr="005312FD" w:rsidR="005312FD">
        <w:t xml:space="preserve"> </w:t>
      </w:r>
      <w:r w:rsidRPr="00514D0F" w:rsidR="00AF614C">
        <w:t xml:space="preserve">survey data </w:t>
      </w:r>
      <w:r w:rsidR="00AF614C">
        <w:t xml:space="preserve">as well as the </w:t>
      </w:r>
      <w:r w:rsidR="009D7E66">
        <w:t xml:space="preserve">administrative </w:t>
      </w:r>
      <w:r w:rsidRPr="00514D0F" w:rsidR="00AF614C">
        <w:t xml:space="preserve">data collected </w:t>
      </w:r>
      <w:r w:rsidR="009D7E66">
        <w:t>by HUD</w:t>
      </w:r>
      <w:r w:rsidR="00AF614C">
        <w:t>).</w:t>
      </w:r>
      <w:r w:rsidRPr="00514D0F" w:rsidR="00AF614C">
        <w:t xml:space="preserve"> </w:t>
      </w:r>
      <w:r w:rsidR="00D24BD5">
        <w:t>2M</w:t>
      </w:r>
      <w:r w:rsidRPr="00514D0F" w:rsidR="00AF614C">
        <w:t xml:space="preserve"> </w:t>
      </w:r>
      <w:r w:rsidR="00522498">
        <w:t>Research</w:t>
      </w:r>
      <w:r w:rsidRPr="00514D0F" w:rsidR="00AF614C">
        <w:t xml:space="preserve"> will also pre-populate the interview guides with information collected </w:t>
      </w:r>
      <w:r w:rsidR="005312FD">
        <w:t xml:space="preserve">from PHAs </w:t>
      </w:r>
      <w:r w:rsidRPr="00514D0F" w:rsidR="00AF614C">
        <w:t xml:space="preserve">through </w:t>
      </w:r>
      <w:r w:rsidR="00912FED">
        <w:t xml:space="preserve">HUD’s </w:t>
      </w:r>
      <w:r w:rsidRPr="00514D0F" w:rsidR="00AF614C">
        <w:t xml:space="preserve">online CAWRT surveys and </w:t>
      </w:r>
      <w:r w:rsidR="00AF614C">
        <w:t>a review of HUD documents</w:t>
      </w:r>
      <w:r w:rsidRPr="00514D0F" w:rsidR="00AF614C">
        <w:t xml:space="preserve"> to minimize the </w:t>
      </w:r>
      <w:r w:rsidR="00AF614C">
        <w:t xml:space="preserve">respondent </w:t>
      </w:r>
      <w:r w:rsidRPr="00514D0F" w:rsidR="00AF614C">
        <w:t xml:space="preserve">burden on PHA </w:t>
      </w:r>
      <w:r w:rsidR="009D7E66">
        <w:t>stakeholders</w:t>
      </w:r>
      <w:r w:rsidRPr="00514D0F" w:rsidR="00AF614C">
        <w:t>.</w:t>
      </w:r>
      <w:r w:rsidRPr="008266B9" w:rsidR="008266B9">
        <w:t xml:space="preserve"> </w:t>
      </w:r>
    </w:p>
    <w:p w:rsidR="004A0BF6" w:rsidRPr="00011C56" w:rsidP="004A0BF6" w14:paraId="21B0B368" w14:textId="7BC84FA2">
      <w:pPr>
        <w:widowControl w:val="0"/>
        <w:numPr>
          <w:ilvl w:val="0"/>
          <w:numId w:val="1"/>
        </w:numPr>
        <w:kinsoku w:val="0"/>
        <w:rPr>
          <w:b/>
          <w:bCs/>
        </w:rPr>
      </w:pPr>
      <w:r w:rsidRPr="00011C56">
        <w:rPr>
          <w:b/>
          <w:bCs/>
        </w:rPr>
        <w:t xml:space="preserve">Provide the name and telephone number of individuals consulted on statistical aspects of the design and the name of the agency unit, contractor(s), grantee(s), or other person(s) who will </w:t>
      </w:r>
      <w:r w:rsidRPr="00011C56">
        <w:rPr>
          <w:b/>
          <w:bCs/>
        </w:rPr>
        <w:t>actually collect</w:t>
      </w:r>
      <w:r w:rsidRPr="00011C56">
        <w:rPr>
          <w:b/>
          <w:bCs/>
        </w:rPr>
        <w:t xml:space="preserve"> and/or analyze the information for the agency</w:t>
      </w:r>
      <w:r w:rsidRPr="00011C56" w:rsidR="00316545">
        <w:rPr>
          <w:b/>
          <w:bCs/>
        </w:rPr>
        <w:t>.</w:t>
      </w:r>
    </w:p>
    <w:p w:rsidR="004A0BF6" w14:paraId="2DEABA92" w14:textId="503ED86D"/>
    <w:p w:rsidR="00DF2795" w:rsidRPr="000870FE" w:rsidP="00DF2795" w14:paraId="58D7817A" w14:textId="7B5158A5">
      <w:pPr>
        <w:pStyle w:val="BodyText"/>
        <w:rPr>
          <w:sz w:val="24"/>
          <w:szCs w:val="24"/>
        </w:rPr>
      </w:pPr>
      <w:r w:rsidRPr="000870FE">
        <w:rPr>
          <w:sz w:val="24"/>
          <w:szCs w:val="24"/>
        </w:rPr>
        <w:t xml:space="preserve">HUD contracted with </w:t>
      </w:r>
      <w:r>
        <w:rPr>
          <w:sz w:val="24"/>
          <w:szCs w:val="24"/>
        </w:rPr>
        <w:t xml:space="preserve">2M </w:t>
      </w:r>
      <w:r>
        <w:rPr>
          <w:sz w:val="24"/>
          <w:szCs w:val="24"/>
        </w:rPr>
        <w:t xml:space="preserve">Research </w:t>
      </w:r>
      <w:r w:rsidRPr="000870FE">
        <w:rPr>
          <w:sz w:val="24"/>
          <w:szCs w:val="24"/>
        </w:rPr>
        <w:t xml:space="preserve">to conduct the data collection. </w:t>
      </w:r>
      <w:r>
        <w:rPr>
          <w:sz w:val="24"/>
          <w:szCs w:val="24"/>
        </w:rPr>
        <w:t>Dr. Hiren Nisar (Principal Investigator), Dr. Dennis Okyere (Project Manager), and Dr. Lan Hu (Quantitative Analysis Lead) developed the statistical aspects of the design</w:t>
      </w:r>
      <w:r w:rsidRPr="000764E5">
        <w:rPr>
          <w:sz w:val="24"/>
          <w:szCs w:val="24"/>
        </w:rPr>
        <w:t xml:space="preserve">. </w:t>
      </w:r>
      <w:r w:rsidRPr="000870FE">
        <w:rPr>
          <w:sz w:val="24"/>
          <w:szCs w:val="24"/>
        </w:rPr>
        <w:t>HUD</w:t>
      </w:r>
      <w:r>
        <w:rPr>
          <w:sz w:val="24"/>
          <w:szCs w:val="24"/>
        </w:rPr>
        <w:t>’s</w:t>
      </w:r>
      <w:r w:rsidRPr="000870FE">
        <w:rPr>
          <w:sz w:val="24"/>
          <w:szCs w:val="24"/>
        </w:rPr>
        <w:t xml:space="preserve"> Contracting Officer’s Representative (COR)</w:t>
      </w:r>
      <w:r>
        <w:rPr>
          <w:sz w:val="24"/>
          <w:szCs w:val="24"/>
        </w:rPr>
        <w:t xml:space="preserve">, </w:t>
      </w:r>
      <w:r w:rsidR="006C37BF">
        <w:rPr>
          <w:sz w:val="24"/>
          <w:szCs w:val="24"/>
        </w:rPr>
        <w:t>Justin Brock</w:t>
      </w:r>
      <w:r>
        <w:rPr>
          <w:sz w:val="24"/>
          <w:szCs w:val="24"/>
        </w:rPr>
        <w:t>,</w:t>
      </w:r>
      <w:r w:rsidRPr="000870FE">
        <w:rPr>
          <w:sz w:val="24"/>
          <w:szCs w:val="24"/>
        </w:rPr>
        <w:t xml:space="preserve"> reviewed all the procedures and had them reviewed by other subject matter experts at HUD. If there are any questions about this submission, please call either the HUD COR, </w:t>
      </w:r>
      <w:r w:rsidR="006C37BF">
        <w:rPr>
          <w:sz w:val="24"/>
          <w:szCs w:val="24"/>
        </w:rPr>
        <w:t>Justin Brock</w:t>
      </w:r>
      <w:r w:rsidR="00FC3BF0">
        <w:rPr>
          <w:sz w:val="24"/>
          <w:szCs w:val="24"/>
        </w:rPr>
        <w:t xml:space="preserve"> </w:t>
      </w:r>
      <w:r w:rsidR="00912FED">
        <w:rPr>
          <w:sz w:val="24"/>
          <w:szCs w:val="24"/>
        </w:rPr>
        <w:t>(202-402-4348</w:t>
      </w:r>
      <w:r w:rsidR="006A0E75">
        <w:rPr>
          <w:sz w:val="24"/>
          <w:szCs w:val="24"/>
        </w:rPr>
        <w:t>, or more frequently available by email at Justin.Brock@HUD.gov</w:t>
      </w:r>
      <w:r w:rsidR="00912FED">
        <w:rPr>
          <w:sz w:val="24"/>
          <w:szCs w:val="24"/>
        </w:rPr>
        <w:t>)</w:t>
      </w:r>
      <w:r w:rsidRPr="000870FE">
        <w:rPr>
          <w:sz w:val="24"/>
          <w:szCs w:val="24"/>
        </w:rPr>
        <w:t xml:space="preserve"> or the </w:t>
      </w:r>
      <w:r w:rsidR="00AB62CA">
        <w:rPr>
          <w:sz w:val="24"/>
          <w:szCs w:val="24"/>
        </w:rPr>
        <w:t>2M</w:t>
      </w:r>
      <w:r w:rsidR="00FC3BF0">
        <w:rPr>
          <w:sz w:val="24"/>
          <w:szCs w:val="24"/>
        </w:rPr>
        <w:t xml:space="preserve">’s </w:t>
      </w:r>
      <w:r w:rsidR="002C3EA4">
        <w:rPr>
          <w:sz w:val="24"/>
          <w:szCs w:val="24"/>
        </w:rPr>
        <w:t>Research</w:t>
      </w:r>
      <w:r w:rsidR="00AB62CA">
        <w:rPr>
          <w:sz w:val="24"/>
          <w:szCs w:val="24"/>
        </w:rPr>
        <w:t xml:space="preserve"> </w:t>
      </w:r>
      <w:r w:rsidR="00AB62CA">
        <w:rPr>
          <w:sz w:val="24"/>
          <w:szCs w:val="24"/>
        </w:rPr>
        <w:t>Pr</w:t>
      </w:r>
      <w:r w:rsidR="00903A6E">
        <w:rPr>
          <w:sz w:val="24"/>
          <w:szCs w:val="24"/>
        </w:rPr>
        <w:t>oject Manager</w:t>
      </w:r>
      <w:r w:rsidRPr="000870FE">
        <w:rPr>
          <w:sz w:val="24"/>
          <w:szCs w:val="24"/>
        </w:rPr>
        <w:t xml:space="preserve">, </w:t>
      </w:r>
      <w:r w:rsidR="00903A6E">
        <w:rPr>
          <w:sz w:val="24"/>
          <w:szCs w:val="24"/>
        </w:rPr>
        <w:t>Dennis Okyere</w:t>
      </w:r>
      <w:r w:rsidRPr="000870FE">
        <w:rPr>
          <w:sz w:val="24"/>
          <w:szCs w:val="24"/>
        </w:rPr>
        <w:t xml:space="preserve"> (</w:t>
      </w:r>
      <w:r w:rsidRPr="00C13DBA" w:rsidR="00C13DBA">
        <w:rPr>
          <w:sz w:val="24"/>
          <w:szCs w:val="24"/>
        </w:rPr>
        <w:t>817-856-0892</w:t>
      </w:r>
      <w:r w:rsidRPr="000870FE">
        <w:rPr>
          <w:sz w:val="24"/>
          <w:szCs w:val="24"/>
        </w:rPr>
        <w:t>).</w:t>
      </w:r>
    </w:p>
    <w:p w:rsidR="00DF2795" w:rsidP="0005057D" w14:paraId="1601A9B0" w14:textId="3CF5B274">
      <w:pPr>
        <w:pStyle w:val="BodyText"/>
      </w:pPr>
      <w:r w:rsidRPr="00C13DBA">
        <w:rPr>
          <w:sz w:val="24"/>
          <w:szCs w:val="24"/>
        </w:rPr>
        <w:t xml:space="preserve">In addition, the 2M </w:t>
      </w:r>
      <w:r w:rsidR="002C3EA4">
        <w:rPr>
          <w:sz w:val="24"/>
          <w:szCs w:val="24"/>
        </w:rPr>
        <w:t xml:space="preserve">Research </w:t>
      </w:r>
      <w:r w:rsidR="00417332">
        <w:rPr>
          <w:sz w:val="24"/>
          <w:szCs w:val="24"/>
        </w:rPr>
        <w:t>staff are supported by</w:t>
      </w:r>
      <w:r w:rsidRPr="00C13DBA">
        <w:rPr>
          <w:sz w:val="24"/>
          <w:szCs w:val="24"/>
        </w:rPr>
        <w:t xml:space="preserve"> two subject matter experts</w:t>
      </w:r>
      <w:r w:rsidR="00C13DBA">
        <w:rPr>
          <w:sz w:val="24"/>
          <w:szCs w:val="24"/>
        </w:rPr>
        <w:t>,</w:t>
      </w:r>
      <w:r w:rsidRPr="00395AC4" w:rsidR="00395AC4">
        <w:t xml:space="preserve"> </w:t>
      </w:r>
      <w:r w:rsidRPr="00395AC4" w:rsidR="00395AC4">
        <w:rPr>
          <w:sz w:val="24"/>
          <w:szCs w:val="24"/>
        </w:rPr>
        <w:t xml:space="preserve">Eric </w:t>
      </w:r>
      <w:r w:rsidRPr="00395AC4" w:rsidR="00395AC4">
        <w:rPr>
          <w:sz w:val="24"/>
          <w:szCs w:val="24"/>
        </w:rPr>
        <w:t>Oberdorfer</w:t>
      </w:r>
      <w:r w:rsidR="00395AC4">
        <w:rPr>
          <w:sz w:val="24"/>
          <w:szCs w:val="24"/>
        </w:rPr>
        <w:t xml:space="preserve"> and Tushar </w:t>
      </w:r>
      <w:r w:rsidR="00395AC4">
        <w:rPr>
          <w:sz w:val="24"/>
          <w:szCs w:val="24"/>
        </w:rPr>
        <w:t>Gurjal</w:t>
      </w:r>
      <w:r w:rsidR="00395AC4">
        <w:rPr>
          <w:sz w:val="24"/>
          <w:szCs w:val="24"/>
        </w:rPr>
        <w:t>,</w:t>
      </w:r>
      <w:r w:rsidRPr="00395AC4" w:rsidR="00395AC4">
        <w:rPr>
          <w:sz w:val="24"/>
          <w:szCs w:val="24"/>
        </w:rPr>
        <w:t xml:space="preserve"> </w:t>
      </w:r>
      <w:r w:rsidRPr="00C13DBA">
        <w:rPr>
          <w:sz w:val="24"/>
          <w:szCs w:val="24"/>
        </w:rPr>
        <w:t xml:space="preserve">from </w:t>
      </w:r>
      <w:r w:rsidR="002C3EA4">
        <w:rPr>
          <w:sz w:val="24"/>
          <w:szCs w:val="24"/>
        </w:rPr>
        <w:t xml:space="preserve">the </w:t>
      </w:r>
      <w:r w:rsidRPr="00C13DBA" w:rsidR="00FB5399">
        <w:rPr>
          <w:sz w:val="24"/>
          <w:szCs w:val="24"/>
        </w:rPr>
        <w:t>National Association of Housing and Redevelopment Officials (</w:t>
      </w:r>
      <w:r w:rsidRPr="00C13DBA">
        <w:rPr>
          <w:sz w:val="24"/>
          <w:szCs w:val="24"/>
        </w:rPr>
        <w:t>NAHRO</w:t>
      </w:r>
      <w:r w:rsidRPr="00C13DBA" w:rsidR="00FB5399">
        <w:rPr>
          <w:sz w:val="24"/>
          <w:szCs w:val="24"/>
        </w:rPr>
        <w:t>)</w:t>
      </w:r>
      <w:r w:rsidRPr="00C13DBA">
        <w:rPr>
          <w:sz w:val="24"/>
          <w:szCs w:val="24"/>
        </w:rPr>
        <w:t xml:space="preserve"> who will review and provide feedback on all deliverables including the management and work plan, research design/data collection and analysis plan, instrument development, analysis of qualitative and quantitative data, and reports.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579C6"/>
    <w:multiLevelType w:val="hybridMultilevel"/>
    <w:tmpl w:val="FAB0E9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5C6C9C"/>
    <w:multiLevelType w:val="hybridMultilevel"/>
    <w:tmpl w:val="D62005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065DD"/>
    <w:multiLevelType w:val="hybridMultilevel"/>
    <w:tmpl w:val="9DF672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EA3A65"/>
    <w:multiLevelType w:val="hybridMultilevel"/>
    <w:tmpl w:val="0498AC1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660488"/>
    <w:multiLevelType w:val="multilevel"/>
    <w:tmpl w:val="FB5C8C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03741CF"/>
    <w:multiLevelType w:val="hybridMultilevel"/>
    <w:tmpl w:val="D71275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BA4CE2"/>
    <w:multiLevelType w:val="hybridMultilevel"/>
    <w:tmpl w:val="67E09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6612129">
    <w:abstractNumId w:val="4"/>
  </w:num>
  <w:num w:numId="2" w16cid:durableId="381174243">
    <w:abstractNumId w:val="3"/>
  </w:num>
  <w:num w:numId="3" w16cid:durableId="1071655682">
    <w:abstractNumId w:val="6"/>
  </w:num>
  <w:num w:numId="4" w16cid:durableId="191573537">
    <w:abstractNumId w:val="0"/>
  </w:num>
  <w:num w:numId="5" w16cid:durableId="1214393811">
    <w:abstractNumId w:val="5"/>
  </w:num>
  <w:num w:numId="6" w16cid:durableId="1976906184">
    <w:abstractNumId w:val="1"/>
  </w:num>
  <w:num w:numId="7" w16cid:durableId="1384253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F6"/>
    <w:rsid w:val="00007B03"/>
    <w:rsid w:val="00011C56"/>
    <w:rsid w:val="0001654A"/>
    <w:rsid w:val="0002676D"/>
    <w:rsid w:val="0003252E"/>
    <w:rsid w:val="00041F3D"/>
    <w:rsid w:val="00043A5B"/>
    <w:rsid w:val="0005057D"/>
    <w:rsid w:val="00051E96"/>
    <w:rsid w:val="00060262"/>
    <w:rsid w:val="00065730"/>
    <w:rsid w:val="000764E5"/>
    <w:rsid w:val="00086753"/>
    <w:rsid w:val="000870FE"/>
    <w:rsid w:val="000A389A"/>
    <w:rsid w:val="000A73EF"/>
    <w:rsid w:val="000B53FD"/>
    <w:rsid w:val="000B5CA8"/>
    <w:rsid w:val="000C4673"/>
    <w:rsid w:val="000C6026"/>
    <w:rsid w:val="000E78F3"/>
    <w:rsid w:val="000F2A52"/>
    <w:rsid w:val="000F3350"/>
    <w:rsid w:val="00130E89"/>
    <w:rsid w:val="00131974"/>
    <w:rsid w:val="001333A1"/>
    <w:rsid w:val="00147D03"/>
    <w:rsid w:val="00193BB5"/>
    <w:rsid w:val="001C0537"/>
    <w:rsid w:val="001C221B"/>
    <w:rsid w:val="001C7049"/>
    <w:rsid w:val="001D550A"/>
    <w:rsid w:val="001E03AA"/>
    <w:rsid w:val="001F3351"/>
    <w:rsid w:val="00204FCF"/>
    <w:rsid w:val="00243D5D"/>
    <w:rsid w:val="00252D1F"/>
    <w:rsid w:val="00262202"/>
    <w:rsid w:val="002667A8"/>
    <w:rsid w:val="00272819"/>
    <w:rsid w:val="00275330"/>
    <w:rsid w:val="00277D02"/>
    <w:rsid w:val="0028162B"/>
    <w:rsid w:val="00291B54"/>
    <w:rsid w:val="00292071"/>
    <w:rsid w:val="002A1ABD"/>
    <w:rsid w:val="002B5F8D"/>
    <w:rsid w:val="002C343D"/>
    <w:rsid w:val="002C3EA4"/>
    <w:rsid w:val="002C49EF"/>
    <w:rsid w:val="002D64B0"/>
    <w:rsid w:val="002E6891"/>
    <w:rsid w:val="002F07D9"/>
    <w:rsid w:val="0030394F"/>
    <w:rsid w:val="00311A52"/>
    <w:rsid w:val="00316545"/>
    <w:rsid w:val="00325B51"/>
    <w:rsid w:val="00326D2F"/>
    <w:rsid w:val="0033172D"/>
    <w:rsid w:val="003555E1"/>
    <w:rsid w:val="0037285F"/>
    <w:rsid w:val="00395AC4"/>
    <w:rsid w:val="003C0A90"/>
    <w:rsid w:val="003D0B2F"/>
    <w:rsid w:val="003D4803"/>
    <w:rsid w:val="003E336B"/>
    <w:rsid w:val="00406541"/>
    <w:rsid w:val="00417332"/>
    <w:rsid w:val="00452348"/>
    <w:rsid w:val="004851A4"/>
    <w:rsid w:val="0049490A"/>
    <w:rsid w:val="004A0BF6"/>
    <w:rsid w:val="004D05B4"/>
    <w:rsid w:val="004D0F95"/>
    <w:rsid w:val="004E2876"/>
    <w:rsid w:val="005011BD"/>
    <w:rsid w:val="00514D0F"/>
    <w:rsid w:val="00522498"/>
    <w:rsid w:val="005312FD"/>
    <w:rsid w:val="005516B3"/>
    <w:rsid w:val="005536B2"/>
    <w:rsid w:val="00576218"/>
    <w:rsid w:val="00583408"/>
    <w:rsid w:val="0058530A"/>
    <w:rsid w:val="005927D2"/>
    <w:rsid w:val="00596EAC"/>
    <w:rsid w:val="005A2312"/>
    <w:rsid w:val="005A2411"/>
    <w:rsid w:val="005D78A8"/>
    <w:rsid w:val="005E3AD2"/>
    <w:rsid w:val="00600B69"/>
    <w:rsid w:val="00606E88"/>
    <w:rsid w:val="006243AE"/>
    <w:rsid w:val="006274C1"/>
    <w:rsid w:val="006466C9"/>
    <w:rsid w:val="0066031E"/>
    <w:rsid w:val="00671034"/>
    <w:rsid w:val="00691F42"/>
    <w:rsid w:val="006A0E75"/>
    <w:rsid w:val="006A65E1"/>
    <w:rsid w:val="006A776E"/>
    <w:rsid w:val="006C37BF"/>
    <w:rsid w:val="006E6D1C"/>
    <w:rsid w:val="006F3825"/>
    <w:rsid w:val="00734452"/>
    <w:rsid w:val="00742B21"/>
    <w:rsid w:val="007530E0"/>
    <w:rsid w:val="007645D5"/>
    <w:rsid w:val="00765161"/>
    <w:rsid w:val="007804B9"/>
    <w:rsid w:val="00796EE5"/>
    <w:rsid w:val="007971D6"/>
    <w:rsid w:val="00797979"/>
    <w:rsid w:val="007B08A7"/>
    <w:rsid w:val="007B2864"/>
    <w:rsid w:val="007C22C8"/>
    <w:rsid w:val="007C31DB"/>
    <w:rsid w:val="007C7EE3"/>
    <w:rsid w:val="007F4A67"/>
    <w:rsid w:val="00822D83"/>
    <w:rsid w:val="008266B9"/>
    <w:rsid w:val="008326FA"/>
    <w:rsid w:val="00836714"/>
    <w:rsid w:val="00837EEE"/>
    <w:rsid w:val="00842EB1"/>
    <w:rsid w:val="00843755"/>
    <w:rsid w:val="00846673"/>
    <w:rsid w:val="00871391"/>
    <w:rsid w:val="00882411"/>
    <w:rsid w:val="008853E8"/>
    <w:rsid w:val="0089204D"/>
    <w:rsid w:val="0089748D"/>
    <w:rsid w:val="008B44B0"/>
    <w:rsid w:val="008E0F2D"/>
    <w:rsid w:val="00903A6E"/>
    <w:rsid w:val="00904017"/>
    <w:rsid w:val="00904CC0"/>
    <w:rsid w:val="00906B70"/>
    <w:rsid w:val="00912FED"/>
    <w:rsid w:val="009266BC"/>
    <w:rsid w:val="00934C2B"/>
    <w:rsid w:val="00941D48"/>
    <w:rsid w:val="009453E8"/>
    <w:rsid w:val="00957651"/>
    <w:rsid w:val="009640EB"/>
    <w:rsid w:val="0097387D"/>
    <w:rsid w:val="00984A5F"/>
    <w:rsid w:val="00986697"/>
    <w:rsid w:val="009A3B91"/>
    <w:rsid w:val="009A655E"/>
    <w:rsid w:val="009A7BDB"/>
    <w:rsid w:val="009B3D89"/>
    <w:rsid w:val="009C28B6"/>
    <w:rsid w:val="009D36DA"/>
    <w:rsid w:val="009D79C1"/>
    <w:rsid w:val="009D7E66"/>
    <w:rsid w:val="009F189D"/>
    <w:rsid w:val="009F327E"/>
    <w:rsid w:val="009F5C95"/>
    <w:rsid w:val="00A072B2"/>
    <w:rsid w:val="00A1773F"/>
    <w:rsid w:val="00A537E5"/>
    <w:rsid w:val="00A608D8"/>
    <w:rsid w:val="00A60C6B"/>
    <w:rsid w:val="00A62337"/>
    <w:rsid w:val="00A62E6E"/>
    <w:rsid w:val="00A63508"/>
    <w:rsid w:val="00A664BD"/>
    <w:rsid w:val="00A667DE"/>
    <w:rsid w:val="00A7548F"/>
    <w:rsid w:val="00A84769"/>
    <w:rsid w:val="00AA2093"/>
    <w:rsid w:val="00AA3CF6"/>
    <w:rsid w:val="00AB62CA"/>
    <w:rsid w:val="00AC30B1"/>
    <w:rsid w:val="00AC3697"/>
    <w:rsid w:val="00AF614C"/>
    <w:rsid w:val="00B37C04"/>
    <w:rsid w:val="00B504AE"/>
    <w:rsid w:val="00B51006"/>
    <w:rsid w:val="00B547F3"/>
    <w:rsid w:val="00B60669"/>
    <w:rsid w:val="00B61DE2"/>
    <w:rsid w:val="00B94FEF"/>
    <w:rsid w:val="00BC6C39"/>
    <w:rsid w:val="00C13DBA"/>
    <w:rsid w:val="00C22CCA"/>
    <w:rsid w:val="00C26E0B"/>
    <w:rsid w:val="00C326F9"/>
    <w:rsid w:val="00C32D84"/>
    <w:rsid w:val="00C5242B"/>
    <w:rsid w:val="00C70F50"/>
    <w:rsid w:val="00C83CB3"/>
    <w:rsid w:val="00C86B9C"/>
    <w:rsid w:val="00CA7F0B"/>
    <w:rsid w:val="00CB5213"/>
    <w:rsid w:val="00CB6312"/>
    <w:rsid w:val="00CC289A"/>
    <w:rsid w:val="00CC4BA3"/>
    <w:rsid w:val="00CE0BC8"/>
    <w:rsid w:val="00CE67B8"/>
    <w:rsid w:val="00CF32F7"/>
    <w:rsid w:val="00CF5AA2"/>
    <w:rsid w:val="00D1557B"/>
    <w:rsid w:val="00D21348"/>
    <w:rsid w:val="00D24BD5"/>
    <w:rsid w:val="00D405ED"/>
    <w:rsid w:val="00D45723"/>
    <w:rsid w:val="00D46C13"/>
    <w:rsid w:val="00D509BB"/>
    <w:rsid w:val="00D62F9D"/>
    <w:rsid w:val="00D753E1"/>
    <w:rsid w:val="00DC60BB"/>
    <w:rsid w:val="00DD25EA"/>
    <w:rsid w:val="00DD4792"/>
    <w:rsid w:val="00DF2795"/>
    <w:rsid w:val="00DF52FB"/>
    <w:rsid w:val="00E039B8"/>
    <w:rsid w:val="00E1193C"/>
    <w:rsid w:val="00E2705D"/>
    <w:rsid w:val="00E30181"/>
    <w:rsid w:val="00E3635D"/>
    <w:rsid w:val="00E44475"/>
    <w:rsid w:val="00E44F40"/>
    <w:rsid w:val="00E53B97"/>
    <w:rsid w:val="00E53E02"/>
    <w:rsid w:val="00E5519D"/>
    <w:rsid w:val="00E614CE"/>
    <w:rsid w:val="00E7163B"/>
    <w:rsid w:val="00E822FA"/>
    <w:rsid w:val="00E87094"/>
    <w:rsid w:val="00EA042D"/>
    <w:rsid w:val="00EB31CD"/>
    <w:rsid w:val="00EB7BE0"/>
    <w:rsid w:val="00EC38F3"/>
    <w:rsid w:val="00ED2BC7"/>
    <w:rsid w:val="00EE1DA2"/>
    <w:rsid w:val="00F04759"/>
    <w:rsid w:val="00F238DA"/>
    <w:rsid w:val="00F6198D"/>
    <w:rsid w:val="00F72A8C"/>
    <w:rsid w:val="00F80DCD"/>
    <w:rsid w:val="00F95F35"/>
    <w:rsid w:val="00FA08D0"/>
    <w:rsid w:val="00FA774C"/>
    <w:rsid w:val="00FB1BEC"/>
    <w:rsid w:val="00FB4489"/>
    <w:rsid w:val="00FB5399"/>
    <w:rsid w:val="00FC23A1"/>
    <w:rsid w:val="00FC3BF0"/>
    <w:rsid w:val="00FD1086"/>
    <w:rsid w:val="00FE07C2"/>
    <w:rsid w:val="00FE3A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3D457C"/>
  <w15:chartTrackingRefBased/>
  <w15:docId w15:val="{9B5EF077-4B77-42BD-9062-EAD8E697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BF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B5CA8"/>
    <w:pPr>
      <w:keepNext/>
      <w:keepLines/>
      <w:spacing w:before="360" w:after="240"/>
      <w:outlineLvl w:val="1"/>
    </w:pPr>
    <w:rPr>
      <w:rFonts w:asciiTheme="majorHAnsi" w:eastAsiaTheme="majorEastAsia" w:hAnsiTheme="majorHAnsi" w:cstheme="majorBidi"/>
      <w:b/>
      <w:color w:val="009CD3" w:themeColor="accent1"/>
      <w:sz w:val="32"/>
      <w:szCs w:val="26"/>
    </w:rPr>
  </w:style>
  <w:style w:type="paragraph" w:styleId="Heading3">
    <w:name w:val="heading 3"/>
    <w:basedOn w:val="Normal"/>
    <w:next w:val="Normal"/>
    <w:link w:val="Heading3Char"/>
    <w:uiPriority w:val="9"/>
    <w:unhideWhenUsed/>
    <w:qFormat/>
    <w:rsid w:val="000B5CA8"/>
    <w:pPr>
      <w:keepNext/>
      <w:keepLines/>
      <w:spacing w:before="120" w:after="40" w:line="259" w:lineRule="auto"/>
      <w:outlineLvl w:val="2"/>
    </w:pPr>
    <w:rPr>
      <w:rFonts w:asciiTheme="majorHAnsi" w:eastAsiaTheme="majorEastAsia" w:hAnsiTheme="majorHAnsi" w:cstheme="majorBidi"/>
      <w:b/>
      <w:caps/>
      <w:color w:val="262626" w:themeColor="text1" w:themeTint="D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y,Bullet Level 2,Bullet List Paragraph,Bulleted List,Bullets-main copy,Citation List,Ha,Indent,List Paragraph Bullet,List Paragraph1,List Paragraph_Table bullets,Proposal Bullet List,Resume Title,Step Style,Sub bullet,Table Bullets"/>
    <w:basedOn w:val="Normal"/>
    <w:link w:val="ListParagraphChar"/>
    <w:uiPriority w:val="34"/>
    <w:qFormat/>
    <w:rsid w:val="004A0BF6"/>
    <w:pPr>
      <w:ind w:left="720"/>
    </w:pPr>
  </w:style>
  <w:style w:type="paragraph" w:styleId="NoSpacing">
    <w:name w:val="No Spacing"/>
    <w:uiPriority w:val="1"/>
    <w:qFormat/>
    <w:rsid w:val="004A0BF6"/>
    <w:pPr>
      <w:widowControl w:val="0"/>
      <w:kinsoku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72819"/>
    <w:pPr>
      <w:spacing w:before="100" w:beforeAutospacing="1" w:after="100" w:afterAutospacing="1"/>
    </w:pPr>
  </w:style>
  <w:style w:type="character" w:customStyle="1" w:styleId="normaltextrun">
    <w:name w:val="normaltextrun"/>
    <w:basedOn w:val="DefaultParagraphFont"/>
    <w:rsid w:val="00272819"/>
  </w:style>
  <w:style w:type="character" w:customStyle="1" w:styleId="eop">
    <w:name w:val="eop"/>
    <w:basedOn w:val="DefaultParagraphFont"/>
    <w:rsid w:val="00272819"/>
  </w:style>
  <w:style w:type="paragraph" w:styleId="BodyText">
    <w:name w:val="Body Text"/>
    <w:basedOn w:val="Normal"/>
    <w:link w:val="BodyTextChar"/>
    <w:rsid w:val="00DF2795"/>
    <w:pPr>
      <w:spacing w:after="180" w:line="264" w:lineRule="auto"/>
    </w:pPr>
    <w:rPr>
      <w:sz w:val="22"/>
      <w:szCs w:val="20"/>
    </w:rPr>
  </w:style>
  <w:style w:type="character" w:customStyle="1" w:styleId="BodyTextChar">
    <w:name w:val="Body Text Char"/>
    <w:basedOn w:val="DefaultParagraphFont"/>
    <w:link w:val="BodyText"/>
    <w:rsid w:val="00DF2795"/>
    <w:rPr>
      <w:rFonts w:ascii="Times New Roman" w:eastAsia="Times New Roman" w:hAnsi="Times New Roman" w:cs="Times New Roman"/>
      <w:szCs w:val="20"/>
    </w:rPr>
  </w:style>
  <w:style w:type="table" w:styleId="GridTable2Accent1">
    <w:name w:val="Grid Table 2 Accent 1"/>
    <w:basedOn w:val="TableNormal"/>
    <w:uiPriority w:val="47"/>
    <w:rsid w:val="008326FA"/>
    <w:pPr>
      <w:spacing w:after="0" w:line="240" w:lineRule="auto"/>
    </w:pPr>
    <w:tblPr>
      <w:tblStyleRowBandSize w:val="1"/>
      <w:tblStyleColBandSize w:val="1"/>
      <w:tblBorders>
        <w:top w:val="single" w:sz="2" w:space="0" w:color="4BCFFF" w:themeColor="accent1" w:themeTint="99"/>
        <w:bottom w:val="single" w:sz="2" w:space="0" w:color="4BCFFF" w:themeColor="accent1" w:themeTint="99"/>
        <w:insideH w:val="single" w:sz="2" w:space="0" w:color="4BCFFF" w:themeColor="accent1" w:themeTint="99"/>
        <w:insideV w:val="single" w:sz="2" w:space="0" w:color="4BCFFF" w:themeColor="accent1" w:themeTint="99"/>
      </w:tblBorders>
    </w:tblPr>
    <w:tblStylePr w:type="firstRow">
      <w:rPr>
        <w:b/>
        <w:bCs/>
      </w:rPr>
      <w:tblPr/>
      <w:tcPr>
        <w:tcBorders>
          <w:top w:val="nil"/>
          <w:bottom w:val="single" w:sz="12" w:space="0" w:color="4BCFFF" w:themeColor="accent1" w:themeTint="99"/>
          <w:insideH w:val="nil"/>
          <w:insideV w:val="nil"/>
        </w:tcBorders>
        <w:shd w:val="clear" w:color="auto" w:fill="FFFFFF" w:themeFill="background1"/>
      </w:tcPr>
    </w:tblStylePr>
    <w:tblStylePr w:type="lastRow">
      <w:rPr>
        <w:b/>
        <w:bCs/>
      </w:rPr>
      <w:tblPr/>
      <w:tcPr>
        <w:tcBorders>
          <w:top w:val="double" w:sz="2" w:space="0" w:color="4B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styleId="GridTable5DarkAccent1">
    <w:name w:val="Grid Table 5 Dark Accent 1"/>
    <w:basedOn w:val="TableNormal"/>
    <w:uiPriority w:val="50"/>
    <w:rsid w:val="00832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3" w:themeFill="accent1"/>
      </w:tcPr>
    </w:tblStylePr>
    <w:tblStylePr w:type="band1Vert">
      <w:tblPr/>
      <w:tcPr>
        <w:shd w:val="clear" w:color="auto" w:fill="87DFFF" w:themeFill="accent1" w:themeFillTint="66"/>
      </w:tcPr>
    </w:tblStylePr>
    <w:tblStylePr w:type="band1Horz">
      <w:tblPr/>
      <w:tcPr>
        <w:shd w:val="clear" w:color="auto" w:fill="87DFFF" w:themeFill="accent1" w:themeFillTint="66"/>
      </w:tcPr>
    </w:tblStylePr>
  </w:style>
  <w:style w:type="table" w:styleId="GridTable4Accent1">
    <w:name w:val="Grid Table 4 Accent 1"/>
    <w:basedOn w:val="TableNormal"/>
    <w:uiPriority w:val="49"/>
    <w:rsid w:val="008326FA"/>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2Char">
    <w:name w:val="Heading 2 Char"/>
    <w:basedOn w:val="DefaultParagraphFont"/>
    <w:link w:val="Heading2"/>
    <w:uiPriority w:val="9"/>
    <w:rsid w:val="000B5CA8"/>
    <w:rPr>
      <w:rFonts w:asciiTheme="majorHAnsi" w:eastAsiaTheme="majorEastAsia" w:hAnsiTheme="majorHAnsi" w:cstheme="majorBidi"/>
      <w:b/>
      <w:color w:val="009CD3" w:themeColor="accent1"/>
      <w:sz w:val="32"/>
      <w:szCs w:val="26"/>
    </w:rPr>
  </w:style>
  <w:style w:type="character" w:customStyle="1" w:styleId="Heading3Char">
    <w:name w:val="Heading 3 Char"/>
    <w:basedOn w:val="DefaultParagraphFont"/>
    <w:link w:val="Heading3"/>
    <w:uiPriority w:val="9"/>
    <w:rsid w:val="000B5CA8"/>
    <w:rPr>
      <w:rFonts w:asciiTheme="majorHAnsi" w:eastAsiaTheme="majorEastAsia" w:hAnsiTheme="majorHAnsi" w:cstheme="majorBidi"/>
      <w:b/>
      <w:caps/>
      <w:color w:val="262626" w:themeColor="text1" w:themeTint="D9"/>
      <w:sz w:val="20"/>
      <w:szCs w:val="24"/>
    </w:rPr>
  </w:style>
  <w:style w:type="character" w:styleId="CommentReference">
    <w:name w:val="annotation reference"/>
    <w:basedOn w:val="DefaultParagraphFont"/>
    <w:uiPriority w:val="99"/>
    <w:unhideWhenUsed/>
    <w:rsid w:val="000B5CA8"/>
    <w:rPr>
      <w:sz w:val="16"/>
      <w:szCs w:val="16"/>
    </w:rPr>
  </w:style>
  <w:style w:type="paragraph" w:styleId="CommentText">
    <w:name w:val="annotation text"/>
    <w:basedOn w:val="Normal"/>
    <w:link w:val="CommentTextChar"/>
    <w:uiPriority w:val="99"/>
    <w:unhideWhenUsed/>
    <w:rsid w:val="000B5CA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B5CA8"/>
    <w:rPr>
      <w:sz w:val="20"/>
      <w:szCs w:val="20"/>
    </w:rPr>
  </w:style>
  <w:style w:type="paragraph" w:styleId="Caption">
    <w:name w:val="caption"/>
    <w:aliases w:val="Caption - graphics,Caption Char Char Char Char1 Char2,Caption Char Char1 Char,Caption Char1 Char Char1 Char1,Caption ECSS,Exhibit Caption,Figure Caption,Figure Caption Char,IE Table,Table Caption,TableCaption,ca,table"/>
    <w:next w:val="Normal"/>
    <w:link w:val="CaptionChar"/>
    <w:uiPriority w:val="35"/>
    <w:unhideWhenUsed/>
    <w:qFormat/>
    <w:rsid w:val="000B5CA8"/>
    <w:pPr>
      <w:spacing w:after="200" w:line="240" w:lineRule="auto"/>
    </w:pPr>
    <w:rPr>
      <w:b/>
      <w:iCs/>
      <w:color w:val="009CD3" w:themeColor="accent1"/>
      <w:sz w:val="24"/>
      <w:szCs w:val="18"/>
    </w:rPr>
  </w:style>
  <w:style w:type="character" w:customStyle="1" w:styleId="ListParagraphChar">
    <w:name w:val="List Paragraph Char"/>
    <w:aliases w:val="3 Char,Body Char,Bullet Level 2 Char,Bulleted List Char,Citation List Char,Ha Char,Indent Char,List Paragraph1 Char,List Paragraph_Table bullets Char,Proposal Bullet List Char,Resume Title Char,Sub bullet Char,Table Bullets Char"/>
    <w:basedOn w:val="DefaultParagraphFont"/>
    <w:link w:val="ListParagraph"/>
    <w:uiPriority w:val="34"/>
    <w:qFormat/>
    <w:locked/>
    <w:rsid w:val="000B5CA8"/>
    <w:rPr>
      <w:rFonts w:ascii="Times New Roman" w:eastAsia="Times New Roman" w:hAnsi="Times New Roman" w:cs="Times New Roman"/>
      <w:sz w:val="24"/>
      <w:szCs w:val="24"/>
    </w:rPr>
  </w:style>
  <w:style w:type="table" w:customStyle="1" w:styleId="GridTable4-Accent31">
    <w:name w:val="Grid Table 4 - Accent 31"/>
    <w:basedOn w:val="TableNormal"/>
    <w:next w:val="GridTable4Accent3"/>
    <w:uiPriority w:val="49"/>
    <w:rsid w:val="000B5CA8"/>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character" w:customStyle="1" w:styleId="CaptionChar">
    <w:name w:val="Caption Char"/>
    <w:aliases w:val="Caption - graphics Char,Caption Char Char1 Char Char,Caption Char1 Char Char1 Char1 Char,Caption ECSS Char,Exhibit Caption Char,Figure Caption Char Char,Figure Caption Char1,Table Caption Char,TableCaption Char,ca Char,table Char"/>
    <w:basedOn w:val="DefaultParagraphFont"/>
    <w:link w:val="Caption"/>
    <w:uiPriority w:val="35"/>
    <w:locked/>
    <w:rsid w:val="000B5CA8"/>
    <w:rPr>
      <w:b/>
      <w:iCs/>
      <w:color w:val="009CD3" w:themeColor="accent1"/>
      <w:sz w:val="24"/>
      <w:szCs w:val="18"/>
    </w:rPr>
  </w:style>
  <w:style w:type="table" w:styleId="GridTable4Accent3">
    <w:name w:val="Grid Table 4 Accent 3"/>
    <w:basedOn w:val="TableNormal"/>
    <w:uiPriority w:val="49"/>
    <w:rsid w:val="000B5CA8"/>
    <w:pPr>
      <w:spacing w:after="0" w:line="240" w:lineRule="auto"/>
    </w:pPr>
    <w:tblPr>
      <w:tblStyleRowBandSize w:val="1"/>
      <w:tblStyleColBandSize w:val="1"/>
      <w:tblBorders>
        <w:top w:val="single" w:sz="4" w:space="0" w:color="A8D08D" w:themeColor="accent3" w:themeTint="99"/>
        <w:left w:val="single" w:sz="4" w:space="0" w:color="A8D08D" w:themeColor="accent3" w:themeTint="99"/>
        <w:bottom w:val="single" w:sz="4" w:space="0" w:color="A8D08D" w:themeColor="accent3" w:themeTint="99"/>
        <w:right w:val="single" w:sz="4" w:space="0" w:color="A8D08D" w:themeColor="accent3" w:themeTint="99"/>
        <w:insideH w:val="single" w:sz="4" w:space="0" w:color="A8D08D" w:themeColor="accent3" w:themeTint="99"/>
        <w:insideV w:val="single" w:sz="4" w:space="0" w:color="A8D08D" w:themeColor="accent3" w:themeTint="99"/>
      </w:tblBorders>
    </w:tblPr>
    <w:tblStylePr w:type="firstRow">
      <w:rPr>
        <w:b/>
        <w:bCs/>
        <w:color w:val="FFFFFF" w:themeColor="background1"/>
      </w:rPr>
      <w:tblPr/>
      <w:tcPr>
        <w:tcBorders>
          <w:top w:val="single" w:sz="4" w:space="0" w:color="70AD47" w:themeColor="accent3"/>
          <w:left w:val="single" w:sz="4" w:space="0" w:color="70AD47" w:themeColor="accent3"/>
          <w:bottom w:val="single" w:sz="4" w:space="0" w:color="70AD47" w:themeColor="accent3"/>
          <w:right w:val="single" w:sz="4" w:space="0" w:color="70AD47" w:themeColor="accent3"/>
          <w:insideH w:val="nil"/>
          <w:insideV w:val="nil"/>
        </w:tcBorders>
        <w:shd w:val="clear" w:color="auto" w:fill="70AD47" w:themeFill="accent3"/>
      </w:tcPr>
    </w:tblStylePr>
    <w:tblStylePr w:type="lastRow">
      <w:rPr>
        <w:b/>
        <w:bCs/>
      </w:rPr>
      <w:tblPr/>
      <w:tcPr>
        <w:tcBorders>
          <w:top w:val="double" w:sz="4" w:space="0" w:color="70AD47" w:themeColor="accent3"/>
        </w:tcBorders>
      </w:tcPr>
    </w:tblStylePr>
    <w:tblStylePr w:type="firstCol">
      <w:rPr>
        <w:b/>
        <w:bCs/>
      </w:rPr>
    </w:tblStylePr>
    <w:tblStylePr w:type="lastCol">
      <w:rPr>
        <w:b/>
        <w:bCs/>
      </w:rPr>
    </w:tblStylePr>
    <w:tblStylePr w:type="band1Vert">
      <w:tblPr/>
      <w:tcPr>
        <w:shd w:val="clear" w:color="auto" w:fill="E2EFD9" w:themeFill="accent3" w:themeFillTint="33"/>
      </w:tcPr>
    </w:tblStylePr>
    <w:tblStylePr w:type="band1Horz">
      <w:tblPr/>
      <w:tcPr>
        <w:shd w:val="clear" w:color="auto" w:fill="E2EFD9" w:themeFill="accent3" w:themeFillTint="33"/>
      </w:tcPr>
    </w:tblStylePr>
  </w:style>
  <w:style w:type="paragraph" w:styleId="CommentSubject">
    <w:name w:val="annotation subject"/>
    <w:basedOn w:val="CommentText"/>
    <w:next w:val="CommentText"/>
    <w:link w:val="CommentSubjectChar"/>
    <w:uiPriority w:val="99"/>
    <w:semiHidden/>
    <w:unhideWhenUsed/>
    <w:rsid w:val="00AA20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A2093"/>
    <w:rPr>
      <w:rFonts w:ascii="Times New Roman" w:eastAsia="Times New Roman" w:hAnsi="Times New Roman" w:cs="Times New Roman"/>
      <w:b/>
      <w:bCs/>
      <w:sz w:val="20"/>
      <w:szCs w:val="20"/>
    </w:rPr>
  </w:style>
  <w:style w:type="paragraph" w:styleId="Revision">
    <w:name w:val="Revision"/>
    <w:hidden/>
    <w:uiPriority w:val="99"/>
    <w:semiHidden/>
    <w:rsid w:val="00AA2093"/>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49490A"/>
    <w:rPr>
      <w:rFonts w:ascii="Segoe UI" w:hAnsi="Segoe UI" w:cs="Segoe UI" w:hint="default"/>
      <w:sz w:val="18"/>
      <w:szCs w:val="18"/>
    </w:rPr>
  </w:style>
  <w:style w:type="character" w:styleId="Hyperlink">
    <w:name w:val="Hyperlink"/>
    <w:basedOn w:val="DefaultParagraphFont"/>
    <w:uiPriority w:val="99"/>
    <w:unhideWhenUsed/>
    <w:rsid w:val="006A0E75"/>
    <w:rPr>
      <w:color w:val="0563C1" w:themeColor="hyperlink"/>
      <w:u w:val="single"/>
    </w:rPr>
  </w:style>
  <w:style w:type="character" w:styleId="UnresolvedMention">
    <w:name w:val="Unresolved Mention"/>
    <w:basedOn w:val="DefaultParagraphFont"/>
    <w:uiPriority w:val="99"/>
    <w:semiHidden/>
    <w:unhideWhenUsed/>
    <w:rsid w:val="006A0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9CD3"/>
      </a:accent1>
      <a:accent2>
        <a:srgbClr val="75787B"/>
      </a:accent2>
      <a:accent3>
        <a:srgbClr val="70AD47"/>
      </a:accent3>
      <a:accent4>
        <a:srgbClr val="63666A"/>
      </a:accent4>
      <a:accent5>
        <a:srgbClr val="5B9BD5"/>
      </a:accent5>
      <a:accent6>
        <a:srgbClr val="00B05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F8E6D1910B549A6A7F799D4F7ABA8" ma:contentTypeVersion="4" ma:contentTypeDescription="Create a new document." ma:contentTypeScope="" ma:versionID="3a3b50cedaf95c2791733adecd495026">
  <xsd:schema xmlns:xsd="http://www.w3.org/2001/XMLSchema" xmlns:xs="http://www.w3.org/2001/XMLSchema" xmlns:p="http://schemas.microsoft.com/office/2006/metadata/properties" xmlns:ns2="0b023c71-746b-4d76-8836-d28a99fbea83" xmlns:ns3="5152ad38-d04a-4cd5-b104-fdbb856d11ab" targetNamespace="http://schemas.microsoft.com/office/2006/metadata/properties" ma:root="true" ma:fieldsID="5ac7240781ade4586f73255b4b5e878c" ns2:_="" ns3:_="">
    <xsd:import namespace="0b023c71-746b-4d76-8836-d28a99fbea83"/>
    <xsd:import namespace="5152ad38-d04a-4cd5-b104-fdbb856d11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3c71-746b-4d76-8836-d28a99fbea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2ad38-d04a-4cd5-b104-fdbb856d11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39646-9D30-445C-93ED-A9D004EC9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3c71-746b-4d76-8836-d28a99fbea83"/>
    <ds:schemaRef ds:uri="5152ad38-d04a-4cd5-b104-fdbb856d1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0C59-44CA-4AD6-809F-10BA703327F5}">
  <ds:schemaRefs>
    <ds:schemaRef ds:uri="http://schemas.microsoft.com/sharepoint/v3/contenttype/forms"/>
  </ds:schemaRefs>
</ds:datastoreItem>
</file>

<file path=customXml/itemProps3.xml><?xml version="1.0" encoding="utf-8"?>
<ds:datastoreItem xmlns:ds="http://schemas.openxmlformats.org/officeDocument/2006/customXml" ds:itemID="{1105411C-89F7-4C45-91DD-06B6907D67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Anne L</dc:creator>
  <cp:lastModifiedBy>Guido, Anna P</cp:lastModifiedBy>
  <cp:revision>2</cp:revision>
  <dcterms:created xsi:type="dcterms:W3CDTF">2023-06-12T13:22:00Z</dcterms:created>
  <dcterms:modified xsi:type="dcterms:W3CDTF">2023-06-12T13:22:00Z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0x010100485F8E6D1910B549A6A7F799D4F7ABA8</vt:lpwstr>
  </property>
  <property fmtid="{D5CDD505-2E9C-101B-9397-08002B2CF9AE}" pid="3" name="MSIP_Label_369b2100-d973-4476-b41a-3c0e2d6385ef_ActionId">
    <vt:lpwstr>325dbb33-c851-4e78-bbaa-fe47e5cde537</vt:lpwstr>
  </property>
  <property fmtid="{D5CDD505-2E9C-101B-9397-08002B2CF9AE}" pid="4" name="MSIP_Label_369b2100-d973-4476-b41a-3c0e2d6385ef_Enabled">
    <vt:lpwstr>True</vt:lpwstr>
  </property>
  <property fmtid="{D5CDD505-2E9C-101B-9397-08002B2CF9AE}" pid="5" name="MSIP_Label_369b2100-d973-4476-b41a-3c0e2d6385ef_Extended_MSFT_Method">
    <vt:lpwstr>Standard</vt:lpwstr>
  </property>
  <property fmtid="{D5CDD505-2E9C-101B-9397-08002B2CF9AE}" pid="6" name="MSIP_Label_369b2100-d973-4476-b41a-3c0e2d6385ef_Name">
    <vt:lpwstr>Unrestricted \ External</vt:lpwstr>
  </property>
  <property fmtid="{D5CDD505-2E9C-101B-9397-08002B2CF9AE}" pid="7" name="MSIP_Label_369b2100-d973-4476-b41a-3c0e2d6385ef_Parent">
    <vt:lpwstr>af5d926d-e6ee-4040-8bde-052b575afdda</vt:lpwstr>
  </property>
  <property fmtid="{D5CDD505-2E9C-101B-9397-08002B2CF9AE}" pid="8" name="MSIP_Label_369b2100-d973-4476-b41a-3c0e2d6385ef_Removed">
    <vt:lpwstr>False</vt:lpwstr>
  </property>
  <property fmtid="{D5CDD505-2E9C-101B-9397-08002B2CF9AE}" pid="9" name="MSIP_Label_369b2100-d973-4476-b41a-3c0e2d6385ef_SetDate">
    <vt:lpwstr>2022-11-02T20:11:40Z</vt:lpwstr>
  </property>
  <property fmtid="{D5CDD505-2E9C-101B-9397-08002B2CF9AE}" pid="10" name="MSIP_Label_369b2100-d973-4476-b41a-3c0e2d6385ef_SiteId">
    <vt:lpwstr>1404ce36-2c7c-4442-89bd-6434c26d13e7</vt:lpwstr>
  </property>
  <property fmtid="{D5CDD505-2E9C-101B-9397-08002B2CF9AE}" pid="11" name="MSIP_Label_af5d926d-e6ee-4040-8bde-052b575afdda_ActionId">
    <vt:lpwstr>79029a4f-599f-4d23-af7a-5a175b64490b</vt:lpwstr>
  </property>
  <property fmtid="{D5CDD505-2E9C-101B-9397-08002B2CF9AE}" pid="12" name="MSIP_Label_af5d926d-e6ee-4040-8bde-052b575afdda_Enabled">
    <vt:lpwstr>True</vt:lpwstr>
  </property>
  <property fmtid="{D5CDD505-2E9C-101B-9397-08002B2CF9AE}" pid="13" name="MSIP_Label_af5d926d-e6ee-4040-8bde-052b575afdda_Extended_MSFT_Method">
    <vt:lpwstr>Standard</vt:lpwstr>
  </property>
  <property fmtid="{D5CDD505-2E9C-101B-9397-08002B2CF9AE}" pid="14" name="MSIP_Label_af5d926d-e6ee-4040-8bde-052b575afdda_Name">
    <vt:lpwstr>Unrestricted</vt:lpwstr>
  </property>
  <property fmtid="{D5CDD505-2E9C-101B-9397-08002B2CF9AE}" pid="15" name="MSIP_Label_af5d926d-e6ee-4040-8bde-052b575afdda_SetDate">
    <vt:lpwstr>2022-11-02T20:11:40Z</vt:lpwstr>
  </property>
  <property fmtid="{D5CDD505-2E9C-101B-9397-08002B2CF9AE}" pid="16" name="MSIP_Label_af5d926d-e6ee-4040-8bde-052b575afdda_SiteId">
    <vt:lpwstr>1404ce36-2c7c-4442-89bd-6434c26d13e7</vt:lpwstr>
  </property>
  <property fmtid="{D5CDD505-2E9C-101B-9397-08002B2CF9AE}" pid="17" name="Sensitivity">
    <vt:lpwstr>Unrestricted \ External Unrestricted</vt:lpwstr>
  </property>
</Properties>
</file>