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12" w:space="0" w:color="auto"/>
          <w:left w:val="single" w:sz="12" w:space="0" w:color="auto"/>
          <w:bottom w:val="single" w:sz="12" w:space="0" w:color="auto"/>
          <w:right w:val="single" w:sz="12" w:space="0" w:color="auto"/>
        </w:tblBorders>
        <w:tblLook w:val="04A0"/>
      </w:tblPr>
      <w:tblGrid>
        <w:gridCol w:w="10770"/>
      </w:tblGrid>
      <w:tr w14:paraId="2EB5AEC9" w14:textId="77777777" w:rsidTr="00A879D5">
        <w:tblPrEx>
          <w:tblW w:w="0" w:type="auto"/>
          <w:tblBorders>
            <w:top w:val="single" w:sz="12" w:space="0" w:color="auto"/>
            <w:left w:val="single" w:sz="12" w:space="0" w:color="auto"/>
            <w:bottom w:val="single" w:sz="12" w:space="0" w:color="auto"/>
            <w:right w:val="single" w:sz="12" w:space="0" w:color="auto"/>
          </w:tblBorders>
          <w:tblLook w:val="04A0"/>
        </w:tblPrEx>
        <w:trPr>
          <w:trHeight w:val="2940"/>
        </w:trPr>
        <w:tc>
          <w:tcPr>
            <w:tcW w:w="10998" w:type="dxa"/>
            <w:tcBorders>
              <w:top w:val="single" w:sz="12" w:space="0" w:color="auto"/>
              <w:left w:val="single" w:sz="12" w:space="0" w:color="auto"/>
              <w:bottom w:val="single" w:sz="12" w:space="0" w:color="auto"/>
              <w:right w:val="single" w:sz="12" w:space="0" w:color="auto"/>
            </w:tcBorders>
            <w:shd w:val="clear" w:color="auto" w:fill="auto"/>
            <w:vAlign w:val="center"/>
          </w:tcPr>
          <w:p w:rsidR="0071484E" w:rsidP="00A879D5" w14:paraId="2ED67E36" w14:textId="64E38ED2">
            <w:pPr>
              <w:spacing w:before="204" w:line="207" w:lineRule="exact"/>
              <w:ind w:right="72"/>
              <w:jc w:val="both"/>
              <w:textAlignment w:val="baseline"/>
              <w:rPr>
                <w:sz w:val="18"/>
                <w:szCs w:val="18"/>
              </w:rPr>
            </w:pPr>
            <w:r w:rsidRPr="00212B74">
              <w:rPr>
                <w:sz w:val="18"/>
                <w:szCs w:val="18"/>
              </w:rPr>
              <w:t xml:space="preserve">Public reporting burden for this collection of information is estimated to average </w:t>
            </w:r>
            <w:r>
              <w:rPr>
                <w:sz w:val="18"/>
                <w:szCs w:val="18"/>
              </w:rPr>
              <w:t xml:space="preserve">8 </w:t>
            </w:r>
            <w:r w:rsidRPr="00212B74">
              <w:rPr>
                <w:sz w:val="18"/>
                <w:szCs w:val="18"/>
              </w:rPr>
              <w:t xml:space="preserve">hours per response, including the time for reviewing instructions, searching existing data sources, </w:t>
            </w:r>
            <w:r w:rsidRPr="00212B74">
              <w:rPr>
                <w:sz w:val="18"/>
                <w:szCs w:val="18"/>
              </w:rPr>
              <w:t>gathering</w:t>
            </w:r>
            <w:r w:rsidRPr="00212B74">
              <w:rPr>
                <w:sz w:val="18"/>
                <w:szCs w:val="18"/>
              </w:rPr>
              <w:t xml:space="preserve">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w:t>
            </w:r>
            <w:r>
              <w:rPr>
                <w:sz w:val="18"/>
                <w:szCs w:val="18"/>
              </w:rPr>
              <w:t xml:space="preserve">applications for removals of public housing property for </w:t>
            </w:r>
            <w:r w:rsidRPr="00212B74">
              <w:rPr>
                <w:sz w:val="18"/>
                <w:szCs w:val="18"/>
              </w:rPr>
              <w:t>voluntary conversion</w:t>
            </w:r>
            <w:r>
              <w:rPr>
                <w:sz w:val="18"/>
                <w:szCs w:val="18"/>
              </w:rPr>
              <w:t xml:space="preserve"> under </w:t>
            </w:r>
            <w:r w:rsidRPr="00212B74">
              <w:rPr>
                <w:sz w:val="18"/>
                <w:szCs w:val="18"/>
              </w:rPr>
              <w:t xml:space="preserve">Section 22 of the </w:t>
            </w:r>
            <w:r w:rsidRPr="69799518">
              <w:rPr>
                <w:sz w:val="18"/>
                <w:szCs w:val="18"/>
              </w:rPr>
              <w:t xml:space="preserve">U.S. Housing Act of </w:t>
            </w:r>
            <w:r w:rsidRPr="00212B74">
              <w:rPr>
                <w:sz w:val="18"/>
                <w:szCs w:val="18"/>
              </w:rPr>
              <w:t xml:space="preserve">1937 </w:t>
            </w:r>
            <w:r w:rsidRPr="69799518">
              <w:rPr>
                <w:sz w:val="18"/>
                <w:szCs w:val="18"/>
              </w:rPr>
              <w:t xml:space="preserve">(1937 </w:t>
            </w:r>
            <w:r w:rsidRPr="00212B74">
              <w:rPr>
                <w:sz w:val="18"/>
                <w:szCs w:val="18"/>
              </w:rPr>
              <w:t>Act</w:t>
            </w:r>
            <w:r w:rsidRPr="69799518">
              <w:rPr>
                <w:sz w:val="18"/>
                <w:szCs w:val="18"/>
              </w:rPr>
              <w:t>)</w:t>
            </w:r>
            <w:r w:rsidRPr="00212B74">
              <w:rPr>
                <w:sz w:val="18"/>
                <w:szCs w:val="18"/>
              </w:rPr>
              <w:t xml:space="preserve"> and 24 CFR part 972, </w:t>
            </w:r>
            <w:r w:rsidRPr="00F14269">
              <w:rPr>
                <w:sz w:val="18"/>
                <w:szCs w:val="18"/>
              </w:rPr>
              <w:t>including Streamlined Voluntary Conversion under PIH Notice 2019-05.</w:t>
            </w:r>
            <w:r w:rsidRPr="00F14269">
              <w:rPr>
                <w:sz w:val="18"/>
              </w:rPr>
              <w:t xml:space="preserve"> </w:t>
            </w:r>
            <w:r w:rsidRPr="00F14269">
              <w:rPr>
                <w:sz w:val="18"/>
                <w:szCs w:val="18"/>
              </w:rPr>
              <w:t>HUD will use this information to review Public Housing Authority (</w:t>
            </w:r>
            <w:r w:rsidRPr="00F14269">
              <w:rPr>
                <w:sz w:val="18"/>
              </w:rPr>
              <w:t>PHA</w:t>
            </w:r>
            <w:r w:rsidRPr="00F14269">
              <w:rPr>
                <w:sz w:val="18"/>
                <w:szCs w:val="18"/>
              </w:rPr>
              <w:t xml:space="preserve">) requests, as well as to track removals for other record keeping requirements.  </w:t>
            </w:r>
            <w:r w:rsidRPr="00F14269">
              <w:rPr>
                <w:sz w:val="18"/>
              </w:rPr>
              <w:t xml:space="preserve">Please refer to the instructions for guidance </w:t>
            </w:r>
            <w:r w:rsidRPr="00F14269">
              <w:rPr>
                <w:color w:val="000000" w:themeColor="text1"/>
                <w:sz w:val="18"/>
              </w:rPr>
              <w:t xml:space="preserve">on completing this form. </w:t>
            </w:r>
            <w:r w:rsidRPr="00C82A68">
              <w:rPr>
                <w:rFonts w:eastAsia="PMingLiU"/>
                <w:sz w:val="18"/>
                <w:szCs w:val="18"/>
              </w:rPr>
              <w:t>There is no personal information contained in this application. Information on activities and expenditures of grant funds is public information and is generally available for disclosure. Recipients are responsible for ensuring confidentiality when disclosure is not required</w:t>
            </w:r>
            <w:r>
              <w:rPr>
                <w:rFonts w:eastAsia="PMingLiU"/>
                <w:sz w:val="18"/>
                <w:szCs w:val="18"/>
              </w:rPr>
              <w:t>.</w:t>
            </w:r>
            <w:r>
              <w:rPr>
                <w:sz w:val="18"/>
                <w:szCs w:val="18"/>
              </w:rPr>
              <w:t xml:space="preserve"> </w:t>
            </w:r>
          </w:p>
          <w:p w:rsidR="0071484E" w:rsidRPr="006F3E37" w:rsidP="00A879D5" w14:paraId="75B4A89E" w14:textId="77777777">
            <w:pPr>
              <w:jc w:val="both"/>
              <w:rPr>
                <w:rFonts w:ascii="Public reporting burden for thi" w:hAnsi="Public reporting burden for thi"/>
                <w:sz w:val="18"/>
                <w:szCs w:val="18"/>
              </w:rPr>
            </w:pPr>
          </w:p>
        </w:tc>
      </w:tr>
    </w:tbl>
    <w:p w:rsidR="0071484E" w:rsidRPr="00ED035E" w:rsidP="0071484E" w14:paraId="0AFF1264" w14:textId="7777777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770"/>
      </w:tblGrid>
      <w:tr w14:paraId="6F679527" w14:textId="77777777" w:rsidTr="00A879D5">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c>
          <w:tcPr>
            <w:tcW w:w="10998" w:type="dxa"/>
            <w:shd w:val="clear" w:color="auto" w:fill="auto"/>
          </w:tcPr>
          <w:p w:rsidR="0071484E" w:rsidRPr="00ED035E" w:rsidP="0071484E" w14:paraId="767130BC" w14:textId="77777777">
            <w:pPr>
              <w:numPr>
                <w:ilvl w:val="0"/>
                <w:numId w:val="1"/>
              </w:numPr>
              <w:ind w:left="360"/>
              <w:rPr>
                <w:b/>
              </w:rPr>
            </w:pPr>
            <w:r w:rsidRPr="00ED035E">
              <w:rPr>
                <w:b/>
              </w:rPr>
              <w:t>Cost Analysis:</w:t>
            </w:r>
          </w:p>
        </w:tc>
      </w:tr>
      <w:tr w14:paraId="59474409" w14:textId="77777777" w:rsidTr="00A879D5">
        <w:tblPrEx>
          <w:tblW w:w="0" w:type="auto"/>
          <w:tblLook w:val="04A0"/>
        </w:tblPrEx>
        <w:tc>
          <w:tcPr>
            <w:tcW w:w="10998" w:type="dxa"/>
            <w:shd w:val="clear" w:color="auto" w:fill="auto"/>
          </w:tcPr>
          <w:p w:rsidR="0071484E" w:rsidRPr="00ED035E" w:rsidP="00A879D5" w14:paraId="73D1F8EB" w14:textId="77777777">
            <w:pPr>
              <w:ind w:left="720"/>
            </w:pPr>
            <w:r w:rsidRPr="00ED035E">
              <w:rPr>
                <w:bCs/>
                <w:i/>
                <w:iCs/>
              </w:rPr>
              <w:t xml:space="preserve">Attach the results of the Cost Analysis in the form of the HUD-approved Excel Spreadsheet available on the HUD website at </w:t>
            </w:r>
            <w:hyperlink r:id="rId8" w:history="1">
              <w:r w:rsidRPr="00ED035E">
                <w:rPr>
                  <w:rStyle w:val="Hyperlink"/>
                  <w:bCs/>
                  <w:i/>
                  <w:iCs/>
                </w:rPr>
                <w:t>http://www.hud.gov/offices/pih/centers/sac/docs/costcomparison.xls</w:t>
              </w:r>
            </w:hyperlink>
            <w:r w:rsidRPr="00ED035E">
              <w:rPr>
                <w:bCs/>
                <w:i/>
                <w:iCs/>
              </w:rPr>
              <w:t>.</w:t>
            </w:r>
          </w:p>
        </w:tc>
      </w:tr>
    </w:tbl>
    <w:p w:rsidR="0071484E" w:rsidRPr="00ED035E" w:rsidP="0071484E" w14:paraId="1E09E011" w14:textId="7777777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770"/>
      </w:tblGrid>
      <w:tr w14:paraId="09338258" w14:textId="77777777" w:rsidTr="00A879D5">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c>
          <w:tcPr>
            <w:tcW w:w="10998" w:type="dxa"/>
            <w:shd w:val="clear" w:color="auto" w:fill="auto"/>
          </w:tcPr>
          <w:p w:rsidR="0071484E" w:rsidRPr="00ED035E" w:rsidP="0071484E" w14:paraId="7BE5BAFF" w14:textId="77777777">
            <w:pPr>
              <w:numPr>
                <w:ilvl w:val="0"/>
                <w:numId w:val="1"/>
              </w:numPr>
              <w:ind w:left="360"/>
              <w:rPr>
                <w:b/>
              </w:rPr>
            </w:pPr>
            <w:r w:rsidRPr="00ED035E">
              <w:rPr>
                <w:b/>
              </w:rPr>
              <w:t>Future Use:  How does the PHA propose the public housing project will be used after conversion?</w:t>
            </w:r>
          </w:p>
          <w:p w:rsidR="0071484E" w:rsidRPr="00ED035E" w:rsidP="00A879D5" w14:paraId="3743CC23" w14:textId="77777777">
            <w:pPr>
              <w:pStyle w:val="BodyText3"/>
              <w:ind w:left="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 xml:space="preserve"> Public Housing, including:</w:t>
            </w:r>
          </w:p>
          <w:p w:rsidR="0071484E" w:rsidRPr="00ED035E" w:rsidP="00A879D5" w14:paraId="3EFB2C2A" w14:textId="77777777">
            <w:pPr>
              <w:pStyle w:val="BodyText3"/>
              <w:ind w:left="1440"/>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Elderly</w:t>
            </w:r>
          </w:p>
          <w:p w:rsidR="0071484E" w:rsidRPr="00ED035E" w:rsidP="00A879D5" w14:paraId="44DA0BBE" w14:textId="77777777">
            <w:pPr>
              <w:pStyle w:val="BodyText3"/>
              <w:ind w:left="144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Family</w:t>
            </w:r>
          </w:p>
          <w:p w:rsidR="0071484E" w:rsidRPr="00ED035E" w:rsidP="00A879D5" w14:paraId="7C01529C" w14:textId="77777777">
            <w:pPr>
              <w:pStyle w:val="BodyText3"/>
              <w:ind w:left="720" w:firstLine="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Disabled</w:t>
            </w:r>
          </w:p>
          <w:p w:rsidR="0071484E" w:rsidRPr="00ED035E" w:rsidP="00A879D5" w14:paraId="59CB1BAA" w14:textId="77777777">
            <w:pPr>
              <w:pStyle w:val="BodyText3"/>
              <w:ind w:left="720" w:firstLine="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Mixed</w:t>
            </w:r>
          </w:p>
          <w:p w:rsidR="0071484E" w:rsidRPr="00ED035E" w:rsidP="00A879D5" w14:paraId="5FF11F4C" w14:textId="77777777">
            <w:pPr>
              <w:pStyle w:val="BodyText3"/>
              <w:ind w:left="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 xml:space="preserve"> Other Assisted Housing, including:</w:t>
            </w:r>
          </w:p>
          <w:p w:rsidR="0071484E" w:rsidRPr="00ED035E" w:rsidP="00A879D5" w14:paraId="404A9EF2" w14:textId="77777777">
            <w:pPr>
              <w:pStyle w:val="BodyText3"/>
              <w:ind w:left="1440"/>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Project-Based Vouchers</w:t>
            </w:r>
          </w:p>
          <w:p w:rsidR="0071484E" w:rsidRPr="00ED035E" w:rsidP="00A879D5" w14:paraId="09C078D1" w14:textId="77777777">
            <w:pPr>
              <w:pStyle w:val="BodyText3"/>
              <w:ind w:left="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Rent-Controlled or Rent-Capped Housing</w:t>
            </w:r>
          </w:p>
          <w:p w:rsidR="0071484E" w:rsidRPr="00ED035E" w:rsidP="00A879D5" w14:paraId="37E7A7AB" w14:textId="77777777">
            <w:pPr>
              <w:pStyle w:val="BodyText3"/>
              <w:ind w:left="720" w:firstLine="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LIHTC Housing</w:t>
            </w:r>
          </w:p>
          <w:p w:rsidR="0071484E" w:rsidRPr="00ED035E" w:rsidP="00A879D5" w14:paraId="4D18185F" w14:textId="77777777">
            <w:pPr>
              <w:pStyle w:val="BodyText3"/>
              <w:ind w:left="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t xml:space="preserve">  </w:t>
            </w:r>
            <w:r w:rsidRPr="00ED035E">
              <w:rPr>
                <w:sz w:val="24"/>
              </w:rPr>
              <w:t>Market-Rate Housing</w:t>
            </w:r>
          </w:p>
          <w:p w:rsidR="0071484E" w:rsidRPr="00ED035E" w:rsidP="00A879D5" w14:paraId="306BD8C4" w14:textId="77777777">
            <w:pPr>
              <w:pStyle w:val="BodyText3"/>
              <w:ind w:left="720"/>
              <w:rPr>
                <w:sz w:val="24"/>
              </w:rPr>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rPr>
                <w:sz w:val="24"/>
              </w:rPr>
              <w:t xml:space="preserve">  Other Housing: </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3467B264" w14:textId="77777777">
            <w:pPr>
              <w:pStyle w:val="BodyText3"/>
              <w:ind w:left="720"/>
            </w:pPr>
            <w:r w:rsidRPr="00ED035E">
              <w:fldChar w:fldCharType="begin">
                <w:ffData>
                  <w:name w:val="Check15"/>
                  <w:enabled/>
                  <w:calcOnExit w:val="0"/>
                  <w:checkBox>
                    <w:sizeAuto/>
                    <w:default w:val="0"/>
                  </w:checkBox>
                </w:ffData>
              </w:fldChar>
            </w:r>
            <w:r w:rsidRPr="00ED035E">
              <w:instrText xml:space="preserve"> FORMCHECKBOX </w:instrText>
            </w:r>
            <w:r w:rsidR="00D31154">
              <w:fldChar w:fldCharType="separate"/>
            </w:r>
            <w:r w:rsidRPr="00ED035E">
              <w:fldChar w:fldCharType="end"/>
            </w:r>
            <w:r w:rsidRPr="00ED035E">
              <w:rPr>
                <w:sz w:val="24"/>
              </w:rPr>
              <w:t xml:space="preserve">  Other Non-Housing Purposes: </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tc>
      </w:tr>
      <w:tr w14:paraId="09F2EC78" w14:textId="77777777" w:rsidTr="00A879D5">
        <w:tblPrEx>
          <w:tblW w:w="0" w:type="auto"/>
          <w:tblLook w:val="04A0"/>
        </w:tblPrEx>
        <w:tc>
          <w:tcPr>
            <w:tcW w:w="10998" w:type="dxa"/>
            <w:shd w:val="clear" w:color="auto" w:fill="auto"/>
          </w:tcPr>
          <w:p w:rsidR="0071484E" w:rsidRPr="00ED035E" w:rsidP="00A879D5" w14:paraId="181C1F8C" w14:textId="77777777">
            <w:pPr>
              <w:ind w:left="630"/>
            </w:pPr>
            <w:r w:rsidRPr="00ED035E">
              <w:rPr>
                <w:bCs/>
                <w:i/>
                <w:iCs/>
              </w:rPr>
              <w:t>Attach a narrative of the planned future use of the project indicated above and the means and timetable for accomplishing any planned demolition, disposition, or redevelopment</w:t>
            </w:r>
            <w:r w:rsidRPr="2DC10E1C">
              <w:rPr>
                <w:i/>
                <w:iCs/>
              </w:rPr>
              <w:t>.</w:t>
            </w:r>
          </w:p>
        </w:tc>
      </w:tr>
    </w:tbl>
    <w:p w:rsidR="0071484E" w:rsidRPr="00ED035E" w:rsidP="0071484E" w14:paraId="47666A52" w14:textId="7777777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83"/>
        <w:gridCol w:w="2309"/>
        <w:gridCol w:w="3078"/>
      </w:tblGrid>
      <w:tr w14:paraId="6FF8C519" w14:textId="77777777" w:rsidTr="00A879D5">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c>
          <w:tcPr>
            <w:tcW w:w="10998" w:type="dxa"/>
            <w:gridSpan w:val="3"/>
            <w:shd w:val="clear" w:color="auto" w:fill="auto"/>
          </w:tcPr>
          <w:p w:rsidR="0071484E" w:rsidRPr="00ED035E" w:rsidP="0071484E" w14:paraId="3F09A481" w14:textId="77777777">
            <w:pPr>
              <w:pStyle w:val="BodyText3"/>
              <w:numPr>
                <w:ilvl w:val="0"/>
                <w:numId w:val="1"/>
              </w:numPr>
              <w:ind w:left="360" w:right="-180"/>
              <w:rPr>
                <w:b/>
              </w:rPr>
            </w:pPr>
            <w:r>
              <w:rPr>
                <w:b/>
                <w:sz w:val="24"/>
              </w:rPr>
              <w:t>C</w:t>
            </w:r>
            <w:r w:rsidRPr="00ED035E">
              <w:rPr>
                <w:b/>
                <w:sz w:val="24"/>
              </w:rPr>
              <w:t>omplete the information requested below based on the appraisals/market analyses required by 24 CFR part 972 and any applicable HUD Notice on appraisals for voluntary conversions.</w:t>
            </w:r>
          </w:p>
        </w:tc>
      </w:tr>
      <w:tr w14:paraId="61E96F63" w14:textId="77777777" w:rsidTr="00A879D5">
        <w:tblPrEx>
          <w:tblW w:w="0" w:type="auto"/>
          <w:tblLook w:val="01E0"/>
        </w:tblPrEx>
        <w:tc>
          <w:tcPr>
            <w:tcW w:w="5508" w:type="dxa"/>
          </w:tcPr>
          <w:p w:rsidR="0071484E" w:rsidRPr="00ED035E" w:rsidP="00A879D5" w14:paraId="35AE40ED" w14:textId="77777777">
            <w:pPr>
              <w:pStyle w:val="EndnoteText"/>
              <w:tabs>
                <w:tab w:val="left" w:pos="1584"/>
              </w:tabs>
              <w:jc w:val="center"/>
              <w:rPr>
                <w:rFonts w:ascii="Times New Roman" w:hAnsi="Times New Roman" w:cs="Times New Roman"/>
                <w:b/>
              </w:rPr>
            </w:pPr>
            <w:r w:rsidRPr="00ED035E">
              <w:rPr>
                <w:rFonts w:ascii="Times New Roman" w:hAnsi="Times New Roman" w:cs="Times New Roman"/>
                <w:b/>
              </w:rPr>
              <w:t>Market Valuation</w:t>
            </w:r>
          </w:p>
        </w:tc>
        <w:tc>
          <w:tcPr>
            <w:tcW w:w="2340" w:type="dxa"/>
          </w:tcPr>
          <w:p w:rsidR="0071484E" w:rsidRPr="00ED035E" w:rsidP="00A879D5" w14:paraId="78FD8CDA" w14:textId="77777777">
            <w:pPr>
              <w:pStyle w:val="EndnoteText"/>
              <w:tabs>
                <w:tab w:val="left" w:pos="1584"/>
              </w:tabs>
              <w:jc w:val="center"/>
              <w:rPr>
                <w:rFonts w:ascii="Times New Roman" w:hAnsi="Times New Roman" w:cs="Times New Roman"/>
                <w:b/>
              </w:rPr>
            </w:pPr>
            <w:r w:rsidRPr="00ED035E">
              <w:rPr>
                <w:rFonts w:ascii="Times New Roman" w:hAnsi="Times New Roman" w:cs="Times New Roman"/>
                <w:b/>
              </w:rPr>
              <w:t>Approach Used</w:t>
            </w:r>
          </w:p>
        </w:tc>
        <w:tc>
          <w:tcPr>
            <w:tcW w:w="3150" w:type="dxa"/>
          </w:tcPr>
          <w:p w:rsidR="0071484E" w:rsidRPr="00ED035E" w:rsidP="00A879D5" w14:paraId="32116F59" w14:textId="77777777">
            <w:pPr>
              <w:pStyle w:val="EndnoteText"/>
              <w:tabs>
                <w:tab w:val="left" w:pos="1584"/>
              </w:tabs>
              <w:jc w:val="center"/>
              <w:rPr>
                <w:rFonts w:ascii="Times New Roman" w:hAnsi="Times New Roman" w:cs="Times New Roman"/>
                <w:b/>
              </w:rPr>
            </w:pPr>
            <w:r w:rsidRPr="00ED035E">
              <w:rPr>
                <w:rFonts w:ascii="Times New Roman" w:hAnsi="Times New Roman" w:cs="Times New Roman"/>
                <w:b/>
              </w:rPr>
              <w:t xml:space="preserve">Value </w:t>
            </w:r>
          </w:p>
        </w:tc>
      </w:tr>
      <w:tr w14:paraId="5E7F552B" w14:textId="77777777" w:rsidTr="00A879D5">
        <w:tblPrEx>
          <w:tblW w:w="0" w:type="auto"/>
          <w:tblLook w:val="01E0"/>
        </w:tblPrEx>
        <w:tc>
          <w:tcPr>
            <w:tcW w:w="5508" w:type="dxa"/>
            <w:vAlign w:val="center"/>
          </w:tcPr>
          <w:p w:rsidR="0071484E" w:rsidRPr="00ED035E" w:rsidP="00A879D5" w14:paraId="536322CC"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t xml:space="preserve">1. Current Value “As </w:t>
            </w:r>
            <w:r w:rsidRPr="00ED035E">
              <w:rPr>
                <w:rFonts w:ascii="Times New Roman" w:hAnsi="Times New Roman" w:cs="Times New Roman"/>
              </w:rPr>
              <w:t>Is</w:t>
            </w:r>
            <w:r w:rsidRPr="00ED035E">
              <w:rPr>
                <w:rFonts w:ascii="Times New Roman" w:hAnsi="Times New Roman" w:cs="Times New Roman"/>
              </w:rPr>
              <w:t xml:space="preserve">” </w:t>
            </w:r>
          </w:p>
          <w:p w:rsidR="0071484E" w:rsidRPr="00ED035E" w:rsidP="00A879D5" w14:paraId="1D3AD34A" w14:textId="77777777">
            <w:pPr>
              <w:pStyle w:val="EndnoteText"/>
              <w:tabs>
                <w:tab w:val="left" w:pos="1584"/>
              </w:tabs>
              <w:ind w:left="270" w:firstLine="540"/>
              <w:rPr>
                <w:rFonts w:ascii="Times New Roman" w:hAnsi="Times New Roman" w:cs="Times New Roman"/>
              </w:rPr>
            </w:pPr>
            <w:r w:rsidRPr="00ED035E">
              <w:rPr>
                <w:rFonts w:ascii="Times New Roman" w:hAnsi="Times New Roman" w:cs="Times New Roman"/>
              </w:rPr>
              <w:t>Public Housing</w:t>
            </w:r>
          </w:p>
        </w:tc>
        <w:tc>
          <w:tcPr>
            <w:tcW w:w="2340" w:type="dxa"/>
            <w:vAlign w:val="center"/>
          </w:tcPr>
          <w:p w:rsidR="0071484E" w:rsidRPr="00ED035E" w:rsidP="00A879D5" w14:paraId="74C875ED"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Income</w:t>
            </w:r>
          </w:p>
          <w:p w:rsidR="0071484E" w:rsidRPr="00ED035E" w:rsidP="00A879D5" w14:paraId="49610034"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Comparable Sale</w:t>
            </w:r>
          </w:p>
          <w:p w:rsidR="0071484E" w:rsidRPr="00ED035E" w:rsidP="00A879D5" w14:paraId="2951B584"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Tax-Assessment</w:t>
            </w:r>
          </w:p>
          <w:p w:rsidR="0071484E" w:rsidRPr="00ED035E" w:rsidP="00A879D5" w14:paraId="3EAD4EA3"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Cost Approach</w:t>
            </w:r>
          </w:p>
        </w:tc>
        <w:tc>
          <w:tcPr>
            <w:tcW w:w="3150" w:type="dxa"/>
          </w:tcPr>
          <w:p w:rsidR="0071484E" w:rsidRPr="00ED035E" w:rsidP="00A879D5" w14:paraId="19AE9A36" w14:textId="77777777">
            <w:pPr>
              <w:spacing w:before="20" w:after="20"/>
            </w:pPr>
          </w:p>
          <w:p w:rsidR="0071484E" w:rsidRPr="00ED035E" w:rsidP="00A879D5" w14:paraId="5A5EB8AC" w14:textId="77777777">
            <w:pPr>
              <w:spacing w:before="20" w:after="20"/>
            </w:pPr>
            <w:r w:rsidRPr="00ED035E">
              <w:t>$</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7EDF7B04" w14:textId="77777777">
            <w:pPr>
              <w:pStyle w:val="EndnoteText"/>
              <w:tabs>
                <w:tab w:val="left" w:pos="1584"/>
              </w:tabs>
              <w:jc w:val="both"/>
              <w:rPr>
                <w:rFonts w:ascii="Times New Roman" w:hAnsi="Times New Roman" w:cs="Times New Roman"/>
              </w:rPr>
            </w:pPr>
          </w:p>
        </w:tc>
      </w:tr>
      <w:tr w14:paraId="01DAF8E1" w14:textId="77777777" w:rsidTr="00A879D5">
        <w:tblPrEx>
          <w:tblW w:w="0" w:type="auto"/>
          <w:tblLook w:val="01E0"/>
        </w:tblPrEx>
        <w:tc>
          <w:tcPr>
            <w:tcW w:w="5508" w:type="dxa"/>
            <w:vAlign w:val="center"/>
          </w:tcPr>
          <w:p w:rsidR="0071484E" w:rsidRPr="00ED035E" w:rsidP="00A879D5" w14:paraId="55F33141"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t>2. Future Value “Post-Rehab”</w:t>
            </w:r>
          </w:p>
          <w:p w:rsidR="0071484E" w:rsidRPr="00ED035E" w:rsidP="00A879D5" w14:paraId="6DB57442" w14:textId="77777777">
            <w:pPr>
              <w:pStyle w:val="EndnoteText"/>
              <w:tabs>
                <w:tab w:val="left" w:pos="1584"/>
              </w:tabs>
              <w:ind w:left="270" w:firstLine="540"/>
              <w:rPr>
                <w:rFonts w:ascii="Times New Roman" w:hAnsi="Times New Roman" w:cs="Times New Roman"/>
              </w:rPr>
            </w:pPr>
            <w:r w:rsidRPr="00ED035E">
              <w:rPr>
                <w:rFonts w:ascii="Times New Roman" w:hAnsi="Times New Roman" w:cs="Times New Roman"/>
              </w:rPr>
              <w:t xml:space="preserve">Public Housing </w:t>
            </w:r>
          </w:p>
        </w:tc>
        <w:tc>
          <w:tcPr>
            <w:tcW w:w="2340" w:type="dxa"/>
            <w:vAlign w:val="center"/>
          </w:tcPr>
          <w:p w:rsidR="0071484E" w:rsidRPr="00ED035E" w:rsidP="00A879D5" w14:paraId="653A0C86"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Income</w:t>
            </w:r>
          </w:p>
          <w:p w:rsidR="0071484E" w:rsidRPr="00ED035E" w:rsidP="00A879D5" w14:paraId="7EFF56F4"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Comparable Sale</w:t>
            </w:r>
          </w:p>
          <w:p w:rsidR="0071484E" w:rsidRPr="00ED035E" w:rsidP="00A879D5" w14:paraId="24B7CC86"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Tax-Assessment</w:t>
            </w:r>
          </w:p>
          <w:p w:rsidR="0071484E" w:rsidRPr="00ED035E" w:rsidP="00A879D5" w14:paraId="3A2DEA26"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Cost Approach</w:t>
            </w:r>
          </w:p>
        </w:tc>
        <w:tc>
          <w:tcPr>
            <w:tcW w:w="3150" w:type="dxa"/>
          </w:tcPr>
          <w:p w:rsidR="0071484E" w:rsidRPr="00ED035E" w:rsidP="00A879D5" w14:paraId="0E7C99DC" w14:textId="77777777">
            <w:pPr>
              <w:spacing w:before="20" w:after="20"/>
            </w:pPr>
          </w:p>
          <w:p w:rsidR="0071484E" w:rsidRPr="00ED035E" w:rsidP="00A879D5" w14:paraId="5D274F88" w14:textId="77777777">
            <w:pPr>
              <w:spacing w:before="20" w:after="20"/>
            </w:pPr>
            <w:r w:rsidRPr="00ED035E">
              <w:t>$</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4823009A" w14:textId="77777777">
            <w:pPr>
              <w:pStyle w:val="EndnoteText"/>
              <w:tabs>
                <w:tab w:val="left" w:pos="1584"/>
              </w:tabs>
              <w:jc w:val="both"/>
              <w:rPr>
                <w:rFonts w:ascii="Times New Roman" w:hAnsi="Times New Roman" w:cs="Times New Roman"/>
              </w:rPr>
            </w:pPr>
          </w:p>
        </w:tc>
      </w:tr>
    </w:tbl>
    <w:p w:rsidR="0071484E" w:rsidP="0071484E" w14:paraId="488A768D" w14:textId="77777777">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388"/>
        <w:gridCol w:w="2308"/>
        <w:gridCol w:w="3074"/>
      </w:tblGrid>
      <w:tr w14:paraId="57921F86" w14:textId="77777777" w:rsidTr="00A879D5">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c>
          <w:tcPr>
            <w:tcW w:w="5508" w:type="dxa"/>
            <w:vAlign w:val="center"/>
          </w:tcPr>
          <w:p w:rsidR="0071484E" w:rsidRPr="00ED035E" w:rsidP="00A879D5" w14:paraId="02F2DC84" w14:textId="77777777">
            <w:pPr>
              <w:pStyle w:val="EndnoteText"/>
              <w:tabs>
                <w:tab w:val="left" w:pos="1584"/>
              </w:tabs>
              <w:ind w:left="810" w:hanging="270"/>
              <w:rPr>
                <w:rFonts w:ascii="Times New Roman" w:hAnsi="Times New Roman" w:cs="Times New Roman"/>
              </w:rPr>
            </w:pPr>
            <w:r w:rsidRPr="00ED035E">
              <w:rPr>
                <w:rFonts w:ascii="Times New Roman" w:hAnsi="Times New Roman" w:cs="Times New Roman"/>
              </w:rPr>
              <w:t xml:space="preserve">3.  Current Value “As Is” (depends on proposed future use) </w:t>
            </w:r>
          </w:p>
          <w:p w:rsidR="0071484E" w:rsidRPr="00ED035E" w:rsidP="00A879D5" w14:paraId="3A025D8A"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t xml:space="preserve">Select One:  </w:t>
            </w:r>
          </w:p>
          <w:p w:rsidR="0071484E" w:rsidRPr="00ED035E" w:rsidP="00A879D5" w14:paraId="07CB49B6"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Other Assisted Housing</w:t>
            </w:r>
          </w:p>
          <w:p w:rsidR="0071484E" w:rsidRPr="00ED035E" w:rsidP="00A879D5" w14:paraId="1CD775AE"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Rent-Controlled or Rent-Capped Housing </w:t>
            </w:r>
          </w:p>
          <w:p w:rsidR="0071484E" w:rsidRPr="00ED035E" w:rsidP="00A879D5" w14:paraId="10CA4E49"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Market-Rate Housing  </w:t>
            </w:r>
          </w:p>
          <w:p w:rsidR="0071484E" w:rsidRPr="00ED035E" w:rsidP="00A879D5" w14:paraId="3C29F13B"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Other Housing</w:t>
            </w:r>
          </w:p>
        </w:tc>
        <w:tc>
          <w:tcPr>
            <w:tcW w:w="2340" w:type="dxa"/>
            <w:vAlign w:val="center"/>
          </w:tcPr>
          <w:p w:rsidR="0071484E" w:rsidRPr="00ED035E" w:rsidP="00A879D5" w14:paraId="30182C71"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Income</w:t>
            </w:r>
          </w:p>
          <w:p w:rsidR="0071484E" w:rsidRPr="00ED035E" w:rsidP="00A879D5" w14:paraId="2A6DB3E2"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Comparable Sale</w:t>
            </w:r>
          </w:p>
          <w:p w:rsidR="0071484E" w:rsidRPr="00ED035E" w:rsidP="00A879D5" w14:paraId="4D9AADDB"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Tax-Assessment</w:t>
            </w:r>
          </w:p>
          <w:p w:rsidR="0071484E" w:rsidRPr="00ED035E" w:rsidP="00A879D5" w14:paraId="420C92B6"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Cost Approach</w:t>
            </w:r>
          </w:p>
        </w:tc>
        <w:tc>
          <w:tcPr>
            <w:tcW w:w="3150" w:type="dxa"/>
          </w:tcPr>
          <w:p w:rsidR="0071484E" w:rsidRPr="00ED035E" w:rsidP="00A879D5" w14:paraId="77651606" w14:textId="77777777">
            <w:pPr>
              <w:pStyle w:val="EndnoteText"/>
              <w:tabs>
                <w:tab w:val="left" w:pos="1584"/>
              </w:tabs>
              <w:jc w:val="both"/>
              <w:rPr>
                <w:rFonts w:ascii="Times New Roman" w:hAnsi="Times New Roman" w:cs="Times New Roman"/>
              </w:rPr>
            </w:pPr>
          </w:p>
          <w:p w:rsidR="0071484E" w:rsidRPr="00ED035E" w:rsidP="00A879D5" w14:paraId="7C0AD013" w14:textId="77777777">
            <w:pPr>
              <w:spacing w:before="20" w:after="20"/>
            </w:pPr>
            <w:r w:rsidRPr="00ED035E">
              <w:t>$</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45DD5852" w14:textId="77777777">
            <w:pPr>
              <w:pStyle w:val="EndnoteText"/>
              <w:tabs>
                <w:tab w:val="left" w:pos="1584"/>
              </w:tabs>
              <w:jc w:val="both"/>
              <w:rPr>
                <w:rFonts w:ascii="Times New Roman" w:hAnsi="Times New Roman" w:cs="Times New Roman"/>
              </w:rPr>
            </w:pPr>
          </w:p>
        </w:tc>
      </w:tr>
      <w:tr w14:paraId="76BF7E11" w14:textId="77777777" w:rsidTr="00A879D5">
        <w:tblPrEx>
          <w:tblW w:w="0" w:type="auto"/>
          <w:tblLook w:val="01E0"/>
        </w:tblPrEx>
        <w:tc>
          <w:tcPr>
            <w:tcW w:w="5508" w:type="dxa"/>
            <w:vAlign w:val="center"/>
          </w:tcPr>
          <w:p w:rsidR="0071484E" w:rsidRPr="00ED035E" w:rsidP="00A879D5" w14:paraId="1BD03A70" w14:textId="77777777">
            <w:pPr>
              <w:pStyle w:val="EndnoteText"/>
              <w:tabs>
                <w:tab w:val="left" w:pos="1584"/>
              </w:tabs>
              <w:ind w:left="900" w:hanging="360"/>
              <w:rPr>
                <w:rFonts w:ascii="Times New Roman" w:hAnsi="Times New Roman" w:cs="Times New Roman"/>
              </w:rPr>
            </w:pPr>
            <w:r w:rsidRPr="00ED035E">
              <w:rPr>
                <w:rFonts w:ascii="Times New Roman" w:hAnsi="Times New Roman" w:cs="Times New Roman"/>
              </w:rPr>
              <w:t>4.  Future</w:t>
            </w:r>
            <w:r>
              <w:rPr>
                <w:rFonts w:ascii="Times New Roman" w:hAnsi="Times New Roman" w:cs="Times New Roman"/>
              </w:rPr>
              <w:t xml:space="preserve"> Value “Post-Rehab” (depends on </w:t>
            </w:r>
            <w:r w:rsidRPr="00ED035E">
              <w:rPr>
                <w:rFonts w:ascii="Times New Roman" w:hAnsi="Times New Roman" w:cs="Times New Roman"/>
              </w:rPr>
              <w:t>proposed future use)</w:t>
            </w:r>
          </w:p>
          <w:p w:rsidR="0071484E" w:rsidRPr="00ED035E" w:rsidP="00A879D5" w14:paraId="1E5E9D9A"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t xml:space="preserve">Select One:  </w:t>
            </w:r>
          </w:p>
          <w:p w:rsidR="0071484E" w:rsidRPr="00ED035E" w:rsidP="00A879D5" w14:paraId="2ED0D84A"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Other Assisted Housing </w:t>
            </w:r>
          </w:p>
          <w:p w:rsidR="0071484E" w:rsidRPr="00ED035E" w:rsidP="00A879D5" w14:paraId="1D066354"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Rent-Controlled or Rent-Capped Housing </w:t>
            </w:r>
          </w:p>
          <w:p w:rsidR="0071484E" w:rsidRPr="00ED035E" w:rsidP="00A879D5" w14:paraId="191D5C31"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Market-Rate Housing  </w:t>
            </w:r>
          </w:p>
          <w:p w:rsidR="0071484E" w:rsidRPr="00ED035E" w:rsidP="00A879D5" w14:paraId="16669301" w14:textId="77777777">
            <w:pPr>
              <w:pStyle w:val="EndnoteText"/>
              <w:tabs>
                <w:tab w:val="left" w:pos="1584"/>
              </w:tabs>
              <w:ind w:firstLine="540"/>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Other Ho</w:t>
            </w:r>
            <w:r>
              <w:rPr>
                <w:rFonts w:ascii="Times New Roman" w:hAnsi="Times New Roman" w:cs="Times New Roman"/>
              </w:rPr>
              <w:t xml:space="preserve">using </w:t>
            </w:r>
          </w:p>
        </w:tc>
        <w:tc>
          <w:tcPr>
            <w:tcW w:w="2340" w:type="dxa"/>
            <w:vAlign w:val="center"/>
          </w:tcPr>
          <w:p w:rsidR="0071484E" w:rsidRPr="00ED035E" w:rsidP="00A879D5" w14:paraId="7822409C"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Income</w:t>
            </w:r>
          </w:p>
          <w:p w:rsidR="0071484E" w:rsidRPr="00ED035E" w:rsidP="00A879D5" w14:paraId="5515AA2A"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Comparable Sale</w:t>
            </w:r>
          </w:p>
          <w:p w:rsidR="0071484E" w:rsidRPr="00ED035E" w:rsidP="00A879D5" w14:paraId="3B2DF316"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Tax-Assessment</w:t>
            </w:r>
          </w:p>
          <w:p w:rsidR="0071484E" w:rsidRPr="00ED035E" w:rsidP="00A879D5" w14:paraId="6CD3670F"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Cost Approach</w:t>
            </w:r>
          </w:p>
        </w:tc>
        <w:tc>
          <w:tcPr>
            <w:tcW w:w="3150" w:type="dxa"/>
          </w:tcPr>
          <w:p w:rsidR="0071484E" w:rsidRPr="00ED035E" w:rsidP="00A879D5" w14:paraId="0525A303" w14:textId="77777777">
            <w:pPr>
              <w:pStyle w:val="EndnoteText"/>
              <w:tabs>
                <w:tab w:val="left" w:pos="1584"/>
              </w:tabs>
              <w:jc w:val="both"/>
              <w:rPr>
                <w:rFonts w:ascii="Times New Roman" w:hAnsi="Times New Roman" w:cs="Times New Roman"/>
              </w:rPr>
            </w:pPr>
          </w:p>
          <w:p w:rsidR="0071484E" w:rsidRPr="00ED035E" w:rsidP="00A879D5" w14:paraId="0FEB679C" w14:textId="77777777">
            <w:pPr>
              <w:spacing w:before="20" w:after="20"/>
            </w:pPr>
            <w:r w:rsidRPr="00ED035E">
              <w:t>$</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54F28404" w14:textId="77777777">
            <w:pPr>
              <w:pStyle w:val="EndnoteText"/>
              <w:tabs>
                <w:tab w:val="left" w:pos="1584"/>
              </w:tabs>
              <w:jc w:val="both"/>
              <w:rPr>
                <w:rFonts w:ascii="Times New Roman" w:hAnsi="Times New Roman" w:cs="Times New Roman"/>
              </w:rPr>
            </w:pPr>
          </w:p>
        </w:tc>
      </w:tr>
      <w:tr w14:paraId="4BF92AFE" w14:textId="77777777" w:rsidTr="00A879D5">
        <w:tblPrEx>
          <w:tblW w:w="0" w:type="auto"/>
          <w:tblLook w:val="01E0"/>
        </w:tblPrEx>
        <w:trPr>
          <w:trHeight w:val="1898"/>
        </w:trPr>
        <w:tc>
          <w:tcPr>
            <w:tcW w:w="5508" w:type="dxa"/>
            <w:vAlign w:val="center"/>
          </w:tcPr>
          <w:p w:rsidR="0071484E" w:rsidRPr="00ED035E" w:rsidP="00A879D5" w14:paraId="2B54529B" w14:textId="77777777">
            <w:pPr>
              <w:pStyle w:val="EndnoteText"/>
              <w:tabs>
                <w:tab w:val="left" w:pos="1584"/>
              </w:tabs>
              <w:ind w:left="900" w:hanging="360"/>
              <w:rPr>
                <w:rFonts w:ascii="Times New Roman" w:hAnsi="Times New Roman" w:cs="Times New Roman"/>
              </w:rPr>
            </w:pPr>
            <w:r w:rsidRPr="00ED035E">
              <w:rPr>
                <w:rFonts w:ascii="Times New Roman" w:hAnsi="Times New Roman" w:cs="Times New Roman"/>
              </w:rPr>
              <w:t xml:space="preserve">5. “Highest and Best Use” Value or “Market Value” </w:t>
            </w:r>
          </w:p>
          <w:p w:rsidR="0071484E" w:rsidRPr="00ED035E" w:rsidP="00A879D5" w14:paraId="5CF1C4AC" w14:textId="77777777">
            <w:pPr>
              <w:pStyle w:val="EndnoteText"/>
              <w:tabs>
                <w:tab w:val="left" w:pos="1584"/>
              </w:tabs>
              <w:rPr>
                <w:rFonts w:ascii="Times New Roman" w:hAnsi="Times New Roman" w:cs="Times New Roman"/>
              </w:rPr>
            </w:pPr>
            <w:r w:rsidRPr="00ED035E">
              <w:rPr>
                <w:rFonts w:ascii="Times New Roman" w:hAnsi="Times New Roman" w:cs="Times New Roman"/>
              </w:rPr>
              <w:t>(*Insert this value at Section 5(c) of the Cost Analysis Excel Spreadsheet as the “market value of property</w:t>
            </w:r>
            <w:r w:rsidRPr="2DC10E1C">
              <w:rPr>
                <w:rFonts w:ascii="Times New Roman" w:hAnsi="Times New Roman" w:cs="Times New Roman"/>
              </w:rPr>
              <w:t>.”</w:t>
            </w:r>
            <w:r w:rsidRPr="00ED035E">
              <w:rPr>
                <w:rFonts w:ascii="Times New Roman" w:hAnsi="Times New Roman" w:cs="Times New Roman"/>
              </w:rPr>
              <w:t xml:space="preserve">  Also insert this value whenever the “market value” of the property is requested in the calculation.)</w:t>
            </w:r>
          </w:p>
        </w:tc>
        <w:tc>
          <w:tcPr>
            <w:tcW w:w="2340" w:type="dxa"/>
            <w:vAlign w:val="center"/>
          </w:tcPr>
          <w:p w:rsidR="0071484E" w:rsidRPr="00ED035E" w:rsidP="00A879D5" w14:paraId="4212D573"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Income</w:t>
            </w:r>
          </w:p>
          <w:p w:rsidR="0071484E" w:rsidRPr="00ED035E" w:rsidP="00A879D5" w14:paraId="679363E2"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Comparable Sale</w:t>
            </w:r>
          </w:p>
          <w:p w:rsidR="0071484E" w:rsidRPr="00ED035E" w:rsidP="00A879D5" w14:paraId="1C6BBD67"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Tax-Assessment</w:t>
            </w:r>
          </w:p>
          <w:p w:rsidR="0071484E" w:rsidRPr="00ED035E" w:rsidP="00A879D5" w14:paraId="6C4DEC43" w14:textId="77777777">
            <w:pPr>
              <w:pStyle w:val="EndnoteText"/>
              <w:tabs>
                <w:tab w:val="left" w:pos="1584"/>
              </w:tabs>
              <w:rPr>
                <w:rFonts w:ascii="Times New Roman" w:hAnsi="Times New Roman" w:cs="Times New Roman"/>
              </w:rPr>
            </w:pPr>
            <w:r w:rsidRPr="00ED035E">
              <w:rPr>
                <w:rFonts w:ascii="Times New Roman" w:hAnsi="Times New Roman" w:cs="Times New Roman"/>
              </w:rPr>
              <w:fldChar w:fldCharType="begin">
                <w:ffData>
                  <w:name w:val="Check15"/>
                  <w:enabled/>
                  <w:calcOnExit w:val="0"/>
                  <w:checkBox>
                    <w:sizeAuto/>
                    <w:default w:val="0"/>
                  </w:checkBox>
                </w:ffData>
              </w:fldChar>
            </w:r>
            <w:r w:rsidRPr="00ED035E">
              <w:rPr>
                <w:rFonts w:ascii="Times New Roman" w:hAnsi="Times New Roman" w:cs="Times New Roman"/>
              </w:rPr>
              <w:instrText xml:space="preserve"> FORMCHECKBOX </w:instrText>
            </w:r>
            <w:r w:rsidR="00D31154">
              <w:rPr>
                <w:rFonts w:ascii="Times New Roman" w:hAnsi="Times New Roman" w:cs="Times New Roman"/>
              </w:rPr>
              <w:fldChar w:fldCharType="separate"/>
            </w:r>
            <w:r w:rsidRPr="00ED035E">
              <w:rPr>
                <w:rFonts w:ascii="Times New Roman" w:hAnsi="Times New Roman" w:cs="Times New Roman"/>
              </w:rPr>
              <w:fldChar w:fldCharType="end"/>
            </w:r>
            <w:r w:rsidRPr="00ED035E">
              <w:rPr>
                <w:rFonts w:ascii="Times New Roman" w:hAnsi="Times New Roman" w:cs="Times New Roman"/>
              </w:rPr>
              <w:t xml:space="preserve"> Cost Approach</w:t>
            </w:r>
          </w:p>
        </w:tc>
        <w:tc>
          <w:tcPr>
            <w:tcW w:w="3150" w:type="dxa"/>
          </w:tcPr>
          <w:p w:rsidR="0071484E" w:rsidRPr="00ED035E" w:rsidP="00A879D5" w14:paraId="046DAA00" w14:textId="77777777">
            <w:pPr>
              <w:pStyle w:val="EndnoteText"/>
              <w:tabs>
                <w:tab w:val="left" w:pos="1584"/>
              </w:tabs>
              <w:jc w:val="both"/>
              <w:rPr>
                <w:rFonts w:ascii="Times New Roman" w:hAnsi="Times New Roman" w:cs="Times New Roman"/>
              </w:rPr>
            </w:pPr>
          </w:p>
          <w:p w:rsidR="0071484E" w:rsidRPr="00ED035E" w:rsidP="00A879D5" w14:paraId="7E1F6596" w14:textId="77777777">
            <w:pPr>
              <w:spacing w:before="20" w:after="20"/>
            </w:pPr>
            <w:r w:rsidRPr="00ED035E">
              <w:t>$</w:t>
            </w:r>
            <w:r w:rsidRPr="00ED035E">
              <w:fldChar w:fldCharType="begin">
                <w:ffData>
                  <w:name w:val="Text1"/>
                  <w:enabled/>
                  <w:calcOnExit w:val="0"/>
                  <w:textInput/>
                </w:ffData>
              </w:fldChar>
            </w:r>
            <w:r w:rsidRPr="00ED035E">
              <w:instrText xml:space="preserve"> FORMTEXT </w:instrText>
            </w:r>
            <w:r w:rsidRPr="00ED035E">
              <w:fldChar w:fldCharType="separate"/>
            </w:r>
            <w:r w:rsidRPr="00ED035E">
              <w:rPr>
                <w:noProof/>
              </w:rPr>
              <w:t> </w:t>
            </w:r>
            <w:r w:rsidRPr="00ED035E">
              <w:rPr>
                <w:noProof/>
              </w:rPr>
              <w:t> </w:t>
            </w:r>
            <w:r w:rsidRPr="00ED035E">
              <w:rPr>
                <w:noProof/>
              </w:rPr>
              <w:t> </w:t>
            </w:r>
            <w:r w:rsidRPr="00ED035E">
              <w:rPr>
                <w:noProof/>
              </w:rPr>
              <w:t> </w:t>
            </w:r>
            <w:r w:rsidRPr="00ED035E">
              <w:rPr>
                <w:noProof/>
              </w:rPr>
              <w:t> </w:t>
            </w:r>
            <w:r w:rsidRPr="00ED035E">
              <w:fldChar w:fldCharType="end"/>
            </w:r>
          </w:p>
          <w:p w:rsidR="0071484E" w:rsidRPr="00ED035E" w:rsidP="00A879D5" w14:paraId="1589366A" w14:textId="77777777">
            <w:pPr>
              <w:pStyle w:val="EndnoteText"/>
              <w:tabs>
                <w:tab w:val="left" w:pos="1584"/>
              </w:tabs>
              <w:jc w:val="both"/>
              <w:rPr>
                <w:rFonts w:ascii="Times New Roman" w:hAnsi="Times New Roman" w:cs="Times New Roman"/>
              </w:rPr>
            </w:pPr>
          </w:p>
        </w:tc>
      </w:tr>
    </w:tbl>
    <w:p w:rsidR="0071484E" w:rsidRPr="00ED035E" w:rsidP="0071484E" w14:paraId="30F32BBD" w14:textId="77777777"/>
    <w:tbl>
      <w:tblPr>
        <w:tblW w:w="0" w:type="auto"/>
        <w:tblBorders>
          <w:top w:val="single" w:sz="12" w:space="0" w:color="auto"/>
          <w:left w:val="single" w:sz="12" w:space="0" w:color="auto"/>
          <w:bottom w:val="single" w:sz="12" w:space="0" w:color="auto"/>
          <w:right w:val="single" w:sz="12" w:space="0" w:color="auto"/>
        </w:tblBorders>
        <w:tblLook w:val="01E0"/>
      </w:tblPr>
      <w:tblGrid>
        <w:gridCol w:w="10770"/>
      </w:tblGrid>
      <w:tr w14:paraId="1F968731" w14:textId="77777777" w:rsidTr="00A879D5">
        <w:tblPrEx>
          <w:tblW w:w="0" w:type="auto"/>
          <w:tblBorders>
            <w:top w:val="single" w:sz="12" w:space="0" w:color="auto"/>
            <w:left w:val="single" w:sz="12" w:space="0" w:color="auto"/>
            <w:bottom w:val="single" w:sz="12" w:space="0" w:color="auto"/>
            <w:right w:val="single" w:sz="12" w:space="0" w:color="auto"/>
          </w:tblBorders>
          <w:tblLook w:val="01E0"/>
        </w:tblPrEx>
        <w:tc>
          <w:tcPr>
            <w:tcW w:w="10998" w:type="dxa"/>
            <w:vAlign w:val="center"/>
          </w:tcPr>
          <w:p w:rsidR="0071484E" w:rsidRPr="00ED035E" w:rsidP="0071484E" w14:paraId="7BE1C6DA" w14:textId="77777777">
            <w:pPr>
              <w:pStyle w:val="BodyText"/>
              <w:numPr>
                <w:ilvl w:val="0"/>
                <w:numId w:val="1"/>
              </w:numPr>
              <w:ind w:left="360"/>
            </w:pPr>
            <w:r w:rsidRPr="00ED035E">
              <w:rPr>
                <w:i w:val="0"/>
                <w:sz w:val="24"/>
              </w:rPr>
              <w:t>Attach the “Executive Summary” of the appraisal/market analyses used for Box #5 in the above reference chart</w:t>
            </w:r>
          </w:p>
        </w:tc>
      </w:tr>
    </w:tbl>
    <w:p w:rsidR="0071484E" w:rsidRPr="00ED035E" w:rsidP="0071484E" w14:paraId="6CCD2F2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984"/>
      </w:tblGrid>
      <w:tr w14:paraId="3197C979" w14:textId="77777777" w:rsidTr="00A879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998" w:type="dxa"/>
            <w:gridSpan w:val="2"/>
            <w:tcBorders>
              <w:top w:val="single" w:sz="12" w:space="0" w:color="auto"/>
              <w:left w:val="single" w:sz="12" w:space="0" w:color="auto"/>
              <w:right w:val="single" w:sz="12" w:space="0" w:color="auto"/>
            </w:tcBorders>
            <w:vAlign w:val="center"/>
          </w:tcPr>
          <w:p w:rsidR="0071484E" w:rsidRPr="00ED035E" w:rsidP="00A879D5" w14:paraId="1696C888" w14:textId="77777777">
            <w:r w:rsidRPr="00ED035E">
              <w:rPr>
                <w:b/>
                <w:iCs/>
              </w:rPr>
              <w:t>PHA Certification for Section 22 Voluntary Conversion Applications:</w:t>
            </w:r>
          </w:p>
        </w:tc>
      </w:tr>
      <w:tr w14:paraId="0C0B2E73" w14:textId="77777777" w:rsidTr="00AC04D5">
        <w:tblPrEx>
          <w:tblW w:w="0" w:type="auto"/>
          <w:tblLook w:val="01E0"/>
        </w:tblPrEx>
        <w:trPr>
          <w:trHeight w:val="1547"/>
        </w:trPr>
        <w:tc>
          <w:tcPr>
            <w:tcW w:w="10998" w:type="dxa"/>
            <w:gridSpan w:val="2"/>
            <w:tcBorders>
              <w:left w:val="single" w:sz="12" w:space="0" w:color="auto"/>
              <w:right w:val="single" w:sz="12" w:space="0" w:color="auto"/>
            </w:tcBorders>
            <w:vAlign w:val="center"/>
          </w:tcPr>
          <w:p w:rsidR="00AC04D5" w:rsidRPr="00AC04D5" w:rsidP="00AC04D5" w14:paraId="1433CF33" w14:textId="1D4C29A9">
            <w:pPr>
              <w:autoSpaceDE w:val="0"/>
              <w:autoSpaceDN w:val="0"/>
              <w:adjustRightInd w:val="0"/>
              <w:rPr>
                <w:rFonts w:ascii="TimesNewRomanPSMT" w:hAnsi="TimesNewRomanPSMT" w:cs="TimesNewRomanPSMT"/>
              </w:rPr>
            </w:pPr>
            <w:r>
              <w:rPr>
                <w:rFonts w:ascii="TimesNewRomanPSMT" w:hAnsi="TimesNewRomanPSMT" w:cs="TimesNewRomanPSMT"/>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71484E" w:rsidRPr="00ED035E" w:rsidP="00A879D5" w14:paraId="4DDC007A" w14:textId="6ADB1439">
            <w:pPr>
              <w:autoSpaceDE w:val="0"/>
              <w:autoSpaceDN w:val="0"/>
              <w:adjustRightInd w:val="0"/>
              <w:spacing w:line="240" w:lineRule="atLeast"/>
              <w:ind w:left="360"/>
            </w:pPr>
          </w:p>
        </w:tc>
      </w:tr>
      <w:tr w14:paraId="75C34FA7" w14:textId="77777777" w:rsidTr="00A879D5">
        <w:tblPrEx>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502"/>
        </w:trPr>
        <w:tc>
          <w:tcPr>
            <w:tcW w:w="4878" w:type="dxa"/>
            <w:tcBorders>
              <w:top w:val="single" w:sz="4" w:space="0" w:color="auto"/>
              <w:left w:val="single" w:sz="12" w:space="0" w:color="auto"/>
              <w:bottom w:val="single" w:sz="2" w:space="0" w:color="auto"/>
              <w:right w:val="single" w:sz="2" w:space="0" w:color="auto"/>
            </w:tcBorders>
            <w:vAlign w:val="center"/>
          </w:tcPr>
          <w:p w:rsidR="0071484E" w:rsidRPr="00ED035E" w:rsidP="00A879D5" w14:paraId="2401BB5C" w14:textId="77777777">
            <w:pPr>
              <w:spacing w:before="20" w:after="20"/>
              <w:rPr>
                <w:iCs/>
              </w:rPr>
            </w:pPr>
            <w:r w:rsidRPr="00ED035E">
              <w:t>Name of Authorized Official</w:t>
            </w:r>
          </w:p>
        </w:tc>
        <w:tc>
          <w:tcPr>
            <w:tcW w:w="6120" w:type="dxa"/>
            <w:tcBorders>
              <w:top w:val="single" w:sz="8" w:space="0" w:color="auto"/>
              <w:left w:val="single" w:sz="2" w:space="0" w:color="auto"/>
              <w:bottom w:val="single" w:sz="2" w:space="0" w:color="auto"/>
              <w:right w:val="single" w:sz="12" w:space="0" w:color="auto"/>
            </w:tcBorders>
            <w:shd w:val="clear" w:color="auto" w:fill="auto"/>
            <w:vAlign w:val="center"/>
          </w:tcPr>
          <w:p w:rsidR="0071484E" w:rsidRPr="00ED035E" w:rsidP="00A879D5" w14:paraId="717D7A22" w14:textId="77777777">
            <w:pPr>
              <w:spacing w:before="20" w:after="20"/>
            </w:pPr>
            <w:r>
              <w:fldChar w:fldCharType="begin"/>
            </w:r>
            <w:r>
              <w:instrText xml:space="preserve"> FORMTEXT </w:instrText>
            </w:r>
            <w:r>
              <w:fldChar w:fldCharType="separate"/>
            </w:r>
            <w:r w:rsidRPr="00ED035E">
              <w:rPr>
                <w:noProof/>
              </w:rPr>
              <w:t> </w:t>
            </w:r>
            <w:r w:rsidRPr="00ED035E">
              <w:rPr>
                <w:noProof/>
              </w:rPr>
              <w:t> </w:t>
            </w:r>
            <w:r w:rsidRPr="00ED035E">
              <w:rPr>
                <w:noProof/>
              </w:rPr>
              <w:t> </w:t>
            </w:r>
            <w:r w:rsidRPr="00ED035E">
              <w:rPr>
                <w:noProof/>
              </w:rPr>
              <w:t> </w:t>
            </w:r>
            <w:r w:rsidRPr="00ED035E">
              <w:rPr>
                <w:noProof/>
              </w:rPr>
              <w:t> </w:t>
            </w:r>
            <w:r>
              <w:rPr>
                <w:noProof/>
              </w:rPr>
              <w:fldChar w:fldCharType="end"/>
            </w:r>
          </w:p>
        </w:tc>
      </w:tr>
      <w:tr w14:paraId="2945A774" w14:textId="77777777" w:rsidTr="00A879D5">
        <w:tblPrEx>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373"/>
        </w:trPr>
        <w:tc>
          <w:tcPr>
            <w:tcW w:w="4878" w:type="dxa"/>
            <w:tcBorders>
              <w:top w:val="single" w:sz="2" w:space="0" w:color="auto"/>
              <w:left w:val="single" w:sz="12" w:space="0" w:color="auto"/>
              <w:bottom w:val="single" w:sz="2" w:space="0" w:color="auto"/>
              <w:right w:val="single" w:sz="2" w:space="0" w:color="auto"/>
            </w:tcBorders>
            <w:vAlign w:val="center"/>
          </w:tcPr>
          <w:p w:rsidR="0071484E" w:rsidRPr="00ED035E" w:rsidP="00A879D5" w14:paraId="60D3A9AF" w14:textId="77777777">
            <w:pPr>
              <w:spacing w:before="20" w:after="20"/>
              <w:rPr>
                <w:iCs/>
              </w:rPr>
            </w:pPr>
            <w:r w:rsidRPr="00ED035E">
              <w:rPr>
                <w:iCs/>
              </w:rPr>
              <w:t>Title</w:t>
            </w:r>
          </w:p>
        </w:tc>
        <w:tc>
          <w:tcPr>
            <w:tcW w:w="6120" w:type="dxa"/>
            <w:tcBorders>
              <w:top w:val="single" w:sz="2" w:space="0" w:color="auto"/>
              <w:left w:val="single" w:sz="2" w:space="0" w:color="auto"/>
              <w:bottom w:val="single" w:sz="2" w:space="0" w:color="auto"/>
              <w:right w:val="single" w:sz="12" w:space="0" w:color="auto"/>
            </w:tcBorders>
            <w:shd w:val="clear" w:color="auto" w:fill="auto"/>
            <w:vAlign w:val="center"/>
          </w:tcPr>
          <w:p w:rsidR="0071484E" w:rsidRPr="00ED035E" w:rsidP="00A879D5" w14:paraId="33218DB2" w14:textId="77777777">
            <w:pPr>
              <w:spacing w:before="20" w:after="20"/>
            </w:pPr>
            <w:r>
              <w:fldChar w:fldCharType="begin"/>
            </w:r>
            <w:r>
              <w:instrText xml:space="preserve"> FORMTEXT </w:instrText>
            </w:r>
            <w:r>
              <w:fldChar w:fldCharType="separate"/>
            </w:r>
            <w:r w:rsidRPr="00ED035E">
              <w:rPr>
                <w:noProof/>
              </w:rPr>
              <w:t> </w:t>
            </w:r>
            <w:r w:rsidRPr="00ED035E">
              <w:rPr>
                <w:noProof/>
              </w:rPr>
              <w:t> </w:t>
            </w:r>
            <w:r w:rsidRPr="00ED035E">
              <w:rPr>
                <w:noProof/>
              </w:rPr>
              <w:t> </w:t>
            </w:r>
            <w:r w:rsidRPr="00ED035E">
              <w:rPr>
                <w:noProof/>
              </w:rPr>
              <w:t> </w:t>
            </w:r>
            <w:r w:rsidRPr="00ED035E">
              <w:rPr>
                <w:noProof/>
              </w:rPr>
              <w:t> </w:t>
            </w:r>
            <w:r>
              <w:rPr>
                <w:noProof/>
              </w:rPr>
              <w:fldChar w:fldCharType="end"/>
            </w:r>
          </w:p>
        </w:tc>
      </w:tr>
      <w:tr w14:paraId="62C93008" w14:textId="77777777" w:rsidTr="00A879D5">
        <w:tblPrEx>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427"/>
        </w:trPr>
        <w:tc>
          <w:tcPr>
            <w:tcW w:w="4878" w:type="dxa"/>
            <w:tcBorders>
              <w:top w:val="single" w:sz="2" w:space="0" w:color="auto"/>
              <w:left w:val="single" w:sz="12" w:space="0" w:color="auto"/>
              <w:bottom w:val="single" w:sz="2" w:space="0" w:color="auto"/>
              <w:right w:val="single" w:sz="2" w:space="0" w:color="auto"/>
            </w:tcBorders>
            <w:vAlign w:val="center"/>
          </w:tcPr>
          <w:p w:rsidR="0071484E" w:rsidRPr="00ED035E" w:rsidP="00A879D5" w14:paraId="7035D30C" w14:textId="77777777">
            <w:pPr>
              <w:spacing w:before="20" w:after="20"/>
              <w:rPr>
                <w:iCs/>
              </w:rPr>
            </w:pPr>
            <w:r w:rsidRPr="00ED035E">
              <w:rPr>
                <w:iCs/>
              </w:rPr>
              <w:t>Signature</w:t>
            </w:r>
          </w:p>
        </w:tc>
        <w:tc>
          <w:tcPr>
            <w:tcW w:w="6120" w:type="dxa"/>
            <w:tcBorders>
              <w:top w:val="single" w:sz="2" w:space="0" w:color="auto"/>
              <w:left w:val="single" w:sz="2" w:space="0" w:color="auto"/>
              <w:bottom w:val="single" w:sz="2" w:space="0" w:color="auto"/>
              <w:right w:val="single" w:sz="12" w:space="0" w:color="auto"/>
            </w:tcBorders>
            <w:shd w:val="clear" w:color="auto" w:fill="auto"/>
            <w:vAlign w:val="center"/>
          </w:tcPr>
          <w:p w:rsidR="0071484E" w:rsidRPr="00ED035E" w:rsidP="00A879D5" w14:paraId="5BEE5F41" w14:textId="77777777">
            <w:pPr>
              <w:spacing w:before="20" w:after="20"/>
            </w:pPr>
            <w:r>
              <w:fldChar w:fldCharType="begin"/>
            </w:r>
            <w:r>
              <w:instrText xml:space="preserve"> FORMTEXT </w:instrText>
            </w:r>
            <w:r>
              <w:fldChar w:fldCharType="separate"/>
            </w:r>
            <w:r w:rsidRPr="00ED035E">
              <w:rPr>
                <w:noProof/>
              </w:rPr>
              <w:t> </w:t>
            </w:r>
            <w:r w:rsidRPr="00ED035E">
              <w:rPr>
                <w:noProof/>
              </w:rPr>
              <w:t> </w:t>
            </w:r>
            <w:r w:rsidRPr="00ED035E">
              <w:rPr>
                <w:noProof/>
              </w:rPr>
              <w:t> </w:t>
            </w:r>
            <w:r w:rsidRPr="00ED035E">
              <w:rPr>
                <w:noProof/>
              </w:rPr>
              <w:t> </w:t>
            </w:r>
            <w:r w:rsidRPr="00ED035E">
              <w:rPr>
                <w:noProof/>
              </w:rPr>
              <w:t> </w:t>
            </w:r>
            <w:r>
              <w:rPr>
                <w:noProof/>
              </w:rPr>
              <w:fldChar w:fldCharType="end"/>
            </w:r>
          </w:p>
        </w:tc>
      </w:tr>
      <w:tr w14:paraId="543B9A43" w14:textId="77777777" w:rsidTr="00A879D5">
        <w:tblPrEx>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463"/>
        </w:trPr>
        <w:tc>
          <w:tcPr>
            <w:tcW w:w="4878" w:type="dxa"/>
            <w:tcBorders>
              <w:top w:val="single" w:sz="2" w:space="0" w:color="auto"/>
              <w:left w:val="single" w:sz="12" w:space="0" w:color="auto"/>
              <w:bottom w:val="single" w:sz="12" w:space="0" w:color="auto"/>
              <w:right w:val="single" w:sz="2" w:space="0" w:color="auto"/>
            </w:tcBorders>
            <w:vAlign w:val="center"/>
          </w:tcPr>
          <w:p w:rsidR="0071484E" w:rsidRPr="00ED035E" w:rsidP="00A879D5" w14:paraId="5B448091" w14:textId="77777777">
            <w:pPr>
              <w:spacing w:before="20" w:after="20"/>
              <w:rPr>
                <w:iCs/>
              </w:rPr>
            </w:pPr>
            <w:r w:rsidRPr="00ED035E">
              <w:rPr>
                <w:iCs/>
              </w:rPr>
              <w:t>Date</w:t>
            </w:r>
          </w:p>
        </w:tc>
        <w:tc>
          <w:tcPr>
            <w:tcW w:w="6120" w:type="dxa"/>
            <w:tcBorders>
              <w:top w:val="single" w:sz="2" w:space="0" w:color="auto"/>
              <w:left w:val="single" w:sz="2" w:space="0" w:color="auto"/>
              <w:bottom w:val="single" w:sz="12" w:space="0" w:color="auto"/>
              <w:right w:val="single" w:sz="12" w:space="0" w:color="auto"/>
            </w:tcBorders>
            <w:shd w:val="clear" w:color="auto" w:fill="auto"/>
            <w:vAlign w:val="center"/>
          </w:tcPr>
          <w:p w:rsidR="0071484E" w:rsidRPr="00ED035E" w:rsidP="00A879D5" w14:paraId="6E051676" w14:textId="77777777">
            <w:pPr>
              <w:spacing w:before="20" w:after="20"/>
            </w:pPr>
            <w:r>
              <w:fldChar w:fldCharType="begin"/>
            </w:r>
            <w:r>
              <w:instrText xml:space="preserve"> FORMTEXT </w:instrText>
            </w:r>
            <w:r>
              <w:fldChar w:fldCharType="separate"/>
            </w:r>
            <w:r w:rsidRPr="00ED035E">
              <w:rPr>
                <w:noProof/>
              </w:rPr>
              <w:t> </w:t>
            </w:r>
            <w:r w:rsidRPr="00ED035E">
              <w:rPr>
                <w:noProof/>
              </w:rPr>
              <w:t> </w:t>
            </w:r>
            <w:r w:rsidRPr="00ED035E">
              <w:rPr>
                <w:noProof/>
              </w:rPr>
              <w:t> </w:t>
            </w:r>
            <w:r w:rsidRPr="00ED035E">
              <w:rPr>
                <w:noProof/>
              </w:rPr>
              <w:t> </w:t>
            </w:r>
            <w:r w:rsidRPr="00ED035E">
              <w:rPr>
                <w:noProof/>
              </w:rPr>
              <w:t> </w:t>
            </w:r>
            <w:r>
              <w:rPr>
                <w:noProof/>
              </w:rPr>
              <w:fldChar w:fldCharType="end"/>
            </w:r>
          </w:p>
        </w:tc>
      </w:tr>
    </w:tbl>
    <w:p w:rsidR="0071484E" w:rsidRPr="00ED035E" w:rsidP="0071484E" w14:paraId="0D99DDAD" w14:textId="77777777">
      <w:pPr>
        <w:pStyle w:val="BodyText3"/>
        <w:rPr>
          <w:sz w:val="24"/>
          <w:u w:val="single"/>
        </w:rPr>
      </w:pPr>
    </w:p>
    <w:p w:rsidR="0071484E" w:rsidRPr="00FB07E8" w:rsidP="0071484E" w14:paraId="62D9E773" w14:textId="77777777">
      <w:pPr>
        <w:pStyle w:val="BodyText3"/>
        <w:jc w:val="center"/>
        <w:rPr>
          <w:b/>
          <w:sz w:val="24"/>
        </w:rPr>
      </w:pPr>
      <w:r w:rsidRPr="00ED035E">
        <w:rPr>
          <w:sz w:val="24"/>
          <w:u w:val="single"/>
        </w:rPr>
        <w:br w:type="page"/>
      </w:r>
      <w:r w:rsidRPr="00FB07E8">
        <w:rPr>
          <w:b/>
          <w:sz w:val="24"/>
        </w:rPr>
        <w:t>Instructions:  Voluntary Conversions Addendum Form HUD-52860-E</w:t>
      </w:r>
    </w:p>
    <w:p w:rsidR="0071484E" w:rsidRPr="00ED035E" w:rsidP="0071484E" w14:paraId="5C910A0E" w14:textId="77777777">
      <w:pPr>
        <w:pStyle w:val="BodyText3"/>
        <w:rPr>
          <w:sz w:val="24"/>
        </w:rPr>
      </w:pPr>
    </w:p>
    <w:p w:rsidR="0071484E" w:rsidRPr="00ED035E" w:rsidP="0071484E" w14:paraId="433BAEC6" w14:textId="77777777">
      <w:pPr>
        <w:pStyle w:val="BodyText3"/>
        <w:jc w:val="both"/>
        <w:rPr>
          <w:sz w:val="24"/>
        </w:rPr>
      </w:pPr>
      <w:r w:rsidRPr="00ED035E">
        <w:rPr>
          <w:sz w:val="24"/>
        </w:rPr>
        <w:t>This information is required as a supplement to the HUD-52860 for all inventory removal actions that involve a Voluntary Conversion based on the requirements of Section 22 of the 1937 Act and 24 CFR part 972, Subpart B. HUD will use this information to determine whether, and under what circumstances, to permit PHAs to remove from their inventories all or a portion of a public housing project under this authority, as well as to track removals for other record keeping requirements.  Responses to this collection of information are statutory and regulatory to obtain a benefit.  All capitalized terms not defined in this form have the meanings of 24 CFR part 972, except all references to development in that regulation are referred to project in this form.  The information requested does not lend itself to confidentiality.</w:t>
      </w:r>
    </w:p>
    <w:p w:rsidR="0071484E" w:rsidRPr="00ED035E" w:rsidP="0071484E" w14:paraId="63ACCD26" w14:textId="77777777">
      <w:pPr>
        <w:pStyle w:val="BodyText3"/>
        <w:jc w:val="both"/>
        <w:rPr>
          <w:sz w:val="24"/>
        </w:rPr>
      </w:pPr>
    </w:p>
    <w:p w:rsidR="0071484E" w:rsidP="0071484E" w14:paraId="7747283B" w14:textId="77777777">
      <w:pPr>
        <w:pStyle w:val="BodyText3"/>
        <w:jc w:val="both"/>
        <w:rPr>
          <w:sz w:val="24"/>
        </w:rPr>
      </w:pPr>
      <w:r w:rsidRPr="00ED035E">
        <w:rPr>
          <w:sz w:val="24"/>
        </w:rPr>
        <w:t>PHAs applying for Section 22 Voluntary Conversion are required to complete this Addendum (HUD-52860-E) as part of their Inventory Removals Application (HUD-52860) and submit it (as an attachment) with their application.</w:t>
      </w:r>
    </w:p>
    <w:p w:rsidR="0071484E" w:rsidP="0071484E" w14:paraId="7FDF622E" w14:textId="77777777">
      <w:pPr>
        <w:pStyle w:val="BodyText3"/>
        <w:jc w:val="both"/>
        <w:rPr>
          <w:sz w:val="24"/>
        </w:rPr>
      </w:pPr>
    </w:p>
    <w:p w:rsidR="0071484E" w:rsidRPr="00ED035E" w:rsidP="0071484E" w14:paraId="37C67D91" w14:textId="77777777">
      <w:pPr>
        <w:pStyle w:val="BodyText3"/>
        <w:jc w:val="both"/>
        <w:rPr>
          <w:sz w:val="24"/>
        </w:rPr>
      </w:pPr>
      <w:r>
        <w:rPr>
          <w:sz w:val="24"/>
        </w:rPr>
        <w:t>PHAs applying for Streamlined Voluntary Conversion under PIH Notice 2019-05 only need to complete question #2 of this form.</w:t>
      </w:r>
    </w:p>
    <w:p w:rsidR="0071484E" w:rsidRPr="00ED035E" w:rsidP="0071484E" w14:paraId="54CBEB15" w14:textId="77777777">
      <w:pPr>
        <w:pStyle w:val="BodyText2"/>
        <w:rPr>
          <w:sz w:val="24"/>
        </w:rPr>
      </w:pPr>
    </w:p>
    <w:p w:rsidR="0071484E" w:rsidRPr="00ED035E" w:rsidP="0071484E" w14:paraId="2E066271" w14:textId="77777777">
      <w:pPr>
        <w:pStyle w:val="BodyText2"/>
        <w:rPr>
          <w:sz w:val="24"/>
        </w:rPr>
      </w:pPr>
      <w:r w:rsidRPr="00ED035E">
        <w:rPr>
          <w:b/>
          <w:sz w:val="24"/>
        </w:rPr>
        <w:t>PHA applying for Voluntary Conversion must fulfill two primary requirements:</w:t>
      </w:r>
      <w:r w:rsidRPr="00ED035E">
        <w:rPr>
          <w:sz w:val="24"/>
        </w:rPr>
        <w:t xml:space="preserve"> </w:t>
      </w:r>
    </w:p>
    <w:p w:rsidR="0071484E" w:rsidRPr="00ED035E" w:rsidP="0071484E" w14:paraId="45FB4C69" w14:textId="77777777">
      <w:pPr>
        <w:pStyle w:val="BodyText2"/>
        <w:rPr>
          <w:sz w:val="24"/>
        </w:rPr>
      </w:pPr>
    </w:p>
    <w:p w:rsidR="0071484E" w:rsidRPr="00ED035E" w:rsidP="0071484E" w14:paraId="54AF3D4C" w14:textId="77777777">
      <w:pPr>
        <w:pStyle w:val="BodyText2"/>
        <w:ind w:left="360" w:hanging="360"/>
        <w:rPr>
          <w:sz w:val="24"/>
        </w:rPr>
      </w:pPr>
      <w:r w:rsidRPr="00ED035E">
        <w:rPr>
          <w:sz w:val="24"/>
        </w:rPr>
        <w:t xml:space="preserve">(1) </w:t>
      </w:r>
      <w:r>
        <w:rPr>
          <w:sz w:val="24"/>
        </w:rPr>
        <w:t>P</w:t>
      </w:r>
      <w:r w:rsidRPr="00ED035E">
        <w:rPr>
          <w:sz w:val="24"/>
        </w:rPr>
        <w:t>erform a conversion assessment in accordance with 24 CFR 972.218 - 24 CFR 972.224 (“Conversion Assessment”); and</w:t>
      </w:r>
    </w:p>
    <w:p w:rsidR="0071484E" w:rsidRPr="00ED035E" w:rsidP="0071484E" w14:paraId="61CF6EB0" w14:textId="77777777">
      <w:pPr>
        <w:pStyle w:val="BodyText2"/>
        <w:rPr>
          <w:sz w:val="24"/>
        </w:rPr>
      </w:pPr>
    </w:p>
    <w:p w:rsidR="0071484E" w:rsidRPr="00ED035E" w:rsidP="0071484E" w14:paraId="6DD64D39" w14:textId="77777777">
      <w:pPr>
        <w:pStyle w:val="BodyText2"/>
        <w:ind w:left="360" w:hanging="360"/>
        <w:rPr>
          <w:sz w:val="24"/>
        </w:rPr>
      </w:pPr>
      <w:r w:rsidRPr="00ED035E">
        <w:rPr>
          <w:sz w:val="24"/>
        </w:rPr>
        <w:t xml:space="preserve">(2) </w:t>
      </w:r>
      <w:r>
        <w:rPr>
          <w:sz w:val="24"/>
        </w:rPr>
        <w:t>P</w:t>
      </w:r>
      <w:r w:rsidRPr="00ED035E">
        <w:rPr>
          <w:sz w:val="24"/>
        </w:rPr>
        <w:t>repare a conversion plan in accordance with 24 CFR 972.227-.233 within one year of performing the Conversion Assessment (“Voluntary Conversion Plan”).  Both the Conversion Assessment and Voluntary Conversion Plan must be approved by HUD as part of the PHA’s Plan.  HUD will not accept any application for Voluntary Conversion until the PHA has completed a Conversion Assessment and Voluntary Conversion Plan; and included them in its PHA Plan.</w:t>
      </w:r>
    </w:p>
    <w:p w:rsidR="0071484E" w:rsidRPr="00ED035E" w:rsidP="0071484E" w14:paraId="515D6424" w14:textId="77777777">
      <w:pPr>
        <w:pStyle w:val="BodyText2"/>
        <w:ind w:left="360" w:hanging="360"/>
        <w:rPr>
          <w:sz w:val="24"/>
        </w:rPr>
      </w:pPr>
    </w:p>
    <w:p w:rsidR="0071484E" w:rsidRPr="00ED035E" w:rsidP="0071484E" w14:paraId="06D78A3B" w14:textId="46DB29FF">
      <w:pPr>
        <w:pStyle w:val="BodyText2"/>
        <w:rPr>
          <w:sz w:val="24"/>
        </w:rPr>
      </w:pPr>
      <w:r w:rsidRPr="00FB07E8">
        <w:rPr>
          <w:b/>
          <w:sz w:val="24"/>
        </w:rPr>
        <w:t>Item 1:</w:t>
      </w:r>
      <w:r w:rsidRPr="00FB07E8">
        <w:rPr>
          <w:sz w:val="24"/>
        </w:rPr>
        <w:t xml:space="preserve"> </w:t>
      </w:r>
      <w:r w:rsidRPr="00ED035E">
        <w:rPr>
          <w:sz w:val="24"/>
        </w:rPr>
        <w:t xml:space="preserve">Voluntary Conversions are permitted only if they are cost-effective.  The cost methodology that PHAs must use to compare the costs of continuing to operate a development as public housing for the remainder of its useful life to the cost of providing tenant-based Housing Choice Voucher Assistance to the residents of that development was published as a final rule on March 21, 2006 (Appendix to 24 CFR part 972) (“Conversion Calculation Rule”).  </w:t>
      </w:r>
      <w:r w:rsidRPr="00ED035E">
        <w:rPr>
          <w:sz w:val="24"/>
        </w:rPr>
        <w:t>In order to</w:t>
      </w:r>
      <w:r w:rsidRPr="00ED035E">
        <w:rPr>
          <w:sz w:val="24"/>
        </w:rPr>
        <w:t xml:space="preserve"> assist PHAs in completing the calculations and comparisons required by the Rule, a downloadable spreadsheet calculator is available on the HUD website.  HUD will look for completed cost calculations in reviewing the PHA’s cost comparison of providing tenant-based Housing Choice Voucher Assistance with the cost of operating the development as public housing.  Note:  The cost methodology for Required Conversion is different from that for Voluntary Conversion.  When comparing the cost of tenant-based Housing Choice Voucher Assistance versus public housing, PHAs should consider, as essential, the length of the remaining useful life for the public housing development that may be a 20 or 30-year period. Typically, a </w:t>
      </w:r>
      <w:r w:rsidR="001D55F9">
        <w:rPr>
          <w:sz w:val="24"/>
        </w:rPr>
        <w:t>30</w:t>
      </w:r>
      <w:r w:rsidRPr="00ED035E">
        <w:rPr>
          <w:sz w:val="24"/>
        </w:rPr>
        <w:t xml:space="preserve">-year period is used when rehabilitation is performed equal to new construction.  A </w:t>
      </w:r>
      <w:r w:rsidR="001D55F9">
        <w:rPr>
          <w:sz w:val="24"/>
        </w:rPr>
        <w:t>2</w:t>
      </w:r>
      <w:r w:rsidRPr="00ED035E">
        <w:rPr>
          <w:sz w:val="24"/>
        </w:rPr>
        <w:t>0-year period is used when a PHA plans a modernization effort that addresses all backlog needs, any redesign that is necessary to keep a property viable and cost-effective for an ongoing useful life in accordance with the useful life of the building and its systems</w:t>
      </w:r>
      <w:r w:rsidRPr="2DC10E1C">
        <w:rPr>
          <w:sz w:val="24"/>
        </w:rPr>
        <w:t>.</w:t>
      </w:r>
      <w:r w:rsidRPr="00ED035E">
        <w:rPr>
          <w:sz w:val="24"/>
        </w:rPr>
        <w:t xml:space="preserve">  PHAs must use this calculation tool (spreadsheet) to compute the PHAs information on the development’s operating, modernization, and accrual costs, as well as information on voucher costs for Voluntary Conversion.</w:t>
      </w:r>
    </w:p>
    <w:p w:rsidR="0071484E" w:rsidRPr="00ED035E" w:rsidP="0071484E" w14:paraId="15DEA20C" w14:textId="77777777">
      <w:pPr>
        <w:pStyle w:val="BodyText2"/>
        <w:rPr>
          <w:sz w:val="24"/>
        </w:rPr>
      </w:pPr>
    </w:p>
    <w:p w:rsidR="0071484E" w:rsidP="0071484E" w14:paraId="18FB6B12" w14:textId="77777777">
      <w:pPr>
        <w:pStyle w:val="BodyText2"/>
        <w:rPr>
          <w:sz w:val="24"/>
        </w:rPr>
      </w:pPr>
      <w:r w:rsidRPr="00ED035E">
        <w:rPr>
          <w:sz w:val="24"/>
        </w:rPr>
        <w:t xml:space="preserve">PHAs must have an appraisal performed for the “Highest and Best Use” (as a commercial or residential use) value or potential market value of the public housing development and whether any residual value may </w:t>
      </w:r>
      <w:r w:rsidRPr="00ED035E">
        <w:rPr>
          <w:sz w:val="24"/>
        </w:rPr>
        <w:t>be</w:t>
      </w:r>
      <w:r w:rsidRPr="00ED035E">
        <w:rPr>
          <w:sz w:val="24"/>
        </w:rPr>
        <w:t xml:space="preserve"> </w:t>
      </w:r>
    </w:p>
    <w:p w:rsidR="0071484E" w:rsidRPr="00ED035E" w:rsidP="0071484E" w14:paraId="00475AAC" w14:textId="77777777">
      <w:pPr>
        <w:pStyle w:val="BodyText2"/>
        <w:rPr>
          <w:sz w:val="24"/>
        </w:rPr>
      </w:pPr>
      <w:r>
        <w:rPr>
          <w:sz w:val="24"/>
        </w:rPr>
        <w:br w:type="page"/>
      </w:r>
      <w:r w:rsidRPr="00ED035E">
        <w:rPr>
          <w:sz w:val="24"/>
        </w:rPr>
        <w:t>generated from the sale of the development or the land (after demolition).  The information from this appraisal is required to complete the HUD Cost Analysis.  Specifically, the value that must be inserted into Section 5(c) of the Cost Analysis Spreadsheet Calculator is the “Highest and Best Use” value or (“Market Value”) (See applicable HUD Notice on appraisal guidelines for Voluntary Conversions).</w:t>
      </w:r>
    </w:p>
    <w:p w:rsidR="0071484E" w:rsidRPr="00ED035E" w:rsidP="0071484E" w14:paraId="4C6E36C0" w14:textId="77777777">
      <w:pPr>
        <w:pStyle w:val="BodyText2"/>
        <w:rPr>
          <w:sz w:val="24"/>
          <w:u w:val="single"/>
        </w:rPr>
      </w:pPr>
    </w:p>
    <w:p w:rsidR="0071484E" w:rsidRPr="00B249A6" w:rsidP="0071484E" w14:paraId="3B373B6B" w14:textId="77777777">
      <w:pPr>
        <w:pStyle w:val="CommentText"/>
        <w:rPr>
          <w:b/>
          <w:sz w:val="24"/>
        </w:rPr>
      </w:pPr>
      <w:r w:rsidRPr="00FB07E8">
        <w:rPr>
          <w:b/>
          <w:sz w:val="24"/>
        </w:rPr>
        <w:t>Item 2:</w:t>
      </w:r>
      <w:r>
        <w:rPr>
          <w:b/>
          <w:sz w:val="24"/>
        </w:rPr>
        <w:t xml:space="preserve"> </w:t>
      </w:r>
      <w:r w:rsidRPr="00ED035E">
        <w:rPr>
          <w:sz w:val="24"/>
        </w:rPr>
        <w:t>“Public Housing” means low-income housing, and all necessary appurtenances thereto, assisted under the 1937 Act, other than assistance under Section 8 of the 1937 Act</w:t>
      </w:r>
      <w:r w:rsidRPr="00ED035E">
        <w:t>.</w:t>
      </w:r>
      <w:r w:rsidRPr="00ED035E">
        <w:rPr>
          <w:sz w:val="24"/>
        </w:rPr>
        <w:t xml:space="preserve"> “Other Assisted Housing” is housing with some form of non-public housing subsidy provided for under the 1937 Act.  “Rent-Controlled or Rent-Capped Housing” has no </w:t>
      </w:r>
      <w:r w:rsidRPr="00ED035E">
        <w:rPr>
          <w:sz w:val="24"/>
        </w:rPr>
        <w:t>subsidy, but</w:t>
      </w:r>
      <w:r w:rsidRPr="00ED035E">
        <w:rPr>
          <w:sz w:val="24"/>
        </w:rPr>
        <w:t xml:space="preserve"> provides for a rental cap such as with property with rent controls consistent with state regulated Low Income Housing Tax Credits or other statutory or regulatory cap such as rent control. The income levels of tenants in such properties may be regulated or limited by state or local regulations.  “Market Rate Housing” has no restrictions on rental rates, operating costs, profits, rental rate increases, or improvements that can be made to the property.  “Other Housing” is housing that does not fall into the options above but may include other subsidized housing (e.g., state subsidized housing, rural development agency), or other sources. In the narrative describing the intended future use for the development, PHAs must provide details of their specific plans for the public housing development after conversion (e.g., whether the property will be demolished, disposed of for other housing, retained and utilized to house low-income residents, etc.).  The narrative should provide credible evidence of the capacity and capability of the PHA and its partners, if applicable, to complete the proposed future use of the property, especially in case where the PHA sells its property for Fair Market Value (FMV) and receives significant sales proceeds, or a PHA leases or sells its property for less than FMV and collaborates with a joint venture partner to develop other types of low-income housing or housing for low-income families. </w:t>
      </w:r>
    </w:p>
    <w:p w:rsidR="0071484E" w:rsidRPr="00ED035E" w:rsidP="0071484E" w14:paraId="50EF4DAA" w14:textId="77777777">
      <w:pPr>
        <w:pStyle w:val="CommentText"/>
        <w:rPr>
          <w:sz w:val="24"/>
        </w:rPr>
      </w:pPr>
    </w:p>
    <w:p w:rsidR="0071484E" w:rsidRPr="00ED035E" w:rsidP="0071484E" w14:paraId="07834BC7" w14:textId="77777777">
      <w:pPr>
        <w:pStyle w:val="CommentText"/>
        <w:rPr>
          <w:sz w:val="24"/>
        </w:rPr>
      </w:pPr>
      <w:r w:rsidRPr="00FB07E8">
        <w:rPr>
          <w:b/>
          <w:sz w:val="24"/>
        </w:rPr>
        <w:t>Items 3 and 4:</w:t>
      </w:r>
      <w:r w:rsidRPr="00FB07E8">
        <w:rPr>
          <w:sz w:val="24"/>
        </w:rPr>
        <w:t xml:space="preserve"> </w:t>
      </w:r>
      <w:r w:rsidRPr="00ED035E">
        <w:rPr>
          <w:sz w:val="24"/>
        </w:rPr>
        <w:t>Refer to PIH Notice 2014-14 (or any replacement notice) for additional guidance.</w:t>
      </w:r>
    </w:p>
    <w:p w:rsidR="00E113C5" w14:paraId="0CF1516F" w14:textId="77777777"/>
    <w:sectPr w:rsidSect="0071484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Public reporting burden for th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319" w14:paraId="0C733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C6B" w:rsidP="00F73C6B" w14:paraId="1527BA08" w14:textId="77777777">
    <w:pPr>
      <w:pStyle w:val="Footer"/>
      <w:tabs>
        <w:tab w:val="clear" w:pos="4320"/>
        <w:tab w:val="clear" w:pos="8640"/>
      </w:tabs>
      <w:rPr>
        <w:rFonts w:ascii="Helvetica" w:hAnsi="Helvetica"/>
        <w:sz w:val="16"/>
      </w:rPr>
    </w:pPr>
  </w:p>
  <w:p w:rsidR="000D2FA3" w:rsidRPr="00ED035E" w:rsidP="000D2FA3" w14:paraId="30188D70" w14:textId="77777777">
    <w:pPr>
      <w:pStyle w:val="Footer"/>
      <w:tabs>
        <w:tab w:val="clear" w:pos="4320"/>
        <w:tab w:val="clear" w:pos="8640"/>
      </w:tabs>
      <w:rPr>
        <w:sz w:val="16"/>
      </w:rPr>
    </w:pPr>
    <w:r w:rsidRPr="00ED035E">
      <w:rPr>
        <w:sz w:val="16"/>
      </w:rPr>
      <w:t>Provide attachments as needed.</w:t>
    </w:r>
  </w:p>
  <w:p w:rsidR="000D2FA3" w:rsidRPr="00ED035E" w:rsidP="000D2FA3" w14:paraId="38F6D4EF" w14:textId="77777777">
    <w:pPr>
      <w:pStyle w:val="Footer"/>
      <w:tabs>
        <w:tab w:val="clear" w:pos="4320"/>
        <w:tab w:val="clear" w:pos="8640"/>
      </w:tabs>
      <w:rPr>
        <w:sz w:val="16"/>
      </w:rPr>
    </w:pPr>
    <w:r w:rsidRPr="00ED035E">
      <w:rPr>
        <w:sz w:val="16"/>
      </w:rPr>
      <w:t>All attachments must reference the</w:t>
    </w:r>
    <w:r w:rsidRPr="00ED035E">
      <w:rPr>
        <w:sz w:val="16"/>
      </w:rPr>
      <w:tab/>
    </w:r>
    <w:r w:rsidRPr="00ED035E">
      <w:rPr>
        <w:sz w:val="16"/>
      </w:rPr>
      <w:tab/>
    </w:r>
    <w:r w:rsidRPr="00ED035E">
      <w:rPr>
        <w:sz w:val="16"/>
      </w:rPr>
      <w:tab/>
    </w:r>
    <w:r w:rsidRPr="00ED035E">
      <w:rPr>
        <w:sz w:val="16"/>
      </w:rPr>
      <w:tab/>
      <w:t xml:space="preserve">Page </w:t>
    </w:r>
    <w:r w:rsidRPr="00ED035E">
      <w:rPr>
        <w:sz w:val="16"/>
      </w:rPr>
      <w:fldChar w:fldCharType="begin"/>
    </w:r>
    <w:r w:rsidRPr="00ED035E">
      <w:rPr>
        <w:sz w:val="16"/>
      </w:rPr>
      <w:instrText xml:space="preserve"> PAGE </w:instrText>
    </w:r>
    <w:r w:rsidRPr="00ED035E">
      <w:rPr>
        <w:sz w:val="16"/>
      </w:rPr>
      <w:fldChar w:fldCharType="separate"/>
    </w:r>
    <w:r>
      <w:rPr>
        <w:noProof/>
        <w:sz w:val="16"/>
      </w:rPr>
      <w:t>4</w:t>
    </w:r>
    <w:r w:rsidRPr="00ED035E">
      <w:rPr>
        <w:sz w:val="16"/>
      </w:rPr>
      <w:fldChar w:fldCharType="end"/>
    </w:r>
    <w:r w:rsidRPr="00ED035E">
      <w:rPr>
        <w:sz w:val="16"/>
      </w:rPr>
      <w:t xml:space="preserve"> of  </w:t>
    </w:r>
    <w:r w:rsidRPr="00ED035E">
      <w:rPr>
        <w:sz w:val="16"/>
      </w:rPr>
      <w:fldChar w:fldCharType="begin"/>
    </w:r>
    <w:r w:rsidRPr="00ED035E">
      <w:rPr>
        <w:sz w:val="16"/>
      </w:rPr>
      <w:instrText xml:space="preserve"> NUMPAGES </w:instrText>
    </w:r>
    <w:r w:rsidRPr="00ED035E">
      <w:rPr>
        <w:sz w:val="16"/>
      </w:rPr>
      <w:fldChar w:fldCharType="separate"/>
    </w:r>
    <w:r>
      <w:rPr>
        <w:noProof/>
        <w:sz w:val="16"/>
      </w:rPr>
      <w:t>4</w:t>
    </w:r>
    <w:r w:rsidRPr="00ED035E">
      <w:rPr>
        <w:sz w:val="16"/>
      </w:rPr>
      <w:fldChar w:fldCharType="end"/>
    </w:r>
    <w:r w:rsidRPr="00ED035E">
      <w:rPr>
        <w:sz w:val="16"/>
      </w:rPr>
      <w:tab/>
    </w:r>
    <w:r w:rsidRPr="00ED035E">
      <w:rPr>
        <w:sz w:val="16"/>
      </w:rPr>
      <w:tab/>
    </w:r>
    <w:r w:rsidRPr="00ED035E">
      <w:rPr>
        <w:sz w:val="16"/>
      </w:rPr>
      <w:tab/>
    </w:r>
    <w:r w:rsidRPr="00ED035E">
      <w:rPr>
        <w:sz w:val="16"/>
      </w:rPr>
      <w:tab/>
      <w:t>form HUD-52860-E (04/2018)</w:t>
    </w:r>
  </w:p>
  <w:p w:rsidR="00F92658" w:rsidRPr="00ED035E" w:rsidP="00F73C6B" w14:paraId="7053A718" w14:textId="77777777">
    <w:pPr>
      <w:pStyle w:val="Footer"/>
      <w:rPr>
        <w:sz w:val="16"/>
      </w:rPr>
    </w:pPr>
    <w:r w:rsidRPr="00ED035E">
      <w:rPr>
        <w:sz w:val="16"/>
      </w:rPr>
      <w:t>Section and line number to which they apply</w:t>
    </w:r>
  </w:p>
  <w:p w:rsidR="00F92658" w:rsidRPr="00ED035E" w:rsidP="00F92658" w14:paraId="543E2E7E" w14:textId="77777777">
    <w:pPr>
      <w:pStyle w:val="Footer"/>
      <w:tabs>
        <w:tab w:val="clear" w:pos="4320"/>
        <w:tab w:val="clear" w:pos="8640"/>
      </w:tabs>
      <w:rPr>
        <w:sz w:val="16"/>
      </w:rPr>
    </w:pPr>
    <w:r w:rsidRPr="00ED035E">
      <w:rPr>
        <w:sz w:val="16"/>
      </w:rPr>
      <w:t>Previous version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C6B" w:rsidP="00F73C6B" w14:paraId="4722E3F2" w14:textId="77777777">
    <w:pPr>
      <w:pStyle w:val="Footer"/>
      <w:tabs>
        <w:tab w:val="clear" w:pos="4320"/>
        <w:tab w:val="clear" w:pos="8640"/>
      </w:tabs>
      <w:rPr>
        <w:rFonts w:ascii="Helvetica" w:hAnsi="Helvetica"/>
        <w:sz w:val="16"/>
      </w:rPr>
    </w:pPr>
  </w:p>
  <w:p w:rsidR="000D2FA3" w:rsidRPr="00ED035E" w:rsidP="000D2FA3" w14:paraId="208FA76A" w14:textId="77777777">
    <w:pPr>
      <w:pStyle w:val="Footer"/>
      <w:tabs>
        <w:tab w:val="clear" w:pos="4320"/>
        <w:tab w:val="clear" w:pos="8640"/>
      </w:tabs>
      <w:rPr>
        <w:sz w:val="16"/>
      </w:rPr>
    </w:pPr>
    <w:bookmarkStart w:id="0" w:name="_Hlk503340999"/>
    <w:bookmarkStart w:id="1" w:name="_Hlk503341000"/>
    <w:r w:rsidRPr="00ED035E">
      <w:rPr>
        <w:sz w:val="16"/>
      </w:rPr>
      <w:t>Provide attachments as needed.</w:t>
    </w:r>
  </w:p>
  <w:p w:rsidR="000D2FA3" w:rsidRPr="00ED035E" w:rsidP="000D2FA3" w14:paraId="42164195" w14:textId="77777777">
    <w:pPr>
      <w:pStyle w:val="Footer"/>
      <w:tabs>
        <w:tab w:val="clear" w:pos="4320"/>
        <w:tab w:val="clear" w:pos="8640"/>
      </w:tabs>
      <w:rPr>
        <w:sz w:val="16"/>
      </w:rPr>
    </w:pPr>
    <w:r w:rsidRPr="00ED035E">
      <w:rPr>
        <w:sz w:val="16"/>
      </w:rPr>
      <w:t>All attachments must reference the</w:t>
    </w:r>
    <w:r w:rsidRPr="00ED035E">
      <w:rPr>
        <w:sz w:val="16"/>
      </w:rPr>
      <w:tab/>
    </w:r>
    <w:r w:rsidRPr="00ED035E">
      <w:rPr>
        <w:sz w:val="16"/>
      </w:rPr>
      <w:tab/>
    </w:r>
    <w:r w:rsidRPr="00ED035E">
      <w:rPr>
        <w:sz w:val="16"/>
      </w:rPr>
      <w:tab/>
    </w:r>
    <w:r w:rsidRPr="00ED035E">
      <w:rPr>
        <w:sz w:val="16"/>
      </w:rPr>
      <w:tab/>
      <w:t xml:space="preserve">Page </w:t>
    </w:r>
    <w:r w:rsidRPr="00ED035E">
      <w:rPr>
        <w:sz w:val="16"/>
      </w:rPr>
      <w:fldChar w:fldCharType="begin"/>
    </w:r>
    <w:r w:rsidRPr="00ED035E">
      <w:rPr>
        <w:sz w:val="16"/>
      </w:rPr>
      <w:instrText xml:space="preserve"> PAGE </w:instrText>
    </w:r>
    <w:r w:rsidRPr="00ED035E">
      <w:rPr>
        <w:sz w:val="16"/>
      </w:rPr>
      <w:fldChar w:fldCharType="separate"/>
    </w:r>
    <w:r>
      <w:rPr>
        <w:noProof/>
        <w:sz w:val="16"/>
      </w:rPr>
      <w:t>1</w:t>
    </w:r>
    <w:r w:rsidRPr="00ED035E">
      <w:rPr>
        <w:sz w:val="16"/>
      </w:rPr>
      <w:fldChar w:fldCharType="end"/>
    </w:r>
    <w:r w:rsidRPr="00ED035E">
      <w:rPr>
        <w:sz w:val="16"/>
      </w:rPr>
      <w:t xml:space="preserve"> of  </w:t>
    </w:r>
    <w:r w:rsidRPr="00ED035E">
      <w:rPr>
        <w:sz w:val="16"/>
      </w:rPr>
      <w:fldChar w:fldCharType="begin"/>
    </w:r>
    <w:r w:rsidRPr="00ED035E">
      <w:rPr>
        <w:sz w:val="16"/>
      </w:rPr>
      <w:instrText xml:space="preserve"> NUMPAGES </w:instrText>
    </w:r>
    <w:r w:rsidRPr="00ED035E">
      <w:rPr>
        <w:sz w:val="16"/>
      </w:rPr>
      <w:fldChar w:fldCharType="separate"/>
    </w:r>
    <w:r>
      <w:rPr>
        <w:noProof/>
        <w:sz w:val="16"/>
      </w:rPr>
      <w:t>4</w:t>
    </w:r>
    <w:r w:rsidRPr="00ED035E">
      <w:rPr>
        <w:sz w:val="16"/>
      </w:rPr>
      <w:fldChar w:fldCharType="end"/>
    </w:r>
    <w:r w:rsidRPr="00ED035E">
      <w:rPr>
        <w:sz w:val="16"/>
      </w:rPr>
      <w:tab/>
    </w:r>
    <w:r w:rsidRPr="00ED035E">
      <w:rPr>
        <w:sz w:val="16"/>
      </w:rPr>
      <w:tab/>
    </w:r>
    <w:r w:rsidRPr="00ED035E">
      <w:rPr>
        <w:sz w:val="16"/>
      </w:rPr>
      <w:tab/>
    </w:r>
    <w:r w:rsidRPr="00ED035E">
      <w:rPr>
        <w:sz w:val="16"/>
      </w:rPr>
      <w:tab/>
      <w:t>form HUD-52860-E (04/2018)</w:t>
    </w:r>
  </w:p>
  <w:p w:rsidR="00DE09E8" w:rsidRPr="00ED035E" w14:paraId="6ADED42F" w14:textId="77777777">
    <w:pPr>
      <w:pStyle w:val="Footer"/>
      <w:rPr>
        <w:sz w:val="16"/>
      </w:rPr>
    </w:pPr>
    <w:r w:rsidRPr="00ED035E">
      <w:rPr>
        <w:sz w:val="16"/>
      </w:rPr>
      <w:t>Section and line number to which they apply.</w:t>
    </w:r>
    <w:bookmarkEnd w:id="0"/>
    <w:bookmarkEnd w:id="1"/>
  </w:p>
  <w:p w:rsidR="00B926A8" w:rsidRPr="00ED035E" w:rsidP="00B926A8" w14:paraId="017EEDDD" w14:textId="77777777">
    <w:pPr>
      <w:pStyle w:val="Footer"/>
      <w:tabs>
        <w:tab w:val="clear" w:pos="4320"/>
        <w:tab w:val="clear" w:pos="8640"/>
      </w:tabs>
      <w:rPr>
        <w:sz w:val="16"/>
      </w:rPr>
    </w:pPr>
    <w:r w:rsidRPr="00ED035E">
      <w:rPr>
        <w:sz w:val="16"/>
      </w:rPr>
      <w:t>Previous version obsolete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319" w14:paraId="037EF9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319" w14:paraId="595523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3721"/>
      <w:gridCol w:w="3628"/>
      <w:gridCol w:w="3451"/>
    </w:tblGrid>
    <w:tr w14:paraId="470DC37A" w14:textId="77777777" w:rsidTr="006118C0">
      <w:tblPrEx>
        <w:tblW w:w="0" w:type="auto"/>
        <w:tblLook w:val="0000"/>
      </w:tblPrEx>
      <w:trPr>
        <w:trHeight w:val="720"/>
      </w:trPr>
      <w:tc>
        <w:tcPr>
          <w:tcW w:w="3888" w:type="dxa"/>
        </w:tcPr>
        <w:p w:rsidR="00DE09E8" w:rsidRPr="00ED035E" w14:paraId="0949B051" w14:textId="77777777">
          <w:pPr>
            <w:pStyle w:val="Technical5a"/>
            <w:tabs>
              <w:tab w:val="clear" w:pos="-720"/>
              <w:tab w:val="right" w:pos="9360"/>
            </w:tabs>
            <w:rPr>
              <w:rFonts w:ascii="Times New Roman" w:hAnsi="Times New Roman"/>
              <w:sz w:val="20"/>
              <w:szCs w:val="20"/>
            </w:rPr>
          </w:pPr>
          <w:r w:rsidRPr="00ED035E">
            <w:rPr>
              <w:rFonts w:ascii="Times New Roman" w:hAnsi="Times New Roman"/>
              <w:sz w:val="20"/>
              <w:szCs w:val="20"/>
            </w:rPr>
            <w:t>Voluntary Conversion Addendum</w:t>
          </w:r>
        </w:p>
        <w:p w:rsidR="009B17B8" w:rsidRPr="00ED035E" w14:paraId="6AFDBF1B" w14:textId="77777777">
          <w:pPr>
            <w:pStyle w:val="Technical5a"/>
            <w:tabs>
              <w:tab w:val="clear" w:pos="-720"/>
              <w:tab w:val="right" w:pos="9360"/>
            </w:tabs>
            <w:rPr>
              <w:rFonts w:ascii="Times New Roman" w:hAnsi="Times New Roman"/>
              <w:sz w:val="20"/>
              <w:szCs w:val="20"/>
            </w:rPr>
          </w:pPr>
          <w:r w:rsidRPr="00ED035E">
            <w:rPr>
              <w:rFonts w:ascii="Times New Roman" w:hAnsi="Times New Roman"/>
              <w:sz w:val="20"/>
              <w:szCs w:val="20"/>
            </w:rPr>
            <w:t>HUD-52860-E</w:t>
          </w:r>
        </w:p>
      </w:tc>
      <w:tc>
        <w:tcPr>
          <w:tcW w:w="3780" w:type="dxa"/>
        </w:tcPr>
        <w:p w:rsidR="00DE09E8" w:rsidRPr="00ED035E" w14:paraId="23996B0B" w14:textId="77777777">
          <w:pPr>
            <w:tabs>
              <w:tab w:val="right" w:pos="9360"/>
            </w:tabs>
            <w:suppressAutoHyphens/>
            <w:spacing w:line="240" w:lineRule="atLeast"/>
            <w:jc w:val="center"/>
            <w:rPr>
              <w:b/>
              <w:bCs/>
              <w:sz w:val="20"/>
              <w:szCs w:val="20"/>
            </w:rPr>
          </w:pPr>
          <w:r w:rsidRPr="00ED035E">
            <w:rPr>
              <w:b/>
              <w:bCs/>
              <w:sz w:val="20"/>
              <w:szCs w:val="20"/>
            </w:rPr>
            <w:t>U.S. Department of Housing</w:t>
          </w:r>
        </w:p>
        <w:p w:rsidR="00DE09E8" w:rsidRPr="00ED035E" w14:paraId="4FAC3EC4" w14:textId="77777777">
          <w:pPr>
            <w:tabs>
              <w:tab w:val="right" w:pos="9360"/>
            </w:tabs>
            <w:suppressAutoHyphens/>
            <w:spacing w:line="240" w:lineRule="atLeast"/>
            <w:jc w:val="center"/>
            <w:rPr>
              <w:b/>
              <w:bCs/>
              <w:sz w:val="20"/>
              <w:szCs w:val="20"/>
            </w:rPr>
          </w:pPr>
          <w:r w:rsidRPr="00ED035E">
            <w:rPr>
              <w:b/>
              <w:bCs/>
              <w:sz w:val="20"/>
              <w:szCs w:val="20"/>
            </w:rPr>
            <w:t>and Urban Development</w:t>
          </w:r>
        </w:p>
        <w:p w:rsidR="00DE09E8" w:rsidRPr="00ED035E" w14:paraId="1DF0C0C5" w14:textId="77777777">
          <w:pPr>
            <w:tabs>
              <w:tab w:val="right" w:pos="9360"/>
            </w:tabs>
            <w:suppressAutoHyphens/>
            <w:spacing w:line="240" w:lineRule="atLeast"/>
            <w:jc w:val="center"/>
            <w:rPr>
              <w:b/>
              <w:bCs/>
              <w:sz w:val="20"/>
              <w:szCs w:val="20"/>
            </w:rPr>
          </w:pPr>
          <w:r w:rsidRPr="00ED035E">
            <w:rPr>
              <w:b/>
              <w:bCs/>
              <w:sz w:val="20"/>
              <w:szCs w:val="20"/>
            </w:rPr>
            <w:t>Office of Public and Indian Housing</w:t>
          </w:r>
        </w:p>
      </w:tc>
      <w:tc>
        <w:tcPr>
          <w:tcW w:w="3600" w:type="dxa"/>
        </w:tcPr>
        <w:p w:rsidR="00DE09E8" w:rsidRPr="00ED035E" w14:paraId="381FF7B2" w14:textId="77777777">
          <w:pPr>
            <w:tabs>
              <w:tab w:val="right" w:pos="9360"/>
            </w:tabs>
            <w:suppressAutoHyphens/>
            <w:spacing w:line="240" w:lineRule="atLeast"/>
            <w:jc w:val="right"/>
            <w:rPr>
              <w:b/>
              <w:bCs/>
              <w:sz w:val="20"/>
              <w:szCs w:val="20"/>
            </w:rPr>
          </w:pPr>
          <w:r w:rsidRPr="00ED035E">
            <w:rPr>
              <w:b/>
              <w:bCs/>
              <w:sz w:val="20"/>
              <w:szCs w:val="20"/>
            </w:rPr>
            <w:t>OMB Approval No. 2577-0075</w:t>
          </w:r>
        </w:p>
        <w:p w:rsidR="00DE09E8" w:rsidRPr="00ED035E" w:rsidP="009B17B8" w14:paraId="3D6E2EFF" w14:textId="77777777">
          <w:pPr>
            <w:tabs>
              <w:tab w:val="right" w:pos="9360"/>
            </w:tabs>
            <w:suppressAutoHyphens/>
            <w:spacing w:line="240" w:lineRule="atLeast"/>
            <w:jc w:val="right"/>
            <w:rPr>
              <w:b/>
              <w:bCs/>
              <w:sz w:val="20"/>
              <w:szCs w:val="20"/>
            </w:rPr>
          </w:pPr>
          <w:r w:rsidRPr="00ED035E">
            <w:rPr>
              <w:b/>
              <w:bCs/>
              <w:sz w:val="20"/>
              <w:szCs w:val="20"/>
            </w:rPr>
            <w:t>(exp. 0</w:t>
          </w:r>
          <w:r>
            <w:rPr>
              <w:b/>
              <w:bCs/>
              <w:sz w:val="20"/>
              <w:szCs w:val="20"/>
            </w:rPr>
            <w:t>8</w:t>
          </w:r>
          <w:r w:rsidRPr="00ED035E">
            <w:rPr>
              <w:b/>
              <w:bCs/>
              <w:sz w:val="20"/>
              <w:szCs w:val="20"/>
            </w:rPr>
            <w:t>/31/202</w:t>
          </w:r>
          <w:r>
            <w:rPr>
              <w:b/>
              <w:bCs/>
              <w:sz w:val="20"/>
              <w:szCs w:val="20"/>
            </w:rPr>
            <w:t>3</w:t>
          </w:r>
          <w:r w:rsidRPr="00ED035E">
            <w:rPr>
              <w:b/>
              <w:bCs/>
              <w:sz w:val="20"/>
              <w:szCs w:val="20"/>
            </w:rPr>
            <w:t>)</w:t>
          </w:r>
        </w:p>
      </w:tc>
    </w:tr>
  </w:tbl>
  <w:p w:rsidR="00DE09E8" w:rsidRPr="00ED035E" w14:paraId="76110D2A" w14:textId="77777777">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C6BE2"/>
    <w:multiLevelType w:val="hybridMultilevel"/>
    <w:tmpl w:val="F82415C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656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4E"/>
    <w:rsid w:val="000D2FA3"/>
    <w:rsid w:val="00185471"/>
    <w:rsid w:val="001D55F9"/>
    <w:rsid w:val="00212B74"/>
    <w:rsid w:val="002A1DB7"/>
    <w:rsid w:val="002D6DFB"/>
    <w:rsid w:val="00450EF7"/>
    <w:rsid w:val="006F3E37"/>
    <w:rsid w:val="0071484E"/>
    <w:rsid w:val="00906EFC"/>
    <w:rsid w:val="009A2121"/>
    <w:rsid w:val="009B17B8"/>
    <w:rsid w:val="00A879D5"/>
    <w:rsid w:val="00AC04D5"/>
    <w:rsid w:val="00AD6BC8"/>
    <w:rsid w:val="00B249A6"/>
    <w:rsid w:val="00B926A8"/>
    <w:rsid w:val="00C82A68"/>
    <w:rsid w:val="00CB3319"/>
    <w:rsid w:val="00D31154"/>
    <w:rsid w:val="00DE09E8"/>
    <w:rsid w:val="00E113C5"/>
    <w:rsid w:val="00ED035E"/>
    <w:rsid w:val="00F14269"/>
    <w:rsid w:val="00F73C6B"/>
    <w:rsid w:val="00F92658"/>
    <w:rsid w:val="00FB07E8"/>
    <w:rsid w:val="2DC10E1C"/>
    <w:rsid w:val="69799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F82A7"/>
  <w15:chartTrackingRefBased/>
  <w15:docId w15:val="{805EA67B-0557-4567-9E23-1E9F893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8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484E"/>
    <w:rPr>
      <w:sz w:val="16"/>
    </w:rPr>
  </w:style>
  <w:style w:type="character" w:customStyle="1" w:styleId="BodyText2Char">
    <w:name w:val="Body Text 2 Char"/>
    <w:basedOn w:val="DefaultParagraphFont"/>
    <w:link w:val="BodyText2"/>
    <w:rsid w:val="0071484E"/>
    <w:rPr>
      <w:rFonts w:ascii="Times New Roman" w:eastAsia="Times New Roman" w:hAnsi="Times New Roman" w:cs="Times New Roman"/>
      <w:sz w:val="16"/>
      <w:szCs w:val="24"/>
    </w:rPr>
  </w:style>
  <w:style w:type="paragraph" w:styleId="BodyText3">
    <w:name w:val="Body Text 3"/>
    <w:basedOn w:val="Normal"/>
    <w:link w:val="BodyText3Char"/>
    <w:rsid w:val="0071484E"/>
    <w:rPr>
      <w:sz w:val="20"/>
    </w:rPr>
  </w:style>
  <w:style w:type="character" w:customStyle="1" w:styleId="BodyText3Char">
    <w:name w:val="Body Text 3 Char"/>
    <w:basedOn w:val="DefaultParagraphFont"/>
    <w:link w:val="BodyText3"/>
    <w:rsid w:val="0071484E"/>
    <w:rPr>
      <w:rFonts w:ascii="Times New Roman" w:eastAsia="Times New Roman" w:hAnsi="Times New Roman" w:cs="Times New Roman"/>
      <w:sz w:val="20"/>
      <w:szCs w:val="24"/>
    </w:rPr>
  </w:style>
  <w:style w:type="character" w:styleId="Hyperlink">
    <w:name w:val="Hyperlink"/>
    <w:rsid w:val="0071484E"/>
    <w:rPr>
      <w:color w:val="0000FF"/>
      <w:u w:val="single"/>
    </w:rPr>
  </w:style>
  <w:style w:type="character" w:styleId="CommentReference">
    <w:name w:val="annotation reference"/>
    <w:uiPriority w:val="99"/>
    <w:rsid w:val="0071484E"/>
    <w:rPr>
      <w:sz w:val="16"/>
      <w:szCs w:val="16"/>
    </w:rPr>
  </w:style>
  <w:style w:type="paragraph" w:styleId="Header">
    <w:name w:val="header"/>
    <w:basedOn w:val="Normal"/>
    <w:link w:val="HeaderChar"/>
    <w:rsid w:val="0071484E"/>
    <w:pPr>
      <w:tabs>
        <w:tab w:val="center" w:pos="4320"/>
        <w:tab w:val="right" w:pos="8640"/>
      </w:tabs>
    </w:pPr>
  </w:style>
  <w:style w:type="character" w:customStyle="1" w:styleId="HeaderChar">
    <w:name w:val="Header Char"/>
    <w:basedOn w:val="DefaultParagraphFont"/>
    <w:link w:val="Header"/>
    <w:rsid w:val="0071484E"/>
    <w:rPr>
      <w:rFonts w:ascii="Times New Roman" w:eastAsia="Times New Roman" w:hAnsi="Times New Roman" w:cs="Times New Roman"/>
      <w:sz w:val="24"/>
      <w:szCs w:val="24"/>
    </w:rPr>
  </w:style>
  <w:style w:type="paragraph" w:styleId="Footer">
    <w:name w:val="footer"/>
    <w:basedOn w:val="Normal"/>
    <w:link w:val="FooterChar"/>
    <w:rsid w:val="0071484E"/>
    <w:pPr>
      <w:tabs>
        <w:tab w:val="center" w:pos="4320"/>
        <w:tab w:val="right" w:pos="8640"/>
      </w:tabs>
    </w:pPr>
  </w:style>
  <w:style w:type="character" w:customStyle="1" w:styleId="FooterChar">
    <w:name w:val="Footer Char"/>
    <w:basedOn w:val="DefaultParagraphFont"/>
    <w:link w:val="Footer"/>
    <w:rsid w:val="0071484E"/>
    <w:rPr>
      <w:rFonts w:ascii="Times New Roman" w:eastAsia="Times New Roman" w:hAnsi="Times New Roman" w:cs="Times New Roman"/>
      <w:sz w:val="24"/>
      <w:szCs w:val="24"/>
    </w:rPr>
  </w:style>
  <w:style w:type="paragraph" w:styleId="BodyText">
    <w:name w:val="Body Text"/>
    <w:basedOn w:val="Normal"/>
    <w:link w:val="BodyTextChar"/>
    <w:rsid w:val="0071484E"/>
    <w:rPr>
      <w:b/>
      <w:bCs/>
      <w:i/>
      <w:iCs/>
      <w:sz w:val="20"/>
    </w:rPr>
  </w:style>
  <w:style w:type="character" w:customStyle="1" w:styleId="BodyTextChar">
    <w:name w:val="Body Text Char"/>
    <w:basedOn w:val="DefaultParagraphFont"/>
    <w:link w:val="BodyText"/>
    <w:rsid w:val="0071484E"/>
    <w:rPr>
      <w:rFonts w:ascii="Times New Roman" w:eastAsia="Times New Roman" w:hAnsi="Times New Roman" w:cs="Times New Roman"/>
      <w:b/>
      <w:bCs/>
      <w:i/>
      <w:iCs/>
      <w:sz w:val="20"/>
      <w:szCs w:val="24"/>
    </w:rPr>
  </w:style>
  <w:style w:type="paragraph" w:styleId="EndnoteText">
    <w:name w:val="endnote text"/>
    <w:basedOn w:val="Normal"/>
    <w:link w:val="EndnoteTextChar"/>
    <w:semiHidden/>
    <w:rsid w:val="0071484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71484E"/>
    <w:rPr>
      <w:rFonts w:ascii="Courier New" w:eastAsia="Times New Roman" w:hAnsi="Courier New" w:cs="Courier New"/>
      <w:sz w:val="24"/>
      <w:szCs w:val="24"/>
    </w:rPr>
  </w:style>
  <w:style w:type="paragraph" w:styleId="CommentText">
    <w:name w:val="annotation text"/>
    <w:basedOn w:val="Normal"/>
    <w:link w:val="CommentTextChar"/>
    <w:semiHidden/>
    <w:rsid w:val="0071484E"/>
    <w:rPr>
      <w:sz w:val="20"/>
      <w:szCs w:val="20"/>
    </w:rPr>
  </w:style>
  <w:style w:type="character" w:customStyle="1" w:styleId="CommentTextChar">
    <w:name w:val="Comment Text Char"/>
    <w:basedOn w:val="DefaultParagraphFont"/>
    <w:link w:val="CommentText"/>
    <w:semiHidden/>
    <w:rsid w:val="0071484E"/>
    <w:rPr>
      <w:rFonts w:ascii="Times New Roman" w:eastAsia="Times New Roman" w:hAnsi="Times New Roman" w:cs="Times New Roman"/>
      <w:sz w:val="20"/>
      <w:szCs w:val="20"/>
    </w:rPr>
  </w:style>
  <w:style w:type="paragraph" w:customStyle="1" w:styleId="Technical5a">
    <w:name w:val="Technical 5a"/>
    <w:rsid w:val="0071484E"/>
    <w:pPr>
      <w:widowControl w:val="0"/>
      <w:tabs>
        <w:tab w:val="left" w:pos="-720"/>
      </w:tabs>
      <w:suppressAutoHyphens/>
      <w:autoSpaceDE w:val="0"/>
      <w:autoSpaceDN w:val="0"/>
      <w:adjustRightInd w:val="0"/>
      <w:spacing w:after="0" w:line="240" w:lineRule="atLeast"/>
    </w:pPr>
    <w:rPr>
      <w:rFonts w:ascii="Univers" w:eastAsia="Times New Roman" w:hAnsi="Univers" w:cs="Times New Roman"/>
      <w:b/>
      <w:bCs/>
    </w:rPr>
  </w:style>
  <w:style w:type="paragraph" w:styleId="CommentSubject">
    <w:name w:val="annotation subject"/>
    <w:basedOn w:val="CommentText"/>
    <w:next w:val="CommentText"/>
    <w:link w:val="CommentSubjectChar"/>
    <w:uiPriority w:val="99"/>
    <w:semiHidden/>
    <w:unhideWhenUsed/>
    <w:rsid w:val="001D55F9"/>
    <w:rPr>
      <w:b/>
      <w:bCs/>
    </w:rPr>
  </w:style>
  <w:style w:type="character" w:customStyle="1" w:styleId="CommentSubjectChar">
    <w:name w:val="Comment Subject Char"/>
    <w:basedOn w:val="CommentTextChar"/>
    <w:link w:val="CommentSubject"/>
    <w:uiPriority w:val="99"/>
    <w:semiHidden/>
    <w:rsid w:val="001D55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gov/offices/pih/centers/sac/docs/costcomparison.xl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3247</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D3C67-3954-4180-A7EB-9ADEAAF63B2A}">
  <ds:schemaRefs>
    <ds:schemaRef ds:uri="http://schemas.microsoft.com/sharepoint/events"/>
  </ds:schemaRefs>
</ds:datastoreItem>
</file>

<file path=customXml/itemProps2.xml><?xml version="1.0" encoding="utf-8"?>
<ds:datastoreItem xmlns:ds="http://schemas.openxmlformats.org/officeDocument/2006/customXml" ds:itemID="{D3C6E19F-71F5-4632-B484-6A73D67DA29B}">
  <ds:schemaRefs>
    <ds:schemaRef ds:uri="http://schemas.microsoft.com/sharepoint/v3/contenttype/forms"/>
  </ds:schemaRefs>
</ds:datastoreItem>
</file>

<file path=customXml/itemProps3.xml><?xml version="1.0" encoding="utf-8"?>
<ds:datastoreItem xmlns:ds="http://schemas.openxmlformats.org/officeDocument/2006/customXml" ds:itemID="{7CF69217-862A-4284-BBDC-D1F2A0DF8BF9}">
  <ds:schemaRefs>
    <ds:schemaRef ds:uri="http://schemas.microsoft.com/office/2006/metadata/properties"/>
    <ds:schemaRef ds:uri="http://schemas.microsoft.com/office/infopath/2007/PartnerControls"/>
    <ds:schemaRef ds:uri="ae2a2941-2dbe-4eaa-9281-19e6e20101f1"/>
  </ds:schemaRefs>
</ds:datastoreItem>
</file>

<file path=customXml/itemProps4.xml><?xml version="1.0" encoding="utf-8"?>
<ds:datastoreItem xmlns:ds="http://schemas.openxmlformats.org/officeDocument/2006/customXml" ds:itemID="{A8D586D2-3157-457D-89A0-A65ED0C14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9715</Characters>
  <Application>Microsoft Office Word</Application>
  <DocSecurity>0</DocSecurity>
  <Lines>80</Lines>
  <Paragraphs>22</Paragraphs>
  <ScaleCrop>false</ScaleCrop>
  <Company>U.S. Department of Housing and Urban Development</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2023-06-20T12:05:00Z</dcterms:created>
  <dcterms:modified xsi:type="dcterms:W3CDTF">2023-06-20T12:05:00Z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NewReviewCycle">
    <vt:lpwstr/>
  </property>
</Properties>
</file>