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2991" w14:paraId="575AF317" w14:textId="77777777">
      <w:pPr>
        <w:suppressAutoHyphens/>
        <w:jc w:val="both"/>
        <w:rPr>
          <w:spacing w:val="-3"/>
        </w:rPr>
      </w:pPr>
      <w:r>
        <w:rPr>
          <w:spacing w:val="-3"/>
        </w:rPr>
        <w:t xml:space="preserve"> </w:t>
      </w:r>
      <w:r>
        <w:rPr>
          <w:spacing w:val="-3"/>
        </w:rPr>
        <w:t xml:space="preserve">                                                                                                   </w:t>
      </w:r>
    </w:p>
    <w:p w:rsidR="00EC6736" w:rsidP="06D2286D" w14:paraId="572C960A" w14:textId="73FE1CD3">
      <w:pPr>
        <w:tabs>
          <w:tab w:val="center" w:pos="4680"/>
        </w:tabs>
        <w:suppressAutoHyphens/>
        <w:jc w:val="both"/>
        <w:rPr>
          <w:snapToGrid w:val="0"/>
          <w:spacing w:val="-3"/>
        </w:rPr>
      </w:pPr>
      <w:r>
        <w:rPr>
          <w:snapToGrid w:val="0"/>
          <w:spacing w:val="-3"/>
        </w:rPr>
        <w:t xml:space="preserve">This submission is </w:t>
      </w:r>
      <w:r w:rsidR="00D51DC1">
        <w:rPr>
          <w:snapToGrid w:val="0"/>
          <w:spacing w:val="-3"/>
        </w:rPr>
        <w:t xml:space="preserve">being </w:t>
      </w:r>
      <w:r>
        <w:rPr>
          <w:snapToGrid w:val="0"/>
          <w:spacing w:val="-3"/>
        </w:rPr>
        <w:t>made pursuant to 44 USC 3507 to extend an existin</w:t>
      </w:r>
      <w:r w:rsidR="007B4630">
        <w:rPr>
          <w:snapToGrid w:val="0"/>
          <w:spacing w:val="-3"/>
        </w:rPr>
        <w:t xml:space="preserve">g collection </w:t>
      </w:r>
      <w:r w:rsidR="0036140D">
        <w:rPr>
          <w:snapToGrid w:val="0"/>
          <w:spacing w:val="-3"/>
        </w:rPr>
        <w:t xml:space="preserve">to </w:t>
      </w:r>
      <w:r w:rsidRPr="003C6178" w:rsidR="00461A23">
        <w:rPr>
          <w:snapToGrid w:val="0"/>
          <w:spacing w:val="-3"/>
        </w:rPr>
        <w:t xml:space="preserve">the Office of Management and Budget (OMB) in order to obtain the </w:t>
      </w:r>
      <w:r w:rsidRPr="003C6178" w:rsidR="00A03E19">
        <w:rPr>
          <w:snapToGrid w:val="0"/>
          <w:spacing w:val="-3"/>
        </w:rPr>
        <w:t>three-year</w:t>
      </w:r>
      <w:r w:rsidRPr="003C6178" w:rsidR="00461A23">
        <w:rPr>
          <w:snapToGrid w:val="0"/>
          <w:spacing w:val="-3"/>
        </w:rPr>
        <w:t xml:space="preserve"> approval.</w:t>
      </w:r>
    </w:p>
    <w:p w:rsidR="006E11E9" w:rsidP="006E11E9" w14:paraId="6484F1EB" w14:textId="77777777">
      <w:pPr>
        <w:tabs>
          <w:tab w:val="center" w:pos="4680"/>
        </w:tabs>
        <w:suppressAutoHyphens/>
        <w:jc w:val="both"/>
        <w:rPr>
          <w:snapToGrid w:val="0"/>
          <w:spacing w:val="-3"/>
        </w:rPr>
      </w:pPr>
    </w:p>
    <w:p w:rsidR="00DF511A" w:rsidP="006E11E9" w14:paraId="5B41C0FA" w14:textId="77777777">
      <w:pPr>
        <w:tabs>
          <w:tab w:val="center" w:pos="4680"/>
        </w:tabs>
        <w:suppressAutoHyphens/>
        <w:jc w:val="both"/>
        <w:rPr>
          <w:snapToGrid w:val="0"/>
          <w:spacing w:val="-3"/>
        </w:rPr>
      </w:pPr>
    </w:p>
    <w:p w:rsidR="006E11E9" w:rsidP="006E11E9" w14:paraId="04951349" w14:textId="77777777">
      <w:pPr>
        <w:tabs>
          <w:tab w:val="center" w:pos="4680"/>
        </w:tabs>
        <w:suppressAutoHyphens/>
        <w:jc w:val="center"/>
        <w:rPr>
          <w:snapToGrid w:val="0"/>
          <w:spacing w:val="-3"/>
        </w:rPr>
      </w:pPr>
      <w:r w:rsidRPr="005D39B6">
        <w:rPr>
          <w:spacing w:val="-3"/>
        </w:rPr>
        <w:t>SUPPORTING STATEMENT</w:t>
      </w:r>
    </w:p>
    <w:p w:rsidR="00E94319" w14:paraId="6611908A" w14:textId="77777777">
      <w:pPr>
        <w:tabs>
          <w:tab w:val="left" w:pos="-720"/>
        </w:tabs>
        <w:suppressAutoHyphens/>
        <w:jc w:val="both"/>
        <w:rPr>
          <w:spacing w:val="-3"/>
        </w:rPr>
      </w:pPr>
    </w:p>
    <w:p w:rsidR="00AD2991" w:rsidRPr="005D39B6" w14:paraId="4AE2E0BD" w14:textId="77777777">
      <w:pPr>
        <w:tabs>
          <w:tab w:val="left" w:pos="-720"/>
        </w:tabs>
        <w:suppressAutoHyphens/>
        <w:jc w:val="both"/>
        <w:rPr>
          <w:b/>
          <w:spacing w:val="-3"/>
        </w:rPr>
      </w:pPr>
      <w:r w:rsidRPr="005D39B6">
        <w:rPr>
          <w:b/>
          <w:spacing w:val="-3"/>
        </w:rPr>
        <w:t xml:space="preserve">A.  </w:t>
      </w:r>
      <w:r w:rsidRPr="005D39B6">
        <w:rPr>
          <w:b/>
          <w:spacing w:val="-3"/>
          <w:u w:val="single"/>
        </w:rPr>
        <w:t>Justification:</w:t>
      </w:r>
      <w:r w:rsidRPr="005D39B6" w:rsidR="00C42757">
        <w:rPr>
          <w:b/>
          <w:spacing w:val="-3"/>
          <w:u w:val="single"/>
        </w:rPr>
        <w:t xml:space="preserve"> </w:t>
      </w:r>
      <w:r w:rsidRPr="005D39B6" w:rsidR="00B353FE">
        <w:rPr>
          <w:b/>
          <w:spacing w:val="-3"/>
          <w:u w:val="single"/>
        </w:rPr>
        <w:t xml:space="preserve"> </w:t>
      </w:r>
    </w:p>
    <w:p w:rsidR="00AD2991" w14:paraId="7CD48DFF" w14:textId="77777777">
      <w:pPr>
        <w:tabs>
          <w:tab w:val="left" w:pos="-720"/>
        </w:tabs>
        <w:suppressAutoHyphens/>
        <w:jc w:val="both"/>
        <w:rPr>
          <w:spacing w:val="-3"/>
        </w:rPr>
      </w:pPr>
    </w:p>
    <w:p w:rsidR="00AD2991" w14:paraId="01585997" w14:textId="77777777">
      <w:pPr>
        <w:tabs>
          <w:tab w:val="left" w:pos="-720"/>
        </w:tabs>
        <w:suppressAutoHyphens/>
        <w:jc w:val="both"/>
        <w:rPr>
          <w:spacing w:val="-3"/>
        </w:rPr>
      </w:pPr>
      <w:r>
        <w:rPr>
          <w:spacing w:val="-3"/>
        </w:rPr>
        <w:t xml:space="preserve">1. </w:t>
      </w:r>
      <w:r w:rsidR="000B00A6">
        <w:rPr>
          <w:spacing w:val="-3"/>
        </w:rPr>
        <w:tab/>
      </w:r>
      <w:r>
        <w:rPr>
          <w:spacing w:val="-3"/>
        </w:rPr>
        <w:t>Section 220 of the Communications Act of 1934, as amended, 47 USC 220, allows the Commission, at its discretion, to prescribe the forms of any and all accounts, records, and memoranda to be kept by carriers subject to this Act, including the accounts, records, and memoranda of the movement of traffic, as well as of the receipts and expenditures of moneys.</w:t>
      </w:r>
    </w:p>
    <w:p w:rsidR="00AD2991" w14:paraId="3571A357" w14:textId="77777777">
      <w:pPr>
        <w:tabs>
          <w:tab w:val="left" w:pos="-720"/>
        </w:tabs>
        <w:suppressAutoHyphens/>
        <w:jc w:val="both"/>
        <w:rPr>
          <w:spacing w:val="-3"/>
        </w:rPr>
      </w:pPr>
    </w:p>
    <w:p w:rsidR="00AD2991" w14:paraId="6393FDE5" w14:textId="77777777">
      <w:pPr>
        <w:tabs>
          <w:tab w:val="left" w:pos="-720"/>
        </w:tabs>
        <w:suppressAutoHyphens/>
        <w:jc w:val="both"/>
        <w:rPr>
          <w:spacing w:val="-3"/>
        </w:rPr>
      </w:pPr>
      <w:r>
        <w:rPr>
          <w:spacing w:val="-3"/>
        </w:rPr>
        <w:tab/>
        <w:t xml:space="preserve">Section 219(b) of the Communications Act of 1934, as amended, 47 USC 219(b), authorizes the Commission by a general or special orders to require any carriers subject to this Act to file </w:t>
      </w:r>
      <w:r w:rsidR="00AC02B5">
        <w:rPr>
          <w:spacing w:val="-3"/>
        </w:rPr>
        <w:t>monthly</w:t>
      </w:r>
      <w:r>
        <w:rPr>
          <w:spacing w:val="-3"/>
        </w:rPr>
        <w:t xml:space="preserve"> reports concerning any matters with respect to which the Commission is authorized or required by law to act.  Section 43.21 of the Commission's </w:t>
      </w:r>
      <w:r w:rsidR="00C07D88">
        <w:rPr>
          <w:spacing w:val="-3"/>
        </w:rPr>
        <w:t>rules,</w:t>
      </w:r>
      <w:r w:rsidR="000742F6">
        <w:rPr>
          <w:spacing w:val="-3"/>
        </w:rPr>
        <w:t xml:space="preserve"> 47 C.F.R</w:t>
      </w:r>
      <w:r w:rsidR="00E751CF">
        <w:rPr>
          <w:spacing w:val="-3"/>
        </w:rPr>
        <w:t>. §</w:t>
      </w:r>
      <w:r w:rsidR="000742F6">
        <w:rPr>
          <w:spacing w:val="-3"/>
        </w:rPr>
        <w:t xml:space="preserve"> 43.21</w:t>
      </w:r>
      <w:r w:rsidR="00C07D88">
        <w:rPr>
          <w:spacing w:val="-3"/>
        </w:rPr>
        <w:t>, details</w:t>
      </w:r>
      <w:r>
        <w:rPr>
          <w:spacing w:val="-3"/>
        </w:rPr>
        <w:t xml:space="preserve"> that requirement. </w:t>
      </w:r>
    </w:p>
    <w:p w:rsidR="00AD2991" w14:paraId="3F8035D3" w14:textId="77777777">
      <w:pPr>
        <w:tabs>
          <w:tab w:val="left" w:pos="-720"/>
        </w:tabs>
        <w:suppressAutoHyphens/>
        <w:jc w:val="both"/>
        <w:rPr>
          <w:spacing w:val="-3"/>
        </w:rPr>
      </w:pPr>
    </w:p>
    <w:p w:rsidR="00AD2991" w14:paraId="555D2B34" w14:textId="77F4A482">
      <w:pPr>
        <w:tabs>
          <w:tab w:val="left" w:pos="-720"/>
        </w:tabs>
        <w:suppressAutoHyphens/>
        <w:jc w:val="both"/>
        <w:rPr>
          <w:spacing w:val="-3"/>
        </w:rPr>
      </w:pPr>
      <w:r>
        <w:rPr>
          <w:spacing w:val="-3"/>
        </w:rPr>
        <w:tab/>
        <w:t>ARMIS was implemented to facilitate the timely and efficient analysis of revenue requirements</w:t>
      </w:r>
      <w:r w:rsidR="00947569">
        <w:rPr>
          <w:spacing w:val="-3"/>
        </w:rPr>
        <w:t>, rates of return and price caps</w:t>
      </w:r>
      <w:r>
        <w:rPr>
          <w:spacing w:val="-3"/>
        </w:rPr>
        <w:t xml:space="preserve">; to provide an improved basis for audits and other oversight functions; and to enhance the Commission's ability to quantify the effects of alternative policy.  The ARMIS 43-01 Report </w:t>
      </w:r>
      <w:r w:rsidR="00187B45">
        <w:rPr>
          <w:spacing w:val="-3"/>
        </w:rPr>
        <w:t xml:space="preserve">previously contained </w:t>
      </w:r>
      <w:r>
        <w:rPr>
          <w:spacing w:val="-3"/>
        </w:rPr>
        <w:t xml:space="preserve">financial and operating data used to monitor the incumbent local exchange carriers ("ILECs") and perform routine analyses of costs and revenues.  </w:t>
      </w:r>
      <w:r w:rsidR="00EA7201">
        <w:rPr>
          <w:spacing w:val="-3"/>
        </w:rPr>
        <w:t xml:space="preserve">The Commission had previously granted conditional forbearance </w:t>
      </w:r>
      <w:r w:rsidR="00037901">
        <w:rPr>
          <w:spacing w:val="-3"/>
        </w:rPr>
        <w:t>from many of these requirements</w:t>
      </w:r>
      <w:r w:rsidR="0053037E">
        <w:rPr>
          <w:spacing w:val="-3"/>
        </w:rPr>
        <w:t>, with the exception of reporting pole attachment data</w:t>
      </w:r>
      <w:r w:rsidR="00037901">
        <w:rPr>
          <w:spacing w:val="-3"/>
        </w:rPr>
        <w:t xml:space="preserve">.  To get such forbearance, carriers were required to file a detailed compliance plan with the Commission </w:t>
      </w:r>
      <w:r w:rsidR="0053037E">
        <w:rPr>
          <w:spacing w:val="-3"/>
        </w:rPr>
        <w:t>that explained how the carrier would continue to maintain cost and revenue information so that the such data would be available and reliable if the Commission were to require such data.</w:t>
      </w:r>
      <w:r>
        <w:rPr>
          <w:rStyle w:val="FootnoteReference"/>
          <w:spacing w:val="-3"/>
        </w:rPr>
        <w:footnoteReference w:id="2"/>
      </w:r>
      <w:r w:rsidR="0053037E">
        <w:rPr>
          <w:spacing w:val="-3"/>
        </w:rPr>
        <w:t xml:space="preserve">  </w:t>
      </w:r>
      <w:r w:rsidR="00A948DE">
        <w:rPr>
          <w:spacing w:val="-3"/>
        </w:rPr>
        <w:t xml:space="preserve">Not all carriers had chosen to seek forbearance.  </w:t>
      </w:r>
      <w:r w:rsidR="0053037E">
        <w:rPr>
          <w:spacing w:val="-3"/>
        </w:rPr>
        <w:t>I</w:t>
      </w:r>
      <w:r w:rsidR="00EA7201">
        <w:rPr>
          <w:spacing w:val="-3"/>
        </w:rPr>
        <w:t>n</w:t>
      </w:r>
      <w:r w:rsidR="00187B45">
        <w:rPr>
          <w:spacing w:val="-3"/>
        </w:rPr>
        <w:t xml:space="preserve"> February 2017, the Commission </w:t>
      </w:r>
      <w:r w:rsidR="00EA7201">
        <w:rPr>
          <w:spacing w:val="-3"/>
        </w:rPr>
        <w:t xml:space="preserve">terminated </w:t>
      </w:r>
      <w:r w:rsidR="00A948DE">
        <w:rPr>
          <w:spacing w:val="-3"/>
        </w:rPr>
        <w:t>the compliance plan condition</w:t>
      </w:r>
      <w:r w:rsidR="00EA7201">
        <w:rPr>
          <w:spacing w:val="-3"/>
        </w:rPr>
        <w:t>.</w:t>
      </w:r>
      <w:r>
        <w:rPr>
          <w:rStyle w:val="FootnoteReference"/>
          <w:spacing w:val="-3"/>
        </w:rPr>
        <w:footnoteReference w:id="3"/>
      </w:r>
      <w:r w:rsidR="00EA7201">
        <w:rPr>
          <w:spacing w:val="-3"/>
        </w:rPr>
        <w:t xml:space="preserve">  </w:t>
      </w:r>
      <w:r w:rsidR="00CA644A">
        <w:rPr>
          <w:spacing w:val="-3"/>
        </w:rPr>
        <w:t xml:space="preserve">Therefore, </w:t>
      </w:r>
      <w:r w:rsidR="00FB57EB">
        <w:rPr>
          <w:spacing w:val="-3"/>
        </w:rPr>
        <w:t xml:space="preserve">carriers subject to ARMIS Report 43-01 are now required </w:t>
      </w:r>
      <w:r w:rsidR="00A03E19">
        <w:rPr>
          <w:spacing w:val="-3"/>
        </w:rPr>
        <w:t xml:space="preserve">only </w:t>
      </w:r>
      <w:r w:rsidR="00FB57EB">
        <w:rPr>
          <w:spacing w:val="-3"/>
        </w:rPr>
        <w:t>to file pole attachment cost information to allow the Commission to regulate pole attachment rates.</w:t>
      </w:r>
      <w:r w:rsidR="00CA644A">
        <w:rPr>
          <w:spacing w:val="-3"/>
        </w:rPr>
        <w:t xml:space="preserve"> </w:t>
      </w:r>
      <w:r w:rsidR="00817DEC">
        <w:rPr>
          <w:spacing w:val="-3"/>
        </w:rPr>
        <w:t xml:space="preserve"> </w:t>
      </w:r>
      <w:r w:rsidR="00B922F0">
        <w:rPr>
          <w:spacing w:val="-3"/>
        </w:rPr>
        <w:t xml:space="preserve">In addition, carriers are only required to file pole attachment cost information with the Commission for those states that have not certified that they regulate pole attachments.  </w:t>
      </w:r>
      <w:r w:rsidRPr="003C6178" w:rsidR="00F404C1">
        <w:rPr>
          <w:color w:val="000000"/>
          <w:spacing w:val="-3"/>
        </w:rPr>
        <w:t xml:space="preserve">The Commission does not require carriers to retain copies of ARMIS Report 43-01 for a specific period of time.  </w:t>
      </w:r>
    </w:p>
    <w:p w:rsidR="00AD2991" w14:paraId="724F4CA5" w14:textId="77777777">
      <w:pPr>
        <w:tabs>
          <w:tab w:val="left" w:pos="-720"/>
        </w:tabs>
        <w:suppressAutoHyphens/>
        <w:jc w:val="both"/>
        <w:rPr>
          <w:spacing w:val="-3"/>
        </w:rPr>
      </w:pPr>
    </w:p>
    <w:p w:rsidR="00C10539" w:rsidP="0013543C" w14:paraId="7D88F9D2" w14:textId="77777777">
      <w:pPr>
        <w:ind w:left="90" w:firstLine="630"/>
        <w:jc w:val="both"/>
        <w:rPr>
          <w:spacing w:val="-3"/>
        </w:rPr>
      </w:pPr>
    </w:p>
    <w:p w:rsidR="005D39B6" w:rsidP="0013543C" w14:paraId="2D871581" w14:textId="01985890">
      <w:pPr>
        <w:ind w:left="90" w:firstLine="630"/>
        <w:jc w:val="both"/>
        <w:rPr>
          <w:spacing w:val="-3"/>
        </w:rPr>
      </w:pPr>
      <w:r>
        <w:rPr>
          <w:spacing w:val="-3"/>
        </w:rPr>
        <w:t xml:space="preserve">Statutory authority for this collection is contained in </w:t>
      </w:r>
      <w:r w:rsidR="000E5F87">
        <w:rPr>
          <w:spacing w:val="-3"/>
        </w:rPr>
        <w:t xml:space="preserve">Sections 11, 219(b), and 220 of the Communications Act of 1934, as amended, </w:t>
      </w:r>
      <w:r>
        <w:rPr>
          <w:spacing w:val="-3"/>
        </w:rPr>
        <w:t xml:space="preserve">47 U.S.C. </w:t>
      </w:r>
      <w:r w:rsidR="000E5F87">
        <w:rPr>
          <w:spacing w:val="-3"/>
        </w:rPr>
        <w:t>161,</w:t>
      </w:r>
      <w:r>
        <w:rPr>
          <w:spacing w:val="-3"/>
        </w:rPr>
        <w:t xml:space="preserve"> 219</w:t>
      </w:r>
      <w:r w:rsidR="000E5F87">
        <w:rPr>
          <w:spacing w:val="-3"/>
        </w:rPr>
        <w:t xml:space="preserve">(b), </w:t>
      </w:r>
      <w:r>
        <w:rPr>
          <w:spacing w:val="-3"/>
        </w:rPr>
        <w:t>and 220.</w:t>
      </w:r>
    </w:p>
    <w:p w:rsidR="000E5F87" w:rsidP="000E5F87" w14:paraId="3250B721" w14:textId="77777777">
      <w:pPr>
        <w:ind w:left="90" w:firstLine="720"/>
        <w:rPr>
          <w:spacing w:val="-3"/>
        </w:rPr>
      </w:pPr>
    </w:p>
    <w:p w:rsidR="000E5F87" w:rsidRPr="0086616E" w:rsidP="000E5F87" w14:paraId="5D8E287B" w14:textId="77777777">
      <w:pPr>
        <w:tabs>
          <w:tab w:val="left" w:pos="-720"/>
        </w:tabs>
        <w:suppressAutoHyphens/>
        <w:jc w:val="both"/>
        <w:rPr>
          <w:spacing w:val="-3"/>
        </w:rPr>
      </w:pPr>
      <w:r>
        <w:rPr>
          <w:spacing w:val="-3"/>
        </w:rPr>
        <w:tab/>
      </w:r>
      <w:r w:rsidRPr="003C6178" w:rsidR="000470B8">
        <w:rPr>
          <w:spacing w:val="-3"/>
        </w:rPr>
        <w:t>T</w:t>
      </w:r>
      <w:r w:rsidRPr="003C6178">
        <w:rPr>
          <w:spacing w:val="-3"/>
        </w:rPr>
        <w:t>his information collection does not affect individuals or households; thus, there are no impacts under the Privacy Act.</w:t>
      </w:r>
      <w:r>
        <w:rPr>
          <w:spacing w:val="-3"/>
        </w:rPr>
        <w:t xml:space="preserve">  </w:t>
      </w:r>
    </w:p>
    <w:p w:rsidR="005D39B6" w:rsidRPr="00436ACF" w:rsidP="00BE6834" w14:paraId="31B3D911" w14:textId="77777777">
      <w:pPr>
        <w:rPr>
          <w:spacing w:val="-3"/>
        </w:rPr>
      </w:pPr>
    </w:p>
    <w:p w:rsidR="00AD2991" w:rsidRPr="00DF511A" w:rsidP="00DF511A" w14:paraId="5B9B279B" w14:textId="0E516F51">
      <w:pPr>
        <w:tabs>
          <w:tab w:val="center" w:pos="4680"/>
        </w:tabs>
        <w:suppressAutoHyphens/>
        <w:jc w:val="both"/>
        <w:rPr>
          <w:snapToGrid w:val="0"/>
          <w:spacing w:val="-3"/>
        </w:rPr>
      </w:pPr>
      <w:r>
        <w:rPr>
          <w:spacing w:val="-3"/>
        </w:rPr>
        <w:t xml:space="preserve">2. </w:t>
      </w:r>
      <w:r w:rsidRPr="003C6178">
        <w:rPr>
          <w:spacing w:val="-3"/>
        </w:rPr>
        <w:t xml:space="preserve">The information contained in the ARMIS 43-01 Report provides the necessary detail to enable the Commission to fulfill its regulatory responsibilities.  Automated reporting of these data greatly enhances the Commission's ability to process and analyze the extensive amounts of data that are needed to administer its rules.  </w:t>
      </w:r>
      <w:r w:rsidRPr="003C6178" w:rsidR="00C06192">
        <w:rPr>
          <w:spacing w:val="-3"/>
        </w:rPr>
        <w:t>This report</w:t>
      </w:r>
      <w:r w:rsidRPr="003C6178">
        <w:rPr>
          <w:spacing w:val="-3"/>
        </w:rPr>
        <w:t xml:space="preserve"> facilitates the timely and efficient analysis of revenue requirements, rates of return and price caps, jurisdictional separations, and universal service fund, and provides an improved basis for auditing and other oversight functions.  It also enhances the Commission's ability to quantify the effects of policy proposals.</w:t>
      </w:r>
      <w:r w:rsidR="002D7D05">
        <w:rPr>
          <w:spacing w:val="-3"/>
        </w:rPr>
        <w:t xml:space="preserve">  </w:t>
      </w:r>
    </w:p>
    <w:p w:rsidR="00AD2991" w14:paraId="6A4B5B9E" w14:textId="77777777">
      <w:pPr>
        <w:tabs>
          <w:tab w:val="left" w:pos="-720"/>
        </w:tabs>
        <w:suppressAutoHyphens/>
        <w:jc w:val="both"/>
        <w:rPr>
          <w:spacing w:val="-3"/>
        </w:rPr>
      </w:pPr>
    </w:p>
    <w:p w:rsidR="000E5F87" w:rsidRPr="00971D82" w:rsidP="00B40B20" w14:paraId="6806B555" w14:textId="43F6A42B">
      <w:pPr>
        <w:tabs>
          <w:tab w:val="left" w:pos="-720"/>
        </w:tabs>
        <w:suppressAutoHyphens/>
        <w:jc w:val="both"/>
        <w:rPr>
          <w:spacing w:val="-3"/>
        </w:rPr>
      </w:pPr>
      <w:r w:rsidRPr="00971D82">
        <w:rPr>
          <w:spacing w:val="-3"/>
        </w:rPr>
        <w:t>3.</w:t>
      </w:r>
      <w:r w:rsidRPr="00971D82" w:rsidR="00D46604">
        <w:rPr>
          <w:spacing w:val="-3"/>
        </w:rPr>
        <w:t xml:space="preserve"> </w:t>
      </w:r>
      <w:r w:rsidR="000E12FD">
        <w:t xml:space="preserve">ILECs </w:t>
      </w:r>
      <w:r w:rsidRPr="00971D82" w:rsidR="00971D82">
        <w:t xml:space="preserve">are required to file their ARMIS Reports electronically through the Internet.  These filings should be submitted through the Commission’s Electronic Comment Filing System (ECFS) which can be accessed at </w:t>
      </w:r>
      <w:hyperlink r:id="rId10" w:history="1">
        <w:r w:rsidRPr="00B244CB" w:rsidR="00493ED8">
          <w:rPr>
            <w:rStyle w:val="Hyperlink"/>
          </w:rPr>
          <w:t>http://apps.fcc.gov/ecfs/</w:t>
        </w:r>
      </w:hyperlink>
      <w:r w:rsidRPr="00971D82" w:rsidR="00971D82">
        <w:t xml:space="preserve">.  Carriers and other interested parties will be able to access ARMIS data for </w:t>
      </w:r>
      <w:r w:rsidR="00694261">
        <w:t>reporting year 2014</w:t>
      </w:r>
      <w:r w:rsidRPr="00971D82" w:rsidR="00971D82">
        <w:t xml:space="preserve"> and later via ECFS.  ARMIS data for </w:t>
      </w:r>
      <w:r w:rsidR="00694261">
        <w:t>reporting years prior to 2014</w:t>
      </w:r>
      <w:r w:rsidRPr="00971D82" w:rsidR="00971D82">
        <w:t xml:space="preserve"> will be available on the Commission’s website at </w:t>
      </w:r>
      <w:hyperlink r:id="rId11" w:history="1">
        <w:r w:rsidRPr="00B244CB" w:rsidR="00493ED8">
          <w:rPr>
            <w:rStyle w:val="Hyperlink"/>
          </w:rPr>
          <w:t>http://www.fcc.gov/wcb/ecfs</w:t>
        </w:r>
      </w:hyperlink>
      <w:r w:rsidRPr="00971D82" w:rsidR="00971D82">
        <w:t>.</w:t>
      </w:r>
    </w:p>
    <w:p w:rsidR="00FC74F9" w:rsidRPr="00971D82" w:rsidP="00646CA8" w14:paraId="64675E29" w14:textId="77777777">
      <w:pPr>
        <w:tabs>
          <w:tab w:val="left" w:pos="-720"/>
        </w:tabs>
        <w:suppressAutoHyphens/>
        <w:rPr>
          <w:spacing w:val="-3"/>
        </w:rPr>
      </w:pPr>
      <w:r w:rsidRPr="00971D82">
        <w:rPr>
          <w:spacing w:val="-3"/>
        </w:rPr>
        <w:t xml:space="preserve">       </w:t>
      </w:r>
    </w:p>
    <w:p w:rsidR="00AD2991" w14:paraId="6C943464" w14:textId="77777777">
      <w:pPr>
        <w:tabs>
          <w:tab w:val="left" w:pos="-720"/>
        </w:tabs>
        <w:suppressAutoHyphens/>
        <w:jc w:val="both"/>
        <w:rPr>
          <w:spacing w:val="-3"/>
        </w:rPr>
      </w:pPr>
      <w:r>
        <w:rPr>
          <w:spacing w:val="-3"/>
        </w:rPr>
        <w:t>4. No duplication of the required data exists outside the agency.  The Commission knows of no other existing information that would serve our regulatory purposes.</w:t>
      </w:r>
    </w:p>
    <w:p w:rsidR="00AD2991" w14:paraId="0CAAD6F1" w14:textId="77777777">
      <w:pPr>
        <w:tabs>
          <w:tab w:val="left" w:pos="-720"/>
        </w:tabs>
        <w:suppressAutoHyphens/>
        <w:jc w:val="both"/>
        <w:rPr>
          <w:spacing w:val="-3"/>
        </w:rPr>
      </w:pPr>
    </w:p>
    <w:p w:rsidR="00C071E3" w14:paraId="1104A3B6" w14:textId="364D84D8">
      <w:pPr>
        <w:tabs>
          <w:tab w:val="left" w:pos="-720"/>
        </w:tabs>
        <w:suppressAutoHyphens/>
        <w:jc w:val="both"/>
        <w:rPr>
          <w:spacing w:val="-3"/>
        </w:rPr>
      </w:pPr>
      <w:r>
        <w:rPr>
          <w:spacing w:val="-3"/>
        </w:rPr>
        <w:t xml:space="preserve">5. The collection of information does not involve small businesses or other small entities.  </w:t>
      </w:r>
    </w:p>
    <w:p w:rsidR="0067319E" w14:paraId="7A092D85" w14:textId="77777777">
      <w:pPr>
        <w:tabs>
          <w:tab w:val="left" w:pos="-720"/>
        </w:tabs>
        <w:suppressAutoHyphens/>
        <w:jc w:val="both"/>
        <w:rPr>
          <w:spacing w:val="-3"/>
        </w:rPr>
      </w:pPr>
    </w:p>
    <w:p w:rsidR="00AD2991" w14:paraId="4D242E31" w14:textId="77777777">
      <w:pPr>
        <w:tabs>
          <w:tab w:val="left" w:pos="-720"/>
        </w:tabs>
        <w:suppressAutoHyphens/>
        <w:jc w:val="both"/>
        <w:rPr>
          <w:spacing w:val="-3"/>
        </w:rPr>
      </w:pPr>
      <w:r>
        <w:rPr>
          <w:spacing w:val="-3"/>
        </w:rPr>
        <w:t xml:space="preserve">6. The FCC Report 43-01 is filed once </w:t>
      </w:r>
      <w:r w:rsidR="000E12FD">
        <w:rPr>
          <w:spacing w:val="-3"/>
        </w:rPr>
        <w:t>per</w:t>
      </w:r>
      <w:r>
        <w:rPr>
          <w:spacing w:val="-3"/>
        </w:rPr>
        <w:t xml:space="preserve"> year and</w:t>
      </w:r>
      <w:r w:rsidR="000E12FD">
        <w:rPr>
          <w:spacing w:val="-3"/>
        </w:rPr>
        <w:t>,</w:t>
      </w:r>
      <w:r>
        <w:rPr>
          <w:spacing w:val="-3"/>
        </w:rPr>
        <w:t xml:space="preserve"> thus, if the automated reporting was conducted less frequently, the Commission would not have the data in a timely manner to perform its functions.  Subsequent submissions correcting previously filed data are to be filed as soon as the correction is identified.</w:t>
      </w:r>
    </w:p>
    <w:p w:rsidR="00AD2991" w14:paraId="000CF6C8" w14:textId="77777777">
      <w:pPr>
        <w:tabs>
          <w:tab w:val="left" w:pos="-720"/>
        </w:tabs>
        <w:suppressAutoHyphens/>
        <w:jc w:val="both"/>
        <w:rPr>
          <w:spacing w:val="-3"/>
        </w:rPr>
      </w:pPr>
    </w:p>
    <w:p w:rsidR="00511F46" w:rsidP="00511F46" w14:paraId="1B36AD6A" w14:textId="77777777">
      <w:pPr>
        <w:tabs>
          <w:tab w:val="left" w:pos="-720"/>
        </w:tabs>
        <w:suppressAutoHyphens/>
        <w:jc w:val="both"/>
        <w:rPr>
          <w:spacing w:val="-3"/>
        </w:rPr>
      </w:pPr>
      <w:r>
        <w:rPr>
          <w:spacing w:val="-3"/>
        </w:rPr>
        <w:t>7.</w:t>
      </w:r>
      <w:r>
        <w:rPr>
          <w:spacing w:val="-3"/>
        </w:rPr>
        <w:t xml:space="preserve"> Incumbent local exchange carriers file their data in electronic format as noted in item 3 above. Respondents seeking proprietary treatment of some data must provide an electronic copy using the established procedures.</w:t>
      </w:r>
    </w:p>
    <w:p w:rsidR="00AD2991" w14:paraId="1BA76ED6" w14:textId="77777777">
      <w:pPr>
        <w:tabs>
          <w:tab w:val="left" w:pos="-720"/>
        </w:tabs>
        <w:suppressAutoHyphens/>
        <w:jc w:val="both"/>
        <w:rPr>
          <w:spacing w:val="-3"/>
        </w:rPr>
      </w:pPr>
    </w:p>
    <w:p w:rsidR="00EB31A0" w:rsidP="3D4FCF67" w14:paraId="0153CB7B" w14:textId="703CEC7E">
      <w:pPr>
        <w:suppressAutoHyphens/>
        <w:jc w:val="both"/>
      </w:pPr>
      <w:r w:rsidRPr="00826E7D">
        <w:rPr>
          <w:spacing w:val="-3"/>
        </w:rPr>
        <w:t xml:space="preserve">8. </w:t>
      </w:r>
      <w:r w:rsidRPr="3D4FCF67" w:rsidR="000E5F87">
        <w:rPr>
          <w:spacing w:val="-3"/>
        </w:rPr>
        <w:t>The Commission p</w:t>
      </w:r>
      <w:r w:rsidRPr="3D4FCF67" w:rsidR="0086050F">
        <w:rPr>
          <w:spacing w:val="-3"/>
        </w:rPr>
        <w:t>ublished</w:t>
      </w:r>
      <w:r w:rsidRPr="3D4FCF67" w:rsidR="000E5F87">
        <w:rPr>
          <w:spacing w:val="-3"/>
        </w:rPr>
        <w:t xml:space="preserve"> a</w:t>
      </w:r>
      <w:r w:rsidRPr="3D4FCF67" w:rsidR="0086050F">
        <w:rPr>
          <w:spacing w:val="-3"/>
        </w:rPr>
        <w:t xml:space="preserve"> 60</w:t>
      </w:r>
      <w:r w:rsidRPr="3D4FCF67" w:rsidR="002152AD">
        <w:rPr>
          <w:spacing w:val="-3"/>
        </w:rPr>
        <w:t>-</w:t>
      </w:r>
      <w:r w:rsidRPr="3D4FCF67" w:rsidR="0086050F">
        <w:rPr>
          <w:spacing w:val="-3"/>
        </w:rPr>
        <w:t xml:space="preserve">day </w:t>
      </w:r>
      <w:r w:rsidRPr="3D4FCF67" w:rsidR="000E5F87">
        <w:rPr>
          <w:spacing w:val="-3"/>
        </w:rPr>
        <w:t xml:space="preserve">notice </w:t>
      </w:r>
      <w:r w:rsidRPr="3D4FCF67" w:rsidR="00511F46">
        <w:rPr>
          <w:spacing w:val="-3"/>
        </w:rPr>
        <w:t>in the Federal Register as required by 5 C</w:t>
      </w:r>
      <w:r w:rsidRPr="3D4FCF67" w:rsidR="00517319">
        <w:rPr>
          <w:spacing w:val="-3"/>
        </w:rPr>
        <w:t>.</w:t>
      </w:r>
      <w:r w:rsidRPr="3D4FCF67" w:rsidR="00511F46">
        <w:rPr>
          <w:spacing w:val="-3"/>
        </w:rPr>
        <w:t>F</w:t>
      </w:r>
      <w:r w:rsidRPr="3D4FCF67" w:rsidR="00517319">
        <w:rPr>
          <w:spacing w:val="-3"/>
        </w:rPr>
        <w:t>.</w:t>
      </w:r>
      <w:r w:rsidRPr="3D4FCF67" w:rsidR="00511F46">
        <w:rPr>
          <w:spacing w:val="-3"/>
        </w:rPr>
        <w:t>R</w:t>
      </w:r>
      <w:r w:rsidRPr="3D4FCF67" w:rsidR="00517319">
        <w:rPr>
          <w:spacing w:val="-3"/>
        </w:rPr>
        <w:t>.</w:t>
      </w:r>
      <w:r w:rsidRPr="3D4FCF67" w:rsidR="00511F46">
        <w:rPr>
          <w:spacing w:val="-3"/>
        </w:rPr>
        <w:t xml:space="preserve"> </w:t>
      </w:r>
      <w:r w:rsidRPr="3D4FCF67" w:rsidR="000742F6">
        <w:rPr>
          <w:spacing w:val="-3"/>
        </w:rPr>
        <w:t>§</w:t>
      </w:r>
      <w:r w:rsidRPr="3D4FCF67" w:rsidR="00500492">
        <w:rPr>
          <w:spacing w:val="-3"/>
        </w:rPr>
        <w:t xml:space="preserve">1320.8(d) on </w:t>
      </w:r>
      <w:r w:rsidR="006E57C3">
        <w:rPr>
          <w:spacing w:val="-3"/>
        </w:rPr>
        <w:t>April</w:t>
      </w:r>
      <w:r w:rsidRPr="3D4FCF67" w:rsidR="00FF09FA">
        <w:rPr>
          <w:spacing w:val="-3"/>
        </w:rPr>
        <w:t xml:space="preserve"> </w:t>
      </w:r>
      <w:r w:rsidR="006E57C3">
        <w:rPr>
          <w:spacing w:val="-3"/>
        </w:rPr>
        <w:t>12,</w:t>
      </w:r>
      <w:r w:rsidRPr="3D4FCF67" w:rsidR="00FF09FA">
        <w:rPr>
          <w:spacing w:val="-3"/>
        </w:rPr>
        <w:t xml:space="preserve"> 202</w:t>
      </w:r>
      <w:r w:rsidRPr="3D4FCF67" w:rsidR="7A4227D2">
        <w:rPr>
          <w:spacing w:val="-3"/>
        </w:rPr>
        <w:t>3</w:t>
      </w:r>
      <w:r w:rsidRPr="3D4FCF67" w:rsidR="00500492">
        <w:rPr>
          <w:spacing w:val="-3"/>
        </w:rPr>
        <w:t xml:space="preserve"> (</w:t>
      </w:r>
      <w:r w:rsidR="006E57C3">
        <w:rPr>
          <w:spacing w:val="-3"/>
        </w:rPr>
        <w:t xml:space="preserve">88 </w:t>
      </w:r>
      <w:r w:rsidRPr="3D4FCF67" w:rsidR="00500492">
        <w:rPr>
          <w:spacing w:val="-3"/>
        </w:rPr>
        <w:t>FR</w:t>
      </w:r>
      <w:r w:rsidRPr="3D4FCF67" w:rsidR="00FF09FA">
        <w:rPr>
          <w:spacing w:val="-3"/>
        </w:rPr>
        <w:t xml:space="preserve"> </w:t>
      </w:r>
      <w:r w:rsidR="006E57C3">
        <w:rPr>
          <w:spacing w:val="-3"/>
        </w:rPr>
        <w:t>22037</w:t>
      </w:r>
      <w:r w:rsidRPr="3D4FCF67" w:rsidR="00500492">
        <w:rPr>
          <w:spacing w:val="-3"/>
        </w:rPr>
        <w:t>)</w:t>
      </w:r>
      <w:r w:rsidRPr="3D4FCF67" w:rsidR="00511F46">
        <w:rPr>
          <w:spacing w:val="-3"/>
        </w:rPr>
        <w:t xml:space="preserve">. </w:t>
      </w:r>
      <w:r w:rsidRPr="3D4FCF67" w:rsidR="0086050F">
        <w:rPr>
          <w:spacing w:val="-3"/>
        </w:rPr>
        <w:t xml:space="preserve">  </w:t>
      </w:r>
      <w:r w:rsidRPr="3D4FCF67" w:rsidR="000E5F87">
        <w:rPr>
          <w:spacing w:val="-3"/>
        </w:rPr>
        <w:t>No</w:t>
      </w:r>
      <w:r w:rsidRPr="3D4FCF67" w:rsidR="00851398">
        <w:rPr>
          <w:spacing w:val="-3"/>
        </w:rPr>
        <w:t xml:space="preserve"> </w:t>
      </w:r>
      <w:r w:rsidRPr="3D4FCF67" w:rsidR="000E5F87">
        <w:rPr>
          <w:spacing w:val="-3"/>
        </w:rPr>
        <w:t xml:space="preserve">comments were received </w:t>
      </w:r>
      <w:r w:rsidRPr="3D4FCF67" w:rsidR="00851398">
        <w:rPr>
          <w:spacing w:val="-3"/>
        </w:rPr>
        <w:t xml:space="preserve">from the public </w:t>
      </w:r>
      <w:r w:rsidRPr="3D4FCF67" w:rsidR="000E5F87">
        <w:rPr>
          <w:spacing w:val="-3"/>
        </w:rPr>
        <w:t>as a result of th</w:t>
      </w:r>
      <w:r w:rsidRPr="3D4FCF67" w:rsidR="0036140D">
        <w:rPr>
          <w:spacing w:val="-3"/>
        </w:rPr>
        <w:t>is</w:t>
      </w:r>
      <w:r w:rsidRPr="3D4FCF67" w:rsidR="000E5F87">
        <w:rPr>
          <w:spacing w:val="-3"/>
        </w:rPr>
        <w:t xml:space="preserve"> notice.</w:t>
      </w:r>
    </w:p>
    <w:p w:rsidR="00EB31A0" w14:paraId="06B1E8F5" w14:textId="77777777">
      <w:pPr>
        <w:tabs>
          <w:tab w:val="left" w:pos="-720"/>
        </w:tabs>
        <w:suppressAutoHyphens/>
        <w:jc w:val="both"/>
        <w:rPr>
          <w:spacing w:val="-3"/>
        </w:rPr>
      </w:pPr>
    </w:p>
    <w:p w:rsidR="00AD2991" w14:paraId="7242A61D" w14:textId="77777777">
      <w:pPr>
        <w:tabs>
          <w:tab w:val="left" w:pos="-720"/>
        </w:tabs>
        <w:suppressAutoHyphens/>
        <w:jc w:val="both"/>
        <w:rPr>
          <w:spacing w:val="-3"/>
        </w:rPr>
      </w:pPr>
      <w:r>
        <w:rPr>
          <w:spacing w:val="-3"/>
        </w:rPr>
        <w:t xml:space="preserve">9. </w:t>
      </w:r>
      <w:r w:rsidRPr="003C6178" w:rsidR="00A11B6E">
        <w:rPr>
          <w:spacing w:val="-3"/>
        </w:rPr>
        <w:t>There will be no payments or gifts to respondents.</w:t>
      </w:r>
    </w:p>
    <w:p w:rsidR="00AD2991" w14:paraId="01EBAB33" w14:textId="77777777">
      <w:pPr>
        <w:tabs>
          <w:tab w:val="left" w:pos="-720"/>
        </w:tabs>
        <w:suppressAutoHyphens/>
        <w:jc w:val="both"/>
        <w:rPr>
          <w:spacing w:val="-3"/>
        </w:rPr>
      </w:pPr>
    </w:p>
    <w:p w:rsidR="001820F3" w:rsidP="007A7283" w14:paraId="0502A937" w14:textId="77777777">
      <w:pPr>
        <w:tabs>
          <w:tab w:val="left" w:pos="-720"/>
        </w:tabs>
        <w:suppressAutoHyphens/>
        <w:jc w:val="both"/>
        <w:rPr>
          <w:spacing w:val="-3"/>
        </w:rPr>
      </w:pPr>
    </w:p>
    <w:p w:rsidR="007A7283" w:rsidP="007A7283" w14:paraId="49137AC0" w14:textId="0E1CE179">
      <w:pPr>
        <w:tabs>
          <w:tab w:val="left" w:pos="-720"/>
        </w:tabs>
        <w:suppressAutoHyphens/>
        <w:jc w:val="both"/>
        <w:rPr>
          <w:spacing w:val="-3"/>
        </w:rPr>
      </w:pPr>
      <w:r>
        <w:rPr>
          <w:spacing w:val="-3"/>
        </w:rPr>
        <w:t xml:space="preserve">10. </w:t>
      </w:r>
      <w:r>
        <w:rPr>
          <w:spacing w:val="-3"/>
        </w:rPr>
        <w:t xml:space="preserve">Ordinarily, questions of a sensitive nature are not involved in the ARMIS </w:t>
      </w:r>
      <w:r w:rsidR="00A65B8A">
        <w:rPr>
          <w:spacing w:val="-3"/>
        </w:rPr>
        <w:t>Annual Summary</w:t>
      </w:r>
      <w:r>
        <w:rPr>
          <w:spacing w:val="-3"/>
        </w:rPr>
        <w:t xml:space="preserve"> Report.  The areas in which detailed information is required are fully subject to regulation and the issue of data being regarded as sensitive will arise in special circumstances only.  In such circumstances, the respondent is instructed on the appropriate procedures to follow to safeguard sensitive data.  47 CFR Part 0.459 contains the procedures for requesting confidential treatment of data.</w:t>
      </w:r>
    </w:p>
    <w:p w:rsidR="00AD2991" w14:paraId="0B58EC93" w14:textId="77777777">
      <w:pPr>
        <w:tabs>
          <w:tab w:val="left" w:pos="-720"/>
        </w:tabs>
        <w:suppressAutoHyphens/>
        <w:jc w:val="both"/>
        <w:rPr>
          <w:spacing w:val="-3"/>
        </w:rPr>
      </w:pPr>
    </w:p>
    <w:p w:rsidR="0088692D" w:rsidRPr="001322D7" w:rsidP="0088692D" w14:paraId="6D787F31" w14:textId="77777777">
      <w:pPr>
        <w:suppressAutoHyphens/>
        <w:jc w:val="both"/>
        <w:rPr>
          <w:spacing w:val="-3"/>
        </w:rPr>
      </w:pPr>
      <w:r>
        <w:rPr>
          <w:spacing w:val="-3"/>
        </w:rPr>
        <w:t xml:space="preserve">11. </w:t>
      </w:r>
      <w:r w:rsidRPr="007A7283" w:rsidR="007A7283">
        <w:rPr>
          <w:spacing w:val="-3"/>
        </w:rPr>
        <w:t xml:space="preserve"> </w:t>
      </w:r>
      <w:r w:rsidR="007A7283">
        <w:rPr>
          <w:spacing w:val="-3"/>
        </w:rPr>
        <w:t>There are no questions of a sensitive nature with respect to the information collected</w:t>
      </w:r>
      <w:r w:rsidR="0036140D">
        <w:rPr>
          <w:spacing w:val="-3"/>
        </w:rPr>
        <w:t>.</w:t>
      </w:r>
    </w:p>
    <w:p w:rsidR="00AD2991" w14:paraId="42B4790E" w14:textId="77777777">
      <w:pPr>
        <w:tabs>
          <w:tab w:val="left" w:pos="-720"/>
        </w:tabs>
        <w:suppressAutoHyphens/>
        <w:jc w:val="both"/>
        <w:rPr>
          <w:spacing w:val="-3"/>
        </w:rPr>
      </w:pPr>
    </w:p>
    <w:p w:rsidR="00AD2991" w14:paraId="2094EA7A" w14:textId="61B3C7CD">
      <w:pPr>
        <w:tabs>
          <w:tab w:val="left" w:pos="-720"/>
        </w:tabs>
        <w:suppressAutoHyphens/>
        <w:jc w:val="both"/>
        <w:rPr>
          <w:spacing w:val="-3"/>
        </w:rPr>
      </w:pPr>
      <w:r>
        <w:rPr>
          <w:spacing w:val="-3"/>
        </w:rPr>
        <w:t xml:space="preserve">12. The following represents the estimate of the annual burden hours and the annual cost burden for the collection of information.  </w:t>
      </w:r>
      <w:r w:rsidR="002B249D">
        <w:rPr>
          <w:spacing w:val="-3"/>
        </w:rPr>
        <w:t xml:space="preserve">The annual burden is greatly reduced from past estimates </w:t>
      </w:r>
      <w:r w:rsidR="002B249D">
        <w:rPr>
          <w:snapToGrid w:val="0"/>
          <w:spacing w:val="-3"/>
        </w:rPr>
        <w:t xml:space="preserve">because carriers now file based on consolidated filings on a holding company/affiliated carrier group basis rather than as individual operating companies and because </w:t>
      </w:r>
      <w:r w:rsidR="007C0A58">
        <w:rPr>
          <w:snapToGrid w:val="0"/>
          <w:spacing w:val="-3"/>
        </w:rPr>
        <w:t xml:space="preserve">the Commission has granted forbearance from </w:t>
      </w:r>
      <w:r w:rsidR="00A03E19">
        <w:rPr>
          <w:snapToGrid w:val="0"/>
          <w:spacing w:val="-3"/>
        </w:rPr>
        <w:t xml:space="preserve">all </w:t>
      </w:r>
      <w:r w:rsidR="002B249D">
        <w:rPr>
          <w:snapToGrid w:val="0"/>
          <w:spacing w:val="-3"/>
        </w:rPr>
        <w:t>of the reporting requirements</w:t>
      </w:r>
      <w:r w:rsidR="00FB57EB">
        <w:rPr>
          <w:snapToGrid w:val="0"/>
          <w:spacing w:val="-3"/>
        </w:rPr>
        <w:t>, with the exception of those related to pole attachments</w:t>
      </w:r>
      <w:r w:rsidR="002B249D">
        <w:rPr>
          <w:snapToGrid w:val="0"/>
          <w:spacing w:val="-3"/>
        </w:rPr>
        <w:t xml:space="preserve">.  </w:t>
      </w:r>
      <w:r>
        <w:rPr>
          <w:spacing w:val="-3"/>
        </w:rPr>
        <w:t>We note that the burden hours imposed by the requirement is very difficult to quantify.  The following represents our best estimate.</w:t>
      </w:r>
    </w:p>
    <w:p w:rsidR="00AD2991" w14:paraId="0BF3FC60" w14:textId="77777777">
      <w:pPr>
        <w:tabs>
          <w:tab w:val="left" w:pos="-720"/>
        </w:tabs>
        <w:suppressAutoHyphens/>
        <w:jc w:val="both"/>
        <w:rPr>
          <w:spacing w:val="-3"/>
        </w:rPr>
      </w:pPr>
    </w:p>
    <w:p w:rsidR="00AD2991" w14:paraId="2A25AF3D" w14:textId="77777777">
      <w:pPr>
        <w:tabs>
          <w:tab w:val="left" w:pos="-720"/>
        </w:tabs>
        <w:suppressAutoHyphens/>
        <w:jc w:val="both"/>
        <w:rPr>
          <w:spacing w:val="-3"/>
        </w:rPr>
      </w:pPr>
      <w:r>
        <w:rPr>
          <w:spacing w:val="-3"/>
        </w:rPr>
        <w:tab/>
      </w:r>
      <w:r>
        <w:rPr>
          <w:spacing w:val="-3"/>
        </w:rPr>
        <w:t>FCC Report 43-01</w:t>
      </w:r>
      <w:r w:rsidR="00920174">
        <w:rPr>
          <w:spacing w:val="-3"/>
        </w:rPr>
        <w:t xml:space="preserve"> </w:t>
      </w:r>
      <w:r>
        <w:rPr>
          <w:spacing w:val="-3"/>
        </w:rPr>
        <w:t>(</w:t>
      </w:r>
      <w:r w:rsidR="00A26398">
        <w:rPr>
          <w:spacing w:val="-3"/>
        </w:rPr>
        <w:t xml:space="preserve">ARMIS </w:t>
      </w:r>
      <w:r w:rsidR="00694261">
        <w:rPr>
          <w:spacing w:val="-3"/>
        </w:rPr>
        <w:t>Annual Summary</w:t>
      </w:r>
      <w:r w:rsidR="00A26398">
        <w:rPr>
          <w:spacing w:val="-3"/>
        </w:rPr>
        <w:t xml:space="preserve"> Report</w:t>
      </w:r>
      <w:r>
        <w:rPr>
          <w:spacing w:val="-3"/>
        </w:rPr>
        <w:t>)</w:t>
      </w:r>
      <w:r w:rsidR="00A26398">
        <w:rPr>
          <w:spacing w:val="-3"/>
        </w:rPr>
        <w:t>:</w:t>
      </w:r>
    </w:p>
    <w:p w:rsidR="0088692D" w14:paraId="02C09221" w14:textId="77777777">
      <w:pPr>
        <w:tabs>
          <w:tab w:val="left" w:pos="-720"/>
        </w:tabs>
        <w:suppressAutoHyphens/>
        <w:jc w:val="both"/>
        <w:rPr>
          <w:spacing w:val="-3"/>
        </w:rPr>
      </w:pPr>
      <w:r>
        <w:rPr>
          <w:spacing w:val="-3"/>
        </w:rPr>
        <w:tab/>
      </w:r>
    </w:p>
    <w:p w:rsidR="0088692D" w:rsidP="0088692D" w14:paraId="30B29CBC" w14:textId="314E6FD1">
      <w:pPr>
        <w:suppressAutoHyphens/>
        <w:ind w:firstLine="720"/>
        <w:jc w:val="both"/>
        <w:rPr>
          <w:spacing w:val="-3"/>
        </w:rPr>
      </w:pPr>
      <w:r w:rsidRPr="001322D7">
        <w:rPr>
          <w:spacing w:val="-3"/>
        </w:rPr>
        <w:t xml:space="preserve">1.  </w:t>
      </w:r>
      <w:r w:rsidRPr="001322D7">
        <w:rPr>
          <w:spacing w:val="-3"/>
          <w:u w:val="single"/>
        </w:rPr>
        <w:t>Number of respondents:</w:t>
      </w:r>
      <w:r>
        <w:rPr>
          <w:spacing w:val="-3"/>
        </w:rPr>
        <w:t xml:space="preserve">  </w:t>
      </w:r>
      <w:r w:rsidR="00AD2BEB">
        <w:rPr>
          <w:b/>
          <w:spacing w:val="-3"/>
        </w:rPr>
        <w:t>90</w:t>
      </w:r>
    </w:p>
    <w:p w:rsidR="007A7283" w:rsidP="0088692D" w14:paraId="4F339A3C" w14:textId="77777777">
      <w:pPr>
        <w:suppressAutoHyphens/>
        <w:ind w:firstLine="720"/>
        <w:jc w:val="both"/>
        <w:rPr>
          <w:spacing w:val="-3"/>
        </w:rPr>
      </w:pPr>
    </w:p>
    <w:p w:rsidR="007A7283" w:rsidP="007A7283" w14:paraId="09B0DAA6" w14:textId="4E1101D9">
      <w:pPr>
        <w:suppressAutoHyphens/>
        <w:ind w:left="720"/>
        <w:jc w:val="both"/>
        <w:rPr>
          <w:spacing w:val="-3"/>
        </w:rPr>
      </w:pPr>
      <w:r>
        <w:rPr>
          <w:spacing w:val="-3"/>
        </w:rPr>
        <w:t>This information is filed on an operating company basis</w:t>
      </w:r>
      <w:r w:rsidR="007A114A">
        <w:rPr>
          <w:spacing w:val="-3"/>
        </w:rPr>
        <w:t xml:space="preserve">.  </w:t>
      </w:r>
      <w:r w:rsidR="00C90479">
        <w:rPr>
          <w:spacing w:val="-3"/>
        </w:rPr>
        <w:t>Changes</w:t>
      </w:r>
      <w:r>
        <w:rPr>
          <w:spacing w:val="-3"/>
        </w:rPr>
        <w:t xml:space="preserve"> in the number of operating companies </w:t>
      </w:r>
      <w:r w:rsidR="00C90479">
        <w:rPr>
          <w:spacing w:val="-3"/>
        </w:rPr>
        <w:t xml:space="preserve">are </w:t>
      </w:r>
      <w:r>
        <w:rPr>
          <w:spacing w:val="-3"/>
        </w:rPr>
        <w:t xml:space="preserve">caused by corporate mergers and acquisitions and reorganizations.  </w:t>
      </w:r>
      <w:r w:rsidR="00C90479">
        <w:rPr>
          <w:spacing w:val="-3"/>
        </w:rPr>
        <w:t xml:space="preserve">In addition, some carriers choose to file their information on a holding company basis while others do so by individual operating company.  </w:t>
      </w:r>
      <w:r w:rsidR="00A03E19">
        <w:rPr>
          <w:spacing w:val="-3"/>
        </w:rPr>
        <w:t>To help ensure consistency, we now calculate the number of respondents</w:t>
      </w:r>
      <w:r w:rsidR="002152AD">
        <w:rPr>
          <w:spacing w:val="-3"/>
        </w:rPr>
        <w:t xml:space="preserve"> based on operating companies. </w:t>
      </w:r>
      <w:r>
        <w:rPr>
          <w:snapToGrid w:val="0"/>
          <w:spacing w:val="-3"/>
        </w:rPr>
        <w:t xml:space="preserve">  </w:t>
      </w:r>
    </w:p>
    <w:p w:rsidR="007A7283" w:rsidP="0088692D" w14:paraId="60C0C687" w14:textId="77777777">
      <w:pPr>
        <w:suppressAutoHyphens/>
        <w:ind w:firstLine="720"/>
        <w:jc w:val="both"/>
        <w:rPr>
          <w:spacing w:val="-3"/>
        </w:rPr>
      </w:pPr>
    </w:p>
    <w:p w:rsidR="0088692D" w:rsidRPr="001322D7" w:rsidP="0088692D" w14:paraId="5E8D1A09" w14:textId="77777777">
      <w:pPr>
        <w:suppressAutoHyphens/>
        <w:jc w:val="both"/>
        <w:rPr>
          <w:spacing w:val="-3"/>
        </w:rPr>
      </w:pPr>
      <w:r w:rsidRPr="001322D7">
        <w:rPr>
          <w:spacing w:val="-3"/>
        </w:rPr>
        <w:tab/>
        <w:t xml:space="preserve">2.  </w:t>
      </w:r>
      <w:r w:rsidRPr="001322D7">
        <w:rPr>
          <w:spacing w:val="-3"/>
          <w:u w:val="single"/>
        </w:rPr>
        <w:t>Frequency of response:</w:t>
      </w:r>
      <w:r w:rsidRPr="001322D7">
        <w:rPr>
          <w:spacing w:val="-3"/>
        </w:rPr>
        <w:t xml:space="preserve">  </w:t>
      </w:r>
      <w:r>
        <w:rPr>
          <w:spacing w:val="-3"/>
        </w:rPr>
        <w:t>Annual reporting requirement.</w:t>
      </w:r>
    </w:p>
    <w:p w:rsidR="007A7283" w:rsidRPr="00DF511A" w:rsidP="317509C4" w14:paraId="0B008C3B" w14:textId="77777777">
      <w:pPr>
        <w:suppressAutoHyphens/>
        <w:jc w:val="both"/>
        <w:rPr>
          <w:spacing w:val="-3"/>
        </w:rPr>
      </w:pPr>
      <w:r w:rsidRPr="001322D7">
        <w:rPr>
          <w:spacing w:val="-3"/>
        </w:rPr>
        <w:tab/>
      </w:r>
    </w:p>
    <w:p w:rsidR="0088692D" w:rsidP="00DF511A" w14:paraId="2F105A53" w14:textId="21C1BFC1">
      <w:pPr>
        <w:suppressAutoHyphens/>
        <w:ind w:firstLine="720"/>
        <w:jc w:val="both"/>
        <w:rPr>
          <w:spacing w:val="-3"/>
        </w:rPr>
      </w:pPr>
      <w:r w:rsidRPr="007A7283">
        <w:rPr>
          <w:spacing w:val="-3"/>
        </w:rPr>
        <w:t>3.</w:t>
      </w:r>
      <w:r>
        <w:rPr>
          <w:spacing w:val="-3"/>
          <w:u w:val="single"/>
        </w:rPr>
        <w:t xml:space="preserve"> </w:t>
      </w:r>
      <w:r>
        <w:rPr>
          <w:spacing w:val="-3"/>
          <w:u w:val="single"/>
        </w:rPr>
        <w:t>Total Number of Responses Annually:</w:t>
      </w:r>
      <w:r>
        <w:rPr>
          <w:spacing w:val="-3"/>
        </w:rPr>
        <w:t xml:space="preserve"> </w:t>
      </w:r>
      <w:r w:rsidR="00C90479">
        <w:rPr>
          <w:b/>
          <w:spacing w:val="-3"/>
        </w:rPr>
        <w:t>9</w:t>
      </w:r>
      <w:r w:rsidR="003721EC">
        <w:rPr>
          <w:b/>
          <w:spacing w:val="-3"/>
        </w:rPr>
        <w:t>0</w:t>
      </w:r>
    </w:p>
    <w:p w:rsidR="00625BEC" w:rsidP="317509C4" w14:paraId="5C50E12F" w14:textId="5591906A">
      <w:pPr>
        <w:suppressAutoHyphens/>
        <w:jc w:val="both"/>
        <w:rPr>
          <w:b/>
          <w:bCs/>
          <w:spacing w:val="-3"/>
        </w:rPr>
      </w:pPr>
    </w:p>
    <w:p w:rsidR="0088692D" w:rsidRPr="00190E0C" w:rsidP="317509C4" w14:paraId="25DBA417" w14:textId="20E612C7">
      <w:pPr>
        <w:suppressAutoHyphens/>
        <w:ind w:left="720"/>
        <w:jc w:val="both"/>
        <w:rPr>
          <w:spacing w:val="-3"/>
        </w:rPr>
      </w:pPr>
      <w:r w:rsidRPr="317509C4">
        <w:rPr>
          <w:spacing w:val="-3"/>
        </w:rPr>
        <w:t>9</w:t>
      </w:r>
      <w:r w:rsidRPr="317509C4" w:rsidR="003721EC">
        <w:rPr>
          <w:spacing w:val="-3"/>
        </w:rPr>
        <w:t>0</w:t>
      </w:r>
      <w:r w:rsidRPr="317509C4" w:rsidR="00D05985">
        <w:rPr>
          <w:spacing w:val="-3"/>
        </w:rPr>
        <w:t xml:space="preserve"> </w:t>
      </w:r>
      <w:r w:rsidR="007F6893">
        <w:rPr>
          <w:spacing w:val="-3"/>
        </w:rPr>
        <w:t>responses</w:t>
      </w:r>
      <w:r w:rsidRPr="317509C4">
        <w:rPr>
          <w:spacing w:val="-3"/>
        </w:rPr>
        <w:t xml:space="preserve"> x 1 response/annum = </w:t>
      </w:r>
      <w:r w:rsidRPr="317509C4" w:rsidR="00C90479">
        <w:rPr>
          <w:spacing w:val="-3"/>
        </w:rPr>
        <w:t>9</w:t>
      </w:r>
      <w:r w:rsidRPr="317509C4" w:rsidR="3C765CE4">
        <w:rPr>
          <w:spacing w:val="-3"/>
        </w:rPr>
        <w:t>0</w:t>
      </w:r>
    </w:p>
    <w:p w:rsidR="00C82BF8" w:rsidP="003C6178" w14:paraId="7632BBED" w14:textId="77777777">
      <w:pPr>
        <w:suppressAutoHyphens/>
        <w:jc w:val="both"/>
        <w:rPr>
          <w:spacing w:val="-3"/>
          <w:u w:val="single"/>
        </w:rPr>
      </w:pPr>
      <w:r w:rsidRPr="001322D7">
        <w:rPr>
          <w:spacing w:val="-3"/>
        </w:rPr>
        <w:tab/>
      </w:r>
    </w:p>
    <w:p w:rsidR="007A7283" w:rsidP="00DF511A" w14:paraId="13606E6F" w14:textId="356B1098">
      <w:pPr>
        <w:suppressAutoHyphens/>
        <w:ind w:firstLine="720"/>
        <w:jc w:val="both"/>
        <w:rPr>
          <w:spacing w:val="-3"/>
        </w:rPr>
      </w:pPr>
      <w:r>
        <w:rPr>
          <w:spacing w:val="-3"/>
          <w:u w:val="single"/>
        </w:rPr>
        <w:t xml:space="preserve">4. </w:t>
      </w:r>
      <w:r w:rsidRPr="001322D7" w:rsidR="0088692D">
        <w:rPr>
          <w:spacing w:val="-3"/>
          <w:u w:val="single"/>
        </w:rPr>
        <w:t xml:space="preserve">Total </w:t>
      </w:r>
      <w:r w:rsidR="0088692D">
        <w:rPr>
          <w:spacing w:val="-3"/>
          <w:u w:val="single"/>
        </w:rPr>
        <w:t>Annual</w:t>
      </w:r>
      <w:r w:rsidRPr="001322D7" w:rsidR="0088692D">
        <w:rPr>
          <w:spacing w:val="-3"/>
          <w:u w:val="single"/>
        </w:rPr>
        <w:t xml:space="preserve"> </w:t>
      </w:r>
      <w:r w:rsidR="0088692D">
        <w:rPr>
          <w:spacing w:val="-3"/>
          <w:u w:val="single"/>
        </w:rPr>
        <w:t>Burden Hours:</w:t>
      </w:r>
      <w:r w:rsidR="000742F6">
        <w:rPr>
          <w:spacing w:val="-3"/>
        </w:rPr>
        <w:t xml:space="preserve"> </w:t>
      </w:r>
      <w:r w:rsidR="0088692D">
        <w:rPr>
          <w:spacing w:val="-3"/>
        </w:rPr>
        <w:t xml:space="preserve"> </w:t>
      </w:r>
      <w:r w:rsidR="00556C95">
        <w:rPr>
          <w:b/>
          <w:spacing w:val="-3"/>
        </w:rPr>
        <w:t>720</w:t>
      </w:r>
      <w:r w:rsidRPr="00A26398" w:rsidR="00A26398">
        <w:rPr>
          <w:b/>
          <w:spacing w:val="-3"/>
        </w:rPr>
        <w:t xml:space="preserve"> Hours</w:t>
      </w:r>
    </w:p>
    <w:p w:rsidR="0088692D" w:rsidP="317509C4" w14:paraId="3BC71ADB" w14:textId="118455C6">
      <w:pPr>
        <w:suppressAutoHyphens/>
        <w:ind w:left="810"/>
        <w:jc w:val="both"/>
        <w:rPr>
          <w:spacing w:val="-3"/>
        </w:rPr>
      </w:pPr>
      <w:r w:rsidRPr="317509C4">
        <w:rPr>
          <w:spacing w:val="-3"/>
        </w:rPr>
        <w:t xml:space="preserve">  </w:t>
      </w:r>
    </w:p>
    <w:p w:rsidR="00A26398" w:rsidP="317509C4" w14:paraId="605E1CB9" w14:textId="676868D0">
      <w:pPr>
        <w:suppressAutoHyphens/>
        <w:ind w:left="720"/>
        <w:jc w:val="both"/>
        <w:rPr>
          <w:spacing w:val="-3"/>
        </w:rPr>
      </w:pPr>
      <w:r w:rsidRPr="317509C4">
        <w:rPr>
          <w:spacing w:val="-3"/>
        </w:rPr>
        <w:t>9</w:t>
      </w:r>
      <w:r w:rsidRPr="317509C4" w:rsidR="7AD860F6">
        <w:rPr>
          <w:spacing w:val="-3"/>
        </w:rPr>
        <w:t>0</w:t>
      </w:r>
      <w:r w:rsidRPr="317509C4" w:rsidR="007C0A58">
        <w:rPr>
          <w:spacing w:val="-3"/>
        </w:rPr>
        <w:t xml:space="preserve"> </w:t>
      </w:r>
      <w:r w:rsidR="007F6893">
        <w:rPr>
          <w:spacing w:val="-3"/>
        </w:rPr>
        <w:t>responses</w:t>
      </w:r>
      <w:r w:rsidRPr="317509C4" w:rsidR="007F6893">
        <w:rPr>
          <w:spacing w:val="-3"/>
        </w:rPr>
        <w:t xml:space="preserve"> </w:t>
      </w:r>
      <w:r w:rsidRPr="317509C4">
        <w:rPr>
          <w:spacing w:val="-3"/>
        </w:rPr>
        <w:t xml:space="preserve">x </w:t>
      </w:r>
      <w:r w:rsidRPr="317509C4">
        <w:rPr>
          <w:spacing w:val="-3"/>
        </w:rPr>
        <w:t>8</w:t>
      </w:r>
      <w:r w:rsidRPr="317509C4">
        <w:rPr>
          <w:spacing w:val="-3"/>
        </w:rPr>
        <w:t xml:space="preserve"> hours per response =</w:t>
      </w:r>
      <w:r w:rsidRPr="317509C4">
        <w:rPr>
          <w:spacing w:val="-3"/>
        </w:rPr>
        <w:t xml:space="preserve"> </w:t>
      </w:r>
      <w:r w:rsidRPr="317509C4" w:rsidR="00556C95">
        <w:rPr>
          <w:spacing w:val="-3"/>
        </w:rPr>
        <w:t>720</w:t>
      </w:r>
    </w:p>
    <w:p w:rsidR="00A26398" w:rsidP="317509C4" w14:paraId="07CFBA48" w14:textId="4355E665">
      <w:pPr>
        <w:suppressAutoHyphens/>
        <w:ind w:left="810"/>
        <w:jc w:val="both"/>
        <w:rPr>
          <w:b/>
          <w:bCs/>
          <w:spacing w:val="-3"/>
        </w:rPr>
      </w:pPr>
    </w:p>
    <w:p w:rsidR="00022377" w:rsidRPr="001322D7" w:rsidP="00FC2C97" w14:paraId="472A05D1" w14:textId="3C2112FA">
      <w:pPr>
        <w:suppressAutoHyphens/>
        <w:jc w:val="both"/>
        <w:rPr>
          <w:spacing w:val="-3"/>
        </w:rPr>
      </w:pPr>
      <w:r>
        <w:rPr>
          <w:spacing w:val="-3"/>
        </w:rPr>
        <w:tab/>
      </w:r>
      <w:r w:rsidR="0088692D">
        <w:rPr>
          <w:spacing w:val="-3"/>
          <w:u w:val="single"/>
        </w:rPr>
        <w:t xml:space="preserve">5. </w:t>
      </w:r>
      <w:r w:rsidR="00FC2C97">
        <w:rPr>
          <w:spacing w:val="-3"/>
          <w:u w:val="single"/>
        </w:rPr>
        <w:t xml:space="preserve">  </w:t>
      </w:r>
      <w:r w:rsidRPr="00190E0C" w:rsidR="0088692D">
        <w:rPr>
          <w:spacing w:val="-3"/>
          <w:u w:val="single"/>
        </w:rPr>
        <w:t xml:space="preserve">Estimated Industry </w:t>
      </w:r>
      <w:r w:rsidR="00001790">
        <w:rPr>
          <w:spacing w:val="-3"/>
          <w:u w:val="single"/>
        </w:rPr>
        <w:t xml:space="preserve">In-house </w:t>
      </w:r>
      <w:r w:rsidRPr="00190E0C" w:rsidR="0088692D">
        <w:rPr>
          <w:spacing w:val="-3"/>
          <w:u w:val="single"/>
        </w:rPr>
        <w:t>Cost</w:t>
      </w:r>
      <w:r w:rsidR="0088692D">
        <w:rPr>
          <w:spacing w:val="-3"/>
        </w:rPr>
        <w:t>:</w:t>
      </w:r>
      <w:r w:rsidRPr="001322D7" w:rsidR="0088692D">
        <w:rPr>
          <w:spacing w:val="-3"/>
        </w:rPr>
        <w:t xml:space="preserve"> </w:t>
      </w:r>
      <w:r w:rsidRPr="00A26398">
        <w:rPr>
          <w:b/>
          <w:spacing w:val="-3"/>
        </w:rPr>
        <w:t>$</w:t>
      </w:r>
      <w:r w:rsidR="00F77DF7">
        <w:rPr>
          <w:b/>
          <w:spacing w:val="-3"/>
        </w:rPr>
        <w:t xml:space="preserve"> 3</w:t>
      </w:r>
      <w:r w:rsidR="007F4B9E">
        <w:rPr>
          <w:b/>
          <w:spacing w:val="-3"/>
        </w:rPr>
        <w:t>9</w:t>
      </w:r>
      <w:r w:rsidR="004F2FC6">
        <w:rPr>
          <w:b/>
          <w:spacing w:val="-3"/>
        </w:rPr>
        <w:t>,</w:t>
      </w:r>
      <w:r w:rsidR="007F4B9E">
        <w:rPr>
          <w:b/>
          <w:spacing w:val="-3"/>
        </w:rPr>
        <w:t>94</w:t>
      </w:r>
      <w:r w:rsidR="003F1197">
        <w:rPr>
          <w:b/>
          <w:spacing w:val="-3"/>
        </w:rPr>
        <w:t>6</w:t>
      </w:r>
    </w:p>
    <w:p w:rsidR="0088692D" w:rsidP="0088692D" w14:paraId="322DFC77" w14:textId="77777777">
      <w:pPr>
        <w:suppressAutoHyphens/>
        <w:ind w:left="720"/>
        <w:jc w:val="both"/>
        <w:rPr>
          <w:spacing w:val="-3"/>
        </w:rPr>
      </w:pPr>
    </w:p>
    <w:p w:rsidR="001820F3" w:rsidP="001820F3" w14:paraId="6F3BE6EE" w14:textId="77777777">
      <w:pPr>
        <w:suppressAutoHyphens/>
        <w:ind w:left="720"/>
        <w:jc w:val="both"/>
        <w:rPr>
          <w:spacing w:val="-3"/>
        </w:rPr>
      </w:pPr>
      <w:r>
        <w:rPr>
          <w:spacing w:val="-3"/>
        </w:rPr>
        <w:t xml:space="preserve">The Commission estimates that it will take each carrier using </w:t>
      </w:r>
      <w:r w:rsidR="00FC2C97">
        <w:rPr>
          <w:spacing w:val="-3"/>
        </w:rPr>
        <w:t xml:space="preserve">in-house </w:t>
      </w:r>
      <w:r>
        <w:rPr>
          <w:spacing w:val="-3"/>
        </w:rPr>
        <w:t xml:space="preserve">staff equivalent to a </w:t>
      </w:r>
    </w:p>
    <w:p w:rsidR="001820F3" w:rsidP="001820F3" w14:paraId="5C6A3493" w14:textId="77777777">
      <w:pPr>
        <w:suppressAutoHyphens/>
        <w:ind w:left="720"/>
        <w:jc w:val="both"/>
        <w:rPr>
          <w:spacing w:val="-3"/>
        </w:rPr>
      </w:pPr>
    </w:p>
    <w:p w:rsidR="001820F3" w:rsidP="001820F3" w14:paraId="69F1360B" w14:textId="77777777">
      <w:pPr>
        <w:suppressAutoHyphens/>
        <w:ind w:left="720"/>
        <w:jc w:val="both"/>
        <w:rPr>
          <w:spacing w:val="-3"/>
        </w:rPr>
      </w:pPr>
    </w:p>
    <w:p w:rsidR="0088692D" w:rsidP="001820F3" w14:paraId="293B3D65" w14:textId="0758DE52">
      <w:pPr>
        <w:suppressAutoHyphens/>
        <w:ind w:left="720"/>
        <w:jc w:val="both"/>
        <w:rPr>
          <w:spacing w:val="-3"/>
        </w:rPr>
      </w:pPr>
      <w:r>
        <w:rPr>
          <w:spacing w:val="-3"/>
        </w:rPr>
        <w:t>GS 11/Step 5 Federal employee, plus 30% overhead</w:t>
      </w:r>
      <w:r>
        <w:rPr>
          <w:rStyle w:val="FootnoteReference"/>
          <w:spacing w:val="-3"/>
        </w:rPr>
        <w:footnoteReference w:id="4"/>
      </w:r>
      <w:r>
        <w:rPr>
          <w:spacing w:val="-3"/>
        </w:rPr>
        <w:t>, to comply with the requirement.</w:t>
      </w:r>
    </w:p>
    <w:p w:rsidR="0088692D" w:rsidP="0088692D" w14:paraId="60AF0F33" w14:textId="77777777">
      <w:pPr>
        <w:suppressAutoHyphens/>
        <w:ind w:firstLine="720"/>
        <w:jc w:val="both"/>
        <w:rPr>
          <w:spacing w:val="-3"/>
        </w:rPr>
      </w:pPr>
    </w:p>
    <w:p w:rsidR="00CC5175" w:rsidP="00CC6F7B" w14:paraId="2EE8626A" w14:textId="1017FA0F">
      <w:pPr>
        <w:suppressAutoHyphens/>
        <w:ind w:left="720"/>
        <w:jc w:val="both"/>
        <w:rPr>
          <w:spacing w:val="-3"/>
        </w:rPr>
      </w:pPr>
      <w:r w:rsidRPr="317509C4">
        <w:rPr>
          <w:spacing w:val="-3"/>
        </w:rPr>
        <w:t>90</w:t>
      </w:r>
      <w:r w:rsidRPr="317509C4" w:rsidR="007C0A58">
        <w:rPr>
          <w:spacing w:val="-3"/>
        </w:rPr>
        <w:t xml:space="preserve"> </w:t>
      </w:r>
      <w:r w:rsidRPr="317509C4" w:rsidR="0088692D">
        <w:rPr>
          <w:spacing w:val="-3"/>
        </w:rPr>
        <w:t>(number of respondents) x 1 (number of filing</w:t>
      </w:r>
      <w:r w:rsidR="008B1758">
        <w:rPr>
          <w:spacing w:val="-3"/>
        </w:rPr>
        <w:t>s</w:t>
      </w:r>
      <w:r w:rsidRPr="317509C4" w:rsidR="0088692D">
        <w:rPr>
          <w:spacing w:val="-3"/>
        </w:rPr>
        <w:t xml:space="preserve">) x </w:t>
      </w:r>
      <w:r w:rsidRPr="317509C4" w:rsidR="00C90479">
        <w:rPr>
          <w:spacing w:val="-3"/>
        </w:rPr>
        <w:t>8</w:t>
      </w:r>
      <w:r w:rsidRPr="317509C4" w:rsidR="0088692D">
        <w:rPr>
          <w:spacing w:val="-3"/>
        </w:rPr>
        <w:t xml:space="preserve"> (hours per filing) x $</w:t>
      </w:r>
      <w:r w:rsidR="006F1B69">
        <w:rPr>
          <w:spacing w:val="-3"/>
        </w:rPr>
        <w:t>5</w:t>
      </w:r>
      <w:r w:rsidR="00A707E5">
        <w:rPr>
          <w:spacing w:val="-3"/>
        </w:rPr>
        <w:t>5</w:t>
      </w:r>
      <w:r w:rsidR="006F1B69">
        <w:rPr>
          <w:spacing w:val="-3"/>
        </w:rPr>
        <w:t>.</w:t>
      </w:r>
      <w:r w:rsidR="00A707E5">
        <w:rPr>
          <w:spacing w:val="-3"/>
        </w:rPr>
        <w:t>48</w:t>
      </w:r>
      <w:r w:rsidRPr="317509C4" w:rsidR="00F77DF7">
        <w:rPr>
          <w:spacing w:val="-3"/>
        </w:rPr>
        <w:t xml:space="preserve"> </w:t>
      </w:r>
      <w:r w:rsidRPr="317509C4" w:rsidR="0088692D">
        <w:rPr>
          <w:spacing w:val="-3"/>
        </w:rPr>
        <w:t xml:space="preserve">per hour </w:t>
      </w:r>
      <w:r w:rsidRPr="317509C4" w:rsidR="00001790">
        <w:rPr>
          <w:spacing w:val="-3"/>
        </w:rPr>
        <w:t>= $</w:t>
      </w:r>
      <w:r w:rsidR="00A707E5">
        <w:rPr>
          <w:spacing w:val="-3"/>
        </w:rPr>
        <w:t>3</w:t>
      </w:r>
      <w:r w:rsidR="00BB6F9E">
        <w:rPr>
          <w:spacing w:val="-3"/>
        </w:rPr>
        <w:t>9</w:t>
      </w:r>
      <w:r w:rsidR="00A707E5">
        <w:rPr>
          <w:spacing w:val="-3"/>
        </w:rPr>
        <w:t>,94</w:t>
      </w:r>
      <w:r w:rsidR="009A4289">
        <w:rPr>
          <w:spacing w:val="-3"/>
        </w:rPr>
        <w:t>6</w:t>
      </w:r>
      <w:r w:rsidRPr="317509C4" w:rsidR="00D02C01">
        <w:rPr>
          <w:spacing w:val="-3"/>
        </w:rPr>
        <w:t>.</w:t>
      </w:r>
    </w:p>
    <w:p w:rsidR="0031104B" w:rsidP="317509C4" w14:paraId="3699EB9C" w14:textId="197F7A59">
      <w:pPr>
        <w:suppressAutoHyphens/>
        <w:ind w:firstLine="720"/>
        <w:jc w:val="both"/>
        <w:rPr>
          <w:spacing w:val="-3"/>
        </w:rPr>
      </w:pPr>
    </w:p>
    <w:p w:rsidR="00DF067A" w:rsidP="0088692D" w14:paraId="49F09A13" w14:textId="740F5500">
      <w:pPr>
        <w:suppressAutoHyphens/>
        <w:ind w:firstLine="720"/>
        <w:jc w:val="both"/>
        <w:rPr>
          <w:b/>
          <w:spacing w:val="-3"/>
        </w:rPr>
      </w:pPr>
      <w:r>
        <w:rPr>
          <w:b/>
          <w:spacing w:val="-3"/>
        </w:rPr>
        <w:t xml:space="preserve">Total Number of Respondents:  </w:t>
      </w:r>
      <w:r w:rsidR="00A707E5">
        <w:rPr>
          <w:b/>
          <w:spacing w:val="-3"/>
        </w:rPr>
        <w:t>90</w:t>
      </w:r>
    </w:p>
    <w:p w:rsidR="00DF067A" w:rsidP="0088692D" w14:paraId="2E539755" w14:textId="00CF11E7">
      <w:pPr>
        <w:suppressAutoHyphens/>
        <w:ind w:firstLine="720"/>
        <w:jc w:val="both"/>
        <w:rPr>
          <w:b/>
          <w:spacing w:val="-3"/>
        </w:rPr>
      </w:pPr>
      <w:r>
        <w:rPr>
          <w:b/>
          <w:spacing w:val="-3"/>
        </w:rPr>
        <w:t xml:space="preserve">Total Number of Responses:  </w:t>
      </w:r>
      <w:r w:rsidR="00716187">
        <w:rPr>
          <w:b/>
          <w:spacing w:val="-3"/>
        </w:rPr>
        <w:t>90</w:t>
      </w:r>
    </w:p>
    <w:p w:rsidR="00DF067A" w:rsidRPr="003C6178" w:rsidP="0088692D" w14:paraId="57E155D8" w14:textId="544AD88D">
      <w:pPr>
        <w:suppressAutoHyphens/>
        <w:ind w:firstLine="720"/>
        <w:jc w:val="both"/>
        <w:rPr>
          <w:b/>
          <w:spacing w:val="-3"/>
        </w:rPr>
      </w:pPr>
      <w:r>
        <w:rPr>
          <w:b/>
          <w:spacing w:val="-3"/>
        </w:rPr>
        <w:t xml:space="preserve">Total Annual Burden Hours:  </w:t>
      </w:r>
      <w:r w:rsidR="00C90479">
        <w:rPr>
          <w:b/>
          <w:spacing w:val="-3"/>
        </w:rPr>
        <w:t>7</w:t>
      </w:r>
      <w:r w:rsidR="00716187">
        <w:rPr>
          <w:b/>
          <w:spacing w:val="-3"/>
        </w:rPr>
        <w:t>20</w:t>
      </w:r>
    </w:p>
    <w:p w:rsidR="0088692D" w:rsidRPr="003C6178" w14:paraId="7AA7219F" w14:textId="7F527C4F">
      <w:pPr>
        <w:tabs>
          <w:tab w:val="left" w:pos="-720"/>
        </w:tabs>
        <w:suppressAutoHyphens/>
        <w:jc w:val="both"/>
        <w:rPr>
          <w:b/>
          <w:spacing w:val="-3"/>
        </w:rPr>
      </w:pPr>
      <w:r>
        <w:rPr>
          <w:spacing w:val="-3"/>
        </w:rPr>
        <w:tab/>
      </w:r>
      <w:r>
        <w:rPr>
          <w:b/>
          <w:spacing w:val="-3"/>
        </w:rPr>
        <w:t>Total In-house Costs:  $</w:t>
      </w:r>
      <w:r w:rsidR="00F77DF7">
        <w:rPr>
          <w:b/>
          <w:spacing w:val="-3"/>
        </w:rPr>
        <w:t>3</w:t>
      </w:r>
      <w:r w:rsidR="007F4B9E">
        <w:rPr>
          <w:b/>
          <w:spacing w:val="-3"/>
        </w:rPr>
        <w:t>9,94</w:t>
      </w:r>
      <w:r w:rsidR="003F1197">
        <w:rPr>
          <w:b/>
          <w:spacing w:val="-3"/>
        </w:rPr>
        <w:t>6</w:t>
      </w:r>
    </w:p>
    <w:p w:rsidR="009C0CCB" w:rsidP="317509C4" w14:paraId="3E2FA8D7" w14:textId="0D34559F">
      <w:pPr>
        <w:tabs>
          <w:tab w:val="left" w:pos="-720"/>
        </w:tabs>
        <w:suppressAutoHyphens/>
        <w:jc w:val="both"/>
        <w:rPr>
          <w:spacing w:val="-3"/>
        </w:rPr>
      </w:pPr>
    </w:p>
    <w:p w:rsidR="00A26398" w:rsidP="00A26398" w14:paraId="456D1899" w14:textId="77777777">
      <w:pPr>
        <w:tabs>
          <w:tab w:val="left" w:pos="-720"/>
        </w:tabs>
        <w:suppressAutoHyphens/>
        <w:jc w:val="both"/>
        <w:rPr>
          <w:spacing w:val="-3"/>
        </w:rPr>
      </w:pPr>
      <w:r>
        <w:rPr>
          <w:spacing w:val="-3"/>
        </w:rPr>
        <w:t xml:space="preserve">13. </w:t>
      </w:r>
      <w:r>
        <w:rPr>
          <w:spacing w:val="-3"/>
        </w:rPr>
        <w:t xml:space="preserve">The following represents the Commission’s estimate of the annual cost burden </w:t>
      </w:r>
      <w:r w:rsidR="00001790">
        <w:rPr>
          <w:spacing w:val="-3"/>
        </w:rPr>
        <w:t>for respondents</w:t>
      </w:r>
      <w:r>
        <w:rPr>
          <w:spacing w:val="-3"/>
        </w:rPr>
        <w:t xml:space="preserve"> resulting from the collection of information.</w:t>
      </w:r>
    </w:p>
    <w:p w:rsidR="00A26398" w:rsidP="00A26398" w14:paraId="05556CEB" w14:textId="77777777">
      <w:pPr>
        <w:tabs>
          <w:tab w:val="left" w:pos="-720"/>
        </w:tabs>
        <w:suppressAutoHyphens/>
        <w:jc w:val="both"/>
        <w:rPr>
          <w:spacing w:val="-3"/>
        </w:rPr>
      </w:pPr>
    </w:p>
    <w:p w:rsidR="00034770" w:rsidP="00A26398" w14:paraId="394023DA" w14:textId="77777777">
      <w:pPr>
        <w:tabs>
          <w:tab w:val="left" w:pos="-720"/>
        </w:tabs>
        <w:suppressAutoHyphens/>
        <w:jc w:val="both"/>
        <w:rPr>
          <w:spacing w:val="-3"/>
        </w:rPr>
      </w:pPr>
      <w:r>
        <w:rPr>
          <w:spacing w:val="-3"/>
        </w:rPr>
        <w:tab/>
        <w:t xml:space="preserve">(a)(1) Total capital and start-up cost component (annualized over its expected </w:t>
      </w:r>
    </w:p>
    <w:p w:rsidR="00034770" w:rsidP="00034770" w14:paraId="6CAC29AD" w14:textId="77777777">
      <w:pPr>
        <w:tabs>
          <w:tab w:val="left" w:pos="-720"/>
        </w:tabs>
        <w:suppressAutoHyphens/>
        <w:ind w:left="720"/>
        <w:jc w:val="both"/>
        <w:rPr>
          <w:spacing w:val="-3"/>
        </w:rPr>
      </w:pPr>
      <w:r>
        <w:rPr>
          <w:spacing w:val="-3"/>
        </w:rPr>
        <w:t xml:space="preserve">useful life): $0.  The reporting requirement will not require the purchase of </w:t>
      </w:r>
    </w:p>
    <w:p w:rsidR="00A26398" w:rsidP="00034770" w14:paraId="23C7B6A1" w14:textId="77777777">
      <w:pPr>
        <w:tabs>
          <w:tab w:val="left" w:pos="-720"/>
        </w:tabs>
        <w:suppressAutoHyphens/>
        <w:ind w:left="720"/>
        <w:jc w:val="both"/>
        <w:rPr>
          <w:spacing w:val="-3"/>
        </w:rPr>
      </w:pPr>
      <w:r>
        <w:rPr>
          <w:spacing w:val="-3"/>
        </w:rPr>
        <w:t>additional equipment.</w:t>
      </w:r>
    </w:p>
    <w:p w:rsidR="00A26398" w:rsidP="00A26398" w14:paraId="3FB5FDCE" w14:textId="77777777">
      <w:pPr>
        <w:tabs>
          <w:tab w:val="left" w:pos="-720"/>
        </w:tabs>
        <w:suppressAutoHyphens/>
        <w:jc w:val="both"/>
        <w:rPr>
          <w:spacing w:val="-3"/>
        </w:rPr>
      </w:pPr>
      <w:r>
        <w:rPr>
          <w:spacing w:val="-3"/>
        </w:rPr>
        <w:tab/>
        <w:t xml:space="preserve">   </w:t>
      </w:r>
    </w:p>
    <w:p w:rsidR="00A26398" w:rsidP="00A26398" w14:paraId="43D68DF8" w14:textId="2B89EC59">
      <w:pPr>
        <w:tabs>
          <w:tab w:val="left" w:pos="-720"/>
        </w:tabs>
        <w:suppressAutoHyphens/>
        <w:jc w:val="both"/>
        <w:rPr>
          <w:spacing w:val="-3"/>
        </w:rPr>
      </w:pPr>
      <w:r>
        <w:rPr>
          <w:spacing w:val="-3"/>
        </w:rPr>
        <w:tab/>
        <w:t>(2) Total operation and maintenance and purchase of services component:  $0</w:t>
      </w:r>
    </w:p>
    <w:p w:rsidR="00DF067A" w:rsidP="317509C4" w14:paraId="45726D76" w14:textId="1FF4820A">
      <w:pPr>
        <w:tabs>
          <w:tab w:val="left" w:pos="-720"/>
        </w:tabs>
        <w:suppressAutoHyphens/>
        <w:jc w:val="both"/>
        <w:rPr>
          <w:spacing w:val="-3"/>
        </w:rPr>
      </w:pPr>
    </w:p>
    <w:p w:rsidR="00AD2991" w14:paraId="51DE26A7" w14:textId="695683D0">
      <w:pPr>
        <w:tabs>
          <w:tab w:val="left" w:pos="-720"/>
        </w:tabs>
        <w:suppressAutoHyphens/>
        <w:jc w:val="both"/>
        <w:rPr>
          <w:spacing w:val="-3"/>
        </w:rPr>
      </w:pPr>
      <w:r>
        <w:rPr>
          <w:spacing w:val="-3"/>
        </w:rPr>
        <w:t>14. The Federal government's annualized cost for the entire ARMIS pr</w:t>
      </w:r>
      <w:r w:rsidR="00A424A1">
        <w:rPr>
          <w:spacing w:val="-3"/>
        </w:rPr>
        <w:t>ogram has been estimated at $</w:t>
      </w:r>
      <w:r w:rsidR="00B74F27">
        <w:rPr>
          <w:spacing w:val="-3"/>
        </w:rPr>
        <w:t>713,83</w:t>
      </w:r>
      <w:r w:rsidR="007A6BAF">
        <w:rPr>
          <w:spacing w:val="-3"/>
        </w:rPr>
        <w:t>3</w:t>
      </w:r>
      <w:r>
        <w:rPr>
          <w:spacing w:val="-3"/>
        </w:rPr>
        <w:t xml:space="preserve">.  </w:t>
      </w:r>
      <w:r w:rsidR="00B74F27">
        <w:rPr>
          <w:spacing w:val="-3"/>
        </w:rPr>
        <w:t xml:space="preserve">This is an across the board increase of 10% </w:t>
      </w:r>
      <w:r w:rsidR="007C6DEF">
        <w:rPr>
          <w:spacing w:val="-3"/>
        </w:rPr>
        <w:t>from</w:t>
      </w:r>
      <w:r w:rsidR="00B74F27">
        <w:rPr>
          <w:spacing w:val="-3"/>
        </w:rPr>
        <w:t xml:space="preserve"> the 2020 estimates.  </w:t>
      </w:r>
      <w:r>
        <w:rPr>
          <w:spacing w:val="-3"/>
        </w:rPr>
        <w:t>This estimate was derived as follows:</w:t>
      </w:r>
    </w:p>
    <w:p w:rsidR="00B74F27" w14:paraId="1FFAAC0B" w14:textId="77777777">
      <w:pPr>
        <w:tabs>
          <w:tab w:val="left" w:pos="-720"/>
        </w:tabs>
        <w:suppressAutoHyphens/>
        <w:jc w:val="both"/>
        <w:rPr>
          <w:spacing w:val="-3"/>
        </w:rPr>
      </w:pPr>
    </w:p>
    <w:tbl>
      <w:tblPr>
        <w:tblW w:w="8160" w:type="dxa"/>
        <w:tblInd w:w="605" w:type="dxa"/>
        <w:tblLook w:val="04A0"/>
      </w:tblPr>
      <w:tblGrid>
        <w:gridCol w:w="6460"/>
        <w:gridCol w:w="1700"/>
      </w:tblGrid>
      <w:tr w14:paraId="1CB76EC8" w14:textId="77777777" w:rsidTr="00B74F27">
        <w:tblPrEx>
          <w:tblW w:w="8160" w:type="dxa"/>
          <w:tblInd w:w="605" w:type="dxa"/>
          <w:tblLook w:val="04A0"/>
        </w:tblPrEx>
        <w:trPr>
          <w:trHeight w:val="340"/>
        </w:trPr>
        <w:tc>
          <w:tcPr>
            <w:tcW w:w="6460" w:type="dxa"/>
            <w:tcBorders>
              <w:top w:val="nil"/>
              <w:left w:val="nil"/>
              <w:bottom w:val="nil"/>
              <w:right w:val="nil"/>
            </w:tcBorders>
            <w:shd w:val="clear" w:color="auto" w:fill="auto"/>
            <w:vAlign w:val="center"/>
            <w:hideMark/>
          </w:tcPr>
          <w:p w:rsidR="00B74F27" w:rsidRPr="00B61661" w14:paraId="48D59885" w14:textId="77777777">
            <w:pPr>
              <w:rPr>
                <w:color w:val="000000"/>
              </w:rPr>
            </w:pPr>
            <w:r w:rsidRPr="00B61661">
              <w:rPr>
                <w:color w:val="000000"/>
                <w:spacing w:val="-3"/>
              </w:rPr>
              <w:t>Employee’s Salaries Allocated to ARMIS</w:t>
            </w:r>
          </w:p>
        </w:tc>
        <w:tc>
          <w:tcPr>
            <w:tcW w:w="1700" w:type="dxa"/>
            <w:tcBorders>
              <w:top w:val="nil"/>
              <w:left w:val="nil"/>
              <w:bottom w:val="nil"/>
              <w:right w:val="nil"/>
            </w:tcBorders>
            <w:shd w:val="clear" w:color="auto" w:fill="auto"/>
            <w:noWrap/>
            <w:vAlign w:val="bottom"/>
            <w:hideMark/>
          </w:tcPr>
          <w:p w:rsidR="00B74F27" w:rsidRPr="00B61661" w14:paraId="454900FB" w14:textId="27D54A3B">
            <w:pPr>
              <w:jc w:val="right"/>
              <w:rPr>
                <w:color w:val="000000"/>
              </w:rPr>
            </w:pPr>
            <w:r>
              <w:rPr>
                <w:color w:val="000000"/>
              </w:rPr>
              <w:t>$</w:t>
            </w:r>
            <w:r w:rsidRPr="00B61661">
              <w:rPr>
                <w:color w:val="000000"/>
              </w:rPr>
              <w:t xml:space="preserve">429,437 </w:t>
            </w:r>
          </w:p>
        </w:tc>
      </w:tr>
      <w:tr w14:paraId="31E6C86A" w14:textId="77777777" w:rsidTr="00B74F27">
        <w:tblPrEx>
          <w:tblW w:w="8160" w:type="dxa"/>
          <w:tblInd w:w="605" w:type="dxa"/>
          <w:tblLook w:val="04A0"/>
        </w:tblPrEx>
        <w:trPr>
          <w:trHeight w:val="340"/>
        </w:trPr>
        <w:tc>
          <w:tcPr>
            <w:tcW w:w="6460" w:type="dxa"/>
            <w:tcBorders>
              <w:top w:val="nil"/>
              <w:left w:val="nil"/>
              <w:bottom w:val="nil"/>
              <w:right w:val="nil"/>
            </w:tcBorders>
            <w:shd w:val="clear" w:color="auto" w:fill="auto"/>
            <w:vAlign w:val="center"/>
            <w:hideMark/>
          </w:tcPr>
          <w:p w:rsidR="00B74F27" w:rsidRPr="00B61661" w14:paraId="4421C114" w14:textId="77777777">
            <w:pPr>
              <w:rPr>
                <w:color w:val="000000"/>
              </w:rPr>
            </w:pPr>
            <w:r w:rsidRPr="00B61661">
              <w:rPr>
                <w:color w:val="000000"/>
                <w:spacing w:val="-3"/>
              </w:rPr>
              <w:t>Benefits</w:t>
            </w:r>
          </w:p>
        </w:tc>
        <w:tc>
          <w:tcPr>
            <w:tcW w:w="1700" w:type="dxa"/>
            <w:tcBorders>
              <w:top w:val="nil"/>
              <w:left w:val="nil"/>
              <w:bottom w:val="nil"/>
              <w:right w:val="nil"/>
            </w:tcBorders>
            <w:shd w:val="clear" w:color="auto" w:fill="auto"/>
            <w:noWrap/>
            <w:vAlign w:val="bottom"/>
            <w:hideMark/>
          </w:tcPr>
          <w:p w:rsidR="00B74F27" w:rsidRPr="00B61661" w14:paraId="5DF8EE9C" w14:textId="3C8D7C7F">
            <w:pPr>
              <w:jc w:val="right"/>
              <w:rPr>
                <w:color w:val="000000"/>
              </w:rPr>
            </w:pPr>
            <w:r>
              <w:rPr>
                <w:color w:val="000000"/>
              </w:rPr>
              <w:t>$</w:t>
            </w:r>
            <w:r w:rsidRPr="00B61661">
              <w:rPr>
                <w:color w:val="000000"/>
              </w:rPr>
              <w:t xml:space="preserve">85,887 </w:t>
            </w:r>
          </w:p>
        </w:tc>
      </w:tr>
      <w:tr w14:paraId="45A5F6D7" w14:textId="77777777" w:rsidTr="00B74F27">
        <w:tblPrEx>
          <w:tblW w:w="8160" w:type="dxa"/>
          <w:tblInd w:w="605" w:type="dxa"/>
          <w:tblLook w:val="04A0"/>
        </w:tblPrEx>
        <w:trPr>
          <w:trHeight w:val="340"/>
        </w:trPr>
        <w:tc>
          <w:tcPr>
            <w:tcW w:w="6460" w:type="dxa"/>
            <w:tcBorders>
              <w:top w:val="nil"/>
              <w:left w:val="nil"/>
              <w:bottom w:val="nil"/>
              <w:right w:val="nil"/>
            </w:tcBorders>
            <w:shd w:val="clear" w:color="auto" w:fill="auto"/>
            <w:vAlign w:val="center"/>
            <w:hideMark/>
          </w:tcPr>
          <w:p w:rsidR="00B74F27" w:rsidRPr="00B61661" w14:paraId="7DA35A01" w14:textId="77777777">
            <w:pPr>
              <w:rPr>
                <w:color w:val="000000"/>
              </w:rPr>
            </w:pPr>
            <w:r w:rsidRPr="00B61661">
              <w:rPr>
                <w:color w:val="000000"/>
                <w:spacing w:val="-3"/>
              </w:rPr>
              <w:t>Overhead</w:t>
            </w:r>
          </w:p>
        </w:tc>
        <w:tc>
          <w:tcPr>
            <w:tcW w:w="1700" w:type="dxa"/>
            <w:tcBorders>
              <w:top w:val="nil"/>
              <w:left w:val="nil"/>
              <w:bottom w:val="nil"/>
              <w:right w:val="nil"/>
            </w:tcBorders>
            <w:shd w:val="clear" w:color="auto" w:fill="auto"/>
            <w:noWrap/>
            <w:vAlign w:val="bottom"/>
            <w:hideMark/>
          </w:tcPr>
          <w:p w:rsidR="00B74F27" w:rsidRPr="00B61661" w14:paraId="7EC0CDD9" w14:textId="1AEDDD6B">
            <w:pPr>
              <w:jc w:val="right"/>
              <w:rPr>
                <w:color w:val="000000"/>
              </w:rPr>
            </w:pPr>
            <w:r>
              <w:rPr>
                <w:color w:val="000000"/>
              </w:rPr>
              <w:t>$</w:t>
            </w:r>
            <w:r w:rsidRPr="00B61661">
              <w:rPr>
                <w:color w:val="000000"/>
              </w:rPr>
              <w:t xml:space="preserve">151,951 </w:t>
            </w:r>
          </w:p>
        </w:tc>
      </w:tr>
      <w:tr w14:paraId="5FF59033" w14:textId="77777777" w:rsidTr="00B74F27">
        <w:tblPrEx>
          <w:tblW w:w="8160" w:type="dxa"/>
          <w:tblInd w:w="605" w:type="dxa"/>
          <w:tblLook w:val="04A0"/>
        </w:tblPrEx>
        <w:trPr>
          <w:trHeight w:val="340"/>
        </w:trPr>
        <w:tc>
          <w:tcPr>
            <w:tcW w:w="6460" w:type="dxa"/>
            <w:tcBorders>
              <w:top w:val="nil"/>
              <w:left w:val="nil"/>
              <w:bottom w:val="nil"/>
              <w:right w:val="nil"/>
            </w:tcBorders>
            <w:shd w:val="clear" w:color="auto" w:fill="auto"/>
            <w:vAlign w:val="center"/>
            <w:hideMark/>
          </w:tcPr>
          <w:p w:rsidR="00B74F27" w:rsidRPr="00B61661" w14:paraId="0AFB7D6F" w14:textId="77777777">
            <w:pPr>
              <w:rPr>
                <w:color w:val="000000"/>
              </w:rPr>
            </w:pPr>
            <w:r w:rsidRPr="00B61661">
              <w:rPr>
                <w:color w:val="000000"/>
                <w:spacing w:val="-3"/>
              </w:rPr>
              <w:t>Office Space Dedicated to ARMIS (550 sq. ft. @ $43 sq. ft.)</w:t>
            </w:r>
          </w:p>
        </w:tc>
        <w:tc>
          <w:tcPr>
            <w:tcW w:w="1700" w:type="dxa"/>
            <w:tcBorders>
              <w:top w:val="nil"/>
              <w:left w:val="nil"/>
              <w:bottom w:val="nil"/>
              <w:right w:val="nil"/>
            </w:tcBorders>
            <w:shd w:val="clear" w:color="auto" w:fill="auto"/>
            <w:noWrap/>
            <w:vAlign w:val="bottom"/>
            <w:hideMark/>
          </w:tcPr>
          <w:p w:rsidR="00B74F27" w:rsidRPr="00B61661" w14:paraId="6D07D14E" w14:textId="32541E13">
            <w:pPr>
              <w:jc w:val="right"/>
              <w:rPr>
                <w:color w:val="000000"/>
              </w:rPr>
            </w:pPr>
            <w:r>
              <w:rPr>
                <w:color w:val="000000"/>
              </w:rPr>
              <w:t>$</w:t>
            </w:r>
            <w:r w:rsidRPr="00B61661">
              <w:rPr>
                <w:color w:val="000000"/>
              </w:rPr>
              <w:t xml:space="preserve">28,380 </w:t>
            </w:r>
          </w:p>
        </w:tc>
      </w:tr>
      <w:tr w14:paraId="0D01C519" w14:textId="77777777" w:rsidTr="00B74F27">
        <w:tblPrEx>
          <w:tblW w:w="8160" w:type="dxa"/>
          <w:tblInd w:w="605" w:type="dxa"/>
          <w:tblLook w:val="04A0"/>
        </w:tblPrEx>
        <w:trPr>
          <w:trHeight w:val="340"/>
        </w:trPr>
        <w:tc>
          <w:tcPr>
            <w:tcW w:w="6460" w:type="dxa"/>
            <w:tcBorders>
              <w:top w:val="nil"/>
              <w:left w:val="nil"/>
              <w:bottom w:val="nil"/>
              <w:right w:val="nil"/>
            </w:tcBorders>
            <w:shd w:val="clear" w:color="auto" w:fill="auto"/>
            <w:vAlign w:val="center"/>
            <w:hideMark/>
          </w:tcPr>
          <w:p w:rsidR="00B74F27" w:rsidRPr="00B61661" w14:paraId="6AA9DFE6" w14:textId="77777777">
            <w:pPr>
              <w:rPr>
                <w:color w:val="000000"/>
              </w:rPr>
            </w:pPr>
            <w:r w:rsidRPr="00B61661">
              <w:rPr>
                <w:color w:val="000000"/>
                <w:spacing w:val="-3"/>
              </w:rPr>
              <w:t>Equipment and Supplies (i.e., computer system requirements)</w:t>
            </w:r>
          </w:p>
        </w:tc>
        <w:tc>
          <w:tcPr>
            <w:tcW w:w="1700" w:type="dxa"/>
            <w:tcBorders>
              <w:top w:val="nil"/>
              <w:left w:val="nil"/>
              <w:bottom w:val="nil"/>
              <w:right w:val="nil"/>
            </w:tcBorders>
            <w:shd w:val="clear" w:color="auto" w:fill="auto"/>
            <w:noWrap/>
            <w:vAlign w:val="bottom"/>
            <w:hideMark/>
          </w:tcPr>
          <w:p w:rsidR="00B74F27" w:rsidRPr="00B61661" w14:paraId="11FF5F90" w14:textId="60128E53">
            <w:pPr>
              <w:jc w:val="right"/>
              <w:rPr>
                <w:color w:val="000000"/>
              </w:rPr>
            </w:pPr>
            <w:r>
              <w:rPr>
                <w:color w:val="000000"/>
              </w:rPr>
              <w:t>$</w:t>
            </w:r>
            <w:r w:rsidRPr="00B61661">
              <w:rPr>
                <w:color w:val="000000"/>
              </w:rPr>
              <w:t xml:space="preserve">14,740 </w:t>
            </w:r>
          </w:p>
        </w:tc>
      </w:tr>
      <w:tr w14:paraId="1F7A3223" w14:textId="77777777" w:rsidTr="00B74F27">
        <w:tblPrEx>
          <w:tblW w:w="8160" w:type="dxa"/>
          <w:tblInd w:w="605" w:type="dxa"/>
          <w:tblLook w:val="04A0"/>
        </w:tblPrEx>
        <w:trPr>
          <w:trHeight w:val="340"/>
        </w:trPr>
        <w:tc>
          <w:tcPr>
            <w:tcW w:w="6460" w:type="dxa"/>
            <w:tcBorders>
              <w:top w:val="nil"/>
              <w:left w:val="nil"/>
              <w:bottom w:val="nil"/>
              <w:right w:val="nil"/>
            </w:tcBorders>
            <w:shd w:val="clear" w:color="auto" w:fill="auto"/>
            <w:vAlign w:val="center"/>
            <w:hideMark/>
          </w:tcPr>
          <w:p w:rsidR="00B74F27" w:rsidRPr="00B61661" w14:paraId="17F302E3" w14:textId="77777777">
            <w:pPr>
              <w:rPr>
                <w:color w:val="000000"/>
              </w:rPr>
            </w:pPr>
            <w:r w:rsidRPr="00B61661">
              <w:rPr>
                <w:color w:val="000000"/>
                <w:spacing w:val="-3"/>
              </w:rPr>
              <w:t>Filing Equipment</w:t>
            </w:r>
          </w:p>
        </w:tc>
        <w:tc>
          <w:tcPr>
            <w:tcW w:w="1700" w:type="dxa"/>
            <w:tcBorders>
              <w:top w:val="nil"/>
              <w:left w:val="nil"/>
              <w:bottom w:val="nil"/>
              <w:right w:val="nil"/>
            </w:tcBorders>
            <w:shd w:val="clear" w:color="auto" w:fill="auto"/>
            <w:noWrap/>
            <w:vAlign w:val="bottom"/>
            <w:hideMark/>
          </w:tcPr>
          <w:p w:rsidR="00B74F27" w:rsidRPr="00B61661" w14:paraId="60C277C9" w14:textId="42EAF4AC">
            <w:pPr>
              <w:jc w:val="right"/>
              <w:rPr>
                <w:color w:val="000000"/>
              </w:rPr>
            </w:pPr>
            <w:r>
              <w:rPr>
                <w:color w:val="000000"/>
              </w:rPr>
              <w:t>$</w:t>
            </w:r>
            <w:r w:rsidRPr="00B61661">
              <w:rPr>
                <w:color w:val="000000"/>
              </w:rPr>
              <w:t xml:space="preserve">3,438 </w:t>
            </w:r>
          </w:p>
        </w:tc>
      </w:tr>
      <w:tr w14:paraId="2E8CEA3C" w14:textId="77777777" w:rsidTr="00B74F27">
        <w:tblPrEx>
          <w:tblW w:w="8160" w:type="dxa"/>
          <w:tblInd w:w="605" w:type="dxa"/>
          <w:tblLook w:val="04A0"/>
        </w:tblPrEx>
        <w:trPr>
          <w:trHeight w:val="340"/>
        </w:trPr>
        <w:tc>
          <w:tcPr>
            <w:tcW w:w="6460" w:type="dxa"/>
            <w:tcBorders>
              <w:top w:val="nil"/>
              <w:left w:val="nil"/>
              <w:bottom w:val="nil"/>
              <w:right w:val="nil"/>
            </w:tcBorders>
            <w:shd w:val="clear" w:color="auto" w:fill="auto"/>
            <w:vAlign w:val="center"/>
            <w:hideMark/>
          </w:tcPr>
          <w:p w:rsidR="00B74F27" w:rsidRPr="00B61661" w14:paraId="2DE23392" w14:textId="77777777">
            <w:pPr>
              <w:rPr>
                <w:b/>
                <w:bCs/>
                <w:color w:val="000000"/>
              </w:rPr>
            </w:pPr>
            <w:r w:rsidRPr="00B61661">
              <w:rPr>
                <w:b/>
                <w:bCs/>
                <w:color w:val="000000"/>
                <w:spacing w:val="-3"/>
              </w:rPr>
              <w:t>Total Annual ARMIS Cost</w:t>
            </w:r>
          </w:p>
        </w:tc>
        <w:tc>
          <w:tcPr>
            <w:tcW w:w="1700" w:type="dxa"/>
            <w:tcBorders>
              <w:top w:val="nil"/>
              <w:left w:val="nil"/>
              <w:bottom w:val="nil"/>
              <w:right w:val="nil"/>
            </w:tcBorders>
            <w:shd w:val="clear" w:color="auto" w:fill="auto"/>
            <w:vAlign w:val="center"/>
            <w:hideMark/>
          </w:tcPr>
          <w:p w:rsidR="00B74F27" w:rsidRPr="00B61661" w14:paraId="59E12D1F" w14:textId="40091B20">
            <w:pPr>
              <w:jc w:val="right"/>
              <w:rPr>
                <w:b/>
                <w:bCs/>
                <w:color w:val="000000"/>
              </w:rPr>
            </w:pPr>
            <w:r w:rsidRPr="00B61661">
              <w:rPr>
                <w:b/>
                <w:bCs/>
                <w:color w:val="000000"/>
              </w:rPr>
              <w:t>$713,83</w:t>
            </w:r>
            <w:r w:rsidR="00384E0E">
              <w:rPr>
                <w:b/>
                <w:bCs/>
                <w:color w:val="000000"/>
              </w:rPr>
              <w:t>3</w:t>
            </w:r>
            <w:r w:rsidRPr="00B61661">
              <w:rPr>
                <w:b/>
                <w:bCs/>
                <w:color w:val="000000"/>
              </w:rPr>
              <w:t xml:space="preserve"> </w:t>
            </w:r>
          </w:p>
        </w:tc>
      </w:tr>
    </w:tbl>
    <w:p w:rsidR="00B74F27" w:rsidRPr="00B61661" w14:paraId="74B9460F" w14:textId="77777777">
      <w:pPr>
        <w:tabs>
          <w:tab w:val="left" w:pos="-720"/>
        </w:tabs>
        <w:suppressAutoHyphens/>
        <w:jc w:val="both"/>
        <w:rPr>
          <w:spacing w:val="-3"/>
        </w:rPr>
      </w:pPr>
    </w:p>
    <w:p w:rsidR="00790ED4" w14:paraId="2C30539E" w14:textId="77777777">
      <w:pPr>
        <w:tabs>
          <w:tab w:val="left" w:pos="-720"/>
        </w:tabs>
        <w:suppressAutoHyphens/>
        <w:jc w:val="both"/>
        <w:rPr>
          <w:spacing w:val="-3"/>
        </w:rPr>
      </w:pPr>
    </w:p>
    <w:p w:rsidR="00790ED4" w14:paraId="2F6C4E08" w14:textId="77777777">
      <w:pPr>
        <w:tabs>
          <w:tab w:val="left" w:pos="-720"/>
        </w:tabs>
        <w:suppressAutoHyphens/>
        <w:jc w:val="both"/>
        <w:rPr>
          <w:spacing w:val="-3"/>
        </w:rPr>
      </w:pPr>
    </w:p>
    <w:p w:rsidR="00EF4013" w14:paraId="44314624" w14:textId="58AB45F6">
      <w:pPr>
        <w:tabs>
          <w:tab w:val="left" w:pos="-720"/>
        </w:tabs>
        <w:suppressAutoHyphens/>
        <w:jc w:val="both"/>
        <w:rPr>
          <w:spacing w:val="-3"/>
        </w:rPr>
      </w:pPr>
      <w:r>
        <w:rPr>
          <w:spacing w:val="-3"/>
        </w:rPr>
        <w:t>Of the tot</w:t>
      </w:r>
      <w:r w:rsidR="00A424A1">
        <w:rPr>
          <w:spacing w:val="-3"/>
        </w:rPr>
        <w:t>al annual ARMIS cost of $</w:t>
      </w:r>
      <w:r w:rsidR="00B74F27">
        <w:rPr>
          <w:spacing w:val="-3"/>
        </w:rPr>
        <w:t>713,83</w:t>
      </w:r>
      <w:r w:rsidR="007A6BAF">
        <w:rPr>
          <w:spacing w:val="-3"/>
        </w:rPr>
        <w:t>3</w:t>
      </w:r>
      <w:r>
        <w:rPr>
          <w:spacing w:val="-3"/>
        </w:rPr>
        <w:t>, we estimate the FCC Report 43-01 portion to be $</w:t>
      </w:r>
      <w:r w:rsidR="00B74F27">
        <w:rPr>
          <w:spacing w:val="-3"/>
        </w:rPr>
        <w:t>65,536</w:t>
      </w:r>
      <w:r>
        <w:rPr>
          <w:spacing w:val="-3"/>
        </w:rPr>
        <w:t xml:space="preserve">.  This estimate includes the necessary automation equipment, software, supplies, and </w:t>
      </w:r>
      <w:r w:rsidR="006A05E3">
        <w:rPr>
          <w:spacing w:val="-3"/>
        </w:rPr>
        <w:t xml:space="preserve">the </w:t>
      </w:r>
      <w:r>
        <w:rPr>
          <w:spacing w:val="-3"/>
        </w:rPr>
        <w:t>personnel needed to execute the automated reporting program.</w:t>
      </w:r>
      <w:r w:rsidR="00E751CF">
        <w:rPr>
          <w:spacing w:val="-3"/>
        </w:rPr>
        <w:t xml:space="preserve"> </w:t>
      </w:r>
      <w:r w:rsidRPr="006E2F5F" w:rsidR="00E751CF">
        <w:rPr>
          <w:spacing w:val="-3"/>
        </w:rPr>
        <w:t>We note that as a result of the Commission’s forbearance actions, the government will not incur all</w:t>
      </w:r>
      <w:r w:rsidR="008F4576">
        <w:rPr>
          <w:spacing w:val="-3"/>
        </w:rPr>
        <w:t xml:space="preserve"> </w:t>
      </w:r>
      <w:r w:rsidRPr="006E2F5F" w:rsidR="00C06192">
        <w:rPr>
          <w:spacing w:val="-3"/>
        </w:rPr>
        <w:t xml:space="preserve">of </w:t>
      </w:r>
      <w:r w:rsidRPr="006E2F5F" w:rsidR="00E751CF">
        <w:rPr>
          <w:spacing w:val="-3"/>
        </w:rPr>
        <w:t>these costs pending</w:t>
      </w:r>
      <w:r w:rsidR="00A707E5">
        <w:rPr>
          <w:spacing w:val="-3"/>
        </w:rPr>
        <w:t xml:space="preserve"> </w:t>
      </w:r>
      <w:r w:rsidRPr="006E2F5F" w:rsidR="00E751CF">
        <w:rPr>
          <w:spacing w:val="-3"/>
        </w:rPr>
        <w:t>Commission reconsideration and judicial review of those actions.</w:t>
      </w:r>
      <w:r w:rsidR="00E751CF">
        <w:rPr>
          <w:spacing w:val="-3"/>
        </w:rPr>
        <w:t xml:space="preserve"> </w:t>
      </w:r>
    </w:p>
    <w:p w:rsidR="00AD2991" w14:paraId="315CB28A" w14:textId="77777777">
      <w:pPr>
        <w:tabs>
          <w:tab w:val="left" w:pos="-720"/>
        </w:tabs>
        <w:suppressAutoHyphens/>
        <w:jc w:val="both"/>
        <w:rPr>
          <w:spacing w:val="-3"/>
        </w:rPr>
      </w:pPr>
    </w:p>
    <w:p w:rsidR="004F2FC6" w:rsidP="00173CB5" w14:paraId="20E155FE" w14:textId="4B0B9C03">
      <w:pPr>
        <w:tabs>
          <w:tab w:val="left" w:pos="-720"/>
        </w:tabs>
        <w:suppressAutoHyphens/>
        <w:jc w:val="both"/>
        <w:rPr>
          <w:spacing w:val="-3"/>
        </w:rPr>
      </w:pPr>
      <w:r w:rsidRPr="00C10539">
        <w:rPr>
          <w:spacing w:val="-3"/>
        </w:rPr>
        <w:t>15.</w:t>
      </w:r>
      <w:r w:rsidRPr="00C10539" w:rsidR="00E751CF">
        <w:rPr>
          <w:spacing w:val="-3"/>
        </w:rPr>
        <w:t xml:space="preserve"> </w:t>
      </w:r>
      <w:r w:rsidRPr="00C10539" w:rsidR="00461A23">
        <w:rPr>
          <w:spacing w:val="-3"/>
        </w:rPr>
        <w:t xml:space="preserve">The Commission </w:t>
      </w:r>
      <w:r w:rsidRPr="00C10539" w:rsidR="006E36E1">
        <w:rPr>
          <w:spacing w:val="-3"/>
        </w:rPr>
        <w:t xml:space="preserve">is reporting </w:t>
      </w:r>
      <w:r w:rsidR="00A741A2">
        <w:rPr>
          <w:spacing w:val="-3"/>
        </w:rPr>
        <w:t xml:space="preserve">no </w:t>
      </w:r>
      <w:r w:rsidRPr="00C10539" w:rsidR="006E36E1">
        <w:rPr>
          <w:spacing w:val="-3"/>
        </w:rPr>
        <w:t xml:space="preserve">adjustments </w:t>
      </w:r>
      <w:r w:rsidR="00173CB5">
        <w:rPr>
          <w:spacing w:val="-3"/>
        </w:rPr>
        <w:t xml:space="preserve">or program changes </w:t>
      </w:r>
      <w:r w:rsidRPr="00C10539" w:rsidR="006E36E1">
        <w:rPr>
          <w:spacing w:val="-3"/>
        </w:rPr>
        <w:t>to this information collection</w:t>
      </w:r>
      <w:r w:rsidR="00173CB5">
        <w:rPr>
          <w:spacing w:val="-3"/>
        </w:rPr>
        <w:t>.</w:t>
      </w:r>
      <w:r w:rsidRPr="00C10539" w:rsidR="006E36E1">
        <w:rPr>
          <w:spacing w:val="-3"/>
        </w:rPr>
        <w:t xml:space="preserve"> </w:t>
      </w:r>
    </w:p>
    <w:p w:rsidR="00A56E8A" w14:paraId="428F204E" w14:textId="77777777">
      <w:pPr>
        <w:tabs>
          <w:tab w:val="left" w:pos="-720"/>
        </w:tabs>
        <w:suppressAutoHyphens/>
        <w:jc w:val="both"/>
        <w:rPr>
          <w:spacing w:val="-3"/>
        </w:rPr>
      </w:pPr>
    </w:p>
    <w:p w:rsidR="001B2DDB" w:rsidRPr="001322D7" w:rsidP="001B2DDB" w14:paraId="61D090AB" w14:textId="04EF7236">
      <w:pPr>
        <w:suppressAutoHyphens/>
        <w:jc w:val="both"/>
        <w:rPr>
          <w:spacing w:val="-3"/>
        </w:rPr>
      </w:pPr>
      <w:r>
        <w:rPr>
          <w:spacing w:val="-3"/>
        </w:rPr>
        <w:t>16.</w:t>
      </w:r>
      <w:r>
        <w:rPr>
          <w:spacing w:val="-3"/>
        </w:rPr>
        <w:t xml:space="preserve">  Data from these reports are </w:t>
      </w:r>
      <w:r w:rsidR="00F2636E">
        <w:rPr>
          <w:spacing w:val="-3"/>
        </w:rPr>
        <w:t xml:space="preserve">available </w:t>
      </w:r>
      <w:r>
        <w:rPr>
          <w:spacing w:val="-3"/>
        </w:rPr>
        <w:t xml:space="preserve">on-line </w:t>
      </w:r>
      <w:r w:rsidR="005D2EB6">
        <w:rPr>
          <w:spacing w:val="-3"/>
        </w:rPr>
        <w:t>so that</w:t>
      </w:r>
      <w:r>
        <w:rPr>
          <w:spacing w:val="-3"/>
        </w:rPr>
        <w:t xml:space="preserve"> users can </w:t>
      </w:r>
      <w:r w:rsidR="00694261">
        <w:rPr>
          <w:spacing w:val="-3"/>
        </w:rPr>
        <w:t xml:space="preserve">easily locate data for </w:t>
      </w:r>
      <w:r w:rsidR="00317C08">
        <w:rPr>
          <w:spacing w:val="-3"/>
        </w:rPr>
        <w:t xml:space="preserve">a </w:t>
      </w:r>
      <w:r w:rsidR="003A7BD0">
        <w:rPr>
          <w:spacing w:val="-3"/>
        </w:rPr>
        <w:t>carrier</w:t>
      </w:r>
      <w:r w:rsidR="00F2636E">
        <w:rPr>
          <w:spacing w:val="-3"/>
        </w:rPr>
        <w:t xml:space="preserve"> and/or specific reporting years.</w:t>
      </w:r>
    </w:p>
    <w:p w:rsidR="00DF511A" w14:paraId="194ADB1F" w14:textId="77777777">
      <w:pPr>
        <w:tabs>
          <w:tab w:val="left" w:pos="-720"/>
        </w:tabs>
        <w:suppressAutoHyphens/>
        <w:jc w:val="both"/>
        <w:rPr>
          <w:spacing w:val="-3"/>
        </w:rPr>
      </w:pPr>
    </w:p>
    <w:p w:rsidR="00AD2991" w14:paraId="67C4F66C" w14:textId="77777777">
      <w:pPr>
        <w:tabs>
          <w:tab w:val="left" w:pos="-720"/>
        </w:tabs>
        <w:suppressAutoHyphens/>
        <w:jc w:val="both"/>
        <w:rPr>
          <w:spacing w:val="-3"/>
        </w:rPr>
      </w:pPr>
      <w:r>
        <w:rPr>
          <w:spacing w:val="-3"/>
        </w:rPr>
        <w:t>17.</w:t>
      </w:r>
      <w:r w:rsidR="00482244">
        <w:rPr>
          <w:spacing w:val="-3"/>
        </w:rPr>
        <w:t xml:space="preserve"> </w:t>
      </w:r>
      <w:r>
        <w:rPr>
          <w:spacing w:val="-3"/>
        </w:rPr>
        <w:t xml:space="preserve">The Commission seeks continued </w:t>
      </w:r>
      <w:r w:rsidR="006A05E3">
        <w:rPr>
          <w:spacing w:val="-3"/>
        </w:rPr>
        <w:t xml:space="preserve">OMB </w:t>
      </w:r>
      <w:r>
        <w:rPr>
          <w:spacing w:val="-3"/>
        </w:rPr>
        <w:t xml:space="preserve">approval not to display the </w:t>
      </w:r>
      <w:r w:rsidR="006A05E3">
        <w:rPr>
          <w:spacing w:val="-3"/>
        </w:rPr>
        <w:t xml:space="preserve">OMB </w:t>
      </w:r>
      <w:r>
        <w:rPr>
          <w:spacing w:val="-3"/>
        </w:rPr>
        <w:t xml:space="preserve">expiration date. Display of the expiration date would not be in the </w:t>
      </w:r>
      <w:r w:rsidR="006A05E3">
        <w:rPr>
          <w:spacing w:val="-3"/>
        </w:rPr>
        <w:t xml:space="preserve">Commission’s </w:t>
      </w:r>
      <w:r>
        <w:rPr>
          <w:spacing w:val="-3"/>
        </w:rPr>
        <w:t>interest</w:t>
      </w:r>
      <w:r w:rsidR="006A05E3">
        <w:rPr>
          <w:spacing w:val="-3"/>
        </w:rPr>
        <w:t xml:space="preserve"> </w:t>
      </w:r>
      <w:r>
        <w:rPr>
          <w:spacing w:val="-3"/>
        </w:rPr>
        <w:t xml:space="preserve">because </w:t>
      </w:r>
      <w:r w:rsidR="00E751CF">
        <w:rPr>
          <w:spacing w:val="-3"/>
        </w:rPr>
        <w:t xml:space="preserve">the </w:t>
      </w:r>
      <w:r w:rsidR="006A05E3">
        <w:rPr>
          <w:spacing w:val="-3"/>
        </w:rPr>
        <w:t xml:space="preserve">Commission would have to update the ARMIS report each time this collection is submitted to OMB for approval.  </w:t>
      </w:r>
      <w:r w:rsidR="00505535">
        <w:rPr>
          <w:spacing w:val="-3"/>
        </w:rPr>
        <w:t>T</w:t>
      </w:r>
      <w:r w:rsidR="006A05E3">
        <w:rPr>
          <w:spacing w:val="-3"/>
        </w:rPr>
        <w:t>hat would constitute waste and inefficiency.</w:t>
      </w:r>
    </w:p>
    <w:p w:rsidR="00CC422E" w14:paraId="0A2E75FD" w14:textId="77777777">
      <w:pPr>
        <w:tabs>
          <w:tab w:val="left" w:pos="-720"/>
        </w:tabs>
        <w:suppressAutoHyphens/>
        <w:jc w:val="both"/>
        <w:rPr>
          <w:spacing w:val="-3"/>
        </w:rPr>
      </w:pPr>
    </w:p>
    <w:p w:rsidR="00161051" w:rsidP="001B2DDB" w14:paraId="33711BD7" w14:textId="77777777">
      <w:pPr>
        <w:suppressAutoHyphens/>
        <w:jc w:val="both"/>
        <w:rPr>
          <w:spacing w:val="-3"/>
        </w:rPr>
      </w:pPr>
      <w:r>
        <w:rPr>
          <w:spacing w:val="-3"/>
        </w:rPr>
        <w:t>18.</w:t>
      </w:r>
      <w:r w:rsidR="0077723C">
        <w:rPr>
          <w:spacing w:val="-3"/>
        </w:rPr>
        <w:t xml:space="preserve">  </w:t>
      </w:r>
      <w:r w:rsidRPr="003C6178" w:rsidR="00DF511A">
        <w:rPr>
          <w:spacing w:val="-3"/>
        </w:rPr>
        <w:t xml:space="preserve">There are no exceptions </w:t>
      </w:r>
      <w:r w:rsidRPr="003C6178" w:rsidR="00C374C5">
        <w:rPr>
          <w:spacing w:val="-3"/>
        </w:rPr>
        <w:t xml:space="preserve">to </w:t>
      </w:r>
      <w:r w:rsidRPr="003C6178" w:rsidR="00DF511A">
        <w:rPr>
          <w:spacing w:val="-3"/>
        </w:rPr>
        <w:t>this certification statement.</w:t>
      </w:r>
      <w:r w:rsidR="00DF511A">
        <w:rPr>
          <w:spacing w:val="-3"/>
        </w:rPr>
        <w:t xml:space="preserve"> </w:t>
      </w:r>
    </w:p>
    <w:p w:rsidR="005C393A" w:rsidP="001B2DDB" w14:paraId="1545D209" w14:textId="77777777">
      <w:pPr>
        <w:suppressAutoHyphens/>
        <w:jc w:val="both"/>
        <w:rPr>
          <w:spacing w:val="-3"/>
        </w:rPr>
      </w:pPr>
    </w:p>
    <w:p w:rsidR="00AD2991" w:rsidRPr="00161051" w14:paraId="32976F53" w14:textId="77777777">
      <w:pPr>
        <w:tabs>
          <w:tab w:val="left" w:pos="-720"/>
        </w:tabs>
        <w:suppressAutoHyphens/>
        <w:jc w:val="both"/>
        <w:rPr>
          <w:b/>
          <w:spacing w:val="-3"/>
        </w:rPr>
      </w:pPr>
      <w:r w:rsidRPr="00161051">
        <w:rPr>
          <w:b/>
          <w:spacing w:val="-3"/>
        </w:rPr>
        <w:t xml:space="preserve">B.  </w:t>
      </w:r>
      <w:r w:rsidRPr="00161051">
        <w:rPr>
          <w:b/>
          <w:spacing w:val="-3"/>
          <w:u w:val="single"/>
        </w:rPr>
        <w:t>Collections of Information Employing Statistical Methods</w:t>
      </w:r>
      <w:r w:rsidR="00161051">
        <w:rPr>
          <w:b/>
          <w:spacing w:val="-3"/>
          <w:u w:val="single"/>
        </w:rPr>
        <w:t>:</w:t>
      </w:r>
    </w:p>
    <w:p w:rsidR="00AD2991" w14:paraId="769684A3" w14:textId="77777777">
      <w:pPr>
        <w:tabs>
          <w:tab w:val="left" w:pos="-720"/>
        </w:tabs>
        <w:suppressAutoHyphens/>
        <w:jc w:val="both"/>
        <w:rPr>
          <w:spacing w:val="-3"/>
        </w:rPr>
      </w:pPr>
    </w:p>
    <w:p w:rsidR="00AD2991" w:rsidP="003C6178" w14:paraId="076B57FB" w14:textId="77777777">
      <w:pPr>
        <w:suppressAutoHyphens/>
        <w:jc w:val="both"/>
        <w:rPr>
          <w:rFonts w:ascii="CG Times" w:hAnsi="CG Times"/>
          <w:spacing w:val="-3"/>
        </w:rPr>
      </w:pPr>
      <w:r>
        <w:rPr>
          <w:spacing w:val="-3"/>
        </w:rPr>
        <w:tab/>
      </w:r>
      <w:r w:rsidR="001B2DDB">
        <w:rPr>
          <w:spacing w:val="-3"/>
        </w:rPr>
        <w:t xml:space="preserve">     The Commission does not anticipate that the collection of information will employ statistical methods.</w:t>
      </w:r>
    </w:p>
    <w:sectPr w:rsidSect="003C6178">
      <w:headerReference w:type="default" r:id="rId12"/>
      <w:footerReference w:type="even" r:id="rId13"/>
      <w:footerReference w:type="default" r:id="rId14"/>
      <w:headerReference w:type="first" r:id="rId15"/>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C4164" w14:paraId="0A7C76B2" w14:textId="77777777">
      <w:pPr>
        <w:spacing w:line="20" w:lineRule="exact"/>
      </w:pPr>
    </w:p>
  </w:endnote>
  <w:endnote w:type="continuationSeparator" w:id="1">
    <w:p w:rsidR="00CC4164" w14:paraId="782F0B7D" w14:textId="77777777">
      <w:r>
        <w:t xml:space="preserve"> </w:t>
      </w:r>
    </w:p>
  </w:endnote>
  <w:endnote w:type="continuationNotice" w:id="2">
    <w:p w:rsidR="00CC4164" w14:paraId="79D4DB4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3A03" w:rsidP="005635D5" w14:paraId="3BDA7BC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3A03" w:rsidP="00BF1C9E" w14:paraId="47CC994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3A03" w:rsidP="00BF1C9E" w14:paraId="03058054" w14:textId="77777777">
    <w:pPr>
      <w:spacing w:before="140" w:line="100" w:lineRule="exact"/>
      <w:ind w:right="360"/>
      <w:rPr>
        <w:sz w:val="10"/>
      </w:rPr>
    </w:pPr>
  </w:p>
  <w:p w:rsidR="00B33A03" w14:paraId="0518D037" w14:textId="77777777"/>
  <w:p w:rsidR="00B33A03" w14:paraId="23F87C37" w14:textId="77777777">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B33A03" w14:textId="3B87BB3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800DA4">
                            <w:rPr>
                              <w:noProof/>
                              <w:spacing w:val="-3"/>
                            </w:rPr>
                            <w:t>1</w:t>
                          </w:r>
                          <w:r>
                            <w:rPr>
                              <w:spacing w:val="-3"/>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B33A03" w14:paraId="3C26A168" w14:textId="3B87BB3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800DA4">
                      <w:rPr>
                        <w:noProof/>
                        <w:spacing w:val="-3"/>
                      </w:rPr>
                      <w:t>1</w:t>
                    </w:r>
                    <w:r>
                      <w:rPr>
                        <w:spacing w:val="-3"/>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4164" w14:paraId="632DE073" w14:textId="77777777">
      <w:r>
        <w:separator/>
      </w:r>
    </w:p>
  </w:footnote>
  <w:footnote w:type="continuationSeparator" w:id="1">
    <w:p w:rsidR="00CC4164" w14:paraId="4D15D7B8" w14:textId="77777777">
      <w:r>
        <w:continuationSeparator/>
      </w:r>
    </w:p>
  </w:footnote>
  <w:footnote w:id="2">
    <w:p w:rsidR="0053037E" w:rsidRPr="00C10539" w:rsidP="00C10539" w14:paraId="73BDBF86" w14:textId="3EF1E3E4">
      <w:pPr>
        <w:ind w:right="-18"/>
      </w:pPr>
      <w:r w:rsidRPr="0038701D">
        <w:rPr>
          <w:rStyle w:val="FootnoteReference"/>
          <w:sz w:val="22"/>
          <w:szCs w:val="22"/>
        </w:rPr>
        <w:footnoteRef/>
      </w:r>
      <w:r w:rsidRPr="0038701D">
        <w:rPr>
          <w:sz w:val="22"/>
          <w:szCs w:val="22"/>
        </w:rPr>
        <w:t xml:space="preserve"> See </w:t>
      </w:r>
      <w:r w:rsidRPr="0038701D" w:rsidR="00A948DE">
        <w:rPr>
          <w:sz w:val="22"/>
          <w:szCs w:val="22"/>
        </w:rPr>
        <w:t xml:space="preserve">Petition of AT&amp;T Inc. for Forbearance under 47 U.S.C. § 160 from Enforcement of Certain of the Commission’s Cost Assignment Rules, 23 FCC </w:t>
      </w:r>
      <w:r w:rsidRPr="0038701D" w:rsidR="00A948DE">
        <w:rPr>
          <w:sz w:val="22"/>
          <w:szCs w:val="22"/>
        </w:rPr>
        <w:t>Rcd</w:t>
      </w:r>
      <w:r w:rsidRPr="0038701D" w:rsidR="00A948DE">
        <w:rPr>
          <w:sz w:val="22"/>
          <w:szCs w:val="22"/>
        </w:rPr>
        <w:t xml:space="preserve"> 7302 (2008)</w:t>
      </w:r>
      <w:r w:rsidRPr="0038701D">
        <w:rPr>
          <w:sz w:val="22"/>
          <w:szCs w:val="22"/>
        </w:rPr>
        <w:t>.</w:t>
      </w:r>
      <w:r w:rsidRPr="00C10539">
        <w:t xml:space="preserve"> </w:t>
      </w:r>
    </w:p>
  </w:footnote>
  <w:footnote w:id="3">
    <w:p w:rsidR="000B2FF5" w:rsidRPr="0038701D" w14:paraId="4D1FF7A5" w14:textId="6D8F4FF6">
      <w:pPr>
        <w:pStyle w:val="FootnoteText"/>
        <w:rPr>
          <w:rFonts w:ascii="Times New Roman" w:hAnsi="Times New Roman"/>
          <w:spacing w:val="-3"/>
          <w:sz w:val="22"/>
          <w:szCs w:val="22"/>
        </w:rPr>
      </w:pPr>
      <w:r w:rsidRPr="0038701D">
        <w:rPr>
          <w:rStyle w:val="FootnoteReference"/>
          <w:rFonts w:ascii="Times New Roman" w:hAnsi="Times New Roman"/>
          <w:sz w:val="22"/>
          <w:szCs w:val="22"/>
        </w:rPr>
        <w:footnoteRef/>
      </w:r>
      <w:r w:rsidR="0038701D">
        <w:t xml:space="preserve"> </w:t>
      </w:r>
      <w:r w:rsidRPr="0038701D">
        <w:rPr>
          <w:rFonts w:ascii="Times New Roman" w:hAnsi="Times New Roman"/>
          <w:i/>
          <w:spacing w:val="-3"/>
          <w:sz w:val="22"/>
          <w:szCs w:val="22"/>
        </w:rPr>
        <w:t>Comprehensive Review of the Part 32 Uniform System of Accounts</w:t>
      </w:r>
      <w:r w:rsidRPr="0038701D">
        <w:rPr>
          <w:rFonts w:ascii="Times New Roman" w:hAnsi="Times New Roman"/>
          <w:spacing w:val="-3"/>
          <w:sz w:val="22"/>
          <w:szCs w:val="22"/>
        </w:rPr>
        <w:t xml:space="preserve">, et al., WC Docket No, 14-130 et al., </w:t>
      </w:r>
      <w:r w:rsidRPr="0038701D" w:rsidR="004B1887">
        <w:rPr>
          <w:rFonts w:ascii="Times New Roman" w:hAnsi="Times New Roman"/>
          <w:spacing w:val="-3"/>
          <w:sz w:val="22"/>
          <w:szCs w:val="22"/>
        </w:rPr>
        <w:t xml:space="preserve">Report and Order, </w:t>
      </w:r>
      <w:r w:rsidRPr="0038701D">
        <w:rPr>
          <w:rFonts w:ascii="Times New Roman" w:hAnsi="Times New Roman"/>
          <w:spacing w:val="-3"/>
          <w:sz w:val="22"/>
          <w:szCs w:val="22"/>
        </w:rPr>
        <w:t xml:space="preserve">32 FCC </w:t>
      </w:r>
      <w:r w:rsidRPr="0038701D">
        <w:rPr>
          <w:rFonts w:ascii="Times New Roman" w:hAnsi="Times New Roman"/>
          <w:spacing w:val="-3"/>
          <w:sz w:val="22"/>
          <w:szCs w:val="22"/>
        </w:rPr>
        <w:t>Rcd</w:t>
      </w:r>
      <w:r w:rsidRPr="0038701D">
        <w:rPr>
          <w:rFonts w:ascii="Times New Roman" w:hAnsi="Times New Roman"/>
          <w:spacing w:val="-3"/>
          <w:sz w:val="22"/>
          <w:szCs w:val="22"/>
        </w:rPr>
        <w:t xml:space="preserve"> 1735 (2017) para. 44. </w:t>
      </w:r>
    </w:p>
  </w:footnote>
  <w:footnote w:id="4">
    <w:p w:rsidR="009041B2" w:rsidRPr="00FF09FA" w:rsidP="00E830E0" w14:paraId="4114B5D7" w14:textId="715709B2">
      <w:pPr>
        <w:pStyle w:val="EndnoteText"/>
        <w:rPr>
          <w:rFonts w:ascii="Times New Roman" w:hAnsi="Times New Roman"/>
          <w:sz w:val="22"/>
          <w:szCs w:val="22"/>
        </w:rPr>
      </w:pPr>
      <w:r w:rsidRPr="0038701D">
        <w:rPr>
          <w:rStyle w:val="FootnoteReference"/>
          <w:rFonts w:ascii="Times New Roman" w:hAnsi="Times New Roman"/>
          <w:sz w:val="22"/>
          <w:szCs w:val="22"/>
        </w:rPr>
        <w:footnoteRef/>
      </w:r>
      <w:r>
        <w:t xml:space="preserve"> </w:t>
      </w:r>
      <w:r w:rsidRPr="00FF09FA" w:rsidR="00E830E0">
        <w:rPr>
          <w:rFonts w:ascii="Times New Roman" w:hAnsi="Times New Roman"/>
          <w:sz w:val="22"/>
          <w:szCs w:val="22"/>
        </w:rPr>
        <w:t xml:space="preserve">Salary Table </w:t>
      </w:r>
      <w:r w:rsidRPr="00FF09FA" w:rsidR="00E825CC">
        <w:rPr>
          <w:rFonts w:ascii="Times New Roman" w:hAnsi="Times New Roman"/>
          <w:sz w:val="22"/>
          <w:szCs w:val="22"/>
        </w:rPr>
        <w:t>202</w:t>
      </w:r>
      <w:r w:rsidR="00EE15CE">
        <w:rPr>
          <w:rFonts w:ascii="Times New Roman" w:hAnsi="Times New Roman"/>
          <w:sz w:val="22"/>
          <w:szCs w:val="22"/>
        </w:rPr>
        <w:t>3</w:t>
      </w:r>
      <w:r w:rsidRPr="00FF09FA" w:rsidR="00E830E0">
        <w:rPr>
          <w:rFonts w:ascii="Times New Roman" w:hAnsi="Times New Roman"/>
          <w:sz w:val="22"/>
          <w:szCs w:val="22"/>
        </w:rPr>
        <w:t xml:space="preserve"> – </w:t>
      </w:r>
      <w:r w:rsidRPr="00FF09FA" w:rsidR="006F1B69">
        <w:rPr>
          <w:rFonts w:ascii="Times New Roman" w:hAnsi="Times New Roman"/>
          <w:sz w:val="22"/>
          <w:szCs w:val="22"/>
        </w:rPr>
        <w:t>DCB</w:t>
      </w:r>
      <w:r w:rsidRPr="00FF09FA" w:rsidR="00E830E0">
        <w:rPr>
          <w:rFonts w:ascii="Times New Roman" w:hAnsi="Times New Roman"/>
          <w:sz w:val="22"/>
          <w:szCs w:val="22"/>
        </w:rPr>
        <w:t xml:space="preserve">, </w:t>
      </w:r>
      <w:r w:rsidRPr="00FF09FA" w:rsidR="006F1B69">
        <w:rPr>
          <w:rFonts w:ascii="Times New Roman" w:hAnsi="Times New Roman"/>
          <w:sz w:val="22"/>
          <w:szCs w:val="22"/>
        </w:rPr>
        <w:t xml:space="preserve">Incorporating the </w:t>
      </w:r>
      <w:r w:rsidR="00EE15CE">
        <w:rPr>
          <w:rFonts w:ascii="Times New Roman" w:hAnsi="Times New Roman"/>
          <w:sz w:val="22"/>
          <w:szCs w:val="22"/>
        </w:rPr>
        <w:t>4.1</w:t>
      </w:r>
      <w:r w:rsidRPr="00FF09FA" w:rsidR="006F1B69">
        <w:rPr>
          <w:rFonts w:ascii="Times New Roman" w:hAnsi="Times New Roman"/>
          <w:sz w:val="22"/>
          <w:szCs w:val="22"/>
        </w:rPr>
        <w:t>% General Schedule Increase and a Locality Payment of 3</w:t>
      </w:r>
      <w:r w:rsidR="00EE15CE">
        <w:rPr>
          <w:rFonts w:ascii="Times New Roman" w:hAnsi="Times New Roman"/>
          <w:sz w:val="22"/>
          <w:szCs w:val="22"/>
        </w:rPr>
        <w:t>2</w:t>
      </w:r>
      <w:r w:rsidRPr="00FF09FA" w:rsidR="006F1B69">
        <w:rPr>
          <w:rFonts w:ascii="Times New Roman" w:hAnsi="Times New Roman"/>
          <w:sz w:val="22"/>
          <w:szCs w:val="22"/>
        </w:rPr>
        <w:t>.4</w:t>
      </w:r>
      <w:r w:rsidR="00EE15CE">
        <w:rPr>
          <w:rFonts w:ascii="Times New Roman" w:hAnsi="Times New Roman"/>
          <w:sz w:val="22"/>
          <w:szCs w:val="22"/>
        </w:rPr>
        <w:t>9</w:t>
      </w:r>
      <w:r w:rsidRPr="00FF09FA" w:rsidR="006F1B69">
        <w:rPr>
          <w:rFonts w:ascii="Times New Roman" w:hAnsi="Times New Roman"/>
          <w:sz w:val="22"/>
          <w:szCs w:val="22"/>
        </w:rPr>
        <w:t xml:space="preserve">% for the Locality Pay Area of Washington-Baltimore-Arlington, DC-MD-VA-WV-PA,  </w:t>
      </w:r>
      <w:hyperlink r:id="rId1" w:history="1">
        <w:r w:rsidR="00EE15CE">
          <w:rPr>
            <w:rFonts w:ascii="Times New Roman" w:hAnsi="Times New Roman"/>
            <w:color w:val="0000FF"/>
            <w:sz w:val="22"/>
            <w:szCs w:val="22"/>
            <w:u w:val="single"/>
          </w:rPr>
          <w:t>https://www.opm.gov/policy-data-oversight/pay-leave/salaries-wages/salary-tables/pdf/2023/DCB_h.pdf</w:t>
        </w:r>
      </w:hyperlink>
      <w:r w:rsidRPr="00FF09FA" w:rsidR="00E830E0">
        <w:rPr>
          <w:rFonts w:ascii="Times New Roman" w:hAnsi="Times New Roman"/>
          <w:sz w:val="22"/>
          <w:szCs w:val="22"/>
        </w:rPr>
        <w:t xml:space="preserve">  The hourly salary </w:t>
      </w:r>
      <w:r w:rsidRPr="00FF09FA" w:rsidR="00F77DF7">
        <w:rPr>
          <w:rFonts w:ascii="Times New Roman" w:hAnsi="Times New Roman"/>
          <w:sz w:val="22"/>
          <w:szCs w:val="22"/>
        </w:rPr>
        <w:t xml:space="preserve">for a GS 11/5 employee is </w:t>
      </w:r>
      <w:r w:rsidR="00EE15CE">
        <w:rPr>
          <w:rFonts w:ascii="Times New Roman" w:hAnsi="Times New Roman"/>
          <w:sz w:val="22"/>
          <w:szCs w:val="22"/>
        </w:rPr>
        <w:t>$42.68</w:t>
      </w:r>
      <w:r w:rsidRPr="00FF09FA" w:rsidR="00E830E0">
        <w:rPr>
          <w:rFonts w:ascii="Times New Roman" w:hAnsi="Times New Roman"/>
          <w:sz w:val="22"/>
          <w:szCs w:val="22"/>
        </w:rPr>
        <w:t>.  Thirty (30) percent overhead was added to the hourly salary, which gives a total of</w:t>
      </w:r>
      <w:r w:rsidRPr="00FF09FA" w:rsidR="00F77DF7">
        <w:rPr>
          <w:rFonts w:ascii="Times New Roman" w:hAnsi="Times New Roman"/>
          <w:sz w:val="22"/>
          <w:szCs w:val="22"/>
        </w:rPr>
        <w:t xml:space="preserve"> $</w:t>
      </w:r>
      <w:r w:rsidR="007F4B9E">
        <w:rPr>
          <w:rFonts w:ascii="Times New Roman" w:hAnsi="Times New Roman"/>
          <w:sz w:val="22"/>
          <w:szCs w:val="22"/>
        </w:rPr>
        <w:t>42.68</w:t>
      </w:r>
      <w:r w:rsidRPr="00FF09FA" w:rsidR="00F77DF7">
        <w:rPr>
          <w:rFonts w:ascii="Times New Roman" w:hAnsi="Times New Roman"/>
          <w:sz w:val="22"/>
          <w:szCs w:val="22"/>
        </w:rPr>
        <w:t xml:space="preserve"> + $</w:t>
      </w:r>
      <w:r w:rsidR="007F4B9E">
        <w:rPr>
          <w:rFonts w:ascii="Times New Roman" w:hAnsi="Times New Roman"/>
          <w:sz w:val="22"/>
          <w:szCs w:val="22"/>
        </w:rPr>
        <w:t>12.80</w:t>
      </w:r>
      <w:r w:rsidRPr="00FF09FA" w:rsidR="00347306">
        <w:rPr>
          <w:rFonts w:ascii="Times New Roman" w:hAnsi="Times New Roman"/>
          <w:sz w:val="22"/>
          <w:szCs w:val="22"/>
        </w:rPr>
        <w:t xml:space="preserve"> = $</w:t>
      </w:r>
      <w:r w:rsidRPr="00FF09FA" w:rsidR="006F1B69">
        <w:rPr>
          <w:rFonts w:ascii="Times New Roman" w:hAnsi="Times New Roman"/>
          <w:sz w:val="22"/>
          <w:szCs w:val="22"/>
        </w:rPr>
        <w:t>5</w:t>
      </w:r>
      <w:r w:rsidR="007F4B9E">
        <w:rPr>
          <w:rFonts w:ascii="Times New Roman" w:hAnsi="Times New Roman"/>
          <w:sz w:val="22"/>
          <w:szCs w:val="22"/>
        </w:rPr>
        <w:t>5</w:t>
      </w:r>
      <w:r w:rsidRPr="00FF09FA" w:rsidR="006F1B69">
        <w:rPr>
          <w:rFonts w:ascii="Times New Roman" w:hAnsi="Times New Roman"/>
          <w:sz w:val="22"/>
          <w:szCs w:val="22"/>
        </w:rPr>
        <w:t>.</w:t>
      </w:r>
      <w:r w:rsidR="007F4B9E">
        <w:rPr>
          <w:rFonts w:ascii="Times New Roman" w:hAnsi="Times New Roman"/>
          <w:sz w:val="22"/>
          <w:szCs w:val="22"/>
        </w:rPr>
        <w:t>48</w:t>
      </w:r>
      <w:r w:rsidRPr="00FF09FA" w:rsidR="00F77DF7">
        <w:rPr>
          <w:rFonts w:ascii="Times New Roman" w:hAnsi="Times New Roman"/>
          <w:sz w:val="22"/>
          <w:szCs w:val="22"/>
        </w:rPr>
        <w:t>.</w:t>
      </w:r>
      <w:r w:rsidRPr="00FF09FA">
        <w:rPr>
          <w:rFonts w:ascii="Times New Roman" w:hAnsi="Times New Roman"/>
          <w:sz w:val="22"/>
          <w:szCs w:val="22"/>
        </w:rPr>
        <w:t xml:space="preserve"> </w:t>
      </w:r>
    </w:p>
    <w:p w:rsidR="009041B2" w:rsidP="009041B2" w14:paraId="187AE54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5FD1" w:rsidRPr="00161051" w:rsidP="00173CB5" w14:paraId="2EC1695C" w14:textId="619A276C">
    <w:pPr>
      <w:pStyle w:val="Header"/>
      <w:jc w:val="right"/>
      <w:rPr>
        <w:rFonts w:ascii="Times New Roman" w:hAnsi="Times New Roman"/>
        <w:b/>
      </w:rPr>
    </w:pPr>
    <w:r>
      <w:rPr>
        <w:rFonts w:ascii="Times New Roman" w:hAnsi="Times New Roman"/>
        <w:b/>
      </w:rPr>
      <w:t>ARMIS Annual Summary Report</w:t>
    </w:r>
    <w:r w:rsidR="003E663F">
      <w:rPr>
        <w:rFonts w:ascii="Times New Roman" w:hAnsi="Times New Roman"/>
        <w:b/>
      </w:rPr>
      <w:t xml:space="preserve">, </w:t>
    </w:r>
    <w:r w:rsidR="00181A70">
      <w:rPr>
        <w:rFonts w:ascii="Times New Roman" w:hAnsi="Times New Roman"/>
        <w:b/>
      </w:rPr>
      <w:t>FCC</w:t>
    </w:r>
    <w:r w:rsidR="009041B2">
      <w:rPr>
        <w:rFonts w:ascii="Times New Roman" w:hAnsi="Times New Roman"/>
        <w:b/>
      </w:rPr>
      <w:t xml:space="preserve"> Report 43-01</w:t>
    </w:r>
    <w:r>
      <w:rPr>
        <w:rFonts w:ascii="Times New Roman" w:hAnsi="Times New Roman"/>
        <w:b/>
      </w:rPr>
      <w:tab/>
    </w:r>
    <w:r w:rsidR="000371FA">
      <w:rPr>
        <w:rFonts w:ascii="Times New Roman" w:hAnsi="Times New Roman"/>
        <w:b/>
      </w:rPr>
      <w:t xml:space="preserve">      </w:t>
    </w:r>
    <w:r w:rsidR="003E663F">
      <w:rPr>
        <w:rFonts w:ascii="Times New Roman" w:hAnsi="Times New Roman"/>
        <w:b/>
      </w:rPr>
      <w:t xml:space="preserve">         </w:t>
    </w:r>
    <w:r w:rsidR="00173CB5">
      <w:rPr>
        <w:rFonts w:ascii="Times New Roman" w:hAnsi="Times New Roman"/>
        <w:b/>
      </w:rPr>
      <w:t xml:space="preserve">      </w:t>
    </w:r>
    <w:r w:rsidRPr="00161051" w:rsidR="00B33A03">
      <w:rPr>
        <w:rFonts w:ascii="Times New Roman" w:hAnsi="Times New Roman"/>
        <w:b/>
      </w:rPr>
      <w:t>3060-0512</w:t>
    </w:r>
  </w:p>
  <w:p w:rsidR="00B33A03" w:rsidRPr="00B868AB" w:rsidP="003E663F" w14:paraId="4CF3CCD5" w14:textId="062CC94E">
    <w:pPr>
      <w:pStyle w:val="Header"/>
      <w:jc w:val="right"/>
      <w:rPr>
        <w:rFonts w:ascii="Times New Roman" w:hAnsi="Times New Roman"/>
      </w:rPr>
    </w:pPr>
    <w:r>
      <w:rPr>
        <w:rFonts w:ascii="Times New Roman" w:hAnsi="Times New Roman"/>
        <w:b/>
      </w:rPr>
      <w:t>June</w:t>
    </w:r>
    <w:r w:rsidRPr="003C6178" w:rsidR="002D7D05">
      <w:rPr>
        <w:rFonts w:ascii="Times New Roman" w:hAnsi="Times New Roman"/>
        <w:b/>
      </w:rPr>
      <w:t xml:space="preserve"> 20</w:t>
    </w:r>
    <w:r w:rsidR="00894A87">
      <w:rPr>
        <w:rFonts w:ascii="Times New Roman" w:hAnsi="Times New Roman"/>
        <w:b/>
      </w:rPr>
      <w:t>2</w:t>
    </w:r>
    <w:r w:rsidR="00B74F27">
      <w:rPr>
        <w:rFonts w:ascii="Times New Roman" w:hAnsi="Times New Roman"/>
        <w: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9B6" w:rsidP="005D39B6" w14:paraId="4701BAB7" w14:textId="77777777">
    <w:pPr>
      <w:pStyle w:val="Header"/>
      <w:jc w:val="right"/>
      <w:rPr>
        <w:rFonts w:ascii="Times New Roman" w:hAnsi="Times New Roman"/>
      </w:rPr>
    </w:pPr>
    <w:r w:rsidRPr="005D39B6">
      <w:rPr>
        <w:rFonts w:ascii="Times New Roman" w:hAnsi="Times New Roman"/>
        <w:b/>
      </w:rPr>
      <w:t>3060-05</w:t>
    </w:r>
    <w:r w:rsidRPr="005D39B6">
      <w:rPr>
        <w:rFonts w:ascii="Times New Roman" w:hAnsi="Times New Roman"/>
        <w:b/>
      </w:rPr>
      <w:t>12</w:t>
    </w:r>
  </w:p>
  <w:p w:rsidR="00B33A03" w:rsidRPr="00361FF1" w:rsidP="005D39B6" w14:paraId="2864C7E0" w14:textId="77777777">
    <w:pPr>
      <w:pStyle w:val="Header"/>
      <w:jc w:val="right"/>
      <w:rPr>
        <w:rFonts w:ascii="Times New Roman" w:hAnsi="Times New Roman"/>
      </w:rPr>
    </w:pPr>
    <w:r w:rsidRPr="00361FF1">
      <w:rPr>
        <w:rFonts w:ascii="Times New Roman" w:hAnsi="Times New Roman"/>
      </w:rPr>
      <w:t xml:space="preserve">                    </w:t>
    </w:r>
    <w:r>
      <w:rPr>
        <w:rFonts w:ascii="Times New Roman" w:hAnsi="Times New Roman"/>
      </w:rPr>
      <w:t xml:space="preserve">                                                 </w:t>
    </w:r>
    <w:r w:rsidR="00EC6736">
      <w:rPr>
        <w:rFonts w:ascii="Times New Roman" w:hAnsi="Times New Roman"/>
      </w:rPr>
      <w:t>April</w:t>
    </w:r>
    <w:r w:rsidR="009219E1">
      <w:rPr>
        <w:rFonts w:ascii="Times New Roman" w:hAnsi="Times New Roman"/>
      </w:rPr>
      <w:t xml:space="preserve"> </w:t>
    </w:r>
    <w:r w:rsidR="009A616F">
      <w:rPr>
        <w:rFonts w:ascii="Times New Roman" w:hAnsi="Times New Roman"/>
      </w:rPr>
      <w:t>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04B5F"/>
    <w:multiLevelType w:val="hybridMultilevel"/>
    <w:tmpl w:val="D6E4803E"/>
    <w:lvl w:ilvl="0">
      <w:start w:val="3"/>
      <w:numFmt w:val="decimal"/>
      <w:lvlText w:val="%1."/>
      <w:lvlJc w:val="left"/>
      <w:pPr>
        <w:tabs>
          <w:tab w:val="num" w:pos="1170"/>
        </w:tabs>
        <w:ind w:left="117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8677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F51F2"/>
    <w:rsid w:val="000005F4"/>
    <w:rsid w:val="00001790"/>
    <w:rsid w:val="00010BDD"/>
    <w:rsid w:val="00013FA2"/>
    <w:rsid w:val="00021E96"/>
    <w:rsid w:val="00022377"/>
    <w:rsid w:val="000236D6"/>
    <w:rsid w:val="000272A5"/>
    <w:rsid w:val="00034770"/>
    <w:rsid w:val="00036A38"/>
    <w:rsid w:val="000371FA"/>
    <w:rsid w:val="00037901"/>
    <w:rsid w:val="00037CFB"/>
    <w:rsid w:val="000412DE"/>
    <w:rsid w:val="00046349"/>
    <w:rsid w:val="000470B8"/>
    <w:rsid w:val="00047872"/>
    <w:rsid w:val="00056B95"/>
    <w:rsid w:val="00065A69"/>
    <w:rsid w:val="000742F6"/>
    <w:rsid w:val="00076525"/>
    <w:rsid w:val="00082399"/>
    <w:rsid w:val="00083C2A"/>
    <w:rsid w:val="00092743"/>
    <w:rsid w:val="000934F3"/>
    <w:rsid w:val="000956A1"/>
    <w:rsid w:val="000A49C2"/>
    <w:rsid w:val="000B00A6"/>
    <w:rsid w:val="000B120A"/>
    <w:rsid w:val="000B2FF5"/>
    <w:rsid w:val="000B6854"/>
    <w:rsid w:val="000C0500"/>
    <w:rsid w:val="000D0609"/>
    <w:rsid w:val="000D0D08"/>
    <w:rsid w:val="000E119B"/>
    <w:rsid w:val="000E12FD"/>
    <w:rsid w:val="000E5F87"/>
    <w:rsid w:val="000F009F"/>
    <w:rsid w:val="000F041E"/>
    <w:rsid w:val="000F1FCF"/>
    <w:rsid w:val="001005B9"/>
    <w:rsid w:val="00100A4F"/>
    <w:rsid w:val="00105FD1"/>
    <w:rsid w:val="00106A20"/>
    <w:rsid w:val="001126E3"/>
    <w:rsid w:val="00114DA3"/>
    <w:rsid w:val="00123227"/>
    <w:rsid w:val="00131186"/>
    <w:rsid w:val="001322D7"/>
    <w:rsid w:val="0013543C"/>
    <w:rsid w:val="00142D47"/>
    <w:rsid w:val="00160B42"/>
    <w:rsid w:val="00161051"/>
    <w:rsid w:val="0017127D"/>
    <w:rsid w:val="001730D6"/>
    <w:rsid w:val="00173CB5"/>
    <w:rsid w:val="00181A70"/>
    <w:rsid w:val="001820F3"/>
    <w:rsid w:val="00185D28"/>
    <w:rsid w:val="00187B45"/>
    <w:rsid w:val="00190E0C"/>
    <w:rsid w:val="0019134E"/>
    <w:rsid w:val="001A045F"/>
    <w:rsid w:val="001B2154"/>
    <w:rsid w:val="001B2DDB"/>
    <w:rsid w:val="001C1525"/>
    <w:rsid w:val="001C4F61"/>
    <w:rsid w:val="001D38DA"/>
    <w:rsid w:val="001E434C"/>
    <w:rsid w:val="00201A16"/>
    <w:rsid w:val="002152AD"/>
    <w:rsid w:val="002157B9"/>
    <w:rsid w:val="00216110"/>
    <w:rsid w:val="00216373"/>
    <w:rsid w:val="00221CA0"/>
    <w:rsid w:val="00233659"/>
    <w:rsid w:val="00233A03"/>
    <w:rsid w:val="00234F3D"/>
    <w:rsid w:val="002355D6"/>
    <w:rsid w:val="00235DFD"/>
    <w:rsid w:val="0024654B"/>
    <w:rsid w:val="002554DE"/>
    <w:rsid w:val="00262E1F"/>
    <w:rsid w:val="002655B1"/>
    <w:rsid w:val="00266CDE"/>
    <w:rsid w:val="00267D99"/>
    <w:rsid w:val="00283C33"/>
    <w:rsid w:val="00293719"/>
    <w:rsid w:val="002958AD"/>
    <w:rsid w:val="002968C5"/>
    <w:rsid w:val="002975F6"/>
    <w:rsid w:val="0029780A"/>
    <w:rsid w:val="002A1C0E"/>
    <w:rsid w:val="002B249D"/>
    <w:rsid w:val="002B64D5"/>
    <w:rsid w:val="002B7CB7"/>
    <w:rsid w:val="002C1A75"/>
    <w:rsid w:val="002C7E5C"/>
    <w:rsid w:val="002D2219"/>
    <w:rsid w:val="002D49E3"/>
    <w:rsid w:val="002D7D05"/>
    <w:rsid w:val="002D7F17"/>
    <w:rsid w:val="002E1521"/>
    <w:rsid w:val="002E1CD6"/>
    <w:rsid w:val="002E203D"/>
    <w:rsid w:val="002E2C42"/>
    <w:rsid w:val="002E36CB"/>
    <w:rsid w:val="002F0371"/>
    <w:rsid w:val="002F34C6"/>
    <w:rsid w:val="002F6789"/>
    <w:rsid w:val="00301A2A"/>
    <w:rsid w:val="003026E9"/>
    <w:rsid w:val="003078FB"/>
    <w:rsid w:val="00307F33"/>
    <w:rsid w:val="0031104B"/>
    <w:rsid w:val="00315664"/>
    <w:rsid w:val="00317C08"/>
    <w:rsid w:val="003359E4"/>
    <w:rsid w:val="00335F9F"/>
    <w:rsid w:val="00337300"/>
    <w:rsid w:val="00347306"/>
    <w:rsid w:val="003563EC"/>
    <w:rsid w:val="0036140D"/>
    <w:rsid w:val="00361FF1"/>
    <w:rsid w:val="00362F4D"/>
    <w:rsid w:val="00362FD5"/>
    <w:rsid w:val="00367745"/>
    <w:rsid w:val="00371088"/>
    <w:rsid w:val="003721EC"/>
    <w:rsid w:val="00380179"/>
    <w:rsid w:val="00384E0E"/>
    <w:rsid w:val="0038701D"/>
    <w:rsid w:val="003A06E4"/>
    <w:rsid w:val="003A44C8"/>
    <w:rsid w:val="003A7BD0"/>
    <w:rsid w:val="003B3363"/>
    <w:rsid w:val="003B470A"/>
    <w:rsid w:val="003B4DC6"/>
    <w:rsid w:val="003C13A3"/>
    <w:rsid w:val="003C6178"/>
    <w:rsid w:val="003C752A"/>
    <w:rsid w:val="003D3965"/>
    <w:rsid w:val="003D7C62"/>
    <w:rsid w:val="003E12B6"/>
    <w:rsid w:val="003E663F"/>
    <w:rsid w:val="003E6D8B"/>
    <w:rsid w:val="003F0CEA"/>
    <w:rsid w:val="003F1197"/>
    <w:rsid w:val="003F25FC"/>
    <w:rsid w:val="003F33DF"/>
    <w:rsid w:val="003F3BBB"/>
    <w:rsid w:val="0040429E"/>
    <w:rsid w:val="00407D10"/>
    <w:rsid w:val="00414827"/>
    <w:rsid w:val="00430046"/>
    <w:rsid w:val="0043484E"/>
    <w:rsid w:val="00436ACF"/>
    <w:rsid w:val="004379C2"/>
    <w:rsid w:val="0044099B"/>
    <w:rsid w:val="00442D48"/>
    <w:rsid w:val="00453892"/>
    <w:rsid w:val="00461A23"/>
    <w:rsid w:val="00461C01"/>
    <w:rsid w:val="004655C8"/>
    <w:rsid w:val="00482244"/>
    <w:rsid w:val="00493ED8"/>
    <w:rsid w:val="00496F05"/>
    <w:rsid w:val="004A0427"/>
    <w:rsid w:val="004A386B"/>
    <w:rsid w:val="004B1887"/>
    <w:rsid w:val="004B20AF"/>
    <w:rsid w:val="004B5634"/>
    <w:rsid w:val="004C2F6D"/>
    <w:rsid w:val="004C3AD9"/>
    <w:rsid w:val="004C6C5C"/>
    <w:rsid w:val="004D054D"/>
    <w:rsid w:val="004E5A68"/>
    <w:rsid w:val="004F0A63"/>
    <w:rsid w:val="004F0C26"/>
    <w:rsid w:val="004F10CF"/>
    <w:rsid w:val="004F2FC6"/>
    <w:rsid w:val="004F33DA"/>
    <w:rsid w:val="00500492"/>
    <w:rsid w:val="00501CE9"/>
    <w:rsid w:val="005035E0"/>
    <w:rsid w:val="00505535"/>
    <w:rsid w:val="00511F46"/>
    <w:rsid w:val="00512CBF"/>
    <w:rsid w:val="00515D3E"/>
    <w:rsid w:val="00517319"/>
    <w:rsid w:val="0052595E"/>
    <w:rsid w:val="0053037E"/>
    <w:rsid w:val="0053775F"/>
    <w:rsid w:val="0055093E"/>
    <w:rsid w:val="00556C95"/>
    <w:rsid w:val="005635D5"/>
    <w:rsid w:val="00565783"/>
    <w:rsid w:val="0056679C"/>
    <w:rsid w:val="00567F7D"/>
    <w:rsid w:val="00573BC7"/>
    <w:rsid w:val="00575B97"/>
    <w:rsid w:val="00575F5D"/>
    <w:rsid w:val="0058065F"/>
    <w:rsid w:val="0058671A"/>
    <w:rsid w:val="005901DE"/>
    <w:rsid w:val="0059225A"/>
    <w:rsid w:val="005A0958"/>
    <w:rsid w:val="005A1597"/>
    <w:rsid w:val="005A3F3A"/>
    <w:rsid w:val="005B0E4C"/>
    <w:rsid w:val="005B1941"/>
    <w:rsid w:val="005B6EF1"/>
    <w:rsid w:val="005C0A76"/>
    <w:rsid w:val="005C393A"/>
    <w:rsid w:val="005D2A9D"/>
    <w:rsid w:val="005D2EB6"/>
    <w:rsid w:val="005D386C"/>
    <w:rsid w:val="005D39B6"/>
    <w:rsid w:val="005D7470"/>
    <w:rsid w:val="005D794D"/>
    <w:rsid w:val="005E24BC"/>
    <w:rsid w:val="005F27BF"/>
    <w:rsid w:val="005F51F2"/>
    <w:rsid w:val="005F799C"/>
    <w:rsid w:val="006007F6"/>
    <w:rsid w:val="00600BFF"/>
    <w:rsid w:val="0060756D"/>
    <w:rsid w:val="0061571A"/>
    <w:rsid w:val="0061581F"/>
    <w:rsid w:val="00616867"/>
    <w:rsid w:val="00625BEC"/>
    <w:rsid w:val="006361AF"/>
    <w:rsid w:val="00641928"/>
    <w:rsid w:val="00646CA8"/>
    <w:rsid w:val="00651282"/>
    <w:rsid w:val="006604C5"/>
    <w:rsid w:val="00671FBD"/>
    <w:rsid w:val="0067319E"/>
    <w:rsid w:val="00676D13"/>
    <w:rsid w:val="00677450"/>
    <w:rsid w:val="00680645"/>
    <w:rsid w:val="00681CDF"/>
    <w:rsid w:val="00694261"/>
    <w:rsid w:val="006A05E3"/>
    <w:rsid w:val="006A398B"/>
    <w:rsid w:val="006A6A09"/>
    <w:rsid w:val="006B1092"/>
    <w:rsid w:val="006B756F"/>
    <w:rsid w:val="006E11E9"/>
    <w:rsid w:val="006E24B5"/>
    <w:rsid w:val="006E2F5F"/>
    <w:rsid w:val="006E36E1"/>
    <w:rsid w:val="006E57C3"/>
    <w:rsid w:val="006E7D8E"/>
    <w:rsid w:val="006F1B69"/>
    <w:rsid w:val="006F3EFF"/>
    <w:rsid w:val="006F5609"/>
    <w:rsid w:val="00716187"/>
    <w:rsid w:val="007224DF"/>
    <w:rsid w:val="00723C05"/>
    <w:rsid w:val="00733D51"/>
    <w:rsid w:val="00735C2E"/>
    <w:rsid w:val="00740DB3"/>
    <w:rsid w:val="00751AB9"/>
    <w:rsid w:val="00751AC3"/>
    <w:rsid w:val="00751EF8"/>
    <w:rsid w:val="00755DF2"/>
    <w:rsid w:val="0075715F"/>
    <w:rsid w:val="00757432"/>
    <w:rsid w:val="00770C08"/>
    <w:rsid w:val="007732A8"/>
    <w:rsid w:val="00775BEA"/>
    <w:rsid w:val="00776A83"/>
    <w:rsid w:val="0077723C"/>
    <w:rsid w:val="007775EC"/>
    <w:rsid w:val="00790ED4"/>
    <w:rsid w:val="007933B7"/>
    <w:rsid w:val="00796747"/>
    <w:rsid w:val="00796A08"/>
    <w:rsid w:val="007A114A"/>
    <w:rsid w:val="007A1296"/>
    <w:rsid w:val="007A6BAF"/>
    <w:rsid w:val="007A7283"/>
    <w:rsid w:val="007B1B64"/>
    <w:rsid w:val="007B2587"/>
    <w:rsid w:val="007B33AC"/>
    <w:rsid w:val="007B4630"/>
    <w:rsid w:val="007B7826"/>
    <w:rsid w:val="007C0A58"/>
    <w:rsid w:val="007C425B"/>
    <w:rsid w:val="007C4994"/>
    <w:rsid w:val="007C6DEF"/>
    <w:rsid w:val="007E2C8D"/>
    <w:rsid w:val="007F1B06"/>
    <w:rsid w:val="007F4B9E"/>
    <w:rsid w:val="007F6893"/>
    <w:rsid w:val="00800DA4"/>
    <w:rsid w:val="00810005"/>
    <w:rsid w:val="00817B85"/>
    <w:rsid w:val="00817DEC"/>
    <w:rsid w:val="00826E7D"/>
    <w:rsid w:val="008334A7"/>
    <w:rsid w:val="00841FE7"/>
    <w:rsid w:val="00850B28"/>
    <w:rsid w:val="00851398"/>
    <w:rsid w:val="008567B4"/>
    <w:rsid w:val="00856A7A"/>
    <w:rsid w:val="0086050F"/>
    <w:rsid w:val="0086616E"/>
    <w:rsid w:val="00876726"/>
    <w:rsid w:val="0088692D"/>
    <w:rsid w:val="00891F0A"/>
    <w:rsid w:val="00894A87"/>
    <w:rsid w:val="008A51EA"/>
    <w:rsid w:val="008A6519"/>
    <w:rsid w:val="008A74C8"/>
    <w:rsid w:val="008B1758"/>
    <w:rsid w:val="008B188F"/>
    <w:rsid w:val="008B23B5"/>
    <w:rsid w:val="008B5949"/>
    <w:rsid w:val="008C3AC3"/>
    <w:rsid w:val="008D1551"/>
    <w:rsid w:val="008D4D5F"/>
    <w:rsid w:val="008D7B34"/>
    <w:rsid w:val="008E0F35"/>
    <w:rsid w:val="008F3654"/>
    <w:rsid w:val="008F4576"/>
    <w:rsid w:val="008F4EF9"/>
    <w:rsid w:val="008F56D4"/>
    <w:rsid w:val="00903489"/>
    <w:rsid w:val="009041B2"/>
    <w:rsid w:val="00906C6D"/>
    <w:rsid w:val="009118B0"/>
    <w:rsid w:val="00920174"/>
    <w:rsid w:val="009219E1"/>
    <w:rsid w:val="00922829"/>
    <w:rsid w:val="00945FDE"/>
    <w:rsid w:val="00946F69"/>
    <w:rsid w:val="00947569"/>
    <w:rsid w:val="00971D82"/>
    <w:rsid w:val="009721CE"/>
    <w:rsid w:val="009743FE"/>
    <w:rsid w:val="00985603"/>
    <w:rsid w:val="009A324B"/>
    <w:rsid w:val="009A4289"/>
    <w:rsid w:val="009A4E8A"/>
    <w:rsid w:val="009A616F"/>
    <w:rsid w:val="009C03A5"/>
    <w:rsid w:val="009C0CCB"/>
    <w:rsid w:val="009D35FE"/>
    <w:rsid w:val="009D458D"/>
    <w:rsid w:val="009E0906"/>
    <w:rsid w:val="009E4CA5"/>
    <w:rsid w:val="009E681E"/>
    <w:rsid w:val="009F1E98"/>
    <w:rsid w:val="00A03425"/>
    <w:rsid w:val="00A03E19"/>
    <w:rsid w:val="00A11B6E"/>
    <w:rsid w:val="00A13865"/>
    <w:rsid w:val="00A1513E"/>
    <w:rsid w:val="00A17806"/>
    <w:rsid w:val="00A20BF3"/>
    <w:rsid w:val="00A24A77"/>
    <w:rsid w:val="00A25A86"/>
    <w:rsid w:val="00A26398"/>
    <w:rsid w:val="00A31461"/>
    <w:rsid w:val="00A31812"/>
    <w:rsid w:val="00A424A1"/>
    <w:rsid w:val="00A45812"/>
    <w:rsid w:val="00A500EE"/>
    <w:rsid w:val="00A507DF"/>
    <w:rsid w:val="00A51257"/>
    <w:rsid w:val="00A56E8A"/>
    <w:rsid w:val="00A635BF"/>
    <w:rsid w:val="00A65103"/>
    <w:rsid w:val="00A65B8A"/>
    <w:rsid w:val="00A707E5"/>
    <w:rsid w:val="00A71C37"/>
    <w:rsid w:val="00A72E3B"/>
    <w:rsid w:val="00A741A2"/>
    <w:rsid w:val="00A80135"/>
    <w:rsid w:val="00A8084A"/>
    <w:rsid w:val="00A844B2"/>
    <w:rsid w:val="00A852B8"/>
    <w:rsid w:val="00A878E0"/>
    <w:rsid w:val="00A91CFD"/>
    <w:rsid w:val="00A948DE"/>
    <w:rsid w:val="00A9663C"/>
    <w:rsid w:val="00AA2B78"/>
    <w:rsid w:val="00AA7B17"/>
    <w:rsid w:val="00AB302F"/>
    <w:rsid w:val="00AB339B"/>
    <w:rsid w:val="00AC02B5"/>
    <w:rsid w:val="00AC45E7"/>
    <w:rsid w:val="00AD2991"/>
    <w:rsid w:val="00AD2BEB"/>
    <w:rsid w:val="00AD7DC0"/>
    <w:rsid w:val="00AE3D07"/>
    <w:rsid w:val="00AE735B"/>
    <w:rsid w:val="00AF3FF1"/>
    <w:rsid w:val="00AF5C6D"/>
    <w:rsid w:val="00B05BFC"/>
    <w:rsid w:val="00B113D5"/>
    <w:rsid w:val="00B1673A"/>
    <w:rsid w:val="00B23AF8"/>
    <w:rsid w:val="00B23F13"/>
    <w:rsid w:val="00B244CB"/>
    <w:rsid w:val="00B30D90"/>
    <w:rsid w:val="00B330DC"/>
    <w:rsid w:val="00B33A03"/>
    <w:rsid w:val="00B3413A"/>
    <w:rsid w:val="00B353FE"/>
    <w:rsid w:val="00B40B20"/>
    <w:rsid w:val="00B4265A"/>
    <w:rsid w:val="00B532FB"/>
    <w:rsid w:val="00B53FE3"/>
    <w:rsid w:val="00B573A2"/>
    <w:rsid w:val="00B61661"/>
    <w:rsid w:val="00B65801"/>
    <w:rsid w:val="00B727DA"/>
    <w:rsid w:val="00B74F27"/>
    <w:rsid w:val="00B774C0"/>
    <w:rsid w:val="00B856BC"/>
    <w:rsid w:val="00B868AB"/>
    <w:rsid w:val="00B87DB5"/>
    <w:rsid w:val="00B90442"/>
    <w:rsid w:val="00B922F0"/>
    <w:rsid w:val="00BA2C3F"/>
    <w:rsid w:val="00BA31E3"/>
    <w:rsid w:val="00BA75A0"/>
    <w:rsid w:val="00BB1E7E"/>
    <w:rsid w:val="00BB6F9E"/>
    <w:rsid w:val="00BC01A6"/>
    <w:rsid w:val="00BC2856"/>
    <w:rsid w:val="00BC6B9A"/>
    <w:rsid w:val="00BD294F"/>
    <w:rsid w:val="00BE1FB3"/>
    <w:rsid w:val="00BE2E11"/>
    <w:rsid w:val="00BE3E03"/>
    <w:rsid w:val="00BE6834"/>
    <w:rsid w:val="00BE7F8D"/>
    <w:rsid w:val="00BF1C9E"/>
    <w:rsid w:val="00BF311B"/>
    <w:rsid w:val="00C03D78"/>
    <w:rsid w:val="00C06192"/>
    <w:rsid w:val="00C071E3"/>
    <w:rsid w:val="00C0788A"/>
    <w:rsid w:val="00C07D88"/>
    <w:rsid w:val="00C10539"/>
    <w:rsid w:val="00C212EF"/>
    <w:rsid w:val="00C22830"/>
    <w:rsid w:val="00C233E3"/>
    <w:rsid w:val="00C3011A"/>
    <w:rsid w:val="00C33721"/>
    <w:rsid w:val="00C374C5"/>
    <w:rsid w:val="00C42757"/>
    <w:rsid w:val="00C53FEC"/>
    <w:rsid w:val="00C55E61"/>
    <w:rsid w:val="00C56E1E"/>
    <w:rsid w:val="00C57A24"/>
    <w:rsid w:val="00C82BF8"/>
    <w:rsid w:val="00C87F88"/>
    <w:rsid w:val="00C90479"/>
    <w:rsid w:val="00C916D5"/>
    <w:rsid w:val="00C91985"/>
    <w:rsid w:val="00C932B5"/>
    <w:rsid w:val="00CA129B"/>
    <w:rsid w:val="00CA644A"/>
    <w:rsid w:val="00CB215E"/>
    <w:rsid w:val="00CB59CF"/>
    <w:rsid w:val="00CC4164"/>
    <w:rsid w:val="00CC422E"/>
    <w:rsid w:val="00CC5175"/>
    <w:rsid w:val="00CC6F7B"/>
    <w:rsid w:val="00CD67FC"/>
    <w:rsid w:val="00CD6E0C"/>
    <w:rsid w:val="00CE2E90"/>
    <w:rsid w:val="00CF50FE"/>
    <w:rsid w:val="00CF5A68"/>
    <w:rsid w:val="00D0085F"/>
    <w:rsid w:val="00D02C01"/>
    <w:rsid w:val="00D03C1D"/>
    <w:rsid w:val="00D043FB"/>
    <w:rsid w:val="00D05985"/>
    <w:rsid w:val="00D07663"/>
    <w:rsid w:val="00D172B4"/>
    <w:rsid w:val="00D209ED"/>
    <w:rsid w:val="00D224C0"/>
    <w:rsid w:val="00D376B6"/>
    <w:rsid w:val="00D43E79"/>
    <w:rsid w:val="00D443BA"/>
    <w:rsid w:val="00D44F10"/>
    <w:rsid w:val="00D46604"/>
    <w:rsid w:val="00D51DC1"/>
    <w:rsid w:val="00D548A3"/>
    <w:rsid w:val="00D563AB"/>
    <w:rsid w:val="00D70F02"/>
    <w:rsid w:val="00D70F57"/>
    <w:rsid w:val="00D72E81"/>
    <w:rsid w:val="00D8475C"/>
    <w:rsid w:val="00D85938"/>
    <w:rsid w:val="00D91B0F"/>
    <w:rsid w:val="00D93A04"/>
    <w:rsid w:val="00DA3D83"/>
    <w:rsid w:val="00DA4EA3"/>
    <w:rsid w:val="00DB1767"/>
    <w:rsid w:val="00DB247C"/>
    <w:rsid w:val="00DE538D"/>
    <w:rsid w:val="00DE6026"/>
    <w:rsid w:val="00DE6637"/>
    <w:rsid w:val="00DF067A"/>
    <w:rsid w:val="00DF511A"/>
    <w:rsid w:val="00E226D0"/>
    <w:rsid w:val="00E30EC5"/>
    <w:rsid w:val="00E3429F"/>
    <w:rsid w:val="00E34315"/>
    <w:rsid w:val="00E461F1"/>
    <w:rsid w:val="00E524A2"/>
    <w:rsid w:val="00E55672"/>
    <w:rsid w:val="00E7261E"/>
    <w:rsid w:val="00E751CF"/>
    <w:rsid w:val="00E825CC"/>
    <w:rsid w:val="00E830E0"/>
    <w:rsid w:val="00E92F38"/>
    <w:rsid w:val="00E94319"/>
    <w:rsid w:val="00EA3556"/>
    <w:rsid w:val="00EA7201"/>
    <w:rsid w:val="00EB064C"/>
    <w:rsid w:val="00EB1ED0"/>
    <w:rsid w:val="00EB31A0"/>
    <w:rsid w:val="00EB46A1"/>
    <w:rsid w:val="00EC6736"/>
    <w:rsid w:val="00ED4DF8"/>
    <w:rsid w:val="00ED62B5"/>
    <w:rsid w:val="00EE15CE"/>
    <w:rsid w:val="00EE487F"/>
    <w:rsid w:val="00EE4B2B"/>
    <w:rsid w:val="00EE5934"/>
    <w:rsid w:val="00EF4013"/>
    <w:rsid w:val="00F075E6"/>
    <w:rsid w:val="00F16D84"/>
    <w:rsid w:val="00F171FA"/>
    <w:rsid w:val="00F239DA"/>
    <w:rsid w:val="00F24597"/>
    <w:rsid w:val="00F2636E"/>
    <w:rsid w:val="00F33526"/>
    <w:rsid w:val="00F358B9"/>
    <w:rsid w:val="00F404C1"/>
    <w:rsid w:val="00F4637C"/>
    <w:rsid w:val="00F51607"/>
    <w:rsid w:val="00F52EBD"/>
    <w:rsid w:val="00F53564"/>
    <w:rsid w:val="00F57E5F"/>
    <w:rsid w:val="00F602A2"/>
    <w:rsid w:val="00F61281"/>
    <w:rsid w:val="00F74ED5"/>
    <w:rsid w:val="00F77DF7"/>
    <w:rsid w:val="00F8149D"/>
    <w:rsid w:val="00F82F55"/>
    <w:rsid w:val="00F83A86"/>
    <w:rsid w:val="00F85065"/>
    <w:rsid w:val="00FA341F"/>
    <w:rsid w:val="00FA6AE0"/>
    <w:rsid w:val="00FB27AB"/>
    <w:rsid w:val="00FB57EB"/>
    <w:rsid w:val="00FB641D"/>
    <w:rsid w:val="00FC106A"/>
    <w:rsid w:val="00FC2C97"/>
    <w:rsid w:val="00FC6570"/>
    <w:rsid w:val="00FC74F9"/>
    <w:rsid w:val="00FD116A"/>
    <w:rsid w:val="00FD6BB1"/>
    <w:rsid w:val="00FE206A"/>
    <w:rsid w:val="00FE5DCC"/>
    <w:rsid w:val="00FE5F16"/>
    <w:rsid w:val="00FF03A0"/>
    <w:rsid w:val="00FF09FA"/>
    <w:rsid w:val="00FF2046"/>
    <w:rsid w:val="01ACB233"/>
    <w:rsid w:val="05388C7D"/>
    <w:rsid w:val="06D2286D"/>
    <w:rsid w:val="07C1F8B3"/>
    <w:rsid w:val="08976F63"/>
    <w:rsid w:val="139F402B"/>
    <w:rsid w:val="13FF7BF9"/>
    <w:rsid w:val="187B2D1F"/>
    <w:rsid w:val="199EF127"/>
    <w:rsid w:val="20347292"/>
    <w:rsid w:val="232999A6"/>
    <w:rsid w:val="25FB0F30"/>
    <w:rsid w:val="317509C4"/>
    <w:rsid w:val="31925C96"/>
    <w:rsid w:val="346941AE"/>
    <w:rsid w:val="353D7D64"/>
    <w:rsid w:val="3688E8E7"/>
    <w:rsid w:val="3C10AC52"/>
    <w:rsid w:val="3C765CE4"/>
    <w:rsid w:val="3D4FCF67"/>
    <w:rsid w:val="4037658B"/>
    <w:rsid w:val="41AAE413"/>
    <w:rsid w:val="42A1CF22"/>
    <w:rsid w:val="466C4C36"/>
    <w:rsid w:val="477DE285"/>
    <w:rsid w:val="47CB15E4"/>
    <w:rsid w:val="4AD3F2BC"/>
    <w:rsid w:val="4C745470"/>
    <w:rsid w:val="4D118F29"/>
    <w:rsid w:val="4E2786C6"/>
    <w:rsid w:val="4F0357F3"/>
    <w:rsid w:val="514B0092"/>
    <w:rsid w:val="528605B9"/>
    <w:rsid w:val="52FEFF6A"/>
    <w:rsid w:val="539CCCB1"/>
    <w:rsid w:val="5979EEAD"/>
    <w:rsid w:val="5C0D0C99"/>
    <w:rsid w:val="5D9E53F6"/>
    <w:rsid w:val="60251A82"/>
    <w:rsid w:val="61C37404"/>
    <w:rsid w:val="66AA7367"/>
    <w:rsid w:val="69324ACD"/>
    <w:rsid w:val="6E9BE9AA"/>
    <w:rsid w:val="7469B6EA"/>
    <w:rsid w:val="78170AC3"/>
    <w:rsid w:val="7A4227D2"/>
    <w:rsid w:val="7AD860F6"/>
    <w:rsid w:val="7B070352"/>
    <w:rsid w:val="7DC0A8D2"/>
    <w:rsid w:val="7E3FF5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3870A5"/>
  <w15:docId w15:val="{5E8F95E2-8C36-BB40-B65E-EC0AF67C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4F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pPr>
      <w:widowControl w:val="0"/>
    </w:pPr>
    <w:rPr>
      <w:rFonts w:ascii="Courier New" w:hAnsi="Courier New"/>
      <w:szCs w:val="20"/>
    </w:rPr>
  </w:style>
  <w:style w:type="character" w:styleId="EndnoteReference">
    <w:name w:val="endnote reference"/>
    <w:uiPriority w:val="99"/>
    <w:semiHidden/>
    <w:rPr>
      <w:vertAlign w:val="superscript"/>
    </w:rPr>
  </w:style>
  <w:style w:type="paragraph" w:styleId="FootnoteText">
    <w:name w:val="footnote text"/>
    <w:basedOn w:val="Normal"/>
    <w:semiHidden/>
    <w:pPr>
      <w:widowControl w:val="0"/>
    </w:pPr>
    <w:rPr>
      <w:rFonts w:ascii="Courier New" w:hAnsi="Courier New"/>
      <w:szCs w:val="20"/>
    </w:rPr>
  </w:style>
  <w:style w:type="character" w:styleId="FootnoteReference">
    <w:name w:val="footnote reference"/>
    <w:semiHidden/>
    <w:rPr>
      <w:vertAlign w:val="superscript"/>
    </w:rPr>
  </w:style>
  <w:style w:type="paragraph" w:styleId="TOC1">
    <w:name w:val="toc 1"/>
    <w:basedOn w:val="Normal"/>
    <w:next w:val="Normal"/>
    <w:semiHidden/>
    <w:pPr>
      <w:widowControl w:val="0"/>
      <w:tabs>
        <w:tab w:val="right" w:leader="dot" w:pos="9360"/>
      </w:tabs>
      <w:suppressAutoHyphens/>
      <w:spacing w:before="480"/>
      <w:ind w:left="720" w:right="720" w:hanging="720"/>
    </w:pPr>
    <w:rPr>
      <w:rFonts w:ascii="Courier New" w:hAnsi="Courier New"/>
      <w:szCs w:val="2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widowControl w:val="0"/>
      <w:tabs>
        <w:tab w:val="right" w:leader="dot" w:pos="9360"/>
      </w:tabs>
      <w:suppressAutoHyphens/>
      <w:ind w:left="1440" w:right="720" w:hanging="1440"/>
    </w:pPr>
    <w:rPr>
      <w:rFonts w:ascii="Courier New" w:hAnsi="Courier New"/>
      <w:szCs w:val="20"/>
    </w:r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pPr>
      <w:widowControl w:val="0"/>
    </w:pPr>
    <w:rPr>
      <w:rFonts w:ascii="Courier New" w:hAnsi="Courier New"/>
      <w:szCs w:val="20"/>
    </w:rPr>
  </w:style>
  <w:style w:type="character" w:customStyle="1" w:styleId="EquationCaption">
    <w:name w:val="_Equation Caption"/>
  </w:style>
  <w:style w:type="paragraph" w:styleId="Footer">
    <w:name w:val="footer"/>
    <w:basedOn w:val="Normal"/>
    <w:rsid w:val="00BF1C9E"/>
    <w:pPr>
      <w:widowControl w:val="0"/>
      <w:tabs>
        <w:tab w:val="center" w:pos="4320"/>
        <w:tab w:val="right" w:pos="8640"/>
      </w:tabs>
    </w:pPr>
    <w:rPr>
      <w:rFonts w:ascii="Courier New" w:hAnsi="Courier New"/>
      <w:szCs w:val="20"/>
    </w:rPr>
  </w:style>
  <w:style w:type="character" w:styleId="PageNumber">
    <w:name w:val="page number"/>
    <w:basedOn w:val="DefaultParagraphFont"/>
    <w:rsid w:val="00BF1C9E"/>
  </w:style>
  <w:style w:type="paragraph" w:styleId="Header">
    <w:name w:val="header"/>
    <w:basedOn w:val="Normal"/>
    <w:rsid w:val="004C2F6D"/>
    <w:pPr>
      <w:widowControl w:val="0"/>
      <w:tabs>
        <w:tab w:val="center" w:pos="4320"/>
        <w:tab w:val="right" w:pos="8640"/>
      </w:tabs>
    </w:pPr>
    <w:rPr>
      <w:rFonts w:ascii="Courier New" w:hAnsi="Courier New"/>
      <w:szCs w:val="20"/>
    </w:rPr>
  </w:style>
  <w:style w:type="character" w:styleId="Hyperlink">
    <w:name w:val="Hyperlink"/>
    <w:rsid w:val="00013FA2"/>
    <w:rPr>
      <w:color w:val="0000FF"/>
      <w:u w:val="single"/>
    </w:rPr>
  </w:style>
  <w:style w:type="paragraph" w:styleId="BalloonText">
    <w:name w:val="Balloon Text"/>
    <w:basedOn w:val="Normal"/>
    <w:semiHidden/>
    <w:rsid w:val="00575B97"/>
    <w:rPr>
      <w:rFonts w:ascii="Tahoma" w:hAnsi="Tahoma" w:cs="Tahoma"/>
      <w:sz w:val="16"/>
      <w:szCs w:val="16"/>
    </w:rPr>
  </w:style>
  <w:style w:type="character" w:styleId="CommentReference">
    <w:name w:val="annotation reference"/>
    <w:semiHidden/>
    <w:rsid w:val="007A7283"/>
    <w:rPr>
      <w:sz w:val="16"/>
      <w:szCs w:val="16"/>
    </w:rPr>
  </w:style>
  <w:style w:type="paragraph" w:styleId="CommentText">
    <w:name w:val="annotation text"/>
    <w:basedOn w:val="Normal"/>
    <w:link w:val="CommentTextChar"/>
    <w:semiHidden/>
    <w:rsid w:val="007A7283"/>
    <w:pPr>
      <w:widowControl w:val="0"/>
    </w:pPr>
    <w:rPr>
      <w:rFonts w:ascii="Courier New" w:hAnsi="Courier New"/>
      <w:sz w:val="20"/>
      <w:szCs w:val="20"/>
    </w:rPr>
  </w:style>
  <w:style w:type="paragraph" w:styleId="CommentSubject">
    <w:name w:val="annotation subject"/>
    <w:basedOn w:val="CommentText"/>
    <w:next w:val="CommentText"/>
    <w:link w:val="CommentSubjectChar"/>
    <w:rsid w:val="00B573A2"/>
    <w:rPr>
      <w:b/>
      <w:bCs/>
    </w:rPr>
  </w:style>
  <w:style w:type="character" w:customStyle="1" w:styleId="CommentTextChar">
    <w:name w:val="Comment Text Char"/>
    <w:link w:val="CommentText"/>
    <w:semiHidden/>
    <w:rsid w:val="00B573A2"/>
    <w:rPr>
      <w:rFonts w:ascii="Courier New" w:hAnsi="Courier New"/>
    </w:rPr>
  </w:style>
  <w:style w:type="character" w:customStyle="1" w:styleId="CommentSubjectChar">
    <w:name w:val="Comment Subject Char"/>
    <w:link w:val="CommentSubject"/>
    <w:rsid w:val="00B573A2"/>
    <w:rPr>
      <w:rFonts w:ascii="Courier New" w:hAnsi="Courier New"/>
      <w:b/>
      <w:bCs/>
    </w:rPr>
  </w:style>
  <w:style w:type="character" w:customStyle="1" w:styleId="EndnoteTextChar">
    <w:name w:val="Endnote Text Char"/>
    <w:basedOn w:val="DefaultParagraphFont"/>
    <w:link w:val="EndnoteText"/>
    <w:uiPriority w:val="99"/>
    <w:semiHidden/>
    <w:rsid w:val="00C0788A"/>
    <w:rPr>
      <w:rFonts w:ascii="Courier New" w:hAnsi="Courier New"/>
      <w:sz w:val="24"/>
    </w:rPr>
  </w:style>
  <w:style w:type="paragraph" w:styleId="Revision">
    <w:name w:val="Revision"/>
    <w:hidden/>
    <w:uiPriority w:val="99"/>
    <w:semiHidden/>
    <w:rsid w:val="009743FE"/>
    <w:rPr>
      <w:rFonts w:ascii="Courier New" w:hAnsi="Courier New"/>
      <w:sz w:val="24"/>
    </w:rPr>
  </w:style>
  <w:style w:type="table" w:styleId="TableGrid">
    <w:name w:val="Table Grid"/>
    <w:basedOn w:val="TableNormal"/>
    <w:rsid w:val="00B3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3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apps.fcc.gov/ecfs/" TargetMode="External" /><Relationship Id="rId11" Type="http://schemas.openxmlformats.org/officeDocument/2006/relationships/hyperlink" Target="http://www.fcc.gov/wcb/ecf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4B7D7D81D2E944A6C3D1F7AA176851" ma:contentTypeVersion="8" ma:contentTypeDescription="Create a new document." ma:contentTypeScope="" ma:versionID="067ecb4459bef1b2d27306c165a2be56">
  <xsd:schema xmlns:xsd="http://www.w3.org/2001/XMLSchema" xmlns:xs="http://www.w3.org/2001/XMLSchema" xmlns:p="http://schemas.microsoft.com/office/2006/metadata/properties" xmlns:ns3="5110b70d-ff76-4fc8-b34f-e29eee7effc9" xmlns:ns4="19c4c508-fef4-4320-90df-25b96b4c9aa1" targetNamespace="http://schemas.microsoft.com/office/2006/metadata/properties" ma:root="true" ma:fieldsID="bb9e650da337c78e757936c6b954a4a2" ns3:_="" ns4:_="">
    <xsd:import namespace="5110b70d-ff76-4fc8-b34f-e29eee7effc9"/>
    <xsd:import namespace="19c4c508-fef4-4320-90df-25b96b4c9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b70d-ff76-4fc8-b34f-e29eee7ef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4c508-fef4-4320-90df-25b96b4c9a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E3E64-D9FB-437C-87E7-C7BB4DBD47AB}">
  <ds:schemaRefs>
    <ds:schemaRef ds:uri="http://schemas.openxmlformats.org/officeDocument/2006/bibliography"/>
  </ds:schemaRefs>
</ds:datastoreItem>
</file>

<file path=customXml/itemProps2.xml><?xml version="1.0" encoding="utf-8"?>
<ds:datastoreItem xmlns:ds="http://schemas.openxmlformats.org/officeDocument/2006/customXml" ds:itemID="{A26A94F2-12B2-4EBC-9BCD-FE796B13CAF1}">
  <ds:schemaRefs>
    <ds:schemaRef ds:uri="http://schemas.microsoft.com/sharepoint/v3/contenttype/forms"/>
  </ds:schemaRefs>
</ds:datastoreItem>
</file>

<file path=customXml/itemProps3.xml><?xml version="1.0" encoding="utf-8"?>
<ds:datastoreItem xmlns:ds="http://schemas.openxmlformats.org/officeDocument/2006/customXml" ds:itemID="{3454AE44-1140-4C7C-9C6D-E3C5E930468D}">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19c4c508-fef4-4320-90df-25b96b4c9aa1"/>
    <ds:schemaRef ds:uri="5110b70d-ff76-4fc8-b34f-e29eee7effc9"/>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9E455D56-B1BE-4308-AAAB-48107F087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b70d-ff76-4fc8-b34f-e29eee7effc9"/>
    <ds:schemaRef ds:uri="19c4c508-fef4-4320-90df-25b96b4c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1454</Words>
  <Characters>8289</Characters>
  <Application>Microsoft Office Word</Application>
  <DocSecurity>0</DocSecurity>
  <Lines>69</Lines>
  <Paragraphs>19</Paragraphs>
  <ScaleCrop>false</ScaleCrop>
  <Company>FCC</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3060-0512</dc:title>
  <dc:creator>SHAIR</dc:creator>
  <cp:lastModifiedBy>Nicole Ongele</cp:lastModifiedBy>
  <cp:revision>2</cp:revision>
  <cp:lastPrinted>2023-03-30T13:49:00Z</cp:lastPrinted>
  <dcterms:created xsi:type="dcterms:W3CDTF">2023-06-13T14:45:00Z</dcterms:created>
  <dcterms:modified xsi:type="dcterms:W3CDTF">2023-06-13T14:45:00Z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0x0101002E4B7D7D81D2E944A6C3D1F7AA176851</vt:lpwstr>
  </property>
  <property fmtid="{D5CDD505-2E9C-101B-9397-08002B2CF9AE}" pid="3" name="EMAIL_OWNER_ADDRESS">
    <vt:lpwstr>4AAA9mrMv1QjWAs1IKiKaoE2LMKs3ISKefqw6exlU5OaBYZt3lntZI9UzA==</vt:lpwstr>
  </property>
  <property fmtid="{D5CDD505-2E9C-101B-9397-08002B2CF9AE}" pid="4" name="MAIL_MSG_ID1">
    <vt:lpwstr>oFAAspTNh41gn7CJCPTglNmIebY2n2s1+YFQe4kCjiOSaRg1SuRf7wdXI+cOgRbDEPyaGnkSjjq3cnM3
IscGeaogYfxRko/TmShF6g+F8asCFCxsK0ZeWBTFzhh3Bt05BhHyV7JEmqR6Q0cDCM+hQhTK7Jh5
qc4t7gFHeKmiB4yeOs3cLzP4Jq+8vUbPZTwR0WYX+EK+Ix+bDYwrFwUBsZVX1URlwjPN0J6pa0HS
mNg4TkGstYkGdx5hb</vt:lpwstr>
  </property>
  <property fmtid="{D5CDD505-2E9C-101B-9397-08002B2CF9AE}" pid="5" name="MAIL_MSG_ID2">
    <vt:lpwstr>9uTd7QkwZhSXeJsfQzcAeksTyPtRsOl7iT2CccNuW9D6pcKuIsJUmSCs7xu
JEYWjUAi44Bx87lywHNI0+yMQ7qlcoqsNgFbY906pHx/1TR3</vt:lpwstr>
  </property>
  <property fmtid="{D5CDD505-2E9C-101B-9397-08002B2CF9AE}" pid="6" name="MediaServiceImageTags">
    <vt:lpwstr/>
  </property>
  <property fmtid="{D5CDD505-2E9C-101B-9397-08002B2CF9AE}" pid="7" name="RESPONSE_SENDER_NAME">
    <vt:lpwstr>sAAA4E8dREqJqIrob7nMLI12Gz64Lup+6RNLAscsSoT+HkQ=</vt:lpwstr>
  </property>
</Properties>
</file>