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B78E0" w:rsidP="004D6EA0" w14:paraId="15ECAF9B" w14:textId="77777777">
      <w:pPr>
        <w:widowControl/>
        <w:tabs>
          <w:tab w:val="left" w:pos="-1440"/>
          <w:tab w:val="left" w:pos="-720"/>
          <w:tab w:val="left" w:pos="0"/>
          <w:tab w:val="left" w:pos="432"/>
          <w:tab w:val="left" w:pos="719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p>
    <w:p w:rsidR="003B78E0" w14:paraId="3419910B" w14:textId="77777777">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p>
    <w:p w:rsidR="003B78E0" w14:paraId="53DE34A0" w14:textId="77777777">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Pr>
          <w:rFonts w:ascii="Times New Roman" w:hAnsi="Times New Roman"/>
          <w:szCs w:val="24"/>
        </w:rPr>
        <w:t>SUPPORTING STATEMENT</w:t>
      </w:r>
    </w:p>
    <w:p w:rsidR="003B78E0" w14:paraId="0E95D1F8"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rsidRPr="006D3985" w:rsidP="00C67EAF" w14:paraId="24A4C387" w14:textId="77777777">
      <w:pPr>
        <w:widowControl/>
        <w:tabs>
          <w:tab w:val="left" w:pos="-1440"/>
          <w:tab w:val="left" w:pos="-720"/>
        </w:tabs>
        <w:suppressAutoHyphens/>
        <w:ind w:left="1440" w:right="1350"/>
        <w:jc w:val="center"/>
        <w:rPr>
          <w:rFonts w:ascii="Times New Roman" w:hAnsi="Times New Roman"/>
          <w:caps/>
          <w:szCs w:val="24"/>
        </w:rPr>
      </w:pPr>
      <w:r w:rsidRPr="006D3985">
        <w:rPr>
          <w:rFonts w:ascii="Times New Roman" w:hAnsi="Times New Roman"/>
          <w:caps/>
          <w:szCs w:val="24"/>
        </w:rPr>
        <w:t>Advanced Capital Adequacy Framework Regulatory Reporting Requirements</w:t>
      </w:r>
    </w:p>
    <w:p w:rsidR="003B78E0" w14:paraId="5FEDE0DE"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14:paraId="43D881C9" w14:textId="77777777">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Pr>
          <w:rFonts w:ascii="Times New Roman" w:hAnsi="Times New Roman"/>
          <w:szCs w:val="24"/>
        </w:rPr>
        <w:t>FFIEC 101</w:t>
      </w:r>
    </w:p>
    <w:p w:rsidR="003B78E0" w14:paraId="63F7CD64" w14:textId="77777777">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Pr>
          <w:rFonts w:ascii="Times New Roman" w:hAnsi="Times New Roman"/>
          <w:szCs w:val="24"/>
        </w:rPr>
        <w:t xml:space="preserve"> (OMB No. 3064-0159)</w:t>
      </w:r>
    </w:p>
    <w:p w:rsidR="003B78E0" w14:paraId="348F5935"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14:paraId="7A5E24F6"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14:paraId="08BCE1FD"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b/>
          <w:szCs w:val="24"/>
          <w:u w:val="single"/>
        </w:rPr>
        <w:t>INTRODUCTION</w:t>
      </w:r>
    </w:p>
    <w:p w:rsidR="003B78E0" w14:paraId="51365AAF"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D346EB" w:rsidP="002410F0" w14:paraId="2D41D91F" w14:textId="749C4759">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 xml:space="preserve">The FDIC is requesting Office of Management and Budget (OMB) </w:t>
      </w:r>
      <w:r w:rsidR="008C74A8">
        <w:rPr>
          <w:rFonts w:ascii="Times New Roman" w:hAnsi="Times New Roman"/>
          <w:szCs w:val="24"/>
        </w:rPr>
        <w:t>approval for a three-year</w:t>
      </w:r>
      <w:r>
        <w:rPr>
          <w:rFonts w:ascii="Times New Roman" w:hAnsi="Times New Roman"/>
          <w:szCs w:val="24"/>
        </w:rPr>
        <w:t xml:space="preserve"> exten</w:t>
      </w:r>
      <w:r w:rsidR="008C74A8">
        <w:rPr>
          <w:rFonts w:ascii="Times New Roman" w:hAnsi="Times New Roman"/>
          <w:szCs w:val="24"/>
        </w:rPr>
        <w:t>sion</w:t>
      </w:r>
      <w:r w:rsidR="00685D7E">
        <w:rPr>
          <w:rFonts w:ascii="Times New Roman" w:hAnsi="Times New Roman"/>
          <w:szCs w:val="24"/>
        </w:rPr>
        <w:t>,</w:t>
      </w:r>
      <w:r>
        <w:rPr>
          <w:rFonts w:ascii="Times New Roman" w:hAnsi="Times New Roman"/>
          <w:szCs w:val="24"/>
        </w:rPr>
        <w:t xml:space="preserve"> with</w:t>
      </w:r>
      <w:r w:rsidR="006A2800">
        <w:rPr>
          <w:rFonts w:ascii="Times New Roman" w:hAnsi="Times New Roman"/>
          <w:szCs w:val="24"/>
        </w:rPr>
        <w:t>out</w:t>
      </w:r>
      <w:r>
        <w:rPr>
          <w:rFonts w:ascii="Times New Roman" w:hAnsi="Times New Roman"/>
          <w:szCs w:val="24"/>
        </w:rPr>
        <w:t xml:space="preserve"> revision</w:t>
      </w:r>
      <w:r w:rsidR="00685D7E">
        <w:rPr>
          <w:rFonts w:ascii="Times New Roman" w:hAnsi="Times New Roman"/>
          <w:szCs w:val="24"/>
        </w:rPr>
        <w:t>,</w:t>
      </w:r>
      <w:r>
        <w:rPr>
          <w:rFonts w:ascii="Times New Roman" w:hAnsi="Times New Roman"/>
          <w:szCs w:val="24"/>
        </w:rPr>
        <w:t xml:space="preserve"> </w:t>
      </w:r>
      <w:r w:rsidR="008C74A8">
        <w:rPr>
          <w:rFonts w:ascii="Times New Roman" w:hAnsi="Times New Roman"/>
          <w:szCs w:val="24"/>
        </w:rPr>
        <w:t xml:space="preserve">of </w:t>
      </w:r>
      <w:r>
        <w:rPr>
          <w:rFonts w:ascii="Times New Roman" w:hAnsi="Times New Roman"/>
          <w:szCs w:val="24"/>
        </w:rPr>
        <w:t>the quarterly regulatory reporting requirements established by the Federal Financial Institutions Examination Council (FFIEC) for banks</w:t>
      </w:r>
      <w:r w:rsidR="00BF20A4">
        <w:rPr>
          <w:rFonts w:ascii="Times New Roman" w:hAnsi="Times New Roman"/>
          <w:szCs w:val="24"/>
        </w:rPr>
        <w:t>, savings associations, bank holding companies, savings and loan holding companies</w:t>
      </w:r>
      <w:r w:rsidR="00FB2D8D">
        <w:rPr>
          <w:rFonts w:ascii="Times New Roman" w:hAnsi="Times New Roman"/>
          <w:szCs w:val="24"/>
        </w:rPr>
        <w:t>, and U.S. intermediate holding companies</w:t>
      </w:r>
      <w:r>
        <w:rPr>
          <w:rFonts w:ascii="Times New Roman" w:hAnsi="Times New Roman"/>
          <w:szCs w:val="24"/>
        </w:rPr>
        <w:t xml:space="preserve"> that </w:t>
      </w:r>
      <w:r w:rsidR="00792C73">
        <w:rPr>
          <w:rFonts w:ascii="Times New Roman" w:hAnsi="Times New Roman"/>
          <w:szCs w:val="24"/>
        </w:rPr>
        <w:t xml:space="preserve">must apply </w:t>
      </w:r>
      <w:r>
        <w:rPr>
          <w:rFonts w:ascii="Times New Roman" w:hAnsi="Times New Roman"/>
          <w:szCs w:val="24"/>
        </w:rPr>
        <w:t xml:space="preserve">the </w:t>
      </w:r>
      <w:r w:rsidRPr="00960DC6" w:rsidR="00960DC6">
        <w:rPr>
          <w:rFonts w:ascii="Times New Roman" w:hAnsi="Times New Roman"/>
          <w:szCs w:val="24"/>
        </w:rPr>
        <w:t xml:space="preserve">advanced approaches risk-based capital rule </w:t>
      </w:r>
      <w:r w:rsidR="00960DC6">
        <w:rPr>
          <w:rFonts w:ascii="Times New Roman" w:hAnsi="Times New Roman"/>
          <w:szCs w:val="24"/>
        </w:rPr>
        <w:t>(</w:t>
      </w:r>
      <w:r>
        <w:rPr>
          <w:rFonts w:ascii="Times New Roman" w:hAnsi="Times New Roman"/>
          <w:szCs w:val="24"/>
        </w:rPr>
        <w:t>Advanced Capital Adequacy Framework</w:t>
      </w:r>
      <w:r w:rsidR="00792C73">
        <w:rPr>
          <w:rFonts w:ascii="Times New Roman" w:hAnsi="Times New Roman"/>
          <w:szCs w:val="24"/>
        </w:rPr>
        <w:t xml:space="preserve"> </w:t>
      </w:r>
      <w:r w:rsidR="00960DC6">
        <w:rPr>
          <w:rFonts w:ascii="Times New Roman" w:hAnsi="Times New Roman"/>
          <w:szCs w:val="24"/>
        </w:rPr>
        <w:t xml:space="preserve">or advanced approaches rule) </w:t>
      </w:r>
      <w:r w:rsidR="00792C73">
        <w:rPr>
          <w:rFonts w:ascii="Times New Roman" w:hAnsi="Times New Roman"/>
          <w:szCs w:val="24"/>
        </w:rPr>
        <w:t>for regulatory capital purposes.</w:t>
      </w:r>
      <w:r>
        <w:rPr>
          <w:rStyle w:val="FootnoteReference"/>
          <w:rFonts w:ascii="Times New Roman" w:hAnsi="Times New Roman"/>
          <w:szCs w:val="24"/>
        </w:rPr>
        <w:footnoteReference w:id="2"/>
      </w:r>
      <w:r w:rsidR="00792C73">
        <w:rPr>
          <w:rFonts w:ascii="Times New Roman" w:hAnsi="Times New Roman"/>
          <w:szCs w:val="24"/>
        </w:rPr>
        <w:t xml:space="preserve">  Such institutions are referred to as a</w:t>
      </w:r>
      <w:r w:rsidR="00685D7E">
        <w:rPr>
          <w:rFonts w:ascii="Times New Roman" w:hAnsi="Times New Roman"/>
          <w:szCs w:val="24"/>
        </w:rPr>
        <w:t>dvanced approaches institutions</w:t>
      </w:r>
      <w:r>
        <w:rPr>
          <w:rStyle w:val="FootnoteReference"/>
          <w:rFonts w:ascii="Times New Roman" w:hAnsi="Times New Roman"/>
          <w:szCs w:val="24"/>
        </w:rPr>
        <w:footnoteReference w:id="3"/>
      </w:r>
      <w:r w:rsidR="00685D7E">
        <w:rPr>
          <w:rFonts w:ascii="Times New Roman" w:hAnsi="Times New Roman"/>
          <w:szCs w:val="24"/>
        </w:rPr>
        <w:t xml:space="preserve"> and must submit the FFIEC 101, </w:t>
      </w:r>
      <w:r w:rsidRPr="00685D7E" w:rsidR="00685D7E">
        <w:rPr>
          <w:rFonts w:ascii="Times New Roman" w:hAnsi="Times New Roman"/>
          <w:szCs w:val="24"/>
        </w:rPr>
        <w:t>Regulatory Capital Reporting for Institutions Subject to the Advanced Capital Adequacy Framework</w:t>
      </w:r>
      <w:r w:rsidR="00685D7E">
        <w:rPr>
          <w:rFonts w:ascii="Times New Roman" w:hAnsi="Times New Roman"/>
          <w:szCs w:val="24"/>
        </w:rPr>
        <w:t>.</w:t>
      </w:r>
      <w:r w:rsidR="002410F0">
        <w:rPr>
          <w:rFonts w:ascii="Times New Roman" w:hAnsi="Times New Roman"/>
          <w:szCs w:val="24"/>
        </w:rPr>
        <w:t xml:space="preserve">  In addition,</w:t>
      </w:r>
      <w:r w:rsidR="00792C73">
        <w:rPr>
          <w:rFonts w:ascii="Times New Roman" w:hAnsi="Times New Roman"/>
          <w:szCs w:val="24"/>
        </w:rPr>
        <w:t xml:space="preserve"> </w:t>
      </w:r>
      <w:r w:rsidRPr="002410F0" w:rsidR="002410F0">
        <w:rPr>
          <w:rFonts w:ascii="Times New Roman" w:hAnsi="Times New Roman"/>
          <w:szCs w:val="24"/>
        </w:rPr>
        <w:t>top-tier Category III bank holding companies, savings and loan holding companies, and insured depository institutions, and all Category III U.S. intermediate holding companies, must complete FFIEC 101 Schedule A, S</w:t>
      </w:r>
      <w:r>
        <w:rPr>
          <w:rFonts w:ascii="Times New Roman" w:hAnsi="Times New Roman"/>
          <w:szCs w:val="24"/>
        </w:rPr>
        <w:t xml:space="preserve">upplementary </w:t>
      </w:r>
      <w:r w:rsidRPr="002410F0" w:rsidR="002410F0">
        <w:rPr>
          <w:rFonts w:ascii="Times New Roman" w:hAnsi="Times New Roman"/>
          <w:szCs w:val="24"/>
        </w:rPr>
        <w:t>L</w:t>
      </w:r>
      <w:r>
        <w:rPr>
          <w:rFonts w:ascii="Times New Roman" w:hAnsi="Times New Roman"/>
          <w:szCs w:val="24"/>
        </w:rPr>
        <w:t xml:space="preserve">everage </w:t>
      </w:r>
      <w:r w:rsidRPr="002410F0" w:rsidR="002410F0">
        <w:rPr>
          <w:rFonts w:ascii="Times New Roman" w:hAnsi="Times New Roman"/>
          <w:szCs w:val="24"/>
        </w:rPr>
        <w:t>R</w:t>
      </w:r>
      <w:r>
        <w:rPr>
          <w:rFonts w:ascii="Times New Roman" w:hAnsi="Times New Roman"/>
          <w:szCs w:val="24"/>
        </w:rPr>
        <w:t>atio</w:t>
      </w:r>
      <w:r w:rsidRPr="002410F0" w:rsidR="002410F0">
        <w:rPr>
          <w:rFonts w:ascii="Times New Roman" w:hAnsi="Times New Roman"/>
          <w:szCs w:val="24"/>
        </w:rPr>
        <w:t xml:space="preserve"> Tables 1 and 2, only and would not complete or file any other part of the FFIEC 101.  </w:t>
      </w:r>
    </w:p>
    <w:p w:rsidR="00D346EB" w:rsidP="002410F0" w14:paraId="5233432B"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792C73" w:rsidP="002410F0" w14:paraId="13A49859" w14:textId="55D30DBA">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rPr>
        <w:t>The Federal Reserve Board (FRB</w:t>
      </w:r>
      <w:r w:rsidR="00C32505">
        <w:rPr>
          <w:rFonts w:ascii="Times New Roman" w:hAnsi="Times New Roman"/>
        </w:rPr>
        <w:t xml:space="preserve"> or Board</w:t>
      </w:r>
      <w:r>
        <w:rPr>
          <w:rFonts w:ascii="Times New Roman" w:hAnsi="Times New Roman"/>
        </w:rPr>
        <w:t xml:space="preserve">) and the Office of the Comptroller of the Currency (OCC) are also submitting requests to OMB for </w:t>
      </w:r>
      <w:r w:rsidR="008C74A8">
        <w:rPr>
          <w:rFonts w:ascii="Times New Roman" w:hAnsi="Times New Roman"/>
        </w:rPr>
        <w:t>a three-year</w:t>
      </w:r>
      <w:r>
        <w:rPr>
          <w:rFonts w:ascii="Times New Roman" w:hAnsi="Times New Roman"/>
        </w:rPr>
        <w:t xml:space="preserve"> extension, with</w:t>
      </w:r>
      <w:r w:rsidR="006A2800">
        <w:rPr>
          <w:rFonts w:ascii="Times New Roman" w:hAnsi="Times New Roman"/>
        </w:rPr>
        <w:t>out</w:t>
      </w:r>
      <w:r>
        <w:rPr>
          <w:rFonts w:ascii="Times New Roman" w:hAnsi="Times New Roman"/>
        </w:rPr>
        <w:t xml:space="preserve"> revision</w:t>
      </w:r>
      <w:r w:rsidR="008F20C9">
        <w:rPr>
          <w:rFonts w:ascii="Times New Roman" w:hAnsi="Times New Roman"/>
        </w:rPr>
        <w:t>,</w:t>
      </w:r>
      <w:r>
        <w:rPr>
          <w:rFonts w:ascii="Times New Roman" w:hAnsi="Times New Roman"/>
        </w:rPr>
        <w:t xml:space="preserve"> of the FFIEC 101 for </w:t>
      </w:r>
      <w:r w:rsidR="00FB2D8D">
        <w:rPr>
          <w:rFonts w:ascii="Times New Roman" w:hAnsi="Times New Roman"/>
        </w:rPr>
        <w:t xml:space="preserve">the </w:t>
      </w:r>
      <w:r>
        <w:rPr>
          <w:rFonts w:ascii="Times New Roman" w:hAnsi="Times New Roman"/>
        </w:rPr>
        <w:t>advanced approaches institutions under their supervision.</w:t>
      </w:r>
      <w:r w:rsidR="00CD4E6B">
        <w:rPr>
          <w:rFonts w:ascii="Times New Roman" w:hAnsi="Times New Roman"/>
        </w:rPr>
        <w:t xml:space="preserve">  </w:t>
      </w:r>
      <w:r w:rsidR="00CD4E6B">
        <w:rPr>
          <w:rFonts w:ascii="Times New Roman" w:hAnsi="Times New Roman"/>
          <w:szCs w:val="24"/>
        </w:rPr>
        <w:t xml:space="preserve">The FFIEC, of which the FDIC, the FRB, and the OCC </w:t>
      </w:r>
      <w:r w:rsidR="008C74A8">
        <w:rPr>
          <w:rFonts w:ascii="Times New Roman" w:hAnsi="Times New Roman"/>
          <w:szCs w:val="24"/>
        </w:rPr>
        <w:t xml:space="preserve">(collectively, the agencies) </w:t>
      </w:r>
      <w:r w:rsidR="00EA4A90">
        <w:rPr>
          <w:rFonts w:ascii="Times New Roman" w:hAnsi="Times New Roman"/>
          <w:szCs w:val="24"/>
        </w:rPr>
        <w:t>are members, has approved the proposed revisions to the FFIEC 101</w:t>
      </w:r>
      <w:r w:rsidR="00CD4E6B">
        <w:rPr>
          <w:rFonts w:ascii="Times New Roman" w:hAnsi="Times New Roman"/>
          <w:szCs w:val="24"/>
        </w:rPr>
        <w:t xml:space="preserve"> reporting requirements.  </w:t>
      </w:r>
      <w:r w:rsidR="003B78E0">
        <w:rPr>
          <w:rFonts w:ascii="Times New Roman" w:hAnsi="Times New Roman"/>
          <w:szCs w:val="24"/>
        </w:rPr>
        <w:t xml:space="preserve"> </w:t>
      </w:r>
    </w:p>
    <w:p w:rsidR="008B2A1B" w:rsidP="00792C73" w14:paraId="285BBBE1" w14:textId="2F1699FB">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C06461" w:rsidRPr="00685D7E" w:rsidP="00792C73" w14:paraId="49E02DA8"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14:paraId="384454EE" w14:textId="77777777">
      <w:pPr>
        <w:pStyle w:val="Heading2"/>
        <w:widowControl/>
        <w:rPr>
          <w:rFonts w:ascii="Times New Roman" w:hAnsi="Times New Roman"/>
          <w:sz w:val="24"/>
        </w:rPr>
      </w:pPr>
      <w:r>
        <w:rPr>
          <w:rFonts w:ascii="Times New Roman" w:hAnsi="Times New Roman"/>
          <w:sz w:val="24"/>
          <w:u w:val="none"/>
        </w:rPr>
        <w:t>A.</w:t>
      </w:r>
      <w:r>
        <w:rPr>
          <w:rFonts w:ascii="Times New Roman" w:hAnsi="Times New Roman"/>
          <w:sz w:val="24"/>
          <w:u w:val="none"/>
        </w:rPr>
        <w:tab/>
      </w:r>
      <w:r>
        <w:rPr>
          <w:rFonts w:ascii="Times New Roman" w:hAnsi="Times New Roman"/>
          <w:sz w:val="24"/>
        </w:rPr>
        <w:t>JUSTIFICATION</w:t>
      </w:r>
    </w:p>
    <w:p w:rsidR="003B78E0" w14:paraId="307B1291"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14:paraId="7C8411EC"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1.  </w:t>
      </w:r>
      <w:r w:rsidRPr="0063519F" w:rsidR="006111E5">
        <w:rPr>
          <w:rFonts w:ascii="Times New Roman" w:hAnsi="Times New Roman"/>
          <w:bCs/>
          <w:szCs w:val="24"/>
          <w:u w:val="single"/>
        </w:rPr>
        <w:t>Circumstances that make the collection necessary:</w:t>
      </w:r>
    </w:p>
    <w:p w:rsidR="003B78E0" w14:paraId="71B09559"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065FAB" w:rsidP="00065FAB" w14:paraId="618E2E6D" w14:textId="179D792A">
      <w:pPr>
        <w:widowControl/>
        <w:ind w:left="360"/>
        <w:rPr>
          <w:rFonts w:ascii="Times New Roman" w:hAnsi="Times New Roman"/>
          <w:snapToGrid/>
          <w:szCs w:val="24"/>
        </w:rPr>
      </w:pPr>
      <w:r>
        <w:rPr>
          <w:rFonts w:ascii="Times New Roman" w:hAnsi="Times New Roman"/>
          <w:snapToGrid/>
          <w:szCs w:val="24"/>
        </w:rPr>
        <w:t>The FDIC</w:t>
      </w:r>
      <w:r w:rsidRPr="006A3CD2">
        <w:rPr>
          <w:rFonts w:ascii="Times New Roman" w:hAnsi="Times New Roman"/>
          <w:snapToGrid/>
          <w:szCs w:val="24"/>
        </w:rPr>
        <w:t xml:space="preserve"> is charged with assuring the safety and soundness of </w:t>
      </w:r>
      <w:r>
        <w:rPr>
          <w:rFonts w:ascii="Times New Roman" w:hAnsi="Times New Roman"/>
          <w:snapToGrid/>
          <w:szCs w:val="24"/>
        </w:rPr>
        <w:t>State nonmember</w:t>
      </w:r>
      <w:r w:rsidRPr="006A3CD2">
        <w:rPr>
          <w:rFonts w:ascii="Times New Roman" w:hAnsi="Times New Roman"/>
          <w:snapToGrid/>
          <w:szCs w:val="24"/>
        </w:rPr>
        <w:t xml:space="preserve"> banks and </w:t>
      </w:r>
      <w:r>
        <w:rPr>
          <w:rFonts w:ascii="Times New Roman" w:hAnsi="Times New Roman"/>
          <w:snapToGrid/>
          <w:szCs w:val="24"/>
        </w:rPr>
        <w:t>State</w:t>
      </w:r>
      <w:r w:rsidRPr="006A3CD2">
        <w:rPr>
          <w:rFonts w:ascii="Times New Roman" w:hAnsi="Times New Roman"/>
          <w:snapToGrid/>
          <w:szCs w:val="24"/>
        </w:rPr>
        <w:t xml:space="preserve"> savings associations. </w:t>
      </w:r>
      <w:r>
        <w:rPr>
          <w:rFonts w:ascii="Times New Roman" w:hAnsi="Times New Roman"/>
          <w:snapToGrid/>
          <w:szCs w:val="24"/>
        </w:rPr>
        <w:t>These institutions</w:t>
      </w:r>
      <w:r w:rsidRPr="006A3CD2">
        <w:rPr>
          <w:rFonts w:ascii="Times New Roman" w:hAnsi="Times New Roman"/>
          <w:snapToGrid/>
          <w:szCs w:val="24"/>
        </w:rPr>
        <w:t xml:space="preserve"> must submit information to the </w:t>
      </w:r>
      <w:r>
        <w:rPr>
          <w:rFonts w:ascii="Times New Roman" w:hAnsi="Times New Roman"/>
          <w:snapToGrid/>
          <w:szCs w:val="24"/>
        </w:rPr>
        <w:t>FDIC</w:t>
      </w:r>
      <w:r w:rsidRPr="006A3CD2">
        <w:rPr>
          <w:rFonts w:ascii="Times New Roman" w:hAnsi="Times New Roman"/>
          <w:snapToGrid/>
          <w:szCs w:val="24"/>
        </w:rPr>
        <w:t xml:space="preserve"> </w:t>
      </w:r>
      <w:r w:rsidRPr="006A3CD2">
        <w:rPr>
          <w:rFonts w:ascii="Times New Roman" w:hAnsi="Times New Roman"/>
          <w:snapToGrid/>
          <w:szCs w:val="24"/>
        </w:rPr>
        <w:t>The</w:t>
      </w:r>
      <w:r w:rsidRPr="006A3CD2">
        <w:rPr>
          <w:rFonts w:ascii="Times New Roman" w:hAnsi="Times New Roman"/>
          <w:snapToGrid/>
          <w:szCs w:val="24"/>
        </w:rPr>
        <w:t xml:space="preserve"> OCC uses this information to assess and monitor the levels and components of each bank’s risk-based capital requirements and the adequacy of the entity’s capital under the Advanced Capital Adequacy Framework, which is a significant component of a bank’s safety and soundness.</w:t>
      </w:r>
    </w:p>
    <w:p w:rsidR="0056694E" w:rsidRPr="00065FAB" w:rsidP="00065FAB" w14:paraId="53C27EF2" w14:textId="48E703EB">
      <w:pPr>
        <w:widowControl/>
        <w:ind w:left="360"/>
        <w:rPr>
          <w:rFonts w:ascii="Times New Roman" w:hAnsi="Times New Roman"/>
          <w:snapToGrid/>
          <w:szCs w:val="24"/>
        </w:rPr>
      </w:pPr>
      <w:r w:rsidRPr="00065FAB">
        <w:rPr>
          <w:rFonts w:ascii="Times New Roman" w:hAnsi="Times New Roman"/>
          <w:snapToGrid/>
          <w:szCs w:val="24"/>
        </w:rPr>
        <w:t xml:space="preserve"> </w:t>
      </w:r>
    </w:p>
    <w:p w:rsidR="003B78E0" w14:paraId="70937851"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2.  </w:t>
      </w:r>
      <w:r w:rsidR="006818C8">
        <w:rPr>
          <w:rFonts w:ascii="Times New Roman" w:hAnsi="Times New Roman"/>
          <w:u w:val="single"/>
        </w:rPr>
        <w:t>Use of the i</w:t>
      </w:r>
      <w:r>
        <w:rPr>
          <w:rFonts w:ascii="Times New Roman" w:hAnsi="Times New Roman"/>
          <w:u w:val="single"/>
        </w:rPr>
        <w:t>nformation</w:t>
      </w:r>
      <w:r w:rsidR="006111E5">
        <w:rPr>
          <w:rFonts w:ascii="Times New Roman" w:hAnsi="Times New Roman"/>
          <w:u w:val="single"/>
        </w:rPr>
        <w:t>:</w:t>
      </w:r>
    </w:p>
    <w:p w:rsidR="003B78E0" w14:paraId="647BB45C"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7A4328" w:rsidRPr="007A4328" w:rsidP="007A4328" w14:paraId="5F8EF2B7" w14:textId="34891F4D">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sidRPr="007A4328">
        <w:rPr>
          <w:rFonts w:ascii="Times New Roman" w:hAnsi="Times New Roman"/>
        </w:rPr>
        <w:t>The purpose of the detailed reports, identified below, is to obtain information that broadly reflects risk segments within each portfo</w:t>
      </w:r>
      <w:r>
        <w:rPr>
          <w:rFonts w:ascii="Times New Roman" w:hAnsi="Times New Roman"/>
        </w:rPr>
        <w:t>lio.  The reports enable the FDIC</w:t>
      </w:r>
      <w:r w:rsidRPr="007A4328">
        <w:rPr>
          <w:rFonts w:ascii="Times New Roman" w:hAnsi="Times New Roman"/>
        </w:rPr>
        <w:t xml:space="preserve"> to conduct off-site assessment of banks’ regulatory capital calculations, perform trend analyses of capital changes, conduct peer analyses of capital and risk parameters, and direct the focus of on-site examination efforts.</w:t>
      </w:r>
    </w:p>
    <w:p w:rsidR="007A4328" w:rsidRPr="007A4328" w:rsidP="007A4328" w14:paraId="0A0250EB"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7A4328" w:rsidRPr="007A4328" w:rsidP="007A4328" w14:paraId="15E6F335"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sidRPr="007A4328">
        <w:rPr>
          <w:rFonts w:ascii="Times New Roman" w:hAnsi="Times New Roman"/>
        </w:rPr>
        <w:t xml:space="preserve">  </w:t>
      </w:r>
      <w:r w:rsidRPr="007A4328">
        <w:rPr>
          <w:rFonts w:ascii="Times New Roman" w:hAnsi="Times New Roman"/>
        </w:rPr>
        <w:tab/>
        <w:t xml:space="preserve">The information is collected using the form “FFIEC 101.”  The FFIEC 101 contains nineteen schedules, A through S, for banks to submit detailed data on the components of their capital and risk-weighted assets.  </w:t>
      </w:r>
    </w:p>
    <w:p w:rsidR="007A4328" w:rsidRPr="007A4328" w:rsidP="007A4328" w14:paraId="580CF5B2"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7A4328" w:rsidRPr="007A4328" w:rsidP="007A4328" w14:paraId="043A8569"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sidRPr="007A4328">
        <w:rPr>
          <w:rFonts w:ascii="Times New Roman" w:hAnsi="Times New Roman"/>
        </w:rPr>
        <w:tab/>
        <w:t>Schedule A includes information about the components of Tier 1 capital, Tier 2 capital, and adjustments to regulatory capital. It also includes Tables 1 and 2 for the Supplementary Leverage Ratio.</w:t>
      </w:r>
    </w:p>
    <w:p w:rsidR="007A4328" w:rsidRPr="007A4328" w:rsidP="007A4328" w14:paraId="541CB528"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7A4328" w:rsidRPr="007A4328" w:rsidP="007A4328" w14:paraId="6C5E9938"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sidRPr="007A4328">
        <w:rPr>
          <w:rFonts w:ascii="Times New Roman" w:hAnsi="Times New Roman"/>
        </w:rPr>
        <w:t xml:space="preserve">Schedule B contains:  summary information about risk-weighted assets by risk type and, for credit risk exposures, outstanding balances and aggregated information about the drivers and estimates on which the calculation of risk-weighted assets are based. </w:t>
      </w:r>
    </w:p>
    <w:p w:rsidR="007A4328" w:rsidRPr="007A4328" w:rsidP="007A4328" w14:paraId="0428E372"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7A4328" w:rsidRPr="007A4328" w:rsidP="007A4328" w14:paraId="2FAA47AF"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sidRPr="007A4328">
        <w:rPr>
          <w:rFonts w:ascii="Times New Roman" w:hAnsi="Times New Roman"/>
        </w:rPr>
        <w:tab/>
        <w:t xml:space="preserve">Schedules C-J include data items within the wholesale exposure category for banks’ risk-weighted assets.  </w:t>
      </w:r>
    </w:p>
    <w:p w:rsidR="007A4328" w:rsidRPr="007A4328" w:rsidP="007A4328" w14:paraId="328CD20D"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7A4328" w:rsidRPr="007A4328" w:rsidP="007A4328" w14:paraId="5F630F84"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sidRPr="007A4328">
        <w:rPr>
          <w:rFonts w:ascii="Times New Roman" w:hAnsi="Times New Roman"/>
        </w:rPr>
        <w:tab/>
        <w:t xml:space="preserve">Schedules K-O are data items within the retail exposure category and each schedule represents a sub-portfolio of the retail exposure category for banks’ risk-weighted assets.  </w:t>
      </w:r>
    </w:p>
    <w:p w:rsidR="007A4328" w:rsidRPr="007A4328" w:rsidP="007A4328" w14:paraId="76573023"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7A4328" w:rsidRPr="007A4328" w:rsidP="007A4328" w14:paraId="09DEB238"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sidRPr="007A4328">
        <w:rPr>
          <w:rFonts w:ascii="Times New Roman" w:hAnsi="Times New Roman"/>
        </w:rPr>
        <w:tab/>
        <w:t xml:space="preserve">Schedules P and Q are data items within the securitization exposure class for banks’ risk-weighted assets.  </w:t>
      </w:r>
    </w:p>
    <w:p w:rsidR="007A4328" w:rsidRPr="007A4328" w:rsidP="007A4328" w14:paraId="3F67B96E"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7A4328" w:rsidRPr="007A4328" w:rsidP="007A4328" w14:paraId="09417573"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sidRPr="007A4328">
        <w:rPr>
          <w:rFonts w:ascii="Times New Roman" w:hAnsi="Times New Roman"/>
        </w:rPr>
        <w:tab/>
        <w:t xml:space="preserve">Schedule R provides:  information about a bank’s equity exposures by type of exposure and by approach to measuring required capital and information on equity exposures subject to specific weights and equity exposures to investment funds.  </w:t>
      </w:r>
    </w:p>
    <w:p w:rsidR="007A4328" w:rsidRPr="007A4328" w:rsidP="007A4328" w14:paraId="2F437101"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7A4328" w:rsidP="007A4328" w14:paraId="011BB9F2" w14:textId="4952FDFE">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sidRPr="007A4328">
        <w:rPr>
          <w:rFonts w:ascii="Times New Roman" w:hAnsi="Times New Roman"/>
        </w:rPr>
        <w:tab/>
        <w:t>Schedule S provides data within the operational risk exposure class.  The data items include details about historical operational losses for the reporting period and those used to model operational risk capital.</w:t>
      </w:r>
    </w:p>
    <w:p w:rsidR="007A4328" w14:paraId="12E78DB9"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14:paraId="78C30DDA" w14:textId="4F5DF88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The FDIC use</w:t>
      </w:r>
      <w:r w:rsidR="000A090E">
        <w:rPr>
          <w:rFonts w:ascii="Times New Roman" w:hAnsi="Times New Roman"/>
        </w:rPr>
        <w:t>s</w:t>
      </w:r>
      <w:r>
        <w:rPr>
          <w:rFonts w:ascii="Times New Roman" w:hAnsi="Times New Roman"/>
        </w:rPr>
        <w:t xml:space="preserve"> the information collected through these reporting requirements</w:t>
      </w:r>
      <w:r w:rsidR="001666AC">
        <w:rPr>
          <w:rFonts w:ascii="Times New Roman" w:hAnsi="Times New Roman"/>
        </w:rPr>
        <w:t xml:space="preserve"> </w:t>
      </w:r>
      <w:r w:rsidR="000A090E">
        <w:rPr>
          <w:rFonts w:ascii="Times New Roman" w:hAnsi="Times New Roman"/>
        </w:rPr>
        <w:t>i</w:t>
      </w:r>
      <w:r>
        <w:rPr>
          <w:rFonts w:ascii="Times New Roman" w:hAnsi="Times New Roman"/>
        </w:rPr>
        <w:t>n the following ways:</w:t>
      </w:r>
    </w:p>
    <w:p w:rsidR="003B78E0" w14:paraId="6DF75BA1"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14:paraId="45831E02" w14:textId="77777777">
      <w:pPr>
        <w:widowControl/>
        <w:numPr>
          <w:ilvl w:val="0"/>
          <w:numId w:val="27"/>
        </w:numPr>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To assess and monitor the levels and components of each reporting bank’s </w:t>
      </w:r>
      <w:r w:rsidR="001666AC">
        <w:rPr>
          <w:rFonts w:ascii="Times New Roman" w:hAnsi="Times New Roman"/>
        </w:rPr>
        <w:t>regulatory</w:t>
      </w:r>
      <w:r>
        <w:rPr>
          <w:rFonts w:ascii="Times New Roman" w:hAnsi="Times New Roman"/>
        </w:rPr>
        <w:t xml:space="preserve"> capital requirements and the adequacy of the bank’s capital under the Advanced Capital Adequacy Framework</w:t>
      </w:r>
      <w:r w:rsidR="001666AC">
        <w:rPr>
          <w:rFonts w:ascii="Times New Roman" w:hAnsi="Times New Roman"/>
        </w:rPr>
        <w:t xml:space="preserve"> and </w:t>
      </w:r>
      <w:r w:rsidRPr="00C87899" w:rsidR="001666AC">
        <w:rPr>
          <w:rFonts w:ascii="Times New Roman" w:hAnsi="Times New Roman"/>
          <w:szCs w:val="24"/>
        </w:rPr>
        <w:t>the supplementary leverage ratio</w:t>
      </w:r>
      <w:r w:rsidR="00E61A52">
        <w:rPr>
          <w:rFonts w:ascii="Times New Roman" w:hAnsi="Times New Roman"/>
          <w:szCs w:val="24"/>
        </w:rPr>
        <w:t>, as applicable</w:t>
      </w:r>
      <w:r>
        <w:rPr>
          <w:rFonts w:ascii="Times New Roman" w:hAnsi="Times New Roman"/>
        </w:rPr>
        <w:t>;</w:t>
      </w:r>
    </w:p>
    <w:p w:rsidR="003B78E0" w14:paraId="52230991" w14:textId="77777777">
      <w:pPr>
        <w:widowControl/>
        <w:numPr>
          <w:ilvl w:val="0"/>
          <w:numId w:val="27"/>
        </w:numPr>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To evaluate the</w:t>
      </w:r>
      <w:r>
        <w:rPr>
          <w:rFonts w:ascii="Times New Roman" w:hAnsi="Times New Roman"/>
        </w:rPr>
        <w:t xml:space="preserve"> impact and competitive implications of the Advanced Capital Adequacy Framework </w:t>
      </w:r>
      <w:r w:rsidR="00294B13">
        <w:rPr>
          <w:rFonts w:ascii="Times New Roman" w:hAnsi="Times New Roman"/>
        </w:rPr>
        <w:t xml:space="preserve">and </w:t>
      </w:r>
      <w:r w:rsidRPr="00C87899" w:rsidR="00294B13">
        <w:rPr>
          <w:rFonts w:ascii="Times New Roman" w:hAnsi="Times New Roman"/>
          <w:szCs w:val="24"/>
        </w:rPr>
        <w:t>the supplementary leverage ratio</w:t>
      </w:r>
      <w:r w:rsidR="00294B13">
        <w:rPr>
          <w:rFonts w:ascii="Times New Roman" w:hAnsi="Times New Roman"/>
          <w:szCs w:val="24"/>
        </w:rPr>
        <w:t>, as applicable,</w:t>
      </w:r>
      <w:r w:rsidR="00294B13">
        <w:rPr>
          <w:rFonts w:ascii="Times New Roman" w:hAnsi="Times New Roman"/>
        </w:rPr>
        <w:t xml:space="preserve"> </w:t>
      </w:r>
      <w:r>
        <w:rPr>
          <w:rFonts w:ascii="Times New Roman" w:hAnsi="Times New Roman"/>
        </w:rPr>
        <w:t>on individual reporting banks and on an industry-wide basis; and</w:t>
      </w:r>
    </w:p>
    <w:p w:rsidR="003B78E0" w14:paraId="2532ED86" w14:textId="77777777">
      <w:pPr>
        <w:widowControl/>
        <w:numPr>
          <w:ilvl w:val="0"/>
          <w:numId w:val="27"/>
        </w:numPr>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To supplement on-site examination processes at individual reporting banks.</w:t>
      </w:r>
    </w:p>
    <w:p w:rsidR="00D32F81" w14:paraId="2DCEEC19"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14:paraId="76443A52"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The reporting schedules also assist banks in understanding expectations around the system development necessary for implementation and validation of the Advanced Capital Adequacy Framework</w:t>
      </w:r>
      <w:r w:rsidR="00294B13">
        <w:rPr>
          <w:rFonts w:ascii="Times New Roman" w:hAnsi="Times New Roman"/>
        </w:rPr>
        <w:t xml:space="preserve"> and </w:t>
      </w:r>
      <w:r w:rsidRPr="00C87899" w:rsidR="00294B13">
        <w:rPr>
          <w:rFonts w:ascii="Times New Roman" w:hAnsi="Times New Roman"/>
          <w:szCs w:val="24"/>
        </w:rPr>
        <w:t>the supplementary leverage ratio</w:t>
      </w:r>
      <w:r w:rsidR="00294B13">
        <w:rPr>
          <w:rFonts w:ascii="Times New Roman" w:hAnsi="Times New Roman"/>
          <w:szCs w:val="24"/>
        </w:rPr>
        <w:t>, as applicable</w:t>
      </w:r>
      <w:r>
        <w:rPr>
          <w:rFonts w:ascii="Times New Roman" w:hAnsi="Times New Roman"/>
        </w:rPr>
        <w:t xml:space="preserve">.  Submitted </w:t>
      </w:r>
      <w:r w:rsidR="001666AC">
        <w:rPr>
          <w:rFonts w:ascii="Times New Roman" w:hAnsi="Times New Roman"/>
        </w:rPr>
        <w:t xml:space="preserve">FFIEC 101 report </w:t>
      </w:r>
      <w:r>
        <w:rPr>
          <w:rFonts w:ascii="Times New Roman" w:hAnsi="Times New Roman"/>
        </w:rPr>
        <w:t xml:space="preserve">data that are released publicly </w:t>
      </w:r>
      <w:r w:rsidR="001666AC">
        <w:rPr>
          <w:rFonts w:ascii="Times New Roman" w:hAnsi="Times New Roman"/>
        </w:rPr>
        <w:t>on an individual institution basis</w:t>
      </w:r>
      <w:r>
        <w:rPr>
          <w:rFonts w:ascii="Times New Roman" w:hAnsi="Times New Roman"/>
        </w:rPr>
        <w:t xml:space="preserve"> also provide other interested parties with information about </w:t>
      </w:r>
      <w:r w:rsidR="001666AC">
        <w:rPr>
          <w:rFonts w:ascii="Times New Roman" w:hAnsi="Times New Roman"/>
        </w:rPr>
        <w:t>advanced approaches institutions</w:t>
      </w:r>
      <w:r>
        <w:rPr>
          <w:rFonts w:ascii="Times New Roman" w:hAnsi="Times New Roman"/>
        </w:rPr>
        <w:t xml:space="preserve">’ </w:t>
      </w:r>
      <w:r w:rsidR="00294B13">
        <w:rPr>
          <w:rFonts w:ascii="Times New Roman" w:hAnsi="Times New Roman"/>
        </w:rPr>
        <w:t xml:space="preserve">and Category III institutions’ </w:t>
      </w:r>
      <w:r w:rsidR="001666AC">
        <w:rPr>
          <w:rFonts w:ascii="Times New Roman" w:hAnsi="Times New Roman"/>
        </w:rPr>
        <w:t>regulatory</w:t>
      </w:r>
      <w:r>
        <w:rPr>
          <w:rFonts w:ascii="Times New Roman" w:hAnsi="Times New Roman"/>
        </w:rPr>
        <w:t xml:space="preserve"> capital.</w:t>
      </w:r>
    </w:p>
    <w:p w:rsidR="00D32F81" w14:paraId="327E4151"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D32F81" w:rsidP="00D10843" w14:paraId="309C9F10"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By i</w:t>
      </w:r>
      <w:r w:rsidRPr="00D32F81">
        <w:rPr>
          <w:rFonts w:ascii="Times New Roman" w:hAnsi="Times New Roman"/>
        </w:rPr>
        <w:t>ncorporat</w:t>
      </w:r>
      <w:r>
        <w:rPr>
          <w:rFonts w:ascii="Times New Roman" w:hAnsi="Times New Roman"/>
        </w:rPr>
        <w:t>ing</w:t>
      </w:r>
      <w:r w:rsidRPr="00D32F81">
        <w:rPr>
          <w:rFonts w:ascii="Times New Roman" w:hAnsi="Times New Roman"/>
        </w:rPr>
        <w:t xml:space="preserve"> the complete international leverage ratio common disclosure template into </w:t>
      </w:r>
      <w:r>
        <w:rPr>
          <w:rFonts w:ascii="Times New Roman" w:hAnsi="Times New Roman"/>
        </w:rPr>
        <w:t xml:space="preserve">SLR Tables 1 and 2 of FFIEC 101 </w:t>
      </w:r>
      <w:r w:rsidRPr="00D32F81">
        <w:rPr>
          <w:rFonts w:ascii="Times New Roman" w:hAnsi="Times New Roman"/>
        </w:rPr>
        <w:t>Schedule A</w:t>
      </w:r>
      <w:r>
        <w:rPr>
          <w:rFonts w:ascii="Times New Roman" w:hAnsi="Times New Roman"/>
        </w:rPr>
        <w:t xml:space="preserve">, the agencies </w:t>
      </w:r>
      <w:r w:rsidR="001D137F">
        <w:rPr>
          <w:rFonts w:ascii="Times New Roman" w:hAnsi="Times New Roman"/>
        </w:rPr>
        <w:t xml:space="preserve">also </w:t>
      </w:r>
      <w:r w:rsidRPr="00D32F81">
        <w:rPr>
          <w:rFonts w:ascii="Times New Roman" w:hAnsi="Times New Roman"/>
        </w:rPr>
        <w:t>ensure transparency and comparability of reporting of regulatory capital elements among internationally active bank</w:t>
      </w:r>
      <w:r w:rsidR="00D10843">
        <w:rPr>
          <w:rFonts w:ascii="Times New Roman" w:hAnsi="Times New Roman"/>
        </w:rPr>
        <w:t>s</w:t>
      </w:r>
      <w:r w:rsidRPr="00D32F81">
        <w:rPr>
          <w:rFonts w:ascii="Times New Roman" w:hAnsi="Times New Roman"/>
        </w:rPr>
        <w:t xml:space="preserve">.  </w:t>
      </w:r>
      <w:r w:rsidRPr="00D10843" w:rsidR="00D10843">
        <w:rPr>
          <w:rFonts w:ascii="Times New Roman" w:hAnsi="Times New Roman"/>
        </w:rPr>
        <w:t> </w:t>
      </w:r>
    </w:p>
    <w:p w:rsidR="003B78E0" w14:paraId="038EEC1A"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CD3AA1" w14:paraId="1D045945"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14:paraId="4AE16BE8"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3.  </w:t>
      </w:r>
      <w:r w:rsidRPr="00174870" w:rsidR="006111E5">
        <w:rPr>
          <w:rFonts w:ascii="Times New Roman" w:hAnsi="Times New Roman"/>
          <w:bCs/>
          <w:szCs w:val="24"/>
          <w:u w:val="single"/>
        </w:rPr>
        <w:t>Consideration of the use of improved information technology:</w:t>
      </w:r>
    </w:p>
    <w:p w:rsidR="003B78E0" w14:paraId="44F573D4"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BD07C6" w:rsidP="00BD07C6" w14:paraId="747152F0" w14:textId="77777777">
      <w:pPr>
        <w:widowControl/>
        <w:autoSpaceDE w:val="0"/>
        <w:autoSpaceDN w:val="0"/>
        <w:adjustRightInd w:val="0"/>
        <w:rPr>
          <w:rFonts w:ascii="Times New Roman" w:hAnsi="Times New Roman"/>
          <w:szCs w:val="24"/>
        </w:rPr>
      </w:pPr>
      <w:r w:rsidRPr="00CD3AA1">
        <w:rPr>
          <w:rFonts w:ascii="Times New Roman" w:hAnsi="Times New Roman"/>
          <w:szCs w:val="24"/>
        </w:rPr>
        <w:t xml:space="preserve">All banks and savings associations are subject to an electronic filing requirement for the </w:t>
      </w:r>
      <w:r>
        <w:rPr>
          <w:rFonts w:ascii="Times New Roman" w:hAnsi="Times New Roman"/>
          <w:szCs w:val="24"/>
        </w:rPr>
        <w:t>FFIEC 101</w:t>
      </w:r>
      <w:r w:rsidRPr="00CD3AA1">
        <w:rPr>
          <w:rFonts w:ascii="Times New Roman" w:hAnsi="Times New Roman"/>
          <w:szCs w:val="24"/>
        </w:rPr>
        <w:t> </w:t>
      </w:r>
      <w:r>
        <w:rPr>
          <w:rFonts w:ascii="Times New Roman" w:hAnsi="Times New Roman"/>
          <w:szCs w:val="24"/>
        </w:rPr>
        <w:t>r</w:t>
      </w:r>
      <w:r w:rsidRPr="00CD3AA1">
        <w:rPr>
          <w:rFonts w:ascii="Times New Roman" w:hAnsi="Times New Roman"/>
          <w:szCs w:val="24"/>
        </w:rPr>
        <w:t xml:space="preserve">eport.  In this regard, </w:t>
      </w:r>
      <w:r>
        <w:rPr>
          <w:rFonts w:ascii="Times New Roman" w:hAnsi="Times New Roman"/>
          <w:szCs w:val="24"/>
        </w:rPr>
        <w:t>a</w:t>
      </w:r>
      <w:r w:rsidRPr="00AD3DBC">
        <w:rPr>
          <w:rFonts w:ascii="Times New Roman" w:hAnsi="Times New Roman"/>
          <w:szCs w:val="24"/>
        </w:rPr>
        <w:t>ll reporting institutions must submit their completed</w:t>
      </w:r>
      <w:r>
        <w:rPr>
          <w:rFonts w:ascii="Times New Roman" w:hAnsi="Times New Roman"/>
          <w:szCs w:val="24"/>
        </w:rPr>
        <w:t xml:space="preserve"> </w:t>
      </w:r>
      <w:r w:rsidRPr="00AD3DBC">
        <w:rPr>
          <w:rFonts w:ascii="Times New Roman" w:hAnsi="Times New Roman"/>
          <w:szCs w:val="24"/>
        </w:rPr>
        <w:t>reports electronically using the Federal Reserve’s</w:t>
      </w:r>
      <w:r>
        <w:rPr>
          <w:rFonts w:ascii="Times New Roman" w:hAnsi="Times New Roman"/>
          <w:szCs w:val="24"/>
        </w:rPr>
        <w:t xml:space="preserve"> </w:t>
      </w:r>
      <w:r w:rsidRPr="00AD3DBC">
        <w:rPr>
          <w:rFonts w:ascii="Times New Roman" w:hAnsi="Times New Roman"/>
          <w:szCs w:val="24"/>
        </w:rPr>
        <w:t xml:space="preserve">Reporting Central application. </w:t>
      </w:r>
      <w:r>
        <w:rPr>
          <w:rFonts w:ascii="Times New Roman" w:hAnsi="Times New Roman"/>
          <w:szCs w:val="24"/>
        </w:rPr>
        <w:t xml:space="preserve"> </w:t>
      </w:r>
    </w:p>
    <w:p w:rsidR="003B78E0" w:rsidP="004067DA" w14:paraId="17696FF9" w14:textId="6D673FA9">
      <w:pPr>
        <w:widowControl/>
        <w:autoSpaceDE w:val="0"/>
        <w:autoSpaceDN w:val="0"/>
        <w:adjustRightInd w:val="0"/>
        <w:rPr>
          <w:rFonts w:ascii="Times New Roman" w:hAnsi="Times New Roman"/>
          <w:szCs w:val="24"/>
        </w:rPr>
      </w:pPr>
    </w:p>
    <w:p w:rsidR="003B78E0" w14:paraId="42F962C6" w14:textId="77777777">
      <w:pPr>
        <w:autoSpaceDE w:val="0"/>
        <w:autoSpaceDN w:val="0"/>
        <w:adjustRightInd w:val="0"/>
        <w:rPr>
          <w:rFonts w:ascii="Times New Roman" w:hAnsi="Times New Roman"/>
        </w:rPr>
      </w:pPr>
    </w:p>
    <w:p w:rsidR="003B78E0" w14:paraId="744F0C0F"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4.  </w:t>
      </w:r>
      <w:r>
        <w:rPr>
          <w:rFonts w:ascii="Times New Roman" w:hAnsi="Times New Roman"/>
          <w:u w:val="single"/>
        </w:rPr>
        <w:t xml:space="preserve">Efforts to </w:t>
      </w:r>
      <w:r w:rsidR="006818C8">
        <w:rPr>
          <w:rFonts w:ascii="Times New Roman" w:hAnsi="Times New Roman"/>
          <w:u w:val="single"/>
        </w:rPr>
        <w:t>i</w:t>
      </w:r>
      <w:r>
        <w:rPr>
          <w:rFonts w:ascii="Times New Roman" w:hAnsi="Times New Roman"/>
          <w:u w:val="single"/>
        </w:rPr>
        <w:t xml:space="preserve">dentify </w:t>
      </w:r>
      <w:r w:rsidR="006818C8">
        <w:rPr>
          <w:rFonts w:ascii="Times New Roman" w:hAnsi="Times New Roman"/>
          <w:u w:val="single"/>
        </w:rPr>
        <w:t>d</w:t>
      </w:r>
      <w:r>
        <w:rPr>
          <w:rFonts w:ascii="Times New Roman" w:hAnsi="Times New Roman"/>
          <w:u w:val="single"/>
        </w:rPr>
        <w:t>uplication</w:t>
      </w:r>
      <w:r w:rsidR="006818C8">
        <w:rPr>
          <w:rFonts w:ascii="Times New Roman" w:hAnsi="Times New Roman"/>
          <w:u w:val="single"/>
        </w:rPr>
        <w:t>:</w:t>
      </w:r>
    </w:p>
    <w:p w:rsidR="003B78E0" w14:paraId="178E9C41" w14:textId="77777777">
      <w:pPr>
        <w:widowControl/>
        <w:tabs>
          <w:tab w:val="left" w:pos="-1440"/>
          <w:tab w:val="left" w:pos="-720"/>
          <w:tab w:val="left" w:pos="0"/>
          <w:tab w:val="left" w:pos="432"/>
          <w:tab w:val="left" w:pos="720"/>
        </w:tabs>
        <w:suppressAutoHyphens/>
        <w:rPr>
          <w:rFonts w:ascii="Times New Roman" w:hAnsi="Times New Roman"/>
        </w:rPr>
      </w:pPr>
    </w:p>
    <w:p w:rsidR="003B78E0" w14:paraId="550D2661" w14:textId="58E46B29">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rPr>
        <w:t xml:space="preserve">There is no other report that collects information pertaining to a bank’s </w:t>
      </w:r>
      <w:r w:rsidR="008A5733">
        <w:rPr>
          <w:rFonts w:ascii="Times New Roman" w:hAnsi="Times New Roman"/>
        </w:rPr>
        <w:t>regulatory</w:t>
      </w:r>
      <w:r>
        <w:rPr>
          <w:rFonts w:ascii="Times New Roman" w:hAnsi="Times New Roman"/>
        </w:rPr>
        <w:t xml:space="preserve"> capital calculations under the Advanced Capital Adequacy Framework </w:t>
      </w:r>
      <w:r w:rsidR="006713FF">
        <w:rPr>
          <w:rFonts w:ascii="Times New Roman" w:hAnsi="Times New Roman"/>
        </w:rPr>
        <w:t xml:space="preserve">and the supplementary leverage ratio, as applicable, </w:t>
      </w:r>
      <w:r>
        <w:rPr>
          <w:rFonts w:ascii="Times New Roman" w:hAnsi="Times New Roman"/>
        </w:rPr>
        <w:t xml:space="preserve">at the insured institution level. In addition, while the regulatory reporting requirements apply to large, internationally active organizations and their depository institution subsidiaries, the Pillar 3 disclosures </w:t>
      </w:r>
      <w:r w:rsidR="001D137F">
        <w:rPr>
          <w:rFonts w:ascii="Times New Roman" w:hAnsi="Times New Roman"/>
        </w:rPr>
        <w:t>are</w:t>
      </w:r>
      <w:r>
        <w:rPr>
          <w:rFonts w:ascii="Times New Roman" w:hAnsi="Times New Roman"/>
        </w:rPr>
        <w:t xml:space="preserve"> not made by these subsidiary institutions.  Thus, the Pillar 3 disclosures would not be an acceptable substitute for the </w:t>
      </w:r>
      <w:r>
        <w:rPr>
          <w:rFonts w:ascii="Times New Roman" w:hAnsi="Times New Roman"/>
          <w:szCs w:val="24"/>
        </w:rPr>
        <w:t xml:space="preserve">Advanced Capital Adequacy Framework Regulatory Reporting Requirements.  </w:t>
      </w:r>
    </w:p>
    <w:p w:rsidR="009D651B" w14:paraId="74863CFD"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9D651B" w14:paraId="5CDEA960"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sidRPr="009D651B">
        <w:rPr>
          <w:rFonts w:ascii="Times New Roman" w:hAnsi="Times New Roman"/>
          <w:szCs w:val="24"/>
        </w:rPr>
        <w:t>Tables 1 and 2</w:t>
      </w:r>
      <w:r>
        <w:rPr>
          <w:rFonts w:ascii="Times New Roman" w:hAnsi="Times New Roman"/>
          <w:szCs w:val="24"/>
        </w:rPr>
        <w:t xml:space="preserve"> of</w:t>
      </w:r>
      <w:r w:rsidRPr="009D651B">
        <w:rPr>
          <w:rFonts w:ascii="Times New Roman" w:hAnsi="Times New Roman"/>
          <w:szCs w:val="24"/>
        </w:rPr>
        <w:t xml:space="preserve"> FFIEC 101 Schedule </w:t>
      </w:r>
      <w:r w:rsidRPr="009D651B">
        <w:rPr>
          <w:rFonts w:ascii="Times New Roman" w:hAnsi="Times New Roman"/>
          <w:szCs w:val="24"/>
        </w:rPr>
        <w:t>A</w:t>
      </w:r>
      <w:r w:rsidRPr="009D651B">
        <w:rPr>
          <w:rFonts w:ascii="Times New Roman" w:hAnsi="Times New Roman"/>
          <w:szCs w:val="24"/>
        </w:rPr>
        <w:t xml:space="preserve"> collect information related to the agencies’ SLR disclosures required in Table 13 of section 173 of the advanced approaches rule.  </w:t>
      </w:r>
      <w:r>
        <w:rPr>
          <w:rFonts w:ascii="Times New Roman" w:hAnsi="Times New Roman"/>
          <w:szCs w:val="24"/>
        </w:rPr>
        <w:t>Completing the FFIEC 101 items for the SLR satisf</w:t>
      </w:r>
      <w:r w:rsidR="001D137F">
        <w:rPr>
          <w:rFonts w:ascii="Times New Roman" w:hAnsi="Times New Roman"/>
          <w:szCs w:val="24"/>
        </w:rPr>
        <w:t>ies</w:t>
      </w:r>
      <w:r>
        <w:rPr>
          <w:rFonts w:ascii="Times New Roman" w:hAnsi="Times New Roman"/>
          <w:szCs w:val="24"/>
        </w:rPr>
        <w:t xml:space="preserve"> a bank’s requirement to disclose Table 13</w:t>
      </w:r>
      <w:r w:rsidR="00F35587">
        <w:rPr>
          <w:rFonts w:ascii="Times New Roman" w:hAnsi="Times New Roman"/>
          <w:szCs w:val="24"/>
        </w:rPr>
        <w:t xml:space="preserve"> and thereby avoid</w:t>
      </w:r>
      <w:r w:rsidR="001D137F">
        <w:rPr>
          <w:rFonts w:ascii="Times New Roman" w:hAnsi="Times New Roman"/>
          <w:szCs w:val="24"/>
        </w:rPr>
        <w:t>s</w:t>
      </w:r>
      <w:r w:rsidR="00F35587">
        <w:rPr>
          <w:rFonts w:ascii="Times New Roman" w:hAnsi="Times New Roman"/>
          <w:szCs w:val="24"/>
        </w:rPr>
        <w:t xml:space="preserve"> duplication</w:t>
      </w:r>
      <w:r>
        <w:rPr>
          <w:rFonts w:ascii="Times New Roman" w:hAnsi="Times New Roman"/>
          <w:szCs w:val="24"/>
        </w:rPr>
        <w:t>.</w:t>
      </w:r>
    </w:p>
    <w:p w:rsidR="003B78E0" w14:paraId="65149E44" w14:textId="77777777">
      <w:pPr>
        <w:widowControl/>
        <w:tabs>
          <w:tab w:val="left" w:pos="-1440"/>
          <w:tab w:val="left" w:pos="-720"/>
          <w:tab w:val="left" w:pos="0"/>
          <w:tab w:val="left" w:pos="432"/>
          <w:tab w:val="left" w:pos="720"/>
        </w:tabs>
        <w:suppressAutoHyphens/>
        <w:rPr>
          <w:rFonts w:ascii="Times New Roman" w:hAnsi="Times New Roman"/>
        </w:rPr>
      </w:pPr>
    </w:p>
    <w:p w:rsidR="003B78E0" w:rsidP="00A41B62" w14:paraId="63088119" w14:textId="77777777">
      <w:pPr>
        <w:widowControl/>
        <w:tabs>
          <w:tab w:val="left" w:pos="-1440"/>
          <w:tab w:val="left" w:pos="-720"/>
        </w:tabs>
        <w:suppressAutoHyphens/>
        <w:ind w:left="360" w:hanging="360"/>
        <w:rPr>
          <w:rFonts w:ascii="Times New Roman" w:hAnsi="Times New Roman"/>
        </w:rPr>
      </w:pPr>
      <w:r>
        <w:rPr>
          <w:rFonts w:ascii="Times New Roman" w:hAnsi="Times New Roman"/>
        </w:rPr>
        <w:t xml:space="preserve">5.  </w:t>
      </w:r>
      <w:r w:rsidRPr="00174870" w:rsidR="006818C8">
        <w:rPr>
          <w:rFonts w:ascii="Times New Roman" w:hAnsi="Times New Roman"/>
          <w:bCs/>
          <w:szCs w:val="24"/>
          <w:u w:val="single"/>
        </w:rPr>
        <w:t>Methods used to minimize burden if the collection has a significant impact on a substantial number of small entities:</w:t>
      </w:r>
    </w:p>
    <w:p w:rsidR="003B78E0" w14:paraId="584D9996" w14:textId="77777777">
      <w:pPr>
        <w:widowControl/>
        <w:tabs>
          <w:tab w:val="left" w:pos="-1440"/>
          <w:tab w:val="left" w:pos="-720"/>
          <w:tab w:val="left" w:pos="0"/>
          <w:tab w:val="left" w:pos="432"/>
          <w:tab w:val="left" w:pos="720"/>
        </w:tabs>
        <w:suppressAutoHyphens/>
        <w:rPr>
          <w:rFonts w:ascii="Times New Roman" w:hAnsi="Times New Roman"/>
        </w:rPr>
      </w:pPr>
    </w:p>
    <w:p w:rsidR="003B78E0" w14:paraId="3409F2D9" w14:textId="6937A2C6">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This</w:t>
      </w:r>
      <w:r w:rsidRPr="006111E5">
        <w:rPr>
          <w:rFonts w:ascii="Times New Roman" w:hAnsi="Times New Roman"/>
        </w:rPr>
        <w:t xml:space="preserve"> </w:t>
      </w:r>
      <w:r>
        <w:rPr>
          <w:rFonts w:ascii="Times New Roman" w:hAnsi="Times New Roman"/>
        </w:rPr>
        <w:t xml:space="preserve">information </w:t>
      </w:r>
      <w:r w:rsidRPr="006111E5">
        <w:rPr>
          <w:rFonts w:ascii="Times New Roman" w:hAnsi="Times New Roman"/>
        </w:rPr>
        <w:t xml:space="preserve">collection will not have a significant economic impact on a substantial number of small entities. </w:t>
      </w:r>
      <w:r>
        <w:rPr>
          <w:rFonts w:ascii="Times New Roman" w:hAnsi="Times New Roman"/>
        </w:rPr>
        <w:t xml:space="preserve"> Categ</w:t>
      </w:r>
      <w:r w:rsidR="00717E74">
        <w:rPr>
          <w:rFonts w:ascii="Times New Roman" w:hAnsi="Times New Roman"/>
        </w:rPr>
        <w:t>ory I and II banking o</w:t>
      </w:r>
      <w:r>
        <w:rPr>
          <w:rFonts w:ascii="Times New Roman" w:hAnsi="Times New Roman"/>
        </w:rPr>
        <w:t xml:space="preserve">rganizations that are subject to the </w:t>
      </w:r>
      <w:r w:rsidR="00BB446E">
        <w:rPr>
          <w:rFonts w:ascii="Times New Roman" w:hAnsi="Times New Roman"/>
        </w:rPr>
        <w:t>Advanced Capital Adequacy Framework</w:t>
      </w:r>
      <w:r>
        <w:rPr>
          <w:rFonts w:ascii="Times New Roman" w:hAnsi="Times New Roman"/>
        </w:rPr>
        <w:t xml:space="preserve"> on a mandatory basis are large ($</w:t>
      </w:r>
      <w:r w:rsidR="00717E74">
        <w:rPr>
          <w:rFonts w:ascii="Times New Roman" w:hAnsi="Times New Roman"/>
        </w:rPr>
        <w:t>700</w:t>
      </w:r>
      <w:r>
        <w:rPr>
          <w:rFonts w:ascii="Times New Roman" w:hAnsi="Times New Roman"/>
        </w:rPr>
        <w:t xml:space="preserve"> billion </w:t>
      </w:r>
      <w:r w:rsidR="001F3598">
        <w:rPr>
          <w:rFonts w:ascii="Times New Roman" w:hAnsi="Times New Roman"/>
        </w:rPr>
        <w:t xml:space="preserve">or more </w:t>
      </w:r>
      <w:r>
        <w:rPr>
          <w:rFonts w:ascii="Times New Roman" w:hAnsi="Times New Roman"/>
        </w:rPr>
        <w:t xml:space="preserve">in consolidated assets) </w:t>
      </w:r>
      <w:r w:rsidR="00717E74">
        <w:rPr>
          <w:rFonts w:ascii="Times New Roman" w:hAnsi="Times New Roman"/>
        </w:rPr>
        <w:t>or i</w:t>
      </w:r>
      <w:r>
        <w:rPr>
          <w:rFonts w:ascii="Times New Roman" w:hAnsi="Times New Roman"/>
        </w:rPr>
        <w:t>nternationally active organizations ($</w:t>
      </w:r>
      <w:r w:rsidR="00717E74">
        <w:rPr>
          <w:rFonts w:ascii="Times New Roman" w:hAnsi="Times New Roman"/>
        </w:rPr>
        <w:t>75</w:t>
      </w:r>
      <w:r>
        <w:rPr>
          <w:rFonts w:ascii="Times New Roman" w:hAnsi="Times New Roman"/>
        </w:rPr>
        <w:t xml:space="preserve"> billion </w:t>
      </w:r>
      <w:r w:rsidR="001F3598">
        <w:rPr>
          <w:rFonts w:ascii="Times New Roman" w:hAnsi="Times New Roman"/>
        </w:rPr>
        <w:t xml:space="preserve">or more </w:t>
      </w:r>
      <w:r>
        <w:rPr>
          <w:rFonts w:ascii="Times New Roman" w:hAnsi="Times New Roman"/>
        </w:rPr>
        <w:t>in c</w:t>
      </w:r>
      <w:r w:rsidR="00717E74">
        <w:rPr>
          <w:rFonts w:ascii="Times New Roman" w:hAnsi="Times New Roman"/>
        </w:rPr>
        <w:t>ross-jurisdictional activity</w:t>
      </w:r>
      <w:r>
        <w:rPr>
          <w:rFonts w:ascii="Times New Roman" w:hAnsi="Times New Roman"/>
        </w:rPr>
        <w:t xml:space="preserve">) and their depository institution subsidiaries.  </w:t>
      </w:r>
      <w:r w:rsidR="00717E74">
        <w:rPr>
          <w:rFonts w:ascii="Times New Roman" w:hAnsi="Times New Roman"/>
        </w:rPr>
        <w:t>Category III banking organizations that are subject to the supplementary leverage ratio</w:t>
      </w:r>
      <w:r w:rsidR="00C42963">
        <w:rPr>
          <w:rFonts w:ascii="Times New Roman" w:hAnsi="Times New Roman"/>
        </w:rPr>
        <w:t xml:space="preserve"> have </w:t>
      </w:r>
      <w:r w:rsidRPr="00C42963" w:rsidR="00C42963">
        <w:rPr>
          <w:rFonts w:ascii="Times New Roman" w:hAnsi="Times New Roman"/>
        </w:rPr>
        <w:t>$250 billion or m</w:t>
      </w:r>
      <w:r w:rsidR="00C42963">
        <w:rPr>
          <w:rFonts w:ascii="Times New Roman" w:hAnsi="Times New Roman"/>
        </w:rPr>
        <w:t xml:space="preserve">ore in total consolidated assets, but </w:t>
      </w:r>
      <w:r w:rsidRPr="00C42963" w:rsidR="00C42963">
        <w:rPr>
          <w:rFonts w:ascii="Times New Roman" w:hAnsi="Times New Roman"/>
        </w:rPr>
        <w:t>do not meet the criteria for Category I or II</w:t>
      </w:r>
      <w:r w:rsidR="00C42963">
        <w:rPr>
          <w:rFonts w:ascii="Times New Roman" w:hAnsi="Times New Roman"/>
        </w:rPr>
        <w:t xml:space="preserve">, or have </w:t>
      </w:r>
      <w:r w:rsidRPr="00C42963" w:rsidR="00C42963">
        <w:rPr>
          <w:rFonts w:ascii="Times New Roman" w:hAnsi="Times New Roman"/>
        </w:rPr>
        <w:t xml:space="preserve">total consolidated assets of $100 billion or more, but less than $250 billion, </w:t>
      </w:r>
      <w:r w:rsidR="00C42963">
        <w:rPr>
          <w:rFonts w:ascii="Times New Roman" w:hAnsi="Times New Roman"/>
        </w:rPr>
        <w:t>and</w:t>
      </w:r>
      <w:r w:rsidRPr="00C42963" w:rsidR="00C42963">
        <w:rPr>
          <w:rFonts w:ascii="Times New Roman" w:hAnsi="Times New Roman"/>
        </w:rPr>
        <w:t xml:space="preserve"> meet or exceed other specified risk-based indicators.</w:t>
      </w:r>
      <w:r w:rsidR="00C42963">
        <w:rPr>
          <w:rFonts w:ascii="Times New Roman" w:hAnsi="Times New Roman"/>
        </w:rPr>
        <w:t xml:space="preserve">  Category III also includes the depository institution subsidiaries of such banking organizations.</w:t>
      </w:r>
      <w:r w:rsidRPr="00C42963" w:rsidR="00C42963">
        <w:rPr>
          <w:rFonts w:ascii="Times New Roman" w:hAnsi="Times New Roman"/>
        </w:rPr>
        <w:t xml:space="preserve">  </w:t>
      </w:r>
      <w:r w:rsidR="0081476E">
        <w:rPr>
          <w:rFonts w:ascii="Times New Roman" w:hAnsi="Times New Roman"/>
        </w:rPr>
        <w:t xml:space="preserve">As a consequence, </w:t>
      </w:r>
      <w:r>
        <w:rPr>
          <w:rFonts w:ascii="Times New Roman" w:hAnsi="Times New Roman"/>
        </w:rPr>
        <w:t>the</w:t>
      </w:r>
      <w:r w:rsidR="0081476E">
        <w:rPr>
          <w:rFonts w:ascii="Times New Roman" w:hAnsi="Times New Roman"/>
        </w:rPr>
        <w:t xml:space="preserve"> advanced approaches rule</w:t>
      </w:r>
      <w:r w:rsidR="00C42963">
        <w:rPr>
          <w:rFonts w:ascii="Times New Roman" w:hAnsi="Times New Roman"/>
        </w:rPr>
        <w:t xml:space="preserve"> and the supplementary leverage ratio</w:t>
      </w:r>
      <w:r w:rsidR="0081476E">
        <w:rPr>
          <w:rFonts w:ascii="Times New Roman" w:hAnsi="Times New Roman"/>
        </w:rPr>
        <w:t>,</w:t>
      </w:r>
      <w:r>
        <w:rPr>
          <w:rFonts w:ascii="Times New Roman" w:hAnsi="Times New Roman"/>
        </w:rPr>
        <w:t xml:space="preserve"> </w:t>
      </w:r>
      <w:r w:rsidR="0081476E">
        <w:rPr>
          <w:rFonts w:ascii="Times New Roman" w:hAnsi="Times New Roman"/>
        </w:rPr>
        <w:t xml:space="preserve">and the corresponding FFIEC 101 reporting requirements, </w:t>
      </w:r>
      <w:r>
        <w:rPr>
          <w:rFonts w:ascii="Times New Roman" w:hAnsi="Times New Roman"/>
        </w:rPr>
        <w:t xml:space="preserve">have limited </w:t>
      </w:r>
      <w:r w:rsidR="00BB446E">
        <w:rPr>
          <w:rFonts w:ascii="Times New Roman" w:hAnsi="Times New Roman"/>
        </w:rPr>
        <w:t>applicability to</w:t>
      </w:r>
      <w:r>
        <w:rPr>
          <w:rFonts w:ascii="Times New Roman" w:hAnsi="Times New Roman"/>
        </w:rPr>
        <w:t xml:space="preserve"> small institutions.</w:t>
      </w:r>
    </w:p>
    <w:p w:rsidR="003B78E0" w14:paraId="7CB6431F" w14:textId="534EE1F6">
      <w:pPr>
        <w:widowControl/>
        <w:tabs>
          <w:tab w:val="left" w:pos="-1440"/>
          <w:tab w:val="left" w:pos="-720"/>
          <w:tab w:val="left" w:pos="0"/>
          <w:tab w:val="left" w:pos="432"/>
          <w:tab w:val="left" w:pos="720"/>
        </w:tabs>
        <w:suppressAutoHyphens/>
        <w:rPr>
          <w:rFonts w:ascii="Times New Roman" w:hAnsi="Times New Roman"/>
        </w:rPr>
      </w:pPr>
    </w:p>
    <w:p w:rsidR="00065FAB" w14:paraId="143F79AE" w14:textId="77777777">
      <w:pPr>
        <w:widowControl/>
        <w:tabs>
          <w:tab w:val="left" w:pos="-1440"/>
          <w:tab w:val="left" w:pos="-720"/>
          <w:tab w:val="left" w:pos="0"/>
          <w:tab w:val="left" w:pos="432"/>
          <w:tab w:val="left" w:pos="720"/>
        </w:tabs>
        <w:suppressAutoHyphens/>
        <w:rPr>
          <w:rFonts w:ascii="Times New Roman" w:hAnsi="Times New Roman"/>
        </w:rPr>
      </w:pPr>
    </w:p>
    <w:p w:rsidR="003B78E0" w14:paraId="773A09B9"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6.  </w:t>
      </w:r>
      <w:r w:rsidRPr="00C40FA3" w:rsidR="006818C8">
        <w:rPr>
          <w:rFonts w:ascii="Times New Roman" w:hAnsi="Times New Roman"/>
          <w:bCs/>
          <w:szCs w:val="24"/>
          <w:u w:val="single"/>
        </w:rPr>
        <w:t>Consequences to the Federal program if the collection were conducted less frequently:</w:t>
      </w:r>
    </w:p>
    <w:p w:rsidR="003B78E0" w14:paraId="0893FC04" w14:textId="77777777">
      <w:pPr>
        <w:widowControl/>
        <w:tabs>
          <w:tab w:val="left" w:pos="-1440"/>
          <w:tab w:val="left" w:pos="-720"/>
          <w:tab w:val="left" w:pos="0"/>
          <w:tab w:val="left" w:pos="432"/>
          <w:tab w:val="left" w:pos="720"/>
        </w:tabs>
        <w:suppressAutoHyphens/>
        <w:rPr>
          <w:rFonts w:ascii="Times New Roman" w:hAnsi="Times New Roman"/>
        </w:rPr>
      </w:pPr>
    </w:p>
    <w:p w:rsidR="003B78E0" w14:paraId="3037D808"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Less frequent reporting would reduce the ability of the FDIC to identify and respond in a timely manner to noncompliance with minimum </w:t>
      </w:r>
      <w:r w:rsidR="008A5733">
        <w:rPr>
          <w:rFonts w:ascii="Times New Roman" w:hAnsi="Times New Roman"/>
        </w:rPr>
        <w:t>regulatory</w:t>
      </w:r>
      <w:r>
        <w:rPr>
          <w:rFonts w:ascii="Times New Roman" w:hAnsi="Times New Roman"/>
        </w:rPr>
        <w:t xml:space="preserve"> capital </w:t>
      </w:r>
      <w:r w:rsidR="008A5733">
        <w:rPr>
          <w:rFonts w:ascii="Times New Roman" w:hAnsi="Times New Roman"/>
        </w:rPr>
        <w:t>ratios</w:t>
      </w:r>
      <w:r>
        <w:rPr>
          <w:rFonts w:ascii="Times New Roman" w:hAnsi="Times New Roman"/>
        </w:rPr>
        <w:t xml:space="preserve">, adverse risk trends that become apparent in the forward-looking risk estimates reported by </w:t>
      </w:r>
      <w:r w:rsidR="00D267FE">
        <w:rPr>
          <w:rFonts w:ascii="Times New Roman" w:hAnsi="Times New Roman"/>
        </w:rPr>
        <w:t xml:space="preserve">Category I and II </w:t>
      </w:r>
      <w:r>
        <w:rPr>
          <w:rFonts w:ascii="Times New Roman" w:hAnsi="Times New Roman"/>
        </w:rPr>
        <w:t xml:space="preserve">respondents, and evidence of risk estimates that call into question the accuracy of a </w:t>
      </w:r>
      <w:r w:rsidR="00D267FE">
        <w:rPr>
          <w:rFonts w:ascii="Times New Roman" w:hAnsi="Times New Roman"/>
        </w:rPr>
        <w:t xml:space="preserve">Category I or II </w:t>
      </w:r>
      <w:r>
        <w:rPr>
          <w:rFonts w:ascii="Times New Roman" w:hAnsi="Times New Roman"/>
        </w:rPr>
        <w:t>bank’s capital calculation or place other institutions with similar types of exposures at a competitive disadvantage.  To be most useful as an off-site analytical tool, these reports are intended to correspond to the frequency and timing of other regulatory submissions including the Consolidated Report</w:t>
      </w:r>
      <w:r w:rsidR="00391805">
        <w:rPr>
          <w:rFonts w:ascii="Times New Roman" w:hAnsi="Times New Roman"/>
        </w:rPr>
        <w:t>s of Condition and Income (Call </w:t>
      </w:r>
      <w:r>
        <w:rPr>
          <w:rFonts w:ascii="Times New Roman" w:hAnsi="Times New Roman"/>
        </w:rPr>
        <w:t>Report)</w:t>
      </w:r>
      <w:r>
        <w:rPr>
          <w:rStyle w:val="FootnoteReference"/>
          <w:rFonts w:ascii="Times New Roman" w:hAnsi="Times New Roman"/>
        </w:rPr>
        <w:footnoteReference w:id="4"/>
      </w:r>
      <w:r>
        <w:rPr>
          <w:rFonts w:ascii="Times New Roman" w:hAnsi="Times New Roman"/>
        </w:rPr>
        <w:t xml:space="preserve"> and the </w:t>
      </w:r>
      <w:r w:rsidR="00F6279C">
        <w:rPr>
          <w:rFonts w:ascii="Times New Roman" w:hAnsi="Times New Roman"/>
        </w:rPr>
        <w:t xml:space="preserve">FRB’s </w:t>
      </w:r>
      <w:r>
        <w:rPr>
          <w:rFonts w:ascii="Times New Roman" w:hAnsi="Times New Roman"/>
        </w:rPr>
        <w:t>Bank Holding Company FR Y-9C report.</w:t>
      </w:r>
    </w:p>
    <w:p w:rsidR="003B78E0" w14:paraId="696775AF" w14:textId="77777777">
      <w:pPr>
        <w:widowControl/>
        <w:tabs>
          <w:tab w:val="left" w:pos="-1440"/>
          <w:tab w:val="left" w:pos="-720"/>
          <w:tab w:val="left" w:pos="0"/>
          <w:tab w:val="left" w:pos="432"/>
          <w:tab w:val="left" w:pos="720"/>
        </w:tabs>
        <w:suppressAutoHyphens/>
        <w:rPr>
          <w:rFonts w:ascii="Times New Roman" w:hAnsi="Times New Roman"/>
        </w:rPr>
      </w:pPr>
    </w:p>
    <w:p w:rsidR="00065FAB" w14:paraId="5579BA3B" w14:textId="77777777">
      <w:pPr>
        <w:widowControl/>
        <w:tabs>
          <w:tab w:val="left" w:pos="-1440"/>
          <w:tab w:val="left" w:pos="-720"/>
          <w:tab w:val="left" w:pos="0"/>
          <w:tab w:val="left" w:pos="432"/>
          <w:tab w:val="left" w:pos="720"/>
        </w:tabs>
        <w:suppressAutoHyphens/>
        <w:rPr>
          <w:rFonts w:ascii="Times New Roman" w:hAnsi="Times New Roman"/>
        </w:rPr>
      </w:pPr>
    </w:p>
    <w:p w:rsidR="003B78E0" w14:paraId="411A9F0E" w14:textId="0A435DFF">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7.  </w:t>
      </w:r>
      <w:r w:rsidRPr="00A41B62" w:rsidR="00A41B62">
        <w:rPr>
          <w:rFonts w:ascii="Times New Roman TUR" w:hAnsi="Times New Roman TUR" w:cs="Times New Roman TUR"/>
          <w:bCs/>
          <w:u w:val="single"/>
        </w:rPr>
        <w:t>Special circumstances necessitating collection inconsistent with 5 CFR Part 1320.5(d</w:t>
      </w:r>
      <w:r w:rsidRPr="00A41B62" w:rsidR="00A41B62">
        <w:rPr>
          <w:rFonts w:ascii="Times New Roman TUR" w:hAnsi="Times New Roman TUR" w:cs="Times New Roman TUR"/>
          <w:bCs/>
          <w:u w:val="single"/>
        </w:rPr>
        <w:t>)(</w:t>
      </w:r>
      <w:r w:rsidRPr="00A41B62" w:rsidR="00A41B62">
        <w:rPr>
          <w:rFonts w:ascii="Times New Roman TUR" w:hAnsi="Times New Roman TUR" w:cs="Times New Roman TUR"/>
          <w:bCs/>
          <w:u w:val="single"/>
        </w:rPr>
        <w:t>2):</w:t>
      </w:r>
    </w:p>
    <w:p w:rsidR="003B78E0" w14:paraId="3554A5D1" w14:textId="77777777">
      <w:pPr>
        <w:widowControl/>
        <w:tabs>
          <w:tab w:val="left" w:pos="-1440"/>
          <w:tab w:val="left" w:pos="-720"/>
          <w:tab w:val="left" w:pos="0"/>
          <w:tab w:val="left" w:pos="432"/>
          <w:tab w:val="left" w:pos="720"/>
        </w:tabs>
        <w:suppressAutoHyphens/>
        <w:rPr>
          <w:rFonts w:ascii="Times New Roman" w:hAnsi="Times New Roman"/>
        </w:rPr>
      </w:pPr>
    </w:p>
    <w:p w:rsidR="003B78E0" w14:paraId="0B6A1294" w14:textId="3389DE72">
      <w:pPr>
        <w:widowControl/>
        <w:tabs>
          <w:tab w:val="left" w:pos="-1440"/>
          <w:tab w:val="left" w:pos="-720"/>
          <w:tab w:val="left" w:pos="0"/>
          <w:tab w:val="left" w:pos="432"/>
          <w:tab w:val="left" w:pos="720"/>
        </w:tabs>
        <w:suppressAutoHyphens/>
        <w:rPr>
          <w:rFonts w:ascii="Times New Roman" w:hAnsi="Times New Roman"/>
        </w:rPr>
      </w:pPr>
      <w:r w:rsidRPr="0078042F">
        <w:rPr>
          <w:rFonts w:ascii="Times New Roman TUR" w:hAnsi="Times New Roman TUR" w:cs="Times New Roman TUR"/>
        </w:rPr>
        <w:t xml:space="preserve">There are no special circumstances. </w:t>
      </w:r>
      <w:r w:rsidR="00A24A78">
        <w:rPr>
          <w:rFonts w:ascii="Times New Roman TUR" w:hAnsi="Times New Roman TUR" w:cs="Times New Roman TUR"/>
        </w:rPr>
        <w:t xml:space="preserve"> </w:t>
      </w:r>
      <w:r w:rsidRPr="0078042F">
        <w:rPr>
          <w:rFonts w:ascii="Times New Roman TUR" w:hAnsi="Times New Roman TUR" w:cs="Times New Roman TUR"/>
        </w:rPr>
        <w:t>This information collection is conducted in accordance with the guidelines in 5 CFR 1320.5(d</w:t>
      </w:r>
      <w:r w:rsidRPr="0078042F">
        <w:rPr>
          <w:rFonts w:ascii="Times New Roman TUR" w:hAnsi="Times New Roman TUR" w:cs="Times New Roman TUR"/>
        </w:rPr>
        <w:t>)(</w:t>
      </w:r>
      <w:r w:rsidRPr="0078042F">
        <w:rPr>
          <w:rFonts w:ascii="Times New Roman TUR" w:hAnsi="Times New Roman TUR" w:cs="Times New Roman TUR"/>
        </w:rPr>
        <w:t>2)</w:t>
      </w:r>
      <w:r>
        <w:rPr>
          <w:rFonts w:ascii="Times New Roman TUR" w:hAnsi="Times New Roman TUR" w:cs="Times New Roman TUR"/>
        </w:rPr>
        <w:t>.</w:t>
      </w:r>
    </w:p>
    <w:p w:rsidR="003B78E0" w14:paraId="7F576E76" w14:textId="77777777">
      <w:pPr>
        <w:widowControl/>
        <w:tabs>
          <w:tab w:val="left" w:pos="-1440"/>
          <w:tab w:val="left" w:pos="-720"/>
          <w:tab w:val="left" w:pos="0"/>
          <w:tab w:val="left" w:pos="432"/>
          <w:tab w:val="left" w:pos="720"/>
        </w:tabs>
        <w:suppressAutoHyphens/>
        <w:rPr>
          <w:rFonts w:ascii="Times New Roman" w:hAnsi="Times New Roman"/>
        </w:rPr>
      </w:pPr>
    </w:p>
    <w:p w:rsidR="00065FAB" w14:paraId="5ABB3941" w14:textId="77777777">
      <w:pPr>
        <w:widowControl/>
        <w:tabs>
          <w:tab w:val="left" w:pos="-1440"/>
          <w:tab w:val="left" w:pos="-720"/>
          <w:tab w:val="left" w:pos="0"/>
          <w:tab w:val="left" w:pos="432"/>
          <w:tab w:val="left" w:pos="720"/>
        </w:tabs>
        <w:suppressAutoHyphens/>
        <w:rPr>
          <w:rFonts w:ascii="Times New Roman" w:hAnsi="Times New Roman"/>
        </w:rPr>
      </w:pPr>
    </w:p>
    <w:p w:rsidR="003B78E0" w14:paraId="583595A2" w14:textId="183595A9">
      <w:pPr>
        <w:widowControl/>
        <w:tabs>
          <w:tab w:val="left" w:pos="-1440"/>
          <w:tab w:val="left" w:pos="-720"/>
          <w:tab w:val="left" w:pos="0"/>
          <w:tab w:val="left" w:pos="432"/>
          <w:tab w:val="left" w:pos="720"/>
        </w:tabs>
        <w:suppressAutoHyphens/>
        <w:rPr>
          <w:rFonts w:ascii="Times New Roman" w:hAnsi="Times New Roman"/>
          <w:u w:val="single"/>
        </w:rPr>
      </w:pPr>
      <w:r>
        <w:rPr>
          <w:rFonts w:ascii="Times New Roman" w:hAnsi="Times New Roman"/>
        </w:rPr>
        <w:t xml:space="preserve">8.  </w:t>
      </w:r>
      <w:r w:rsidRPr="00647F97" w:rsidR="00A41B62">
        <w:rPr>
          <w:rFonts w:ascii="Times New Roman TUR" w:hAnsi="Times New Roman TUR" w:cs="Times New Roman TUR"/>
          <w:bCs/>
          <w:u w:val="single"/>
        </w:rPr>
        <w:t>Efforts to consult with persons outside the agency:</w:t>
      </w:r>
    </w:p>
    <w:p w:rsidR="003B78E0" w14:paraId="1ABA4FEE" w14:textId="77777777">
      <w:pPr>
        <w:widowControl/>
        <w:tabs>
          <w:tab w:val="left" w:pos="-1440"/>
          <w:tab w:val="left" w:pos="-720"/>
          <w:tab w:val="left" w:pos="0"/>
          <w:tab w:val="left" w:pos="432"/>
          <w:tab w:val="left" w:pos="720"/>
        </w:tabs>
        <w:suppressAutoHyphens/>
        <w:rPr>
          <w:rFonts w:ascii="Times New Roman" w:hAnsi="Times New Roman"/>
          <w:u w:val="single"/>
        </w:rPr>
      </w:pPr>
    </w:p>
    <w:p w:rsidR="00D142BF" w:rsidRPr="00056FFE" w:rsidP="00C32505" w14:paraId="30CEEE88" w14:textId="6126B000">
      <w:pPr>
        <w:rPr>
          <w:rFonts w:ascii="Times New Roman" w:hAnsi="Times New Roman"/>
        </w:rPr>
      </w:pPr>
      <w:bookmarkStart w:id="0" w:name="OLE_LINK10"/>
      <w:bookmarkStart w:id="1" w:name="OLE_LINK11"/>
      <w:r w:rsidRPr="00D52E1A">
        <w:rPr>
          <w:rFonts w:ascii="Times New Roman" w:hAnsi="Times New Roman"/>
        </w:rPr>
        <w:t>The agencies issued a Federal Register notice on June 29, 2023, and requested comment for 60 days on the FFIEC 101. See 88 FR 42131. No comments were received.</w:t>
      </w:r>
    </w:p>
    <w:bookmarkEnd w:id="0"/>
    <w:bookmarkEnd w:id="1"/>
    <w:p w:rsidR="0036198E" w14:paraId="0DA1936D" w14:textId="77777777">
      <w:pPr>
        <w:widowControl/>
        <w:rPr>
          <w:rFonts w:ascii="Times New Roman" w:hAnsi="Times New Roman"/>
        </w:rPr>
      </w:pPr>
    </w:p>
    <w:p w:rsidR="003B78E0" w14:paraId="0AA18309"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9.  </w:t>
      </w:r>
      <w:r w:rsidRPr="009172D2" w:rsidR="000A0B4E">
        <w:rPr>
          <w:rFonts w:ascii="Times New Roman" w:hAnsi="Times New Roman"/>
          <w:szCs w:val="24"/>
          <w:u w:val="single"/>
        </w:rPr>
        <w:t xml:space="preserve">Payment or </w:t>
      </w:r>
      <w:r w:rsidR="000A0B4E">
        <w:rPr>
          <w:rFonts w:ascii="Times New Roman" w:hAnsi="Times New Roman"/>
          <w:szCs w:val="24"/>
          <w:u w:val="single"/>
        </w:rPr>
        <w:t>g</w:t>
      </w:r>
      <w:r w:rsidRPr="009172D2" w:rsidR="000A0B4E">
        <w:rPr>
          <w:rFonts w:ascii="Times New Roman" w:hAnsi="Times New Roman"/>
          <w:szCs w:val="24"/>
          <w:u w:val="single"/>
        </w:rPr>
        <w:t>ift</w:t>
      </w:r>
      <w:r w:rsidR="000A0B4E">
        <w:rPr>
          <w:rFonts w:ascii="Times New Roman" w:hAnsi="Times New Roman"/>
          <w:szCs w:val="24"/>
          <w:u w:val="single"/>
        </w:rPr>
        <w:t>s</w:t>
      </w:r>
      <w:r w:rsidRPr="009172D2" w:rsidR="000A0B4E">
        <w:rPr>
          <w:rFonts w:ascii="Times New Roman" w:hAnsi="Times New Roman"/>
          <w:szCs w:val="24"/>
          <w:u w:val="single"/>
        </w:rPr>
        <w:t xml:space="preserve"> to </w:t>
      </w:r>
      <w:r w:rsidR="000A0B4E">
        <w:rPr>
          <w:rFonts w:ascii="Times New Roman" w:hAnsi="Times New Roman"/>
          <w:szCs w:val="24"/>
          <w:u w:val="single"/>
        </w:rPr>
        <w:t>r</w:t>
      </w:r>
      <w:r w:rsidRPr="009172D2" w:rsidR="000A0B4E">
        <w:rPr>
          <w:rFonts w:ascii="Times New Roman" w:hAnsi="Times New Roman"/>
          <w:szCs w:val="24"/>
          <w:u w:val="single"/>
        </w:rPr>
        <w:t>espondents</w:t>
      </w:r>
      <w:r w:rsidR="000A0B4E">
        <w:rPr>
          <w:rFonts w:ascii="Times New Roman" w:hAnsi="Times New Roman"/>
          <w:szCs w:val="24"/>
          <w:u w:val="single"/>
        </w:rPr>
        <w:t>:</w:t>
      </w:r>
    </w:p>
    <w:p w:rsidR="003B78E0" w14:paraId="712C99DA" w14:textId="77777777">
      <w:pPr>
        <w:widowControl/>
        <w:tabs>
          <w:tab w:val="left" w:pos="-1440"/>
          <w:tab w:val="left" w:pos="-720"/>
          <w:tab w:val="left" w:pos="0"/>
          <w:tab w:val="left" w:pos="432"/>
          <w:tab w:val="left" w:pos="720"/>
        </w:tabs>
        <w:suppressAutoHyphens/>
        <w:rPr>
          <w:rFonts w:ascii="Times New Roman" w:hAnsi="Times New Roman"/>
        </w:rPr>
      </w:pPr>
    </w:p>
    <w:p w:rsidR="003B78E0" w14:paraId="57173921"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 payment or gift will be provided to respondents.</w:t>
      </w:r>
    </w:p>
    <w:p w:rsidR="003B78E0" w14:paraId="30F7876C" w14:textId="77777777">
      <w:pPr>
        <w:widowControl/>
        <w:tabs>
          <w:tab w:val="left" w:pos="-1440"/>
          <w:tab w:val="left" w:pos="-720"/>
          <w:tab w:val="left" w:pos="0"/>
          <w:tab w:val="left" w:pos="432"/>
          <w:tab w:val="left" w:pos="720"/>
        </w:tabs>
        <w:suppressAutoHyphens/>
        <w:rPr>
          <w:rFonts w:ascii="Times New Roman" w:hAnsi="Times New Roman"/>
        </w:rPr>
      </w:pPr>
    </w:p>
    <w:p w:rsidR="00065FAB" w14:paraId="08F937A2" w14:textId="77777777">
      <w:pPr>
        <w:widowControl/>
        <w:tabs>
          <w:tab w:val="left" w:pos="-1440"/>
          <w:tab w:val="left" w:pos="-720"/>
          <w:tab w:val="left" w:pos="0"/>
          <w:tab w:val="left" w:pos="432"/>
          <w:tab w:val="left" w:pos="720"/>
        </w:tabs>
        <w:suppressAutoHyphens/>
        <w:rPr>
          <w:rFonts w:ascii="Times New Roman" w:hAnsi="Times New Roman"/>
        </w:rPr>
      </w:pPr>
    </w:p>
    <w:p w:rsidR="003B78E0" w14:paraId="23130B4F" w14:textId="559324D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10.  </w:t>
      </w:r>
      <w:r w:rsidRPr="00647F97" w:rsidR="00A41B62">
        <w:rPr>
          <w:rFonts w:ascii="Times New Roman TUR" w:hAnsi="Times New Roman TUR" w:cs="Times New Roman TUR"/>
          <w:bCs/>
          <w:u w:val="single"/>
        </w:rPr>
        <w:t>Any assurance of confidentiality:</w:t>
      </w:r>
    </w:p>
    <w:p w:rsidR="003B78E0" w14:paraId="2CA59DB5" w14:textId="77777777">
      <w:pPr>
        <w:widowControl/>
        <w:tabs>
          <w:tab w:val="left" w:pos="-1440"/>
          <w:tab w:val="left" w:pos="-720"/>
          <w:tab w:val="left" w:pos="0"/>
          <w:tab w:val="left" w:pos="432"/>
          <w:tab w:val="left" w:pos="720"/>
        </w:tabs>
        <w:suppressAutoHyphens/>
        <w:rPr>
          <w:rFonts w:ascii="Times New Roman" w:hAnsi="Times New Roman"/>
        </w:rPr>
      </w:pPr>
    </w:p>
    <w:p w:rsidR="00490B60" w:rsidP="001D767E" w14:paraId="689FF195" w14:textId="77777777">
      <w:r>
        <w:rPr>
          <w:rFonts w:ascii="Times New Roman" w:hAnsi="Times New Roman"/>
        </w:rPr>
        <w:t xml:space="preserve">All data submitted in the FFIEC 101 report </w:t>
      </w:r>
      <w:r w:rsidR="00F6279C">
        <w:rPr>
          <w:rFonts w:ascii="Times New Roman" w:hAnsi="Times New Roman"/>
        </w:rPr>
        <w:t>is</w:t>
      </w:r>
      <w:r>
        <w:rPr>
          <w:rFonts w:ascii="Times New Roman" w:hAnsi="Times New Roman"/>
        </w:rPr>
        <w:t xml:space="preserve"> shared among the agencies but, pursuant to 5 U.S.C. § 552(b</w:t>
      </w:r>
      <w:r>
        <w:rPr>
          <w:rFonts w:ascii="Times New Roman" w:hAnsi="Times New Roman"/>
        </w:rPr>
        <w:t>)(</w:t>
      </w:r>
      <w:r>
        <w:rPr>
          <w:rFonts w:ascii="Times New Roman" w:hAnsi="Times New Roman"/>
        </w:rPr>
        <w:t xml:space="preserve">4) and (8), these data will not be released to the public </w:t>
      </w:r>
      <w:r w:rsidR="001D767E">
        <w:rPr>
          <w:rFonts w:ascii="Times New Roman" w:hAnsi="Times New Roman"/>
        </w:rPr>
        <w:t>except as follows</w:t>
      </w:r>
      <w:r>
        <w:rPr>
          <w:rFonts w:ascii="Times New Roman" w:hAnsi="Times New Roman"/>
        </w:rPr>
        <w:t>.</w:t>
      </w:r>
      <w:r w:rsidRPr="001D767E" w:rsidR="001D767E">
        <w:t xml:space="preserve"> </w:t>
      </w:r>
      <w:r w:rsidR="001D767E">
        <w:t xml:space="preserve"> </w:t>
      </w:r>
    </w:p>
    <w:p w:rsidR="00490B60" w:rsidRPr="008227C3" w:rsidP="001D767E" w14:paraId="5B03D03F" w14:textId="77777777">
      <w:pPr>
        <w:rPr>
          <w:rFonts w:ascii="Times New Roman" w:hAnsi="Times New Roman"/>
        </w:rPr>
      </w:pPr>
    </w:p>
    <w:p w:rsidR="0081476E" w:rsidP="0081476E" w14:paraId="3C58E90A" w14:textId="77777777">
      <w:pPr>
        <w:widowControl/>
        <w:tabs>
          <w:tab w:val="left" w:pos="-1440"/>
          <w:tab w:val="left" w:pos="-720"/>
          <w:tab w:val="left" w:pos="0"/>
          <w:tab w:val="left" w:pos="432"/>
          <w:tab w:val="left" w:pos="720"/>
        </w:tabs>
        <w:suppressAutoHyphens/>
        <w:rPr>
          <w:rFonts w:ascii="Times New Roman" w:hAnsi="Times New Roman"/>
        </w:rPr>
      </w:pPr>
      <w:r w:rsidRPr="0081476E">
        <w:rPr>
          <w:rFonts w:ascii="Times New Roman" w:hAnsi="Times New Roman"/>
        </w:rPr>
        <w:t>For report dates before a</w:t>
      </w:r>
      <w:r w:rsidR="004035F2">
        <w:rPr>
          <w:rFonts w:ascii="Times New Roman" w:hAnsi="Times New Roman"/>
        </w:rPr>
        <w:t xml:space="preserve">n advanced approaches </w:t>
      </w:r>
      <w:r w:rsidRPr="0081476E">
        <w:rPr>
          <w:rFonts w:ascii="Times New Roman" w:hAnsi="Times New Roman"/>
        </w:rPr>
        <w:t xml:space="preserve">reporting institution has completed its parallel run period, </w:t>
      </w:r>
      <w:r>
        <w:rPr>
          <w:rFonts w:ascii="Times New Roman" w:hAnsi="Times New Roman"/>
        </w:rPr>
        <w:t xml:space="preserve">FFIEC 101 </w:t>
      </w:r>
      <w:r w:rsidRPr="0081476E">
        <w:rPr>
          <w:rFonts w:ascii="Times New Roman" w:hAnsi="Times New Roman"/>
        </w:rPr>
        <w:t xml:space="preserve">Schedule A will be available to the public, except for items 78 (total eligible credit reserves calculated under the advanced approaches rules); 79 (amount of eligible credit reserves includable in tier 2 capital); 86 (expected credit loss that exceeds eligible credit reserves); 87 (advanced approaches risk-weighted assets); 88 (common equity tier 1 capital ratio calculated using the advanced approaches); 89 (additional tier 1 capital ratio calculated using the advanced approaches); and 90 (total capital ratio using the advanced approaches). </w:t>
      </w:r>
      <w:r>
        <w:rPr>
          <w:rFonts w:ascii="Times New Roman" w:hAnsi="Times New Roman"/>
        </w:rPr>
        <w:t xml:space="preserve"> </w:t>
      </w:r>
    </w:p>
    <w:p w:rsidR="0081476E" w:rsidRPr="0081476E" w:rsidP="0081476E" w14:paraId="39F0EA8B" w14:textId="77777777">
      <w:pPr>
        <w:widowControl/>
        <w:tabs>
          <w:tab w:val="left" w:pos="-1440"/>
          <w:tab w:val="left" w:pos="-720"/>
          <w:tab w:val="left" w:pos="0"/>
          <w:tab w:val="left" w:pos="432"/>
          <w:tab w:val="left" w:pos="720"/>
        </w:tabs>
        <w:suppressAutoHyphens/>
        <w:rPr>
          <w:rFonts w:ascii="Times New Roman" w:hAnsi="Times New Roman"/>
        </w:rPr>
      </w:pPr>
    </w:p>
    <w:p w:rsidR="0081476E" w:rsidP="0081476E" w14:paraId="6A629C07" w14:textId="77777777">
      <w:pPr>
        <w:widowControl/>
        <w:tabs>
          <w:tab w:val="left" w:pos="-1440"/>
          <w:tab w:val="left" w:pos="-720"/>
          <w:tab w:val="left" w:pos="0"/>
          <w:tab w:val="left" w:pos="432"/>
          <w:tab w:val="left" w:pos="720"/>
        </w:tabs>
        <w:suppressAutoHyphens/>
        <w:rPr>
          <w:rFonts w:ascii="Times New Roman" w:hAnsi="Times New Roman"/>
        </w:rPr>
      </w:pPr>
      <w:r w:rsidRPr="0081476E">
        <w:rPr>
          <w:rFonts w:ascii="Times New Roman" w:hAnsi="Times New Roman"/>
        </w:rPr>
        <w:t>For report dates after a</w:t>
      </w:r>
      <w:r w:rsidR="004035F2">
        <w:rPr>
          <w:rFonts w:ascii="Times New Roman" w:hAnsi="Times New Roman"/>
        </w:rPr>
        <w:t>n advanced approaches</w:t>
      </w:r>
      <w:r w:rsidRPr="0081476E">
        <w:rPr>
          <w:rFonts w:ascii="Times New Roman" w:hAnsi="Times New Roman"/>
        </w:rPr>
        <w:t xml:space="preserve"> reporting institution has completed its parallel run period, all items reported in </w:t>
      </w:r>
      <w:r w:rsidR="00B173C6">
        <w:rPr>
          <w:rFonts w:ascii="Times New Roman" w:hAnsi="Times New Roman"/>
        </w:rPr>
        <w:t xml:space="preserve">FFIEC 101 </w:t>
      </w:r>
      <w:r w:rsidRPr="0081476E">
        <w:rPr>
          <w:rFonts w:ascii="Times New Roman" w:hAnsi="Times New Roman"/>
        </w:rPr>
        <w:t>Schedules A and B and items</w:t>
      </w:r>
      <w:r w:rsidR="009447F7">
        <w:rPr>
          <w:rFonts w:ascii="Times New Roman" w:hAnsi="Times New Roman"/>
        </w:rPr>
        <w:t> </w:t>
      </w:r>
      <w:r w:rsidRPr="0081476E">
        <w:rPr>
          <w:rFonts w:ascii="Times New Roman" w:hAnsi="Times New Roman"/>
        </w:rPr>
        <w:t xml:space="preserve">1 and 2 of Schedule S </w:t>
      </w:r>
      <w:r w:rsidR="00D73339">
        <w:rPr>
          <w:rFonts w:ascii="Times New Roman" w:hAnsi="Times New Roman"/>
        </w:rPr>
        <w:t>are</w:t>
      </w:r>
      <w:r w:rsidRPr="0081476E">
        <w:rPr>
          <w:rFonts w:ascii="Times New Roman" w:hAnsi="Times New Roman"/>
        </w:rPr>
        <w:t xml:space="preserve"> available to the public.</w:t>
      </w:r>
      <w:r w:rsidR="00D73339">
        <w:rPr>
          <w:rFonts w:ascii="Times New Roman" w:hAnsi="Times New Roman"/>
        </w:rPr>
        <w:t xml:space="preserve">  </w:t>
      </w:r>
    </w:p>
    <w:p w:rsidR="0081476E" w:rsidRPr="0081476E" w:rsidP="0081476E" w14:paraId="6408A7F6" w14:textId="77777777">
      <w:pPr>
        <w:widowControl/>
        <w:tabs>
          <w:tab w:val="left" w:pos="-1440"/>
          <w:tab w:val="left" w:pos="-720"/>
          <w:tab w:val="left" w:pos="0"/>
          <w:tab w:val="left" w:pos="432"/>
          <w:tab w:val="left" w:pos="720"/>
        </w:tabs>
        <w:suppressAutoHyphens/>
        <w:rPr>
          <w:rFonts w:ascii="Times New Roman" w:hAnsi="Times New Roman"/>
        </w:rPr>
      </w:pPr>
    </w:p>
    <w:p w:rsidR="0081476E" w:rsidRPr="0081476E" w:rsidP="0081476E" w14:paraId="3B206607" w14:textId="77777777">
      <w:pPr>
        <w:widowControl/>
        <w:tabs>
          <w:tab w:val="left" w:pos="-1440"/>
          <w:tab w:val="left" w:pos="-720"/>
          <w:tab w:val="left" w:pos="0"/>
          <w:tab w:val="left" w:pos="432"/>
          <w:tab w:val="left" w:pos="720"/>
        </w:tabs>
        <w:suppressAutoHyphens/>
        <w:rPr>
          <w:rFonts w:ascii="Times New Roman" w:hAnsi="Times New Roman"/>
        </w:rPr>
      </w:pPr>
      <w:r w:rsidRPr="0081476E">
        <w:rPr>
          <w:rFonts w:ascii="Times New Roman" w:hAnsi="Times New Roman"/>
        </w:rPr>
        <w:t>To ensure transparency of regulatory capital data reported by banking organizations</w:t>
      </w:r>
      <w:r w:rsidR="004035F2">
        <w:rPr>
          <w:rFonts w:ascii="Times New Roman" w:hAnsi="Times New Roman"/>
        </w:rPr>
        <w:t xml:space="preserve"> subject to Category I, II, or III capital standards</w:t>
      </w:r>
      <w:r w:rsidRPr="0081476E">
        <w:rPr>
          <w:rFonts w:ascii="Times New Roman" w:hAnsi="Times New Roman"/>
        </w:rPr>
        <w:t>, the agencies make public the SLR information collected in SLR Tables 1 and 2 of FFIEC 101 Schedule A, regardless of a</w:t>
      </w:r>
      <w:r w:rsidR="004035F2">
        <w:rPr>
          <w:rFonts w:ascii="Times New Roman" w:hAnsi="Times New Roman"/>
        </w:rPr>
        <w:t>n advanced approaches</w:t>
      </w:r>
      <w:r>
        <w:rPr>
          <w:rFonts w:ascii="Times New Roman" w:hAnsi="Times New Roman"/>
        </w:rPr>
        <w:t xml:space="preserve"> reporting institution’s </w:t>
      </w:r>
      <w:r w:rsidRPr="0081476E">
        <w:rPr>
          <w:rFonts w:ascii="Times New Roman" w:hAnsi="Times New Roman"/>
        </w:rPr>
        <w:t>parallel run status.</w:t>
      </w:r>
    </w:p>
    <w:p w:rsidR="003B78E0" w14:paraId="64F6F654" w14:textId="77777777">
      <w:pPr>
        <w:widowControl/>
        <w:tabs>
          <w:tab w:val="left" w:pos="-1440"/>
          <w:tab w:val="left" w:pos="-720"/>
          <w:tab w:val="left" w:pos="0"/>
          <w:tab w:val="left" w:pos="432"/>
          <w:tab w:val="left" w:pos="720"/>
        </w:tabs>
        <w:suppressAutoHyphens/>
        <w:rPr>
          <w:rFonts w:ascii="Times New Roman" w:hAnsi="Times New Roman"/>
        </w:rPr>
      </w:pPr>
    </w:p>
    <w:p w:rsidR="00065FAB" w14:paraId="1D1D58C8" w14:textId="77777777">
      <w:pPr>
        <w:widowControl/>
        <w:tabs>
          <w:tab w:val="left" w:pos="-1440"/>
          <w:tab w:val="left" w:pos="-720"/>
          <w:tab w:val="left" w:pos="0"/>
          <w:tab w:val="left" w:pos="432"/>
          <w:tab w:val="left" w:pos="720"/>
        </w:tabs>
        <w:suppressAutoHyphens/>
        <w:rPr>
          <w:rFonts w:ascii="Times New Roman" w:hAnsi="Times New Roman"/>
        </w:rPr>
      </w:pPr>
    </w:p>
    <w:p w:rsidR="003B78E0" w14:paraId="7154E1E9" w14:textId="381F200D">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11.  </w:t>
      </w:r>
      <w:r w:rsidRPr="00647F97" w:rsidR="00A41B62">
        <w:rPr>
          <w:rFonts w:ascii="Times New Roman TUR" w:hAnsi="Times New Roman TUR" w:cs="Times New Roman TUR"/>
          <w:bCs/>
          <w:u w:val="single"/>
        </w:rPr>
        <w:t>Justification for questions of a sensitive nature:</w:t>
      </w:r>
    </w:p>
    <w:p w:rsidR="003B78E0" w14:paraId="606B88FA" w14:textId="77777777">
      <w:pPr>
        <w:widowControl/>
        <w:tabs>
          <w:tab w:val="left" w:pos="-1440"/>
          <w:tab w:val="left" w:pos="-720"/>
          <w:tab w:val="left" w:pos="0"/>
          <w:tab w:val="left" w:pos="432"/>
          <w:tab w:val="left" w:pos="720"/>
        </w:tabs>
        <w:suppressAutoHyphens/>
        <w:rPr>
          <w:rFonts w:ascii="Times New Roman" w:hAnsi="Times New Roman"/>
        </w:rPr>
      </w:pPr>
    </w:p>
    <w:p w:rsidR="003B78E0" w14:paraId="1872B6DD"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The FFIEC 101 report contains no questions of a sensitive nature.</w:t>
      </w:r>
    </w:p>
    <w:p w:rsidR="003B78E0" w14:paraId="03DE002D" w14:textId="77777777">
      <w:pPr>
        <w:widowControl/>
        <w:tabs>
          <w:tab w:val="left" w:pos="-1440"/>
          <w:tab w:val="left" w:pos="-720"/>
          <w:tab w:val="left" w:pos="0"/>
          <w:tab w:val="left" w:pos="432"/>
          <w:tab w:val="left" w:pos="720"/>
        </w:tabs>
        <w:suppressAutoHyphens/>
        <w:rPr>
          <w:rFonts w:ascii="Times New Roman" w:hAnsi="Times New Roman"/>
        </w:rPr>
      </w:pPr>
    </w:p>
    <w:p w:rsidR="00065FAB" w14:paraId="66A1C2B2" w14:textId="77777777">
      <w:pPr>
        <w:widowControl/>
        <w:tabs>
          <w:tab w:val="left" w:pos="-1440"/>
          <w:tab w:val="left" w:pos="-720"/>
          <w:tab w:val="left" w:pos="0"/>
          <w:tab w:val="left" w:pos="432"/>
          <w:tab w:val="left" w:pos="720"/>
        </w:tabs>
        <w:suppressAutoHyphens/>
        <w:rPr>
          <w:rFonts w:ascii="Times New Roman" w:hAnsi="Times New Roman"/>
        </w:rPr>
      </w:pPr>
    </w:p>
    <w:p w:rsidR="003B78E0" w14:paraId="76B96130" w14:textId="00701351">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12.  </w:t>
      </w:r>
      <w:r w:rsidRPr="009E4FE6" w:rsidR="00A41B62">
        <w:rPr>
          <w:rFonts w:ascii="Times New Roman" w:hAnsi="Times New Roman"/>
          <w:u w:val="single"/>
        </w:rPr>
        <w:t xml:space="preserve">Estimate of </w:t>
      </w:r>
      <w:r w:rsidR="00A41B62">
        <w:rPr>
          <w:rFonts w:ascii="Times New Roman" w:hAnsi="Times New Roman"/>
          <w:u w:val="single"/>
        </w:rPr>
        <w:t>hour burden including annualized hourly c</w:t>
      </w:r>
      <w:r w:rsidRPr="009E4FE6" w:rsidR="00A41B62">
        <w:rPr>
          <w:rFonts w:ascii="Times New Roman" w:hAnsi="Times New Roman"/>
          <w:u w:val="single"/>
        </w:rPr>
        <w:t>osts:</w:t>
      </w:r>
    </w:p>
    <w:p w:rsidR="003B78E0" w14:paraId="40D25A09" w14:textId="77777777">
      <w:pPr>
        <w:widowControl/>
        <w:tabs>
          <w:tab w:val="left" w:pos="-1440"/>
          <w:tab w:val="left" w:pos="-720"/>
          <w:tab w:val="left" w:pos="0"/>
          <w:tab w:val="left" w:pos="432"/>
          <w:tab w:val="left" w:pos="720"/>
        </w:tabs>
        <w:suppressAutoHyphens/>
        <w:rPr>
          <w:rFonts w:ascii="Times New Roman" w:hAnsi="Times New Roman"/>
        </w:rPr>
      </w:pPr>
    </w:p>
    <w:p w:rsidR="00FF0601" w:rsidRPr="00FF0601" w:rsidP="00FF0601" w14:paraId="31AA99FC" w14:textId="2FF4D64A">
      <w:pPr>
        <w:ind w:firstLine="720"/>
        <w:rPr>
          <w:rFonts w:ascii="Times New Roman" w:hAnsi="Times New Roman"/>
        </w:rPr>
      </w:pPr>
      <w:r w:rsidRPr="00FF0601">
        <w:rPr>
          <w:rFonts w:ascii="Times New Roman" w:hAnsi="Times New Roman"/>
        </w:rPr>
        <w:t>Est</w:t>
      </w:r>
      <w:r>
        <w:rPr>
          <w:rFonts w:ascii="Times New Roman" w:hAnsi="Times New Roman"/>
        </w:rPr>
        <w:t>imated Number of Respondents: 1</w:t>
      </w:r>
      <w:r w:rsidRPr="00FF0601">
        <w:rPr>
          <w:rFonts w:ascii="Times New Roman" w:hAnsi="Times New Roman"/>
        </w:rPr>
        <w:t>.</w:t>
      </w:r>
    </w:p>
    <w:p w:rsidR="00FF0601" w:rsidRPr="00FF0601" w:rsidP="00FF0601" w14:paraId="78E22126" w14:textId="77777777">
      <w:pPr>
        <w:rPr>
          <w:rFonts w:ascii="Times New Roman" w:hAnsi="Times New Roman"/>
        </w:rPr>
      </w:pPr>
    </w:p>
    <w:p w:rsidR="00FF0601" w:rsidRPr="00FF0601" w:rsidP="00FF0601" w14:paraId="1EFE80E6" w14:textId="08325FEB">
      <w:pPr>
        <w:ind w:left="720"/>
        <w:rPr>
          <w:rFonts w:ascii="Times New Roman" w:hAnsi="Times New Roman"/>
        </w:rPr>
      </w:pPr>
      <w:r w:rsidRPr="00FF0601">
        <w:rPr>
          <w:rFonts w:ascii="Times New Roman" w:hAnsi="Times New Roman"/>
        </w:rPr>
        <w:t>Estimated Time per Response:  674 burden hours per quarter</w:t>
      </w:r>
      <w:r>
        <w:rPr>
          <w:rFonts w:ascii="Times New Roman" w:hAnsi="Times New Roman"/>
        </w:rPr>
        <w:t>.</w:t>
      </w:r>
    </w:p>
    <w:p w:rsidR="00FF0601" w:rsidRPr="00FF0601" w:rsidP="00FF0601" w14:paraId="24A3C7A8" w14:textId="77777777">
      <w:pPr>
        <w:rPr>
          <w:rFonts w:ascii="Times New Roman" w:hAnsi="Times New Roman"/>
        </w:rPr>
      </w:pPr>
    </w:p>
    <w:p w:rsidR="00FF0601" w:rsidRPr="00FF0601" w:rsidP="00FF0601" w14:paraId="3A2F322D" w14:textId="10DE32C0">
      <w:pPr>
        <w:rPr>
          <w:rFonts w:ascii="Times New Roman" w:hAnsi="Times New Roman"/>
        </w:rPr>
      </w:pPr>
      <w:r w:rsidRPr="00FF0601">
        <w:rPr>
          <w:rFonts w:ascii="Times New Roman" w:hAnsi="Times New Roman"/>
        </w:rPr>
        <w:tab/>
        <w:t>Estim</w:t>
      </w:r>
      <w:r>
        <w:rPr>
          <w:rFonts w:ascii="Times New Roman" w:hAnsi="Times New Roman"/>
        </w:rPr>
        <w:t>ated Total Annual Burden: 2,696</w:t>
      </w:r>
      <w:r w:rsidRPr="00FF0601">
        <w:rPr>
          <w:rFonts w:ascii="Times New Roman" w:hAnsi="Times New Roman"/>
        </w:rPr>
        <w:t xml:space="preserve"> burden hours to file.</w:t>
      </w:r>
    </w:p>
    <w:p w:rsidR="00FF0601" w:rsidRPr="00FF0601" w:rsidP="00FF0601" w14:paraId="3FA4C064" w14:textId="77777777">
      <w:pPr>
        <w:rPr>
          <w:rFonts w:ascii="Times New Roman" w:hAnsi="Times New Roman"/>
        </w:rPr>
      </w:pPr>
    </w:p>
    <w:p w:rsidR="00FF0601" w:rsidRPr="00FF0601" w:rsidP="00FF0601" w14:paraId="2E758037" w14:textId="77777777">
      <w:pPr>
        <w:rPr>
          <w:rFonts w:ascii="Times New Roman" w:hAnsi="Times New Roman"/>
          <w:b/>
          <w:bCs/>
          <w:i/>
          <w:iCs/>
        </w:rPr>
      </w:pPr>
    </w:p>
    <w:p w:rsidR="00FF0601" w:rsidRPr="00FF0601" w:rsidP="00FF0601" w14:paraId="6CC4872F" w14:textId="77777777">
      <w:pPr>
        <w:rPr>
          <w:rFonts w:ascii="Times New Roman" w:hAnsi="Times New Roman"/>
          <w:b/>
          <w:bCs/>
          <w:iCs/>
        </w:rPr>
      </w:pPr>
      <w:r w:rsidRPr="00FF0601">
        <w:rPr>
          <w:rFonts w:ascii="Times New Roman" w:hAnsi="Times New Roman"/>
          <w:b/>
          <w:bCs/>
          <w:iCs/>
        </w:rPr>
        <w:t>Cost of Hour Burden to Respondents:</w:t>
      </w:r>
    </w:p>
    <w:p w:rsidR="00FF0601" w:rsidRPr="00FF0601" w:rsidP="00FF0601" w14:paraId="4A8301AC" w14:textId="77777777">
      <w:pPr>
        <w:rPr>
          <w:rFonts w:ascii="Times New Roman" w:hAnsi="Times New Roman"/>
          <w:bCs/>
          <w:iCs/>
        </w:rPr>
      </w:pPr>
    </w:p>
    <w:p w:rsidR="00FF0601" w:rsidRPr="00FF0601" w:rsidP="00FF0601" w14:paraId="1EE3F708" w14:textId="317A21B9">
      <w:pPr>
        <w:rPr>
          <w:rFonts w:ascii="Times New Roman" w:hAnsi="Times New Roman"/>
          <w:bCs/>
          <w:iCs/>
        </w:rPr>
      </w:pPr>
      <w:r w:rsidRPr="00FF0601">
        <w:rPr>
          <w:rFonts w:ascii="Times New Roman" w:hAnsi="Times New Roman"/>
          <w:bCs/>
          <w:iCs/>
        </w:rPr>
        <w:t>2</w:t>
      </w:r>
      <w:r>
        <w:rPr>
          <w:rFonts w:ascii="Times New Roman" w:hAnsi="Times New Roman"/>
          <w:bCs/>
          <w:iCs/>
        </w:rPr>
        <w:t>,696 hours x $128.05 = $3</w:t>
      </w:r>
      <w:r w:rsidRPr="00FF0601">
        <w:rPr>
          <w:rFonts w:ascii="Times New Roman" w:hAnsi="Times New Roman"/>
          <w:bCs/>
          <w:iCs/>
        </w:rPr>
        <w:t>45</w:t>
      </w:r>
      <w:r>
        <w:rPr>
          <w:rFonts w:ascii="Times New Roman" w:hAnsi="Times New Roman"/>
          <w:bCs/>
          <w:iCs/>
        </w:rPr>
        <w:t>,223</w:t>
      </w:r>
    </w:p>
    <w:p w:rsidR="00FF0601" w:rsidRPr="00FF0601" w:rsidP="00FF0601" w14:paraId="2A88B5B0" w14:textId="77777777">
      <w:pPr>
        <w:rPr>
          <w:rFonts w:ascii="Times New Roman" w:hAnsi="Times New Roman"/>
          <w:b/>
          <w:bCs/>
        </w:rPr>
      </w:pPr>
    </w:p>
    <w:p w:rsidR="00FF0601" w:rsidRPr="00FF0601" w:rsidP="00FF0601" w14:paraId="59AEFB3A" w14:textId="5DF16E02">
      <w:pPr>
        <w:rPr>
          <w:rFonts w:ascii="Times New Roman" w:hAnsi="Times New Roman"/>
        </w:rPr>
      </w:pPr>
      <w:r>
        <w:rPr>
          <w:rFonts w:ascii="Times New Roman" w:hAnsi="Times New Roman"/>
        </w:rPr>
        <w:t>To estimate wages the FDIC</w:t>
      </w:r>
      <w:r w:rsidRPr="00FF0601">
        <w:rPr>
          <w:rFonts w:ascii="Times New Roman" w:hAnsi="Times New Roman"/>
        </w:rPr>
        <w:t xml:space="preserve"> reviewed May 2022 data for wages (by industry and occupation) from the U.S. Bureau of Labor Statistics (BLS) for credit intermediation and related activities (NAICS 5220A1).  To estimate compensation costs a</w:t>
      </w:r>
      <w:r>
        <w:rPr>
          <w:rFonts w:ascii="Times New Roman" w:hAnsi="Times New Roman"/>
        </w:rPr>
        <w:t>ssociated with the rule, the FDIC</w:t>
      </w:r>
      <w:r w:rsidRPr="00FF0601">
        <w:rPr>
          <w:rFonts w:ascii="Times New Roman" w:hAnsi="Times New Roman"/>
        </w:rPr>
        <w:t xml:space="preserve"> uses $128.05 per hour, which is based on the average of the 90th percentile for six occupations adjusted for inflation (5.1 percent as of Q1 2023), plus an additional 34.3 percent for benefits (based on the percent of total compensation allocated to benefits as of Q4 2022 for NAICS 522: credit intermediation and related activities).</w:t>
      </w:r>
    </w:p>
    <w:p w:rsidR="003B78E0" w14:paraId="6E2EABC8" w14:textId="77777777">
      <w:pPr>
        <w:rPr>
          <w:rFonts w:ascii="Times New Roman" w:hAnsi="Times New Roman"/>
        </w:rPr>
      </w:pPr>
    </w:p>
    <w:p w:rsidR="00065FAB" w14:paraId="642DEBF7" w14:textId="77777777">
      <w:pPr>
        <w:widowControl/>
        <w:tabs>
          <w:tab w:val="left" w:pos="-1440"/>
          <w:tab w:val="left" w:pos="-720"/>
          <w:tab w:val="left" w:pos="0"/>
          <w:tab w:val="left" w:pos="432"/>
          <w:tab w:val="left" w:pos="720"/>
        </w:tabs>
        <w:suppressAutoHyphens/>
        <w:rPr>
          <w:rFonts w:ascii="Times New Roman" w:hAnsi="Times New Roman"/>
        </w:rPr>
      </w:pPr>
    </w:p>
    <w:p w:rsidR="003B78E0" w14:paraId="0F811B29" w14:textId="408C5F39">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13.  </w:t>
      </w:r>
      <w:r w:rsidRPr="009E4FE6" w:rsidR="00A41B62">
        <w:rPr>
          <w:rFonts w:ascii="Times New Roman" w:hAnsi="Times New Roman"/>
          <w:bCs/>
          <w:u w:val="single"/>
        </w:rPr>
        <w:t xml:space="preserve">Estimate of </w:t>
      </w:r>
      <w:r w:rsidR="00A41B62">
        <w:rPr>
          <w:rFonts w:ascii="Times New Roman" w:hAnsi="Times New Roman"/>
          <w:bCs/>
          <w:u w:val="single"/>
        </w:rPr>
        <w:t>s</w:t>
      </w:r>
      <w:r w:rsidRPr="009E4FE6" w:rsidR="00A41B62">
        <w:rPr>
          <w:rFonts w:ascii="Times New Roman" w:hAnsi="Times New Roman"/>
          <w:bCs/>
          <w:u w:val="single"/>
        </w:rPr>
        <w:t xml:space="preserve">tart-up </w:t>
      </w:r>
      <w:r w:rsidR="00A41B62">
        <w:rPr>
          <w:rFonts w:ascii="Times New Roman" w:hAnsi="Times New Roman"/>
          <w:bCs/>
          <w:u w:val="single"/>
        </w:rPr>
        <w:t>c</w:t>
      </w:r>
      <w:r w:rsidRPr="009E4FE6" w:rsidR="00A41B62">
        <w:rPr>
          <w:rFonts w:ascii="Times New Roman" w:hAnsi="Times New Roman"/>
          <w:bCs/>
          <w:u w:val="single"/>
        </w:rPr>
        <w:t xml:space="preserve">osts to </w:t>
      </w:r>
      <w:r w:rsidR="00A41B62">
        <w:rPr>
          <w:rFonts w:ascii="Times New Roman" w:hAnsi="Times New Roman"/>
          <w:bCs/>
          <w:u w:val="single"/>
        </w:rPr>
        <w:t>r</w:t>
      </w:r>
      <w:r w:rsidRPr="009E4FE6" w:rsidR="00A41B62">
        <w:rPr>
          <w:rFonts w:ascii="Times New Roman" w:hAnsi="Times New Roman"/>
          <w:bCs/>
          <w:u w:val="single"/>
        </w:rPr>
        <w:t>espondents:</w:t>
      </w:r>
    </w:p>
    <w:p w:rsidR="003B78E0" w14:paraId="66FB9EFA" w14:textId="77777777">
      <w:pPr>
        <w:widowControl/>
        <w:tabs>
          <w:tab w:val="left" w:pos="-1440"/>
          <w:tab w:val="left" w:pos="-720"/>
          <w:tab w:val="left" w:pos="0"/>
          <w:tab w:val="left" w:pos="432"/>
          <w:tab w:val="left" w:pos="720"/>
        </w:tabs>
        <w:suppressAutoHyphens/>
        <w:rPr>
          <w:rFonts w:ascii="Times New Roman" w:hAnsi="Times New Roman"/>
        </w:rPr>
      </w:pPr>
    </w:p>
    <w:p w:rsidR="003B78E0" w14:paraId="5E0EC7AB"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sidR="00B14127">
        <w:rPr>
          <w:rFonts w:ascii="Times New Roman" w:hAnsi="Times New Roman"/>
        </w:rPr>
        <w:t>.</w:t>
      </w:r>
    </w:p>
    <w:p w:rsidR="00B14127" w14:paraId="780EC5B5" w14:textId="77777777">
      <w:pPr>
        <w:widowControl/>
        <w:tabs>
          <w:tab w:val="left" w:pos="-1440"/>
          <w:tab w:val="left" w:pos="-720"/>
          <w:tab w:val="left" w:pos="0"/>
          <w:tab w:val="left" w:pos="432"/>
          <w:tab w:val="left" w:pos="720"/>
        </w:tabs>
        <w:suppressAutoHyphens/>
        <w:rPr>
          <w:rFonts w:ascii="Times New Roman" w:hAnsi="Times New Roman"/>
        </w:rPr>
      </w:pPr>
    </w:p>
    <w:p w:rsidR="00065FAB" w:rsidP="00C02C8F" w14:paraId="652D856D" w14:textId="77777777">
      <w:pPr>
        <w:widowControl/>
        <w:rPr>
          <w:rFonts w:ascii="Times New Roman" w:hAnsi="Times New Roman"/>
        </w:rPr>
      </w:pPr>
    </w:p>
    <w:p w:rsidR="003B78E0" w:rsidP="00C02C8F" w14:paraId="69C3A1BE" w14:textId="78656701">
      <w:pPr>
        <w:widowControl/>
        <w:rPr>
          <w:rFonts w:ascii="Times New Roman" w:hAnsi="Times New Roman"/>
        </w:rPr>
      </w:pPr>
      <w:r>
        <w:rPr>
          <w:rFonts w:ascii="Times New Roman" w:hAnsi="Times New Roman"/>
        </w:rPr>
        <w:t xml:space="preserve">14.  </w:t>
      </w:r>
      <w:r w:rsidRPr="00817DAE" w:rsidR="00A41B62">
        <w:rPr>
          <w:rFonts w:ascii="Times New Roman" w:hAnsi="Times New Roman"/>
          <w:bCs/>
          <w:u w:val="single"/>
        </w:rPr>
        <w:t>Estimate of annualized costs to the government:</w:t>
      </w:r>
    </w:p>
    <w:p w:rsidR="003B78E0" w14:paraId="1120F2EF" w14:textId="77777777">
      <w:pPr>
        <w:widowControl/>
        <w:tabs>
          <w:tab w:val="left" w:pos="-1440"/>
          <w:tab w:val="left" w:pos="-720"/>
          <w:tab w:val="left" w:pos="0"/>
          <w:tab w:val="left" w:pos="432"/>
          <w:tab w:val="left" w:pos="720"/>
        </w:tabs>
        <w:suppressAutoHyphens/>
        <w:rPr>
          <w:rFonts w:ascii="Times New Roman" w:hAnsi="Times New Roman"/>
        </w:rPr>
      </w:pPr>
    </w:p>
    <w:p w:rsidR="003B78E0" w14:paraId="3814666F"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Pr>
          <w:rFonts w:ascii="Times New Roman" w:hAnsi="Times New Roman"/>
        </w:rPr>
        <w:t xml:space="preserve"> </w:t>
      </w:r>
    </w:p>
    <w:p w:rsidR="003B78E0" w14:paraId="01AA7F3A" w14:textId="77777777">
      <w:pPr>
        <w:widowControl/>
        <w:tabs>
          <w:tab w:val="left" w:pos="-1440"/>
          <w:tab w:val="left" w:pos="-720"/>
          <w:tab w:val="left" w:pos="0"/>
          <w:tab w:val="left" w:pos="432"/>
          <w:tab w:val="left" w:pos="720"/>
        </w:tabs>
        <w:suppressAutoHyphens/>
        <w:rPr>
          <w:rFonts w:ascii="Times New Roman" w:hAnsi="Times New Roman"/>
        </w:rPr>
      </w:pPr>
    </w:p>
    <w:p w:rsidR="00065FAB" w14:paraId="5CAA04D3" w14:textId="77777777">
      <w:pPr>
        <w:widowControl/>
        <w:tabs>
          <w:tab w:val="left" w:pos="-1440"/>
          <w:tab w:val="left" w:pos="-720"/>
          <w:tab w:val="left" w:pos="0"/>
          <w:tab w:val="left" w:pos="432"/>
          <w:tab w:val="left" w:pos="720"/>
        </w:tabs>
        <w:suppressAutoHyphens/>
        <w:rPr>
          <w:rFonts w:ascii="Times New Roman" w:hAnsi="Times New Roman"/>
        </w:rPr>
      </w:pPr>
    </w:p>
    <w:p w:rsidR="003B78E0" w14:paraId="04DF91D1" w14:textId="7A8508A8">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15.  </w:t>
      </w:r>
      <w:r w:rsidRPr="00817DAE" w:rsidR="00A41B62">
        <w:rPr>
          <w:rFonts w:ascii="Times New Roman" w:hAnsi="Times New Roman"/>
          <w:u w:val="single"/>
        </w:rPr>
        <w:t>Analysis of change in burden:</w:t>
      </w:r>
    </w:p>
    <w:p w:rsidR="003B78E0" w14:paraId="0FE9A5D2" w14:textId="77777777">
      <w:pPr>
        <w:widowControl/>
        <w:tabs>
          <w:tab w:val="left" w:pos="-1440"/>
          <w:tab w:val="left" w:pos="-720"/>
          <w:tab w:val="left" w:pos="0"/>
          <w:tab w:val="left" w:pos="432"/>
          <w:tab w:val="left" w:pos="720"/>
        </w:tabs>
        <w:suppressAutoHyphens/>
        <w:rPr>
          <w:rFonts w:ascii="Times New Roman" w:hAnsi="Times New Roman"/>
        </w:rPr>
      </w:pPr>
    </w:p>
    <w:p w:rsidR="004067DA" w14:paraId="6FD31296" w14:textId="517509A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sidRPr="007D5FF9">
        <w:rPr>
          <w:rFonts w:ascii="Times New Roman" w:hAnsi="Times New Roman"/>
        </w:rPr>
        <w:t>The</w:t>
      </w:r>
      <w:r>
        <w:rPr>
          <w:rFonts w:ascii="Times New Roman" w:hAnsi="Times New Roman"/>
        </w:rPr>
        <w:t>re is no</w:t>
      </w:r>
      <w:r w:rsidRPr="007D5FF9">
        <w:rPr>
          <w:rFonts w:ascii="Times New Roman" w:hAnsi="Times New Roman"/>
        </w:rPr>
        <w:t xml:space="preserve"> change in burden </w:t>
      </w:r>
      <w:r>
        <w:rPr>
          <w:rFonts w:ascii="Times New Roman" w:hAnsi="Times New Roman"/>
        </w:rPr>
        <w:t>The</w:t>
      </w:r>
      <w:r>
        <w:rPr>
          <w:rFonts w:ascii="Times New Roman" w:hAnsi="Times New Roman"/>
        </w:rPr>
        <w:t xml:space="preserve"> total estimated annual reporting burden for the FFIEC 101 information collection will remain </w:t>
      </w:r>
      <w:r w:rsidRPr="005428E8">
        <w:rPr>
          <w:rFonts w:ascii="Times New Roman" w:hAnsi="Times New Roman"/>
        </w:rPr>
        <w:t xml:space="preserve">2,696 </w:t>
      </w:r>
      <w:r>
        <w:rPr>
          <w:rFonts w:ascii="Times New Roman" w:hAnsi="Times New Roman"/>
        </w:rPr>
        <w:t>hours.</w:t>
      </w:r>
      <w:bookmarkStart w:id="2" w:name="_GoBack"/>
      <w:bookmarkEnd w:id="2"/>
    </w:p>
    <w:p w:rsidR="003B78E0" w14:paraId="0F7CE647" w14:textId="77777777">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 xml:space="preserve">  </w:t>
      </w:r>
    </w:p>
    <w:p w:rsidR="003B78E0" w:rsidP="00A41B62" w14:paraId="459AE6EB" w14:textId="77777777">
      <w:pPr>
        <w:widowControl/>
        <w:tabs>
          <w:tab w:val="left" w:pos="-720"/>
          <w:tab w:val="left" w:pos="1008"/>
          <w:tab w:val="left" w:pos="2160"/>
          <w:tab w:val="left" w:pos="4176"/>
          <w:tab w:val="left" w:pos="5472"/>
          <w:tab w:val="left" w:pos="6912"/>
        </w:tabs>
        <w:suppressAutoHyphens/>
        <w:ind w:left="450" w:hanging="450"/>
        <w:rPr>
          <w:rFonts w:ascii="Times New Roman" w:hAnsi="Times New Roman"/>
        </w:rPr>
      </w:pPr>
      <w:r>
        <w:rPr>
          <w:rFonts w:ascii="Times New Roman" w:hAnsi="Times New Roman"/>
        </w:rPr>
        <w:t xml:space="preserve">16.  </w:t>
      </w:r>
      <w:r w:rsidRPr="00A41B62" w:rsidR="00A41B62">
        <w:rPr>
          <w:rFonts w:ascii="Times New Roman" w:hAnsi="Times New Roman"/>
          <w:bCs/>
          <w:u w:val="single"/>
        </w:rPr>
        <w:t>Information regarding collections whose results are planned to be published for statistical use:</w:t>
      </w:r>
    </w:p>
    <w:p w:rsidR="003B78E0" w14:paraId="629996E4"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P="00D802AB" w14:paraId="393E9AA5" w14:textId="77777777">
      <w:pPr>
        <w:rPr>
          <w:rFonts w:ascii="Times New Roman" w:hAnsi="Times New Roman"/>
        </w:rPr>
      </w:pPr>
      <w:r>
        <w:rPr>
          <w:rFonts w:ascii="Times New Roman" w:hAnsi="Times New Roman"/>
        </w:rPr>
        <w:t>Not applicable</w:t>
      </w:r>
      <w:r w:rsidR="00F667B6">
        <w:rPr>
          <w:rFonts w:ascii="Times New Roman" w:hAnsi="Times New Roman"/>
        </w:rPr>
        <w:t>.</w:t>
      </w:r>
    </w:p>
    <w:p w:rsidR="003B78E0" w14:paraId="31BF8269" w14:textId="7B964E4D">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065FAB" w14:paraId="5046EA4B"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14:paraId="1AFAC126"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17.  </w:t>
      </w:r>
      <w:r w:rsidRPr="003A1650" w:rsidR="00B14127">
        <w:rPr>
          <w:rFonts w:ascii="Times New Roman" w:hAnsi="Times New Roman"/>
          <w:szCs w:val="24"/>
          <w:u w:val="single"/>
        </w:rPr>
        <w:t xml:space="preserve">Exceptions to </w:t>
      </w:r>
      <w:r w:rsidRPr="003030A4" w:rsidR="00B14127">
        <w:rPr>
          <w:rFonts w:ascii="Times New Roman" w:hAnsi="Times New Roman"/>
          <w:szCs w:val="24"/>
          <w:u w:val="single"/>
        </w:rPr>
        <w:t xml:space="preserve">Display of </w:t>
      </w:r>
      <w:r w:rsidR="00B14127">
        <w:rPr>
          <w:rFonts w:ascii="Times New Roman" w:hAnsi="Times New Roman"/>
          <w:szCs w:val="24"/>
          <w:u w:val="single"/>
        </w:rPr>
        <w:t>e</w:t>
      </w:r>
      <w:r w:rsidRPr="003030A4" w:rsidR="00B14127">
        <w:rPr>
          <w:rFonts w:ascii="Times New Roman" w:hAnsi="Times New Roman"/>
          <w:szCs w:val="24"/>
          <w:u w:val="single"/>
        </w:rPr>
        <w:t xml:space="preserve">xpiration </w:t>
      </w:r>
      <w:r w:rsidR="00B14127">
        <w:rPr>
          <w:rFonts w:ascii="Times New Roman" w:hAnsi="Times New Roman"/>
          <w:szCs w:val="24"/>
          <w:u w:val="single"/>
        </w:rPr>
        <w:t>d</w:t>
      </w:r>
      <w:r w:rsidRPr="003030A4" w:rsidR="00B14127">
        <w:rPr>
          <w:rFonts w:ascii="Times New Roman" w:hAnsi="Times New Roman"/>
          <w:szCs w:val="24"/>
          <w:u w:val="single"/>
        </w:rPr>
        <w:t>ate</w:t>
      </w:r>
      <w:r w:rsidR="00B14127">
        <w:rPr>
          <w:rFonts w:ascii="Times New Roman" w:hAnsi="Times New Roman"/>
          <w:szCs w:val="24"/>
          <w:u w:val="single"/>
        </w:rPr>
        <w:t>:</w:t>
      </w:r>
    </w:p>
    <w:p w:rsidR="003B78E0" w14:paraId="20D0A1D4"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14:paraId="7EDCFF61"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None</w:t>
      </w:r>
      <w:r>
        <w:rPr>
          <w:rFonts w:ascii="Times New Roman" w:hAnsi="Times New Roman"/>
        </w:rPr>
        <w:t>.</w:t>
      </w:r>
    </w:p>
    <w:p w:rsidR="00B14127" w14:paraId="7F3E235F" w14:textId="03E43F2E">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065FAB" w14:paraId="66588B12"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B14127" w:rsidRPr="007E1EEE" w:rsidP="00B14127" w14:paraId="0DDFEC86" w14:textId="77777777">
      <w:pPr>
        <w:rPr>
          <w:rFonts w:ascii="Times New Roman" w:hAnsi="Times New Roman"/>
          <w:szCs w:val="24"/>
        </w:rPr>
      </w:pPr>
      <w:r w:rsidRPr="007E1EEE">
        <w:rPr>
          <w:rFonts w:ascii="Times New Roman" w:hAnsi="Times New Roman"/>
          <w:szCs w:val="24"/>
        </w:rPr>
        <w:t xml:space="preserve">18.  </w:t>
      </w:r>
      <w:r>
        <w:rPr>
          <w:rFonts w:ascii="Times New Roman" w:hAnsi="Times New Roman"/>
          <w:szCs w:val="24"/>
          <w:u w:val="single"/>
        </w:rPr>
        <w:t>Exceptions to c</w:t>
      </w:r>
      <w:r w:rsidRPr="003030A4">
        <w:rPr>
          <w:rFonts w:ascii="Times New Roman" w:hAnsi="Times New Roman"/>
          <w:szCs w:val="24"/>
          <w:u w:val="single"/>
        </w:rPr>
        <w:t>ertification</w:t>
      </w:r>
      <w:r>
        <w:rPr>
          <w:rFonts w:ascii="Times New Roman" w:hAnsi="Times New Roman"/>
          <w:szCs w:val="24"/>
          <w:u w:val="single"/>
        </w:rPr>
        <w:t>:</w:t>
      </w:r>
    </w:p>
    <w:p w:rsidR="00B14127" w:rsidRPr="007E1EEE" w:rsidP="00B14127" w14:paraId="628191A4" w14:textId="77777777">
      <w:pPr>
        <w:rPr>
          <w:rFonts w:ascii="Times New Roman" w:hAnsi="Times New Roman"/>
          <w:szCs w:val="24"/>
        </w:rPr>
      </w:pPr>
    </w:p>
    <w:p w:rsidR="00B14127" w:rsidRPr="007E1EEE" w:rsidP="00B14127" w14:paraId="1FBD2CED" w14:textId="77777777">
      <w:pPr>
        <w:rPr>
          <w:rFonts w:ascii="Times New Roman" w:hAnsi="Times New Roman"/>
          <w:szCs w:val="24"/>
        </w:rPr>
      </w:pPr>
      <w:r w:rsidRPr="007E1EEE">
        <w:rPr>
          <w:rFonts w:ascii="Times New Roman" w:hAnsi="Times New Roman"/>
          <w:szCs w:val="24"/>
        </w:rPr>
        <w:t>None.</w:t>
      </w:r>
    </w:p>
    <w:p w:rsidR="003B78E0" w14:paraId="37714C9A"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14:paraId="109474E2"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14:paraId="2A54B9C6"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B.  </w:t>
      </w:r>
      <w:r>
        <w:rPr>
          <w:rFonts w:ascii="Times New Roman" w:hAnsi="Times New Roman"/>
          <w:u w:val="single"/>
        </w:rPr>
        <w:t>COLLECTION OF INFORMATION EMPLOYING STATISTICAL METHODS</w:t>
      </w:r>
    </w:p>
    <w:p w:rsidR="003B78E0" w14:paraId="0F67B933"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14:paraId="19388BF5" w14:textId="77777777">
      <w:pPr>
        <w:widowControl/>
        <w:tabs>
          <w:tab w:val="left" w:pos="-720"/>
          <w:tab w:val="left" w:pos="0"/>
          <w:tab w:val="left" w:pos="1008"/>
          <w:tab w:val="left" w:pos="2160"/>
          <w:tab w:val="left" w:pos="4176"/>
          <w:tab w:val="left" w:pos="5472"/>
          <w:tab w:val="left" w:pos="6912"/>
        </w:tabs>
        <w:suppressAutoHyphens/>
      </w:pPr>
      <w:r>
        <w:rPr>
          <w:rFonts w:ascii="Times New Roman" w:hAnsi="Times New Roman"/>
        </w:rPr>
        <w:t>Not applicable.</w:t>
      </w:r>
    </w:p>
    <w:sectPr w:rsidSect="00DD4EC1">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3B5363" w14:paraId="3581D19A" w14:textId="77777777">
      <w:pPr>
        <w:widowControl/>
        <w:spacing w:line="20" w:lineRule="exact"/>
      </w:pPr>
    </w:p>
  </w:endnote>
  <w:endnote w:type="continuationSeparator" w:id="1">
    <w:p w:rsidR="003B5363" w14:paraId="137DFB44" w14:textId="77777777">
      <w:r>
        <w:t xml:space="preserve"> </w:t>
      </w:r>
    </w:p>
  </w:endnote>
  <w:endnote w:type="continuationNotice" w:id="2">
    <w:p w:rsidR="003B5363" w14:paraId="6FC002F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4AF4" w14:paraId="2AE71A3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64AF4" w14:paraId="7EE4DC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4AF4" w14:paraId="02490FBB" w14:textId="51476BD3">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F0601">
      <w:rPr>
        <w:rStyle w:val="PageNumber"/>
        <w:rFonts w:ascii="Times New Roman" w:hAnsi="Times New Roman"/>
        <w:noProof/>
      </w:rPr>
      <w:t>6</w:t>
    </w:r>
    <w:r>
      <w:rPr>
        <w:rStyle w:val="PageNumber"/>
        <w:rFonts w:ascii="Times New Roman" w:hAnsi="Times New Roman"/>
      </w:rPr>
      <w:fldChar w:fldCharType="end"/>
    </w:r>
  </w:p>
  <w:p w:rsidR="00064AF4" w14:paraId="47ED3793" w14:textId="77777777">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4AF4" w14:paraId="798505B4" w14:textId="4B562636">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F0601">
      <w:rPr>
        <w:rStyle w:val="PageNumber"/>
        <w:rFonts w:ascii="Times New Roman" w:hAnsi="Times New Roman"/>
        <w:noProof/>
      </w:rPr>
      <w:t>1</w:t>
    </w:r>
    <w:r>
      <w:rPr>
        <w:rStyle w:val="PageNumber"/>
        <w:rFonts w:ascii="Times New Roman" w:hAnsi="Times New Roman"/>
      </w:rPr>
      <w:fldChar w:fldCharType="end"/>
    </w:r>
  </w:p>
  <w:p w:rsidR="00064AF4" w14:paraId="7F38B768"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B5363" w14:paraId="45539CEC" w14:textId="77777777">
      <w:r>
        <w:separator/>
      </w:r>
    </w:p>
  </w:footnote>
  <w:footnote w:type="continuationSeparator" w:id="1">
    <w:p w:rsidR="003B5363" w14:paraId="2F889CC0" w14:textId="77777777">
      <w:r>
        <w:continuationSeparator/>
      </w:r>
    </w:p>
  </w:footnote>
  <w:footnote w:id="2">
    <w:p w:rsidR="00064AF4" w:rsidRPr="00960DC6" w14:paraId="6DD1066B" w14:textId="77777777">
      <w:pPr>
        <w:pStyle w:val="FootnoteText"/>
        <w:rPr>
          <w:rFonts w:ascii="Times New Roman" w:hAnsi="Times New Roman"/>
          <w:sz w:val="20"/>
        </w:rPr>
      </w:pPr>
      <w:r w:rsidRPr="00960DC6">
        <w:rPr>
          <w:rStyle w:val="FootnoteReference"/>
          <w:rFonts w:ascii="Times New Roman" w:hAnsi="Times New Roman"/>
          <w:sz w:val="20"/>
        </w:rPr>
        <w:footnoteRef/>
      </w:r>
      <w:r w:rsidRPr="00960DC6">
        <w:rPr>
          <w:rFonts w:ascii="Times New Roman" w:hAnsi="Times New Roman"/>
          <w:sz w:val="20"/>
        </w:rPr>
        <w:t xml:space="preserve"> See the advanced approaches risk-based capital rule: 12 CFR part 3, subpart E (OCC); 12 CFR part 217, subpart E (</w:t>
      </w:r>
      <w:r>
        <w:rPr>
          <w:rFonts w:ascii="Times New Roman" w:hAnsi="Times New Roman"/>
          <w:sz w:val="20"/>
        </w:rPr>
        <w:t>FR</w:t>
      </w:r>
      <w:r w:rsidRPr="00960DC6">
        <w:rPr>
          <w:rFonts w:ascii="Times New Roman" w:hAnsi="Times New Roman"/>
          <w:sz w:val="20"/>
        </w:rPr>
        <w:t>B); and 12 CFR part 324, subpart E (FDIC).</w:t>
      </w:r>
    </w:p>
  </w:footnote>
  <w:footnote w:id="3">
    <w:p w:rsidR="00064AF4" w:rsidRPr="00EB14F0" w14:paraId="06F03893" w14:textId="77777777">
      <w:pPr>
        <w:pStyle w:val="FootnoteText"/>
        <w:rPr>
          <w:rFonts w:ascii="Times New Roman" w:hAnsi="Times New Roman"/>
          <w:sz w:val="20"/>
        </w:rPr>
      </w:pPr>
      <w:r w:rsidRPr="002410F0">
        <w:rPr>
          <w:rStyle w:val="FootnoteReference"/>
          <w:rFonts w:ascii="Times New Roman" w:hAnsi="Times New Roman"/>
          <w:sz w:val="20"/>
        </w:rPr>
        <w:footnoteRef/>
      </w:r>
      <w:r w:rsidRPr="002410F0">
        <w:rPr>
          <w:rFonts w:ascii="Times New Roman" w:hAnsi="Times New Roman"/>
          <w:sz w:val="20"/>
        </w:rPr>
        <w:t xml:space="preserve"> Under the agencies’ recently adopted tailoring final rule</w:t>
      </w:r>
      <w:r>
        <w:rPr>
          <w:rFonts w:ascii="Times New Roman" w:hAnsi="Times New Roman"/>
          <w:sz w:val="20"/>
        </w:rPr>
        <w:t xml:space="preserve"> (see 84 FR 59231 (November 1, 2019))</w:t>
      </w:r>
      <w:r w:rsidRPr="002410F0">
        <w:rPr>
          <w:rFonts w:ascii="Times New Roman" w:hAnsi="Times New Roman"/>
          <w:sz w:val="20"/>
        </w:rPr>
        <w:t xml:space="preserve">, institutions subject to </w:t>
      </w:r>
      <w:r w:rsidRPr="00EB14F0">
        <w:rPr>
          <w:rFonts w:ascii="Times New Roman" w:hAnsi="Times New Roman"/>
          <w:sz w:val="20"/>
        </w:rPr>
        <w:t>Category I and II capital standards, and consolidated subsidiaries of such institutions, are advanced approaches institutions.</w:t>
      </w:r>
    </w:p>
  </w:footnote>
  <w:footnote w:id="4">
    <w:p w:rsidR="00064AF4" w:rsidRPr="0081476E" w14:paraId="0E573D9D" w14:textId="77777777">
      <w:pPr>
        <w:pStyle w:val="FootnoteText"/>
        <w:rPr>
          <w:rFonts w:ascii="Times New Roman" w:hAnsi="Times New Roman"/>
          <w:sz w:val="20"/>
        </w:rPr>
      </w:pPr>
      <w:r w:rsidRPr="0081476E">
        <w:rPr>
          <w:rStyle w:val="FootnoteReference"/>
          <w:rFonts w:ascii="Times New Roman" w:hAnsi="Times New Roman"/>
          <w:sz w:val="20"/>
        </w:rPr>
        <w:footnoteRef/>
      </w:r>
      <w:r w:rsidRPr="0081476E">
        <w:rPr>
          <w:rFonts w:ascii="Times New Roman" w:hAnsi="Times New Roman"/>
          <w:sz w:val="20"/>
        </w:rPr>
        <w:t xml:space="preserve"> For the FDIC, OMB No. 3064-0052.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4AF4" w14:paraId="5C4FA8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4AF4" w14:paraId="16B66580" w14:textId="77777777">
    <w:pPr>
      <w:tabs>
        <w:tab w:val="left" w:pos="-1440"/>
        <w:tab w:val="left" w:pos="-720"/>
        <w:tab w:val="left" w:pos="0"/>
        <w:tab w:val="left" w:pos="432"/>
        <w:tab w:val="left" w:pos="720"/>
        <w:tab w:val="left" w:pos="1008"/>
        <w:tab w:val="left" w:pos="1440"/>
      </w:tabs>
      <w:suppressAutoHyphens/>
      <w:jc w:val="both"/>
    </w:pPr>
  </w:p>
  <w:p w:rsidR="00064AF4" w14:paraId="6E60A58E" w14:textId="77777777">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4AF4" w14:paraId="4728A907" w14:textId="77777777">
    <w:pPr>
      <w:pStyle w:val="Header"/>
      <w:jc w:val="right"/>
      <w:rPr>
        <w:rFonts w:ascii="Times New Roman" w:hAnsi="Times New Roman"/>
        <w:color w:val="C0C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95781E"/>
    <w:multiLevelType w:val="hybridMultilevel"/>
    <w:tmpl w:val="EBFEEEE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1">
    <w:nsid w:val="09135771"/>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2">
    <w:nsid w:val="0C8A446B"/>
    <w:multiLevelType w:val="singleLevel"/>
    <w:tmpl w:val="BE36AEE0"/>
    <w:lvl w:ilvl="0">
      <w:start w:val="1"/>
      <w:numFmt w:val="decimal"/>
      <w:lvlText w:val="(%1)"/>
      <w:lvlJc w:val="left"/>
      <w:pPr>
        <w:tabs>
          <w:tab w:val="num" w:pos="504"/>
        </w:tabs>
        <w:ind w:left="504" w:hanging="504"/>
      </w:pPr>
    </w:lvl>
  </w:abstractNum>
  <w:abstractNum w:abstractNumId="3">
    <w:nsid w:val="115D4673"/>
    <w:multiLevelType w:val="hybridMultilevel"/>
    <w:tmpl w:val="C1A436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16D4231"/>
    <w:multiLevelType w:val="singleLevel"/>
    <w:tmpl w:val="BE36AEE0"/>
    <w:lvl w:ilvl="0">
      <w:start w:val="1"/>
      <w:numFmt w:val="decimal"/>
      <w:lvlText w:val="(%1)"/>
      <w:lvlJc w:val="left"/>
      <w:pPr>
        <w:tabs>
          <w:tab w:val="num" w:pos="504"/>
        </w:tabs>
        <w:ind w:left="504" w:hanging="504"/>
      </w:pPr>
    </w:lvl>
  </w:abstractNum>
  <w:abstractNum w:abstractNumId="5">
    <w:nsid w:val="11B051B3"/>
    <w:multiLevelType w:val="singleLevel"/>
    <w:tmpl w:val="223231D2"/>
    <w:lvl w:ilvl="0">
      <w:start w:val="1"/>
      <w:numFmt w:val="bullet"/>
      <w:lvlText w:val=""/>
      <w:lvlJc w:val="left"/>
      <w:pPr>
        <w:tabs>
          <w:tab w:val="num" w:pos="504"/>
        </w:tabs>
        <w:ind w:left="504" w:hanging="504"/>
      </w:pPr>
      <w:rPr>
        <w:rFonts w:ascii="Symbol" w:hAnsi="Symbol" w:hint="default"/>
      </w:rPr>
    </w:lvl>
  </w:abstractNum>
  <w:abstractNum w:abstractNumId="6">
    <w:nsid w:val="16FD1EBA"/>
    <w:multiLevelType w:val="singleLevel"/>
    <w:tmpl w:val="F82C3C94"/>
    <w:lvl w:ilvl="0">
      <w:start w:val="1"/>
      <w:numFmt w:val="decimal"/>
      <w:lvlText w:val="(%1)"/>
      <w:lvlJc w:val="left"/>
      <w:pPr>
        <w:tabs>
          <w:tab w:val="num" w:pos="1125"/>
        </w:tabs>
        <w:ind w:left="1125" w:hanging="405"/>
      </w:pPr>
      <w:rPr>
        <w:rFonts w:hint="default"/>
      </w:rPr>
    </w:lvl>
  </w:abstractNum>
  <w:abstractNum w:abstractNumId="7">
    <w:nsid w:val="1BEB4AB2"/>
    <w:multiLevelType w:val="hybridMultilevel"/>
    <w:tmpl w:val="BF721D1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210"/>
        </w:tabs>
        <w:ind w:left="1210" w:hanging="360"/>
      </w:pPr>
      <w:rPr>
        <w:rFonts w:ascii="Courier New" w:hAnsi="Courier New" w:cs="Courier New" w:hint="default"/>
      </w:rPr>
    </w:lvl>
    <w:lvl w:ilvl="2" w:tentative="1">
      <w:start w:val="1"/>
      <w:numFmt w:val="bullet"/>
      <w:lvlText w:val=""/>
      <w:lvlJc w:val="left"/>
      <w:pPr>
        <w:tabs>
          <w:tab w:val="num" w:pos="1930"/>
        </w:tabs>
        <w:ind w:left="1930" w:hanging="360"/>
      </w:pPr>
      <w:rPr>
        <w:rFonts w:ascii="Wingdings" w:hAnsi="Wingdings" w:hint="default"/>
      </w:rPr>
    </w:lvl>
    <w:lvl w:ilvl="3" w:tentative="1">
      <w:start w:val="1"/>
      <w:numFmt w:val="bullet"/>
      <w:lvlText w:val=""/>
      <w:lvlJc w:val="left"/>
      <w:pPr>
        <w:tabs>
          <w:tab w:val="num" w:pos="2650"/>
        </w:tabs>
        <w:ind w:left="2650" w:hanging="360"/>
      </w:pPr>
      <w:rPr>
        <w:rFonts w:ascii="Symbol" w:hAnsi="Symbol" w:hint="default"/>
      </w:rPr>
    </w:lvl>
    <w:lvl w:ilvl="4" w:tentative="1">
      <w:start w:val="1"/>
      <w:numFmt w:val="bullet"/>
      <w:lvlText w:val="o"/>
      <w:lvlJc w:val="left"/>
      <w:pPr>
        <w:tabs>
          <w:tab w:val="num" w:pos="3370"/>
        </w:tabs>
        <w:ind w:left="3370" w:hanging="360"/>
      </w:pPr>
      <w:rPr>
        <w:rFonts w:ascii="Courier New" w:hAnsi="Courier New" w:cs="Courier New" w:hint="default"/>
      </w:rPr>
    </w:lvl>
    <w:lvl w:ilvl="5" w:tentative="1">
      <w:start w:val="1"/>
      <w:numFmt w:val="bullet"/>
      <w:lvlText w:val=""/>
      <w:lvlJc w:val="left"/>
      <w:pPr>
        <w:tabs>
          <w:tab w:val="num" w:pos="4090"/>
        </w:tabs>
        <w:ind w:left="4090" w:hanging="360"/>
      </w:pPr>
      <w:rPr>
        <w:rFonts w:ascii="Wingdings" w:hAnsi="Wingdings" w:hint="default"/>
      </w:rPr>
    </w:lvl>
    <w:lvl w:ilvl="6" w:tentative="1">
      <w:start w:val="1"/>
      <w:numFmt w:val="bullet"/>
      <w:lvlText w:val=""/>
      <w:lvlJc w:val="left"/>
      <w:pPr>
        <w:tabs>
          <w:tab w:val="num" w:pos="4810"/>
        </w:tabs>
        <w:ind w:left="4810" w:hanging="360"/>
      </w:pPr>
      <w:rPr>
        <w:rFonts w:ascii="Symbol" w:hAnsi="Symbol" w:hint="default"/>
      </w:rPr>
    </w:lvl>
    <w:lvl w:ilvl="7" w:tentative="1">
      <w:start w:val="1"/>
      <w:numFmt w:val="bullet"/>
      <w:lvlText w:val="o"/>
      <w:lvlJc w:val="left"/>
      <w:pPr>
        <w:tabs>
          <w:tab w:val="num" w:pos="5530"/>
        </w:tabs>
        <w:ind w:left="5530" w:hanging="360"/>
      </w:pPr>
      <w:rPr>
        <w:rFonts w:ascii="Courier New" w:hAnsi="Courier New" w:cs="Courier New" w:hint="default"/>
      </w:rPr>
    </w:lvl>
    <w:lvl w:ilvl="8" w:tentative="1">
      <w:start w:val="1"/>
      <w:numFmt w:val="bullet"/>
      <w:lvlText w:val=""/>
      <w:lvlJc w:val="left"/>
      <w:pPr>
        <w:tabs>
          <w:tab w:val="num" w:pos="6250"/>
        </w:tabs>
        <w:ind w:left="6250" w:hanging="360"/>
      </w:pPr>
      <w:rPr>
        <w:rFonts w:ascii="Wingdings" w:hAnsi="Wingdings" w:hint="default"/>
      </w:rPr>
    </w:lvl>
  </w:abstractNum>
  <w:abstractNum w:abstractNumId="8">
    <w:nsid w:val="208C44B7"/>
    <w:multiLevelType w:val="singleLevel"/>
    <w:tmpl w:val="C64A8546"/>
    <w:lvl w:ilvl="0">
      <w:start w:val="1"/>
      <w:numFmt w:val="bullet"/>
      <w:lvlText w:val=""/>
      <w:lvlJc w:val="left"/>
      <w:pPr>
        <w:tabs>
          <w:tab w:val="num" w:pos="360"/>
        </w:tabs>
        <w:ind w:left="360" w:hanging="360"/>
      </w:pPr>
      <w:rPr>
        <w:rFonts w:ascii="Symbol" w:hAnsi="Symbol" w:hint="default"/>
        <w:b w:val="0"/>
        <w:i w:val="0"/>
        <w:sz w:val="20"/>
      </w:rPr>
    </w:lvl>
  </w:abstractNum>
  <w:abstractNum w:abstractNumId="9">
    <w:nsid w:val="222227EA"/>
    <w:multiLevelType w:val="hybridMultilevel"/>
    <w:tmpl w:val="C8285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31F0EB6"/>
    <w:multiLevelType w:val="singleLevel"/>
    <w:tmpl w:val="BE36AEE0"/>
    <w:lvl w:ilvl="0">
      <w:start w:val="1"/>
      <w:numFmt w:val="decimal"/>
      <w:lvlText w:val="(%1)"/>
      <w:lvlJc w:val="left"/>
      <w:pPr>
        <w:tabs>
          <w:tab w:val="num" w:pos="504"/>
        </w:tabs>
        <w:ind w:left="504" w:hanging="504"/>
      </w:pPr>
    </w:lvl>
  </w:abstractNum>
  <w:abstractNum w:abstractNumId="11">
    <w:nsid w:val="24BA1AE0"/>
    <w:multiLevelType w:val="singleLevel"/>
    <w:tmpl w:val="EFF67184"/>
    <w:lvl w:ilvl="0">
      <w:start w:val="1"/>
      <w:numFmt w:val="bullet"/>
      <w:lvlText w:val=""/>
      <w:lvlJc w:val="left"/>
      <w:pPr>
        <w:tabs>
          <w:tab w:val="num" w:pos="360"/>
        </w:tabs>
        <w:ind w:left="360" w:hanging="360"/>
      </w:pPr>
      <w:rPr>
        <w:rFonts w:ascii="Symbol" w:hAnsi="Symbol" w:hint="default"/>
        <w:sz w:val="28"/>
      </w:rPr>
    </w:lvl>
  </w:abstractNum>
  <w:abstractNum w:abstractNumId="12">
    <w:nsid w:val="26426020"/>
    <w:multiLevelType w:val="hybridMultilevel"/>
    <w:tmpl w:val="D05E2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D56715B"/>
    <w:multiLevelType w:val="singleLevel"/>
    <w:tmpl w:val="E0B07378"/>
    <w:lvl w:ilvl="0">
      <w:start w:val="1"/>
      <w:numFmt w:val="bullet"/>
      <w:lvlText w:val=""/>
      <w:lvlJc w:val="left"/>
      <w:pPr>
        <w:tabs>
          <w:tab w:val="num" w:pos="360"/>
        </w:tabs>
        <w:ind w:left="360" w:hanging="360"/>
      </w:pPr>
      <w:rPr>
        <w:rFonts w:ascii="Symbol" w:hAnsi="Symbol" w:hint="default"/>
      </w:rPr>
    </w:lvl>
  </w:abstractNum>
  <w:abstractNum w:abstractNumId="14">
    <w:nsid w:val="30AD1ACF"/>
    <w:multiLevelType w:val="hybridMultilevel"/>
    <w:tmpl w:val="7D7EBC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23C5247"/>
    <w:multiLevelType w:val="hybridMultilevel"/>
    <w:tmpl w:val="5DB44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6027F1"/>
    <w:multiLevelType w:val="singleLevel"/>
    <w:tmpl w:val="04090019"/>
    <w:lvl w:ilvl="0">
      <w:start w:val="1"/>
      <w:numFmt w:val="lowerLetter"/>
      <w:lvlText w:val="(%1)"/>
      <w:lvlJc w:val="left"/>
      <w:pPr>
        <w:tabs>
          <w:tab w:val="num" w:pos="360"/>
        </w:tabs>
        <w:ind w:left="360" w:hanging="360"/>
      </w:pPr>
      <w:rPr>
        <w:rFonts w:hint="default"/>
      </w:rPr>
    </w:lvl>
  </w:abstractNum>
  <w:abstractNum w:abstractNumId="17">
    <w:nsid w:val="3F35131D"/>
    <w:multiLevelType w:val="hybridMultilevel"/>
    <w:tmpl w:val="CBBCA07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18">
    <w:nsid w:val="52037703"/>
    <w:multiLevelType w:val="multilevel"/>
    <w:tmpl w:val="CBBCA07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9">
    <w:nsid w:val="53C339E8"/>
    <w:multiLevelType w:val="singleLevel"/>
    <w:tmpl w:val="4D261396"/>
    <w:lvl w:ilvl="0">
      <w:start w:val="1"/>
      <w:numFmt w:val="decimal"/>
      <w:lvlText w:val="%1."/>
      <w:lvlJc w:val="left"/>
      <w:pPr>
        <w:tabs>
          <w:tab w:val="num" w:pos="360"/>
        </w:tabs>
        <w:ind w:left="360" w:hanging="360"/>
      </w:pPr>
      <w:rPr>
        <w:rFonts w:hint="default"/>
      </w:rPr>
    </w:lvl>
  </w:abstractNum>
  <w:abstractNum w:abstractNumId="20">
    <w:nsid w:val="542B3EF1"/>
    <w:multiLevelType w:val="singleLevel"/>
    <w:tmpl w:val="B98CB33C"/>
    <w:lvl w:ilvl="0">
      <w:start w:val="1"/>
      <w:numFmt w:val="bullet"/>
      <w:lvlText w:val=""/>
      <w:lvlJc w:val="left"/>
      <w:pPr>
        <w:tabs>
          <w:tab w:val="num" w:pos="1008"/>
        </w:tabs>
        <w:ind w:left="1008" w:hanging="504"/>
      </w:pPr>
      <w:rPr>
        <w:rFonts w:ascii="Symbol" w:hAnsi="Symbol" w:hint="default"/>
      </w:rPr>
    </w:lvl>
  </w:abstractNum>
  <w:abstractNum w:abstractNumId="21">
    <w:nsid w:val="55532288"/>
    <w:multiLevelType w:val="hybridMultilevel"/>
    <w:tmpl w:val="369EA1C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DF6008"/>
    <w:multiLevelType w:val="singleLevel"/>
    <w:tmpl w:val="0178B63E"/>
    <w:lvl w:ilvl="0">
      <w:start w:val="1"/>
      <w:numFmt w:val="bullet"/>
      <w:lvlText w:val=""/>
      <w:lvlJc w:val="left"/>
      <w:pPr>
        <w:tabs>
          <w:tab w:val="num" w:pos="720"/>
        </w:tabs>
        <w:ind w:left="720" w:hanging="360"/>
      </w:pPr>
      <w:rPr>
        <w:rFonts w:ascii="Symbol" w:hAnsi="Symbol" w:hint="default"/>
      </w:rPr>
    </w:lvl>
  </w:abstractNum>
  <w:abstractNum w:abstractNumId="23">
    <w:nsid w:val="574F29F5"/>
    <w:multiLevelType w:val="hybridMultilevel"/>
    <w:tmpl w:val="D20EE3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8A91EB4"/>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25">
    <w:nsid w:val="61F52E20"/>
    <w:multiLevelType w:val="singleLevel"/>
    <w:tmpl w:val="FB628842"/>
    <w:lvl w:ilvl="0">
      <w:start w:val="1"/>
      <w:numFmt w:val="bullet"/>
      <w:lvlText w:val=""/>
      <w:lvlJc w:val="left"/>
      <w:pPr>
        <w:tabs>
          <w:tab w:val="num" w:pos="360"/>
        </w:tabs>
        <w:ind w:left="360" w:hanging="360"/>
      </w:pPr>
      <w:rPr>
        <w:rFonts w:ascii="Symbol" w:hAnsi="Symbol" w:hint="default"/>
      </w:rPr>
    </w:lvl>
  </w:abstractNum>
  <w:abstractNum w:abstractNumId="26">
    <w:nsid w:val="622311BD"/>
    <w:multiLevelType w:val="singleLevel"/>
    <w:tmpl w:val="785E5116"/>
    <w:lvl w:ilvl="0">
      <w:start w:val="1"/>
      <w:numFmt w:val="lowerLetter"/>
      <w:lvlText w:val="(%1)"/>
      <w:lvlJc w:val="left"/>
      <w:pPr>
        <w:tabs>
          <w:tab w:val="num" w:pos="504"/>
        </w:tabs>
        <w:ind w:left="504" w:hanging="504"/>
      </w:pPr>
    </w:lvl>
  </w:abstractNum>
  <w:abstractNum w:abstractNumId="27">
    <w:nsid w:val="6271465F"/>
    <w:multiLevelType w:val="singleLevel"/>
    <w:tmpl w:val="5A4A1B5A"/>
    <w:lvl w:ilvl="0">
      <w:start w:val="1"/>
      <w:numFmt w:val="bullet"/>
      <w:lvlText w:val=""/>
      <w:lvlJc w:val="left"/>
      <w:pPr>
        <w:tabs>
          <w:tab w:val="num" w:pos="720"/>
        </w:tabs>
        <w:ind w:left="720" w:hanging="360"/>
      </w:pPr>
      <w:rPr>
        <w:rFonts w:ascii="Symbol" w:hAnsi="Symbol" w:hint="default"/>
        <w:sz w:val="28"/>
      </w:rPr>
    </w:lvl>
  </w:abstractNum>
  <w:abstractNum w:abstractNumId="28">
    <w:nsid w:val="6676179A"/>
    <w:multiLevelType w:val="hybridMultilevel"/>
    <w:tmpl w:val="6E7E4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E53EC7"/>
    <w:multiLevelType w:val="singleLevel"/>
    <w:tmpl w:val="2E9C911A"/>
    <w:lvl w:ilvl="0">
      <w:start w:val="1"/>
      <w:numFmt w:val="bullet"/>
      <w:lvlText w:val=""/>
      <w:lvlJc w:val="left"/>
      <w:pPr>
        <w:tabs>
          <w:tab w:val="num" w:pos="504"/>
        </w:tabs>
        <w:ind w:left="504" w:hanging="504"/>
      </w:pPr>
      <w:rPr>
        <w:rFonts w:ascii="Symbol" w:hAnsi="Symbol" w:hint="default"/>
      </w:rPr>
    </w:lvl>
  </w:abstractNum>
  <w:abstractNum w:abstractNumId="30">
    <w:nsid w:val="696E6EC1"/>
    <w:multiLevelType w:val="singleLevel"/>
    <w:tmpl w:val="996C6E2A"/>
    <w:lvl w:ilvl="0">
      <w:start w:val="1"/>
      <w:numFmt w:val="bullet"/>
      <w:lvlText w:val=""/>
      <w:lvlJc w:val="left"/>
      <w:pPr>
        <w:tabs>
          <w:tab w:val="num" w:pos="720"/>
        </w:tabs>
        <w:ind w:left="720" w:hanging="360"/>
      </w:pPr>
      <w:rPr>
        <w:rFonts w:ascii="Symbol" w:hAnsi="Symbol" w:hint="default"/>
      </w:rPr>
    </w:lvl>
  </w:abstractNum>
  <w:abstractNum w:abstractNumId="31">
    <w:nsid w:val="6BEA395D"/>
    <w:multiLevelType w:val="singleLevel"/>
    <w:tmpl w:val="1486BF14"/>
    <w:lvl w:ilvl="0">
      <w:start w:val="1"/>
      <w:numFmt w:val="decimal"/>
      <w:lvlText w:val="%1."/>
      <w:lvlJc w:val="left"/>
      <w:pPr>
        <w:tabs>
          <w:tab w:val="num" w:pos="360"/>
        </w:tabs>
        <w:ind w:left="360" w:hanging="360"/>
      </w:pPr>
      <w:rPr>
        <w:rFonts w:ascii="Times New Roman" w:hAnsi="Times New Roman" w:hint="default"/>
        <w:b w:val="0"/>
        <w:i w:val="0"/>
        <w:sz w:val="24"/>
        <w:u w:val="none"/>
      </w:rPr>
    </w:lvl>
  </w:abstractNum>
  <w:abstractNum w:abstractNumId="32">
    <w:nsid w:val="6F666DD0"/>
    <w:multiLevelType w:val="singleLevel"/>
    <w:tmpl w:val="AA82C2B2"/>
    <w:lvl w:ilvl="0">
      <w:start w:val="1"/>
      <w:numFmt w:val="bullet"/>
      <w:lvlText w:val=""/>
      <w:lvlJc w:val="left"/>
      <w:pPr>
        <w:tabs>
          <w:tab w:val="num" w:pos="720"/>
        </w:tabs>
        <w:ind w:left="720" w:hanging="360"/>
      </w:pPr>
      <w:rPr>
        <w:rFonts w:ascii="Symbol" w:hAnsi="Symbol" w:hint="default"/>
      </w:rPr>
    </w:lvl>
  </w:abstractNum>
  <w:abstractNum w:abstractNumId="33">
    <w:nsid w:val="714F26CE"/>
    <w:multiLevelType w:val="singleLevel"/>
    <w:tmpl w:val="ABEAC916"/>
    <w:lvl w:ilvl="0">
      <w:start w:val="1"/>
      <w:numFmt w:val="bullet"/>
      <w:lvlText w:val=""/>
      <w:lvlJc w:val="left"/>
      <w:pPr>
        <w:tabs>
          <w:tab w:val="num" w:pos="360"/>
        </w:tabs>
        <w:ind w:left="360" w:hanging="360"/>
      </w:pPr>
      <w:rPr>
        <w:rFonts w:ascii="Symbol" w:hAnsi="Symbol" w:hint="default"/>
      </w:rPr>
    </w:lvl>
  </w:abstractNum>
  <w:abstractNum w:abstractNumId="34">
    <w:nsid w:val="72FA38AF"/>
    <w:multiLevelType w:val="hybridMultilevel"/>
    <w:tmpl w:val="9E549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61856C9"/>
    <w:multiLevelType w:val="hybridMultilevel"/>
    <w:tmpl w:val="46BA9928"/>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36">
    <w:nsid w:val="79EF0DA0"/>
    <w:multiLevelType w:val="singleLevel"/>
    <w:tmpl w:val="B6928DDE"/>
    <w:lvl w:ilvl="0">
      <w:start w:val="1"/>
      <w:numFmt w:val="bullet"/>
      <w:lvlText w:val=""/>
      <w:lvlJc w:val="left"/>
      <w:pPr>
        <w:tabs>
          <w:tab w:val="num" w:pos="504"/>
        </w:tabs>
        <w:ind w:left="504" w:hanging="504"/>
      </w:pPr>
      <w:rPr>
        <w:rFonts w:ascii="Symbol" w:hAnsi="Symbol" w:hint="default"/>
      </w:rPr>
    </w:lvl>
  </w:abstractNum>
  <w:num w:numId="1">
    <w:abstractNumId w:val="5"/>
  </w:num>
  <w:num w:numId="2">
    <w:abstractNumId w:val="24"/>
  </w:num>
  <w:num w:numId="3">
    <w:abstractNumId w:val="1"/>
  </w:num>
  <w:num w:numId="4">
    <w:abstractNumId w:val="36"/>
  </w:num>
  <w:num w:numId="5">
    <w:abstractNumId w:val="6"/>
  </w:num>
  <w:num w:numId="6">
    <w:abstractNumId w:val="26"/>
  </w:num>
  <w:num w:numId="7">
    <w:abstractNumId w:val="16"/>
  </w:num>
  <w:num w:numId="8">
    <w:abstractNumId w:val="4"/>
  </w:num>
  <w:num w:numId="9">
    <w:abstractNumId w:val="10"/>
  </w:num>
  <w:num w:numId="10">
    <w:abstractNumId w:val="2"/>
  </w:num>
  <w:num w:numId="11">
    <w:abstractNumId w:val="29"/>
  </w:num>
  <w:num w:numId="12">
    <w:abstractNumId w:val="20"/>
  </w:num>
  <w:num w:numId="13">
    <w:abstractNumId w:val="27"/>
  </w:num>
  <w:num w:numId="14">
    <w:abstractNumId w:val="11"/>
  </w:num>
  <w:num w:numId="15">
    <w:abstractNumId w:val="31"/>
  </w:num>
  <w:num w:numId="16">
    <w:abstractNumId w:val="19"/>
  </w:num>
  <w:num w:numId="17">
    <w:abstractNumId w:val="25"/>
  </w:num>
  <w:num w:numId="18">
    <w:abstractNumId w:val="30"/>
  </w:num>
  <w:num w:numId="19">
    <w:abstractNumId w:val="32"/>
  </w:num>
  <w:num w:numId="20">
    <w:abstractNumId w:val="22"/>
  </w:num>
  <w:num w:numId="21">
    <w:abstractNumId w:val="8"/>
  </w:num>
  <w:num w:numId="22">
    <w:abstractNumId w:val="13"/>
  </w:num>
  <w:num w:numId="23">
    <w:abstractNumId w:val="33"/>
  </w:num>
  <w:num w:numId="24">
    <w:abstractNumId w:val="0"/>
  </w:num>
  <w:num w:numId="25">
    <w:abstractNumId w:val="17"/>
  </w:num>
  <w:num w:numId="26">
    <w:abstractNumId w:val="18"/>
  </w:num>
  <w:num w:numId="27">
    <w:abstractNumId w:val="35"/>
  </w:num>
  <w:num w:numId="28">
    <w:abstractNumId w:val="7"/>
  </w:num>
  <w:num w:numId="29">
    <w:abstractNumId w:val="28"/>
  </w:num>
  <w:num w:numId="30">
    <w:abstractNumId w:val="34"/>
  </w:num>
  <w:num w:numId="31">
    <w:abstractNumId w:val="15"/>
  </w:num>
  <w:num w:numId="32">
    <w:abstractNumId w:val="12"/>
  </w:num>
  <w:num w:numId="33">
    <w:abstractNumId w:val="14"/>
  </w:num>
  <w:num w:numId="34">
    <w:abstractNumId w:val="9"/>
  </w:num>
  <w:num w:numId="35">
    <w:abstractNumId w:val="23"/>
  </w:num>
  <w:num w:numId="36">
    <w:abstractNumId w:val="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F62"/>
    <w:rsid w:val="00000A6C"/>
    <w:rsid w:val="00006948"/>
    <w:rsid w:val="00037441"/>
    <w:rsid w:val="00040460"/>
    <w:rsid w:val="000437B5"/>
    <w:rsid w:val="00045BC6"/>
    <w:rsid w:val="00056EF7"/>
    <w:rsid w:val="00056FFE"/>
    <w:rsid w:val="00064AF4"/>
    <w:rsid w:val="00065FAB"/>
    <w:rsid w:val="000724E0"/>
    <w:rsid w:val="00076BFA"/>
    <w:rsid w:val="00091712"/>
    <w:rsid w:val="000962D8"/>
    <w:rsid w:val="000A090E"/>
    <w:rsid w:val="000A0B4E"/>
    <w:rsid w:val="000A6B8B"/>
    <w:rsid w:val="000E09C8"/>
    <w:rsid w:val="000E11CC"/>
    <w:rsid w:val="000E535E"/>
    <w:rsid w:val="000F0BDD"/>
    <w:rsid w:val="000F5CF2"/>
    <w:rsid w:val="001128D4"/>
    <w:rsid w:val="0012786B"/>
    <w:rsid w:val="00133A88"/>
    <w:rsid w:val="00140EAE"/>
    <w:rsid w:val="00143877"/>
    <w:rsid w:val="001666AC"/>
    <w:rsid w:val="00174870"/>
    <w:rsid w:val="00186369"/>
    <w:rsid w:val="00186BB3"/>
    <w:rsid w:val="00190FDA"/>
    <w:rsid w:val="00192C0A"/>
    <w:rsid w:val="00195165"/>
    <w:rsid w:val="001B513A"/>
    <w:rsid w:val="001C3E2A"/>
    <w:rsid w:val="001C4CFC"/>
    <w:rsid w:val="001C6401"/>
    <w:rsid w:val="001D137F"/>
    <w:rsid w:val="001D767E"/>
    <w:rsid w:val="001F3598"/>
    <w:rsid w:val="001F5CD1"/>
    <w:rsid w:val="00204495"/>
    <w:rsid w:val="00220C44"/>
    <w:rsid w:val="00225C45"/>
    <w:rsid w:val="002410F0"/>
    <w:rsid w:val="00254DC4"/>
    <w:rsid w:val="00262D6C"/>
    <w:rsid w:val="00283764"/>
    <w:rsid w:val="00294B13"/>
    <w:rsid w:val="002A5C92"/>
    <w:rsid w:val="002B6E70"/>
    <w:rsid w:val="002D16AB"/>
    <w:rsid w:val="002D47D3"/>
    <w:rsid w:val="002D6B83"/>
    <w:rsid w:val="002D7BFC"/>
    <w:rsid w:val="003030A4"/>
    <w:rsid w:val="00312E63"/>
    <w:rsid w:val="00335D46"/>
    <w:rsid w:val="00340439"/>
    <w:rsid w:val="0036198E"/>
    <w:rsid w:val="00373B98"/>
    <w:rsid w:val="0038136E"/>
    <w:rsid w:val="00382119"/>
    <w:rsid w:val="00382F37"/>
    <w:rsid w:val="00391805"/>
    <w:rsid w:val="003A1650"/>
    <w:rsid w:val="003B4879"/>
    <w:rsid w:val="003B5363"/>
    <w:rsid w:val="003B78E0"/>
    <w:rsid w:val="003C1475"/>
    <w:rsid w:val="003C1AF0"/>
    <w:rsid w:val="003F2681"/>
    <w:rsid w:val="003F47CF"/>
    <w:rsid w:val="004035F2"/>
    <w:rsid w:val="004067DA"/>
    <w:rsid w:val="004462E8"/>
    <w:rsid w:val="00477DDB"/>
    <w:rsid w:val="004853D4"/>
    <w:rsid w:val="004875A6"/>
    <w:rsid w:val="00490B60"/>
    <w:rsid w:val="004A2A16"/>
    <w:rsid w:val="004A72E3"/>
    <w:rsid w:val="004B00D5"/>
    <w:rsid w:val="004B3F78"/>
    <w:rsid w:val="004B5861"/>
    <w:rsid w:val="004C500B"/>
    <w:rsid w:val="004D339B"/>
    <w:rsid w:val="004D6EA0"/>
    <w:rsid w:val="004E05C1"/>
    <w:rsid w:val="004F4F77"/>
    <w:rsid w:val="00522F38"/>
    <w:rsid w:val="00531C0D"/>
    <w:rsid w:val="005428E8"/>
    <w:rsid w:val="00542EBF"/>
    <w:rsid w:val="0054428D"/>
    <w:rsid w:val="00556827"/>
    <w:rsid w:val="0056694E"/>
    <w:rsid w:val="00577CC5"/>
    <w:rsid w:val="005C5783"/>
    <w:rsid w:val="005E54EE"/>
    <w:rsid w:val="006111E5"/>
    <w:rsid w:val="0063519F"/>
    <w:rsid w:val="0064048C"/>
    <w:rsid w:val="00647F97"/>
    <w:rsid w:val="006646DB"/>
    <w:rsid w:val="00666C89"/>
    <w:rsid w:val="006713FF"/>
    <w:rsid w:val="006818C8"/>
    <w:rsid w:val="006848E7"/>
    <w:rsid w:val="00685D7E"/>
    <w:rsid w:val="0069061F"/>
    <w:rsid w:val="006A2800"/>
    <w:rsid w:val="006A3CD2"/>
    <w:rsid w:val="006C0646"/>
    <w:rsid w:val="006C2B3C"/>
    <w:rsid w:val="006C56A8"/>
    <w:rsid w:val="006D3985"/>
    <w:rsid w:val="006E7DF0"/>
    <w:rsid w:val="006F10E1"/>
    <w:rsid w:val="007077C1"/>
    <w:rsid w:val="00717E74"/>
    <w:rsid w:val="007212D5"/>
    <w:rsid w:val="0074714B"/>
    <w:rsid w:val="00747B72"/>
    <w:rsid w:val="007557CF"/>
    <w:rsid w:val="00776B29"/>
    <w:rsid w:val="0078042F"/>
    <w:rsid w:val="0078526E"/>
    <w:rsid w:val="00792C73"/>
    <w:rsid w:val="007A4328"/>
    <w:rsid w:val="007A5A3A"/>
    <w:rsid w:val="007B27DD"/>
    <w:rsid w:val="007B7695"/>
    <w:rsid w:val="007C38EE"/>
    <w:rsid w:val="007D5FF9"/>
    <w:rsid w:val="007E1D7C"/>
    <w:rsid w:val="007E1EEE"/>
    <w:rsid w:val="007E43EC"/>
    <w:rsid w:val="007F0E1C"/>
    <w:rsid w:val="007F4F25"/>
    <w:rsid w:val="00812EBD"/>
    <w:rsid w:val="0081476E"/>
    <w:rsid w:val="008151D4"/>
    <w:rsid w:val="00817DAE"/>
    <w:rsid w:val="008227C3"/>
    <w:rsid w:val="00825178"/>
    <w:rsid w:val="00831EF2"/>
    <w:rsid w:val="00847370"/>
    <w:rsid w:val="008543D0"/>
    <w:rsid w:val="00862FC3"/>
    <w:rsid w:val="00874F41"/>
    <w:rsid w:val="008761ED"/>
    <w:rsid w:val="0089197B"/>
    <w:rsid w:val="0089467D"/>
    <w:rsid w:val="008A5733"/>
    <w:rsid w:val="008B2A1B"/>
    <w:rsid w:val="008B3AD6"/>
    <w:rsid w:val="008C328E"/>
    <w:rsid w:val="008C74A8"/>
    <w:rsid w:val="008F167E"/>
    <w:rsid w:val="008F20C9"/>
    <w:rsid w:val="008F4B77"/>
    <w:rsid w:val="009172D2"/>
    <w:rsid w:val="00921179"/>
    <w:rsid w:val="00921E27"/>
    <w:rsid w:val="00934F1C"/>
    <w:rsid w:val="009447F7"/>
    <w:rsid w:val="00952A1D"/>
    <w:rsid w:val="00960DC6"/>
    <w:rsid w:val="009A424C"/>
    <w:rsid w:val="009C6B22"/>
    <w:rsid w:val="009D55FC"/>
    <w:rsid w:val="009D651B"/>
    <w:rsid w:val="009D6909"/>
    <w:rsid w:val="009E4FE6"/>
    <w:rsid w:val="009F3E80"/>
    <w:rsid w:val="00A24A78"/>
    <w:rsid w:val="00A3261D"/>
    <w:rsid w:val="00A41B62"/>
    <w:rsid w:val="00A46090"/>
    <w:rsid w:val="00A52F21"/>
    <w:rsid w:val="00AD3DBC"/>
    <w:rsid w:val="00B14127"/>
    <w:rsid w:val="00B14F46"/>
    <w:rsid w:val="00B173C6"/>
    <w:rsid w:val="00B323EA"/>
    <w:rsid w:val="00B32EDB"/>
    <w:rsid w:val="00B50E5E"/>
    <w:rsid w:val="00B56A36"/>
    <w:rsid w:val="00B64321"/>
    <w:rsid w:val="00B65C3F"/>
    <w:rsid w:val="00B66BF3"/>
    <w:rsid w:val="00B84C38"/>
    <w:rsid w:val="00B9279F"/>
    <w:rsid w:val="00BA1FAC"/>
    <w:rsid w:val="00BA63CD"/>
    <w:rsid w:val="00BB446E"/>
    <w:rsid w:val="00BC356F"/>
    <w:rsid w:val="00BC6285"/>
    <w:rsid w:val="00BD033B"/>
    <w:rsid w:val="00BD0454"/>
    <w:rsid w:val="00BD07C6"/>
    <w:rsid w:val="00BE1A37"/>
    <w:rsid w:val="00BE27EF"/>
    <w:rsid w:val="00BE352F"/>
    <w:rsid w:val="00BF20A4"/>
    <w:rsid w:val="00BF3E4F"/>
    <w:rsid w:val="00BF58C3"/>
    <w:rsid w:val="00C02C8F"/>
    <w:rsid w:val="00C04A51"/>
    <w:rsid w:val="00C06461"/>
    <w:rsid w:val="00C32505"/>
    <w:rsid w:val="00C333E8"/>
    <w:rsid w:val="00C40FA3"/>
    <w:rsid w:val="00C42963"/>
    <w:rsid w:val="00C64409"/>
    <w:rsid w:val="00C67EAF"/>
    <w:rsid w:val="00C73A2F"/>
    <w:rsid w:val="00C770DB"/>
    <w:rsid w:val="00C8196F"/>
    <w:rsid w:val="00C87899"/>
    <w:rsid w:val="00C92D52"/>
    <w:rsid w:val="00CD3AA1"/>
    <w:rsid w:val="00CD4E6B"/>
    <w:rsid w:val="00CD5F18"/>
    <w:rsid w:val="00CF04F2"/>
    <w:rsid w:val="00CF342D"/>
    <w:rsid w:val="00D10843"/>
    <w:rsid w:val="00D142BF"/>
    <w:rsid w:val="00D267FE"/>
    <w:rsid w:val="00D32F81"/>
    <w:rsid w:val="00D346EB"/>
    <w:rsid w:val="00D463E5"/>
    <w:rsid w:val="00D52E1A"/>
    <w:rsid w:val="00D73339"/>
    <w:rsid w:val="00D74ACD"/>
    <w:rsid w:val="00D802AB"/>
    <w:rsid w:val="00DB122C"/>
    <w:rsid w:val="00DB24BE"/>
    <w:rsid w:val="00DC0AA6"/>
    <w:rsid w:val="00DD4EC1"/>
    <w:rsid w:val="00DD6BED"/>
    <w:rsid w:val="00DE1DB8"/>
    <w:rsid w:val="00E20527"/>
    <w:rsid w:val="00E34114"/>
    <w:rsid w:val="00E42EF5"/>
    <w:rsid w:val="00E46BAD"/>
    <w:rsid w:val="00E50185"/>
    <w:rsid w:val="00E61A52"/>
    <w:rsid w:val="00EA371F"/>
    <w:rsid w:val="00EA4A90"/>
    <w:rsid w:val="00EA7B6C"/>
    <w:rsid w:val="00EB14F0"/>
    <w:rsid w:val="00EB2C19"/>
    <w:rsid w:val="00EB4F62"/>
    <w:rsid w:val="00ED33E8"/>
    <w:rsid w:val="00EE2E5F"/>
    <w:rsid w:val="00EE7CEA"/>
    <w:rsid w:val="00F2238A"/>
    <w:rsid w:val="00F31049"/>
    <w:rsid w:val="00F34B8E"/>
    <w:rsid w:val="00F35587"/>
    <w:rsid w:val="00F37D9D"/>
    <w:rsid w:val="00F427D6"/>
    <w:rsid w:val="00F52988"/>
    <w:rsid w:val="00F6279C"/>
    <w:rsid w:val="00F667B6"/>
    <w:rsid w:val="00F81EA6"/>
    <w:rsid w:val="00F9236B"/>
    <w:rsid w:val="00F9348C"/>
    <w:rsid w:val="00F93917"/>
    <w:rsid w:val="00F93E61"/>
    <w:rsid w:val="00FA5278"/>
    <w:rsid w:val="00FB2D8D"/>
    <w:rsid w:val="00FC56A5"/>
    <w:rsid w:val="00FC710A"/>
    <w:rsid w:val="00FF0601"/>
    <w:rsid w:val="00FF6F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1A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 w:val="left" w:pos="-720"/>
        <w:tab w:val="left" w:pos="0"/>
        <w:tab w:val="left" w:pos="432"/>
        <w:tab w:val="left" w:pos="720"/>
        <w:tab w:val="left" w:pos="1008"/>
        <w:tab w:val="left" w:pos="1440"/>
      </w:tabs>
      <w:suppressAutoHyphens/>
      <w:outlineLvl w:val="0"/>
    </w:pPr>
    <w:rPr>
      <w:rFonts w:ascii="CG Times" w:hAnsi="CG Times"/>
      <w:sz w:val="22"/>
      <w:u w:val="single"/>
    </w:rPr>
  </w:style>
  <w:style w:type="paragraph" w:styleId="Heading2">
    <w:name w:val="heading 2"/>
    <w:basedOn w:val="Normal"/>
    <w:next w:val="Normal"/>
    <w:qFormat/>
    <w:pPr>
      <w:keepNext/>
      <w:tabs>
        <w:tab w:val="left" w:pos="-1440"/>
        <w:tab w:val="left" w:pos="-720"/>
        <w:tab w:val="left" w:pos="0"/>
        <w:tab w:val="left" w:pos="432"/>
        <w:tab w:val="left" w:pos="720"/>
        <w:tab w:val="left" w:pos="1008"/>
        <w:tab w:val="left" w:pos="1440"/>
      </w:tabs>
      <w:suppressAutoHyphens/>
      <w:outlineLvl w:val="1"/>
    </w:pPr>
    <w:rPr>
      <w:rFonts w:ascii="CG Times" w:hAnsi="CG Times"/>
      <w:b/>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qFormat/>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qFormat/>
    <w:rPr>
      <w:vertAlign w:val="superscript"/>
    </w:rPr>
  </w:style>
  <w:style w:type="character" w:customStyle="1" w:styleId="MEMO-FROM">
    <w:name w:val="MEMO-FROM"/>
    <w:rPr>
      <w:rFonts w:ascii="Courier" w:hAnsi="Courier"/>
      <w:noProof w:val="0"/>
      <w:sz w:val="24"/>
      <w:lang w:val="en-US"/>
    </w:rPr>
  </w:style>
  <w:style w:type="character" w:customStyle="1" w:styleId="MEMO-SUBJ">
    <w:name w:val="MEMO-SUBJ"/>
    <w:rPr>
      <w:rFonts w:ascii="Courier" w:hAnsi="Courier"/>
      <w:noProof w:val="0"/>
      <w:sz w:val="24"/>
      <w:lang w:val="en-US"/>
    </w:rPr>
  </w:style>
  <w:style w:type="character" w:customStyle="1" w:styleId="MEMO-TO">
    <w:name w:val="MEMO-TO"/>
    <w:rPr>
      <w:rFonts w:ascii="Courier" w:hAnsi="Courier"/>
      <w:noProof w:val="0"/>
      <w:sz w:val="24"/>
      <w:lang w:val="en-US"/>
    </w:rPr>
  </w:style>
  <w:style w:type="character" w:customStyle="1" w:styleId="MEMO-TEXT">
    <w:name w:val="MEMO-TEXT"/>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text">
    <w:name w:val="text"/>
    <w:rPr>
      <w:rFonts w:ascii="Courier" w:hAnsi="Courier"/>
      <w:noProof w:val="0"/>
      <w:sz w:val="24"/>
      <w:lang w:val="en-US"/>
    </w:rPr>
  </w:style>
  <w:style w:type="character" w:customStyle="1" w:styleId="Header1">
    <w:name w:val="Header1"/>
    <w:rPr>
      <w:rFonts w:ascii="Univers" w:hAnsi="Univers"/>
      <w:b/>
      <w:noProof w:val="0"/>
      <w:color w:val="000000"/>
      <w:sz w:val="28"/>
      <w:lang w:val="en-US"/>
    </w:rPr>
  </w:style>
  <w:style w:type="character" w:customStyle="1" w:styleId="a">
    <w:name w:val="•"/>
    <w:basedOn w:val="DefaultParagraphFont"/>
  </w:style>
  <w:style w:type="character" w:customStyle="1" w:styleId="a0">
    <w:name w:val="_"/>
    <w:basedOn w:val="DefaultParagraphFont"/>
  </w:style>
  <w:style w:type="paragraph" w:customStyle="1" w:styleId="DefaultPara">
    <w:name w:val="Default Para"/>
    <w:pPr>
      <w:widowControl w:val="0"/>
      <w:tabs>
        <w:tab w:val="left" w:pos="-720"/>
      </w:tabs>
      <w:suppressAutoHyphens/>
    </w:pPr>
    <w:rPr>
      <w:rFonts w:ascii="CG Times" w:hAnsi="CG Times"/>
      <w:snapToGrid w:val="0"/>
    </w:r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Attachment">
    <w:name w:val="Attachment"/>
    <w:pPr>
      <w:widowControl w:val="0"/>
      <w:tabs>
        <w:tab w:val="left" w:pos="-720"/>
      </w:tabs>
      <w:suppressAutoHyphens/>
      <w:jc w:val="center"/>
    </w:pPr>
    <w:rPr>
      <w:rFonts w:ascii="Courier" w:hAnsi="Courier"/>
      <w:b/>
      <w:snapToGrid w:val="0"/>
      <w:sz w:val="22"/>
    </w:rPr>
  </w:style>
  <w:style w:type="paragraph" w:customStyle="1" w:styleId="AtTitle">
    <w:name w:val="At Title"/>
    <w:pPr>
      <w:widowControl w:val="0"/>
      <w:tabs>
        <w:tab w:val="left" w:pos="-720"/>
      </w:tabs>
      <w:suppressAutoHyphens/>
      <w:jc w:val="center"/>
    </w:pPr>
    <w:rPr>
      <w:rFonts w:ascii="Courier" w:hAnsi="Courier"/>
      <w:b/>
      <w:snapToGrid w:val="0"/>
      <w:sz w:val="26"/>
    </w:rPr>
  </w:style>
  <w:style w:type="character" w:customStyle="1" w:styleId="h1">
    <w:name w:val="h1"/>
    <w:rPr>
      <w:rFonts w:ascii="Courier" w:hAnsi="Courier"/>
      <w:noProof w:val="0"/>
      <w:sz w:val="24"/>
      <w:lang w:val="en-US"/>
    </w:rPr>
  </w:style>
  <w:style w:type="character" w:customStyle="1" w:styleId="h2">
    <w:name w:val="h2"/>
    <w:rPr>
      <w:rFonts w:ascii="Courier" w:hAnsi="Courier"/>
      <w:noProof w:val="0"/>
      <w:sz w:val="24"/>
      <w:lang w:val="en-US"/>
    </w:rPr>
  </w:style>
  <w:style w:type="character" w:customStyle="1" w:styleId="BulletList">
    <w:name w:val="Bullet List"/>
    <w:basedOn w:val="DefaultParagraphFont"/>
  </w:style>
  <w:style w:type="character" w:customStyle="1" w:styleId="Draft">
    <w:name w:val="Draft"/>
    <w:basedOn w:val="DefaultParagraphFont"/>
  </w:style>
  <w:style w:type="character" w:customStyle="1" w:styleId="memohdr">
    <w:name w:val="memohdr"/>
    <w:rPr>
      <w:rFonts w:ascii="Courier" w:hAnsi="Courier"/>
      <w:noProof w:val="0"/>
      <w:sz w:val="24"/>
      <w:lang w:val="en-US"/>
    </w:rPr>
  </w:style>
  <w:style w:type="paragraph" w:customStyle="1" w:styleId="memo">
    <w:name w:val="memo"/>
    <w:pPr>
      <w:widowControl w:val="0"/>
      <w:tabs>
        <w:tab w:val="left" w:pos="-1440"/>
        <w:tab w:val="left" w:pos="-720"/>
      </w:tabs>
      <w:suppressAutoHyphens/>
    </w:pPr>
    <w:rPr>
      <w:rFonts w:ascii="Courier" w:hAnsi="Courier"/>
      <w:snapToGrid w:val="0"/>
      <w:sz w:val="24"/>
    </w:rPr>
  </w:style>
  <w:style w:type="paragraph" w:customStyle="1" w:styleId="letter">
    <w:name w:val="letter"/>
    <w:pPr>
      <w:widowControl w:val="0"/>
      <w:tabs>
        <w:tab w:val="left" w:pos="-1440"/>
        <w:tab w:val="left" w:pos="-720"/>
      </w:tabs>
      <w:suppressAutoHyphens/>
    </w:pPr>
    <w:rPr>
      <w:rFonts w:ascii="Courier" w:hAnsi="Courier"/>
      <w:snapToGrid w:val="0"/>
      <w:sz w:val="24"/>
    </w:rPr>
  </w:style>
  <w:style w:type="character" w:customStyle="1" w:styleId="1">
    <w:name w:val="1"/>
    <w:rPr>
      <w:rFonts w:ascii="Courier" w:hAnsi="Courier"/>
      <w:noProof w:val="0"/>
      <w:sz w:val="24"/>
      <w:lang w:val="en-US"/>
    </w:rPr>
  </w:style>
  <w:style w:type="character" w:customStyle="1" w:styleId="HEADING">
    <w:name w:val="HEADING"/>
    <w:rPr>
      <w:rFonts w:ascii="Courier" w:hAnsi="Courier"/>
      <w:noProof w:val="0"/>
      <w:sz w:val="24"/>
      <w:lang w:val="en-US"/>
    </w:rPr>
  </w:style>
  <w:style w:type="character" w:customStyle="1" w:styleId="memo-head-en">
    <w:name w:val="memo-head-en"/>
    <w:rPr>
      <w:rFonts w:ascii="Courier" w:hAnsi="Courier"/>
      <w:noProof w:val="0"/>
      <w:sz w:val="24"/>
      <w:lang w:val="en-US"/>
    </w:rPr>
  </w:style>
  <w:style w:type="paragraph" w:customStyle="1" w:styleId="memo-date">
    <w:name w:val="memo-date"/>
    <w:pPr>
      <w:widowControl w:val="0"/>
      <w:tabs>
        <w:tab w:val="left" w:pos="-1440"/>
        <w:tab w:val="left" w:pos="-720"/>
        <w:tab w:val="left" w:pos="1152"/>
      </w:tabs>
      <w:suppressAutoHyphens/>
      <w:ind w:left="1152" w:hanging="1152"/>
    </w:pPr>
    <w:rPr>
      <w:rFonts w:ascii="CG Times" w:hAnsi="CG Times"/>
      <w:snapToGrid w:val="0"/>
      <w:sz w:val="24"/>
    </w:rPr>
  </w:style>
  <w:style w:type="character" w:customStyle="1" w:styleId="memo-subject">
    <w:name w:val="memo-subject"/>
    <w:rPr>
      <w:rFonts w:ascii="Courier" w:hAnsi="Courier"/>
      <w:noProof w:val="0"/>
      <w:sz w:val="24"/>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paragraph" w:styleId="BodyText">
    <w:name w:val="Body Text"/>
    <w:basedOn w:val="Normal"/>
    <w:link w:val="BodyTextChar"/>
    <w:pPr>
      <w:tabs>
        <w:tab w:val="left" w:pos="-720"/>
        <w:tab w:val="left" w:pos="0"/>
        <w:tab w:val="left" w:pos="1008"/>
        <w:tab w:val="left" w:pos="2160"/>
        <w:tab w:val="left" w:pos="4176"/>
        <w:tab w:val="left" w:pos="5472"/>
        <w:tab w:val="left" w:pos="6912"/>
      </w:tabs>
      <w:suppressAutoHyphens/>
    </w:pPr>
    <w:rPr>
      <w:rFonts w:ascii="CG Times" w:hAnsi="CG Times"/>
      <w:sz w:val="22"/>
    </w:rPr>
  </w:style>
  <w:style w:type="paragraph" w:styleId="BodyText3">
    <w:name w:val="Body Text 3"/>
    <w:basedOn w:val="Normal"/>
    <w:pPr>
      <w:widowControl/>
      <w:tabs>
        <w:tab w:val="left" w:pos="-1440"/>
        <w:tab w:val="left" w:pos="-720"/>
        <w:tab w:val="left" w:pos="0"/>
        <w:tab w:val="left" w:pos="720"/>
        <w:tab w:val="left" w:pos="1440"/>
        <w:tab w:val="left" w:pos="2592"/>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BodyTextIndent">
    <w:name w:val="Body Text Indent"/>
    <w:basedOn w:val="Normal"/>
    <w:pPr>
      <w:suppressAutoHyphens/>
      <w:spacing w:line="480" w:lineRule="auto"/>
      <w:ind w:firstLine="72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widowControl/>
      <w:spacing w:before="100" w:beforeAutospacing="1" w:after="100" w:afterAutospacing="1"/>
    </w:pPr>
    <w:rPr>
      <w:rFonts w:ascii="Times New Roman" w:hAnsi="Times New Roman"/>
      <w:snapToGrid/>
      <w:color w:val="000000"/>
      <w:szCs w:val="24"/>
    </w:rPr>
  </w:style>
  <w:style w:type="paragraph" w:styleId="BodyTextIndent3">
    <w:name w:val="Body Text Indent 3"/>
    <w:basedOn w:val="Normal"/>
    <w:pPr>
      <w:spacing w:after="120"/>
      <w:ind w:left="360"/>
    </w:pPr>
    <w:rPr>
      <w:sz w:val="16"/>
      <w:szCs w:val="16"/>
    </w:rPr>
  </w:style>
  <w:style w:type="character" w:customStyle="1" w:styleId="BodyTextChar">
    <w:name w:val="Body Text Char"/>
    <w:link w:val="BodyText"/>
    <w:rPr>
      <w:rFonts w:ascii="CG Times" w:hAnsi="CG Times"/>
      <w:snapToGrid w:val="0"/>
      <w:sz w:val="22"/>
      <w:lang w:val="en-US" w:eastAsia="en-US" w:bidi="ar-SA"/>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color w:val="000000"/>
      <w:sz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FootnoteTextChar">
    <w:name w:val="Footnote Text Char"/>
    <w:aliases w:val="Footnote Text Char Char Char,Footnote Text Char Char Char Char Char,Footnote Text Char Char Char Char Char Char Char Char Char Char Char Char Char Char Char Char Char Char,Footnote Text Char1 Char Char Char,Style 15 Char,fn Char"/>
    <w:link w:val="FootnoteText"/>
    <w:uiPriority w:val="99"/>
    <w:rsid w:val="0081476E"/>
    <w:rPr>
      <w:rFonts w:ascii="Courier" w:hAnsi="Courier"/>
      <w:snapToGrid w:val="0"/>
      <w:sz w:val="24"/>
    </w:rPr>
  </w:style>
  <w:style w:type="paragraph" w:styleId="ListParagraph">
    <w:name w:val="List Paragraph"/>
    <w:basedOn w:val="Normal"/>
    <w:uiPriority w:val="34"/>
    <w:qFormat/>
    <w:rsid w:val="00812EBD"/>
    <w:pPr>
      <w:ind w:left="720"/>
      <w:contextualSpacing/>
    </w:pPr>
  </w:style>
  <w:style w:type="character" w:styleId="CommentReference">
    <w:name w:val="annotation reference"/>
    <w:basedOn w:val="DefaultParagraphFont"/>
    <w:semiHidden/>
    <w:unhideWhenUsed/>
    <w:rsid w:val="00F9348C"/>
    <w:rPr>
      <w:sz w:val="16"/>
      <w:szCs w:val="16"/>
    </w:rPr>
  </w:style>
  <w:style w:type="paragraph" w:styleId="CommentText">
    <w:name w:val="annotation text"/>
    <w:basedOn w:val="Normal"/>
    <w:link w:val="CommentTextChar"/>
    <w:semiHidden/>
    <w:unhideWhenUsed/>
    <w:rsid w:val="00F9348C"/>
    <w:rPr>
      <w:sz w:val="20"/>
    </w:rPr>
  </w:style>
  <w:style w:type="character" w:customStyle="1" w:styleId="CommentTextChar">
    <w:name w:val="Comment Text Char"/>
    <w:basedOn w:val="DefaultParagraphFont"/>
    <w:link w:val="CommentText"/>
    <w:semiHidden/>
    <w:rsid w:val="00F9348C"/>
    <w:rPr>
      <w:rFonts w:ascii="Courier" w:hAnsi="Courier"/>
      <w:snapToGrid w:val="0"/>
    </w:rPr>
  </w:style>
  <w:style w:type="paragraph" w:styleId="CommentSubject">
    <w:name w:val="annotation subject"/>
    <w:basedOn w:val="CommentText"/>
    <w:next w:val="CommentText"/>
    <w:link w:val="CommentSubjectChar"/>
    <w:semiHidden/>
    <w:unhideWhenUsed/>
    <w:rsid w:val="00F9348C"/>
    <w:rPr>
      <w:b/>
      <w:bCs/>
    </w:rPr>
  </w:style>
  <w:style w:type="character" w:customStyle="1" w:styleId="CommentSubjectChar">
    <w:name w:val="Comment Subject Char"/>
    <w:basedOn w:val="CommentTextChar"/>
    <w:link w:val="CommentSubject"/>
    <w:semiHidden/>
    <w:rsid w:val="00F9348C"/>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774FC-BA67-42A5-9C5E-B386E4C99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1812</Words>
  <Characters>10668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2023-10-13T16:25:00Z</dcterms:created>
  <dcterms:modified xsi:type="dcterms:W3CDTF">2023-10-13T18:19:00Z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9c83cf6e-f943-4100-9139-948b866bfd23</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2023-10-13T16:25:02Z</vt:lpwstr>
  </property>
  <property fmtid="{D5CDD505-2E9C-101B-9397-08002B2CF9AE}" pid="8" name="MSIP_Label_3be8ab8c-433c-4394-a4fb-cd2d5c4d0a5e_SiteId">
    <vt:lpwstr>26c83bc9-31c1-4d77-a523-0816095aba31</vt:lpwstr>
  </property>
</Properties>
</file>