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2057" w14:paraId="08A5F01E" w14:textId="77777777">
      <w:pPr>
        <w:jc w:val="center"/>
        <w:rPr>
          <w:rFonts w:ascii="Times New Roman" w:hAnsi="Times New Roman"/>
          <w:sz w:val="24"/>
        </w:rPr>
      </w:pPr>
      <w:r w:rsidRPr="004F06C3">
        <w:rPr>
          <w:rFonts w:ascii="Times New Roman" w:hAnsi="Times New Roman"/>
          <w:sz w:val="24"/>
        </w:rPr>
        <w:t>National Credit Union Administration</w:t>
      </w:r>
    </w:p>
    <w:p w:rsidR="004F06C3" w:rsidRPr="004F06C3" w14:paraId="60F9593B" w14:textId="77777777">
      <w:pPr>
        <w:jc w:val="center"/>
        <w:rPr>
          <w:rFonts w:ascii="Times New Roman" w:hAnsi="Times New Roman"/>
          <w:b/>
          <w:sz w:val="24"/>
        </w:rPr>
      </w:pPr>
      <w:r w:rsidRPr="004F06C3">
        <w:rPr>
          <w:rFonts w:ascii="Times New Roman" w:hAnsi="Times New Roman"/>
          <w:b/>
          <w:sz w:val="24"/>
        </w:rPr>
        <w:t>SUPPORTING STATEMENT</w:t>
      </w:r>
    </w:p>
    <w:p w:rsidR="00A32A72" w14:paraId="58E11E53" w14:textId="77777777">
      <w:pPr>
        <w:jc w:val="center"/>
        <w:rPr>
          <w:rFonts w:ascii="Times New Roman" w:hAnsi="Times New Roman"/>
          <w:b/>
          <w:sz w:val="24"/>
        </w:rPr>
      </w:pPr>
    </w:p>
    <w:p w:rsidR="008369AF" w:rsidRPr="004F06C3" w14:paraId="4F553396" w14:textId="77777777">
      <w:pPr>
        <w:jc w:val="center"/>
        <w:rPr>
          <w:rFonts w:ascii="Times New Roman" w:hAnsi="Times New Roman"/>
          <w:sz w:val="24"/>
        </w:rPr>
      </w:pPr>
      <w:r w:rsidRPr="004F06C3">
        <w:rPr>
          <w:rFonts w:ascii="Times New Roman" w:hAnsi="Times New Roman"/>
          <w:sz w:val="24"/>
        </w:rPr>
        <w:t xml:space="preserve">Recordkeeping and Disclosure Requirements </w:t>
      </w:r>
    </w:p>
    <w:p w:rsidR="00C03BCD" w:rsidRPr="004F06C3" w14:paraId="12A8EEBE" w14:textId="77777777">
      <w:pPr>
        <w:jc w:val="center"/>
        <w:rPr>
          <w:rFonts w:ascii="Times New Roman" w:hAnsi="Times New Roman"/>
          <w:sz w:val="24"/>
        </w:rPr>
      </w:pPr>
      <w:r w:rsidRPr="004F06C3">
        <w:rPr>
          <w:rFonts w:ascii="Times New Roman" w:hAnsi="Times New Roman"/>
          <w:sz w:val="24"/>
        </w:rPr>
        <w:t>Associated with Regulation</w:t>
      </w:r>
      <w:r w:rsidRPr="004F06C3">
        <w:rPr>
          <w:rFonts w:ascii="Times New Roman" w:hAnsi="Times New Roman"/>
          <w:sz w:val="24"/>
        </w:rPr>
        <w:t>s</w:t>
      </w:r>
      <w:r w:rsidRPr="004F06C3">
        <w:rPr>
          <w:rFonts w:ascii="Times New Roman" w:hAnsi="Times New Roman"/>
          <w:sz w:val="24"/>
        </w:rPr>
        <w:t xml:space="preserve"> </w:t>
      </w:r>
      <w:r w:rsidRPr="004F06C3" w:rsidR="006C5E2C">
        <w:rPr>
          <w:rFonts w:ascii="Times New Roman" w:hAnsi="Times New Roman"/>
          <w:sz w:val="24"/>
        </w:rPr>
        <w:t xml:space="preserve">B, E, M, and </w:t>
      </w:r>
      <w:r w:rsidRPr="004F06C3" w:rsidR="00E13842">
        <w:rPr>
          <w:rFonts w:ascii="Times New Roman" w:hAnsi="Times New Roman"/>
          <w:sz w:val="24"/>
        </w:rPr>
        <w:t>CC</w:t>
      </w:r>
    </w:p>
    <w:p w:rsidR="008369AF" w14:paraId="75DB9C0D" w14:textId="77777777">
      <w:pPr>
        <w:jc w:val="center"/>
        <w:rPr>
          <w:rFonts w:ascii="Times New Roman" w:hAnsi="Times New Roman"/>
          <w:b/>
          <w:sz w:val="24"/>
        </w:rPr>
      </w:pPr>
      <w:r>
        <w:rPr>
          <w:rFonts w:ascii="Times New Roman" w:hAnsi="Times New Roman"/>
          <w:b/>
          <w:sz w:val="24"/>
        </w:rPr>
        <w:t xml:space="preserve">OMB </w:t>
      </w:r>
      <w:r>
        <w:rPr>
          <w:rFonts w:ascii="Times New Roman" w:hAnsi="Times New Roman"/>
          <w:b/>
          <w:sz w:val="24"/>
        </w:rPr>
        <w:t>No. 3133-</w:t>
      </w:r>
      <w:r w:rsidR="009C419F">
        <w:rPr>
          <w:rFonts w:ascii="Times New Roman" w:hAnsi="Times New Roman"/>
          <w:b/>
          <w:sz w:val="24"/>
        </w:rPr>
        <w:t>0103</w:t>
      </w:r>
    </w:p>
    <w:p w:rsidR="008A361A" w14:paraId="04FEA54C" w14:textId="77777777">
      <w:pPr>
        <w:jc w:val="center"/>
        <w:rPr>
          <w:rFonts w:ascii="Times New Roman" w:hAnsi="Times New Roman"/>
          <w:b/>
          <w:sz w:val="24"/>
        </w:rPr>
      </w:pPr>
    </w:p>
    <w:p w:rsidR="008A361A" w14:paraId="381810C7" w14:textId="77777777">
      <w:pPr>
        <w:jc w:val="center"/>
        <w:rPr>
          <w:rFonts w:ascii="Times New Roman" w:hAnsi="Times New Roman"/>
          <w:b/>
          <w:sz w:val="24"/>
        </w:rPr>
      </w:pPr>
    </w:p>
    <w:p w:rsidR="002D6744" w:rsidP="006906E0" w14:paraId="0E4876AA" w14:textId="77777777">
      <w:pPr>
        <w:numPr>
          <w:ilvl w:val="0"/>
          <w:numId w:val="1"/>
        </w:numPr>
        <w:overflowPunct/>
        <w:ind w:hanging="720"/>
        <w:textAlignment w:val="auto"/>
        <w:rPr>
          <w:rFonts w:ascii="Times New Roman" w:hAnsi="Times New Roman"/>
          <w:b/>
          <w:bCs/>
          <w:sz w:val="24"/>
          <w:szCs w:val="24"/>
        </w:rPr>
      </w:pPr>
      <w:r>
        <w:rPr>
          <w:rFonts w:ascii="Times New Roman" w:hAnsi="Times New Roman"/>
          <w:b/>
          <w:bCs/>
          <w:sz w:val="24"/>
          <w:szCs w:val="24"/>
        </w:rPr>
        <w:t>JUSTIFICATION</w:t>
      </w:r>
    </w:p>
    <w:p w:rsidR="002D6744" w:rsidP="006906E0" w14:paraId="0CFD1F78" w14:textId="77777777">
      <w:pPr>
        <w:overflowPunct/>
        <w:ind w:left="720" w:hanging="720"/>
        <w:textAlignment w:val="auto"/>
        <w:rPr>
          <w:rFonts w:ascii="Times New Roman" w:hAnsi="Times New Roman"/>
          <w:b/>
          <w:bCs/>
          <w:sz w:val="24"/>
          <w:szCs w:val="24"/>
        </w:rPr>
      </w:pPr>
    </w:p>
    <w:p w:rsidR="004F06C3" w:rsidRPr="00625090" w:rsidP="004F06C3" w14:paraId="65ACEB8C" w14:textId="77777777">
      <w:pPr>
        <w:pStyle w:val="ListParagraph"/>
        <w:numPr>
          <w:ilvl w:val="0"/>
          <w:numId w:val="10"/>
        </w:numPr>
        <w:ind w:left="720" w:hanging="720"/>
        <w:rPr>
          <w:b/>
        </w:rPr>
      </w:pPr>
      <w:r w:rsidRPr="00625090">
        <w:rPr>
          <w:b/>
        </w:rPr>
        <w:t>Circumstances that make the collection of information necessary</w:t>
      </w:r>
      <w:r>
        <w:rPr>
          <w:b/>
        </w:rPr>
        <w:t>.</w:t>
      </w:r>
    </w:p>
    <w:p w:rsidR="00BE4A63" w:rsidRPr="00BE4A63" w:rsidP="006906E0" w14:paraId="35D55977" w14:textId="77777777">
      <w:pPr>
        <w:overflowPunct/>
        <w:ind w:left="720" w:hanging="720"/>
        <w:textAlignment w:val="auto"/>
        <w:rPr>
          <w:rFonts w:ascii="Times New Roman" w:hAnsi="Times New Roman"/>
          <w:sz w:val="24"/>
          <w:szCs w:val="24"/>
          <w:u w:val="single"/>
        </w:rPr>
      </w:pPr>
    </w:p>
    <w:p w:rsidR="00972719" w:rsidP="006906E0" w14:paraId="54D5EA85" w14:textId="77777777">
      <w:pPr>
        <w:overflowPunct/>
        <w:ind w:left="720"/>
        <w:textAlignment w:val="auto"/>
        <w:rPr>
          <w:rFonts w:ascii="Times New Roman" w:hAnsi="Times New Roman"/>
          <w:sz w:val="24"/>
          <w:szCs w:val="24"/>
        </w:rPr>
      </w:pPr>
      <w:r>
        <w:rPr>
          <w:rFonts w:ascii="Times New Roman" w:hAnsi="Times New Roman"/>
          <w:sz w:val="24"/>
          <w:szCs w:val="24"/>
        </w:rPr>
        <w:t xml:space="preserve">This information </w:t>
      </w:r>
      <w:r w:rsidR="00666ADD">
        <w:rPr>
          <w:rFonts w:ascii="Times New Roman" w:hAnsi="Times New Roman"/>
          <w:sz w:val="24"/>
          <w:szCs w:val="24"/>
        </w:rPr>
        <w:t xml:space="preserve">collection </w:t>
      </w:r>
      <w:r>
        <w:rPr>
          <w:rFonts w:ascii="Times New Roman" w:hAnsi="Times New Roman"/>
          <w:sz w:val="24"/>
          <w:szCs w:val="24"/>
        </w:rPr>
        <w:t xml:space="preserve">request </w:t>
      </w:r>
      <w:r w:rsidR="00666ADD">
        <w:rPr>
          <w:rFonts w:ascii="Times New Roman" w:hAnsi="Times New Roman"/>
          <w:sz w:val="24"/>
          <w:szCs w:val="24"/>
        </w:rPr>
        <w:t xml:space="preserve">provides for the application of three </w:t>
      </w:r>
      <w:r w:rsidR="00667E4F">
        <w:rPr>
          <w:rFonts w:ascii="Times New Roman" w:hAnsi="Times New Roman"/>
          <w:snapToGrid w:val="0"/>
          <w:sz w:val="24"/>
        </w:rPr>
        <w:t>Consumer Financial Protection Bureau</w:t>
      </w:r>
      <w:r w:rsidR="00667E4F">
        <w:rPr>
          <w:rFonts w:ascii="Times New Roman" w:hAnsi="Times New Roman"/>
          <w:sz w:val="24"/>
          <w:szCs w:val="24"/>
        </w:rPr>
        <w:t xml:space="preserve"> (</w:t>
      </w:r>
      <w:r w:rsidR="00666ADD">
        <w:rPr>
          <w:rFonts w:ascii="Times New Roman" w:hAnsi="Times New Roman"/>
          <w:sz w:val="24"/>
          <w:szCs w:val="24"/>
        </w:rPr>
        <w:t>CFPB</w:t>
      </w:r>
      <w:r w:rsidR="00667E4F">
        <w:rPr>
          <w:rFonts w:ascii="Times New Roman" w:hAnsi="Times New Roman"/>
          <w:sz w:val="24"/>
          <w:szCs w:val="24"/>
        </w:rPr>
        <w:t>)</w:t>
      </w:r>
      <w:r w:rsidR="00666ADD">
        <w:rPr>
          <w:rFonts w:ascii="Times New Roman" w:hAnsi="Times New Roman"/>
          <w:sz w:val="24"/>
          <w:szCs w:val="24"/>
        </w:rPr>
        <w:t xml:space="preserve"> rules and one </w:t>
      </w:r>
      <w:r w:rsidRPr="009C419F" w:rsidR="00667E4F">
        <w:rPr>
          <w:rFonts w:ascii="Times New Roman" w:hAnsi="Times New Roman"/>
          <w:snapToGrid w:val="0"/>
          <w:sz w:val="24"/>
        </w:rPr>
        <w:t xml:space="preserve">Board of Governors of the Federal </w:t>
      </w:r>
      <w:r w:rsidRPr="009C419F" w:rsidR="00667E4F">
        <w:rPr>
          <w:rFonts w:ascii="Times New Roman" w:hAnsi="Times New Roman"/>
          <w:snapToGrid w:val="0"/>
          <w:color w:val="000000"/>
          <w:sz w:val="24"/>
          <w:szCs w:val="24"/>
        </w:rPr>
        <w:t>Reserve System (FRB)</w:t>
      </w:r>
      <w:r w:rsidR="00666ADD">
        <w:rPr>
          <w:rFonts w:ascii="Times New Roman" w:hAnsi="Times New Roman"/>
          <w:sz w:val="24"/>
          <w:szCs w:val="24"/>
        </w:rPr>
        <w:t xml:space="preserve"> rule.  NCUA has enforcement responsibility for these rules for federal credit unions. </w:t>
      </w:r>
      <w:r>
        <w:rPr>
          <w:rFonts w:ascii="Times New Roman" w:hAnsi="Times New Roman"/>
          <w:sz w:val="24"/>
          <w:szCs w:val="24"/>
        </w:rPr>
        <w:t xml:space="preserve"> The</w:t>
      </w:r>
      <w:r w:rsidR="0037764E">
        <w:rPr>
          <w:rFonts w:ascii="Times New Roman" w:hAnsi="Times New Roman"/>
          <w:sz w:val="24"/>
          <w:szCs w:val="24"/>
        </w:rPr>
        <w:t>se</w:t>
      </w:r>
      <w:r>
        <w:rPr>
          <w:rFonts w:ascii="Times New Roman" w:hAnsi="Times New Roman"/>
          <w:sz w:val="24"/>
          <w:szCs w:val="24"/>
        </w:rPr>
        <w:t xml:space="preserve"> rules are:</w:t>
      </w:r>
    </w:p>
    <w:p w:rsidR="00972719" w:rsidP="006906E0" w14:paraId="2D92C450" w14:textId="77777777">
      <w:pPr>
        <w:numPr>
          <w:ilvl w:val="0"/>
          <w:numId w:val="6"/>
        </w:numPr>
        <w:overflowPunct/>
        <w:ind w:left="1260" w:hanging="540"/>
        <w:textAlignment w:val="auto"/>
        <w:rPr>
          <w:rFonts w:ascii="Times New Roman" w:hAnsi="Times New Roman"/>
          <w:sz w:val="24"/>
          <w:szCs w:val="24"/>
        </w:rPr>
      </w:pPr>
      <w:r>
        <w:rPr>
          <w:rFonts w:ascii="Times New Roman" w:hAnsi="Times New Roman"/>
          <w:sz w:val="24"/>
          <w:szCs w:val="24"/>
        </w:rPr>
        <w:t>Regulation B (“Equal Credit Opportunity</w:t>
      </w:r>
      <w:r w:rsidR="00E13842">
        <w:rPr>
          <w:rFonts w:ascii="Times New Roman" w:hAnsi="Times New Roman"/>
          <w:sz w:val="24"/>
          <w:szCs w:val="24"/>
        </w:rPr>
        <w:t xml:space="preserve"> Act</w:t>
      </w:r>
      <w:r>
        <w:rPr>
          <w:rFonts w:ascii="Times New Roman" w:hAnsi="Times New Roman"/>
          <w:sz w:val="24"/>
          <w:szCs w:val="24"/>
        </w:rPr>
        <w:t>,” 12 CFR Part 1002);</w:t>
      </w:r>
    </w:p>
    <w:p w:rsidR="00972719" w:rsidP="006906E0" w14:paraId="7281FC4A" w14:textId="77777777">
      <w:pPr>
        <w:numPr>
          <w:ilvl w:val="0"/>
          <w:numId w:val="6"/>
        </w:numPr>
        <w:overflowPunct/>
        <w:ind w:left="1260" w:hanging="540"/>
        <w:textAlignment w:val="auto"/>
        <w:rPr>
          <w:rFonts w:ascii="Times New Roman" w:hAnsi="Times New Roman"/>
          <w:sz w:val="24"/>
          <w:szCs w:val="24"/>
        </w:rPr>
      </w:pPr>
      <w:r>
        <w:rPr>
          <w:rFonts w:ascii="Times New Roman" w:hAnsi="Times New Roman"/>
          <w:sz w:val="24"/>
          <w:szCs w:val="24"/>
        </w:rPr>
        <w:t>Regulation E (“Electronic Fund Transfer</w:t>
      </w:r>
      <w:r w:rsidR="00E13842">
        <w:rPr>
          <w:rFonts w:ascii="Times New Roman" w:hAnsi="Times New Roman"/>
          <w:sz w:val="24"/>
          <w:szCs w:val="24"/>
        </w:rPr>
        <w:t>s</w:t>
      </w:r>
      <w:r>
        <w:rPr>
          <w:rFonts w:ascii="Times New Roman" w:hAnsi="Times New Roman"/>
          <w:sz w:val="24"/>
          <w:szCs w:val="24"/>
        </w:rPr>
        <w:t>,” 12 CFR Part 1005);</w:t>
      </w:r>
    </w:p>
    <w:p w:rsidR="00972719" w:rsidP="006906E0" w14:paraId="7FB88ACE" w14:textId="77777777">
      <w:pPr>
        <w:numPr>
          <w:ilvl w:val="0"/>
          <w:numId w:val="6"/>
        </w:numPr>
        <w:overflowPunct/>
        <w:ind w:left="1260" w:hanging="540"/>
        <w:textAlignment w:val="auto"/>
        <w:rPr>
          <w:rFonts w:ascii="Times New Roman" w:hAnsi="Times New Roman"/>
          <w:sz w:val="24"/>
          <w:szCs w:val="24"/>
        </w:rPr>
      </w:pPr>
      <w:r>
        <w:rPr>
          <w:rFonts w:ascii="Times New Roman" w:hAnsi="Times New Roman"/>
          <w:sz w:val="24"/>
          <w:szCs w:val="24"/>
        </w:rPr>
        <w:t>Regulation M (“Consumer Leasing,” 12 CFR Part 1013); and</w:t>
      </w:r>
    </w:p>
    <w:p w:rsidR="00972719" w:rsidP="006906E0" w14:paraId="65B1FEA3" w14:textId="77777777">
      <w:pPr>
        <w:numPr>
          <w:ilvl w:val="0"/>
          <w:numId w:val="6"/>
        </w:numPr>
        <w:overflowPunct/>
        <w:ind w:left="1260" w:hanging="540"/>
        <w:textAlignment w:val="auto"/>
        <w:rPr>
          <w:rFonts w:ascii="Times New Roman" w:hAnsi="Times New Roman"/>
          <w:sz w:val="24"/>
          <w:szCs w:val="24"/>
        </w:rPr>
      </w:pPr>
      <w:r>
        <w:rPr>
          <w:rFonts w:ascii="Times New Roman" w:hAnsi="Times New Roman"/>
          <w:sz w:val="24"/>
          <w:szCs w:val="24"/>
        </w:rPr>
        <w:t>Regulation CC (“Availability of Funds</w:t>
      </w:r>
      <w:r w:rsidR="00E13842">
        <w:rPr>
          <w:rFonts w:ascii="Times New Roman" w:hAnsi="Times New Roman"/>
          <w:sz w:val="24"/>
          <w:szCs w:val="24"/>
        </w:rPr>
        <w:t xml:space="preserve"> and Collection of Checks</w:t>
      </w:r>
      <w:r>
        <w:rPr>
          <w:rFonts w:ascii="Times New Roman" w:hAnsi="Times New Roman"/>
          <w:sz w:val="24"/>
          <w:szCs w:val="24"/>
        </w:rPr>
        <w:t xml:space="preserve">,” 12 CFR Part </w:t>
      </w:r>
      <w:r w:rsidR="00E13842">
        <w:rPr>
          <w:rFonts w:ascii="Times New Roman" w:hAnsi="Times New Roman"/>
          <w:sz w:val="24"/>
          <w:szCs w:val="24"/>
        </w:rPr>
        <w:t>229</w:t>
      </w:r>
      <w:r>
        <w:rPr>
          <w:rFonts w:ascii="Times New Roman" w:hAnsi="Times New Roman"/>
          <w:sz w:val="24"/>
          <w:szCs w:val="24"/>
        </w:rPr>
        <w:t>).</w:t>
      </w:r>
    </w:p>
    <w:p w:rsidR="00972719" w:rsidP="006906E0" w14:paraId="7882B284" w14:textId="77777777">
      <w:pPr>
        <w:overflowPunct/>
        <w:ind w:left="720"/>
        <w:textAlignment w:val="auto"/>
        <w:rPr>
          <w:rFonts w:ascii="Times New Roman" w:hAnsi="Times New Roman"/>
          <w:sz w:val="24"/>
          <w:szCs w:val="24"/>
        </w:rPr>
      </w:pPr>
    </w:p>
    <w:p w:rsidR="00EB002A" w:rsidP="006906E0" w14:paraId="49076318" w14:textId="77777777">
      <w:pPr>
        <w:overflowPunct/>
        <w:ind w:left="720"/>
        <w:textAlignment w:val="auto"/>
        <w:rPr>
          <w:rFonts w:ascii="Times New Roman" w:hAnsi="Times New Roman"/>
          <w:bCs/>
          <w:sz w:val="24"/>
          <w:szCs w:val="24"/>
        </w:rPr>
      </w:pPr>
      <w:r>
        <w:rPr>
          <w:rFonts w:ascii="Times New Roman" w:hAnsi="Times New Roman"/>
          <w:bCs/>
          <w:sz w:val="24"/>
          <w:szCs w:val="24"/>
          <w:u w:val="single"/>
        </w:rPr>
        <w:t xml:space="preserve">Regulation B – 12 CFR </w:t>
      </w:r>
      <w:r w:rsidR="00E13842">
        <w:rPr>
          <w:rFonts w:ascii="Times New Roman" w:hAnsi="Times New Roman"/>
          <w:bCs/>
          <w:sz w:val="24"/>
          <w:szCs w:val="24"/>
          <w:u w:val="single"/>
        </w:rPr>
        <w:t xml:space="preserve">Part </w:t>
      </w:r>
      <w:r>
        <w:rPr>
          <w:rFonts w:ascii="Times New Roman" w:hAnsi="Times New Roman"/>
          <w:bCs/>
          <w:sz w:val="24"/>
          <w:szCs w:val="24"/>
          <w:u w:val="single"/>
        </w:rPr>
        <w:t>1002 – Equal Credit Opportunity</w:t>
      </w:r>
      <w:r w:rsidR="009F5013">
        <w:rPr>
          <w:rFonts w:ascii="Times New Roman" w:hAnsi="Times New Roman"/>
          <w:bCs/>
          <w:sz w:val="24"/>
          <w:szCs w:val="24"/>
          <w:u w:val="single"/>
        </w:rPr>
        <w:t xml:space="preserve"> Act (ECOA)</w:t>
      </w:r>
      <w:r w:rsidR="002614B2">
        <w:rPr>
          <w:rFonts w:ascii="Times New Roman" w:hAnsi="Times New Roman"/>
          <w:bCs/>
          <w:sz w:val="24"/>
          <w:szCs w:val="24"/>
          <w:u w:val="single"/>
        </w:rPr>
        <w:t xml:space="preserve"> (15 U.S.C</w:t>
      </w:r>
      <w:r w:rsidR="00002C43">
        <w:rPr>
          <w:rFonts w:ascii="Times New Roman" w:hAnsi="Times New Roman"/>
          <w:bCs/>
          <w:sz w:val="24"/>
          <w:szCs w:val="24"/>
          <w:u w:val="single"/>
        </w:rPr>
        <w:t>.</w:t>
      </w:r>
      <w:r w:rsidR="002614B2">
        <w:rPr>
          <w:rFonts w:ascii="Times New Roman" w:hAnsi="Times New Roman"/>
          <w:bCs/>
          <w:sz w:val="24"/>
          <w:szCs w:val="24"/>
          <w:u w:val="single"/>
        </w:rPr>
        <w:t xml:space="preserve"> 1691)</w:t>
      </w:r>
    </w:p>
    <w:p w:rsidR="00EB002A" w:rsidP="006906E0" w14:paraId="3B717459" w14:textId="77777777">
      <w:pPr>
        <w:overflowPunct/>
        <w:ind w:left="720"/>
        <w:textAlignment w:val="auto"/>
        <w:rPr>
          <w:rFonts w:ascii="Times New Roman" w:hAnsi="Times New Roman"/>
          <w:bCs/>
          <w:sz w:val="24"/>
          <w:szCs w:val="24"/>
        </w:rPr>
      </w:pPr>
    </w:p>
    <w:p w:rsidR="003C0000" w:rsidP="006906E0" w14:paraId="0A895200" w14:textId="77777777">
      <w:pPr>
        <w:overflowPunct/>
        <w:ind w:left="720"/>
        <w:textAlignment w:val="auto"/>
        <w:rPr>
          <w:rFonts w:ascii="Times New Roman" w:hAnsi="Times New Roman"/>
          <w:bCs/>
          <w:sz w:val="24"/>
          <w:szCs w:val="24"/>
        </w:rPr>
      </w:pPr>
      <w:r>
        <w:rPr>
          <w:rFonts w:ascii="Times New Roman" w:hAnsi="Times New Roman"/>
          <w:bCs/>
          <w:sz w:val="24"/>
          <w:szCs w:val="24"/>
        </w:rPr>
        <w:t xml:space="preserve">The </w:t>
      </w:r>
      <w:r w:rsidR="00CC360A">
        <w:rPr>
          <w:rFonts w:ascii="Times New Roman" w:hAnsi="Times New Roman"/>
          <w:bCs/>
          <w:sz w:val="24"/>
          <w:szCs w:val="24"/>
        </w:rPr>
        <w:t xml:space="preserve">ECOA was enacted in 1974 and is implemented by Regulation B.  </w:t>
      </w:r>
      <w:r w:rsidR="009F5013">
        <w:rPr>
          <w:rFonts w:ascii="Times New Roman" w:hAnsi="Times New Roman"/>
          <w:bCs/>
          <w:sz w:val="24"/>
          <w:szCs w:val="24"/>
        </w:rPr>
        <w:t>ECOA and Regulation B prohibit</w:t>
      </w:r>
      <w:r w:rsidR="00EB002A">
        <w:rPr>
          <w:rFonts w:ascii="Times New Roman" w:hAnsi="Times New Roman"/>
          <w:bCs/>
          <w:sz w:val="24"/>
          <w:szCs w:val="24"/>
        </w:rPr>
        <w:t xml:space="preserve"> lenders from discriminating </w:t>
      </w:r>
      <w:r w:rsidR="009F5013">
        <w:rPr>
          <w:rFonts w:ascii="Times New Roman" w:hAnsi="Times New Roman"/>
          <w:bCs/>
          <w:sz w:val="24"/>
          <w:szCs w:val="24"/>
        </w:rPr>
        <w:t xml:space="preserve">in any aspect of a credit transaction </w:t>
      </w:r>
      <w:r>
        <w:rPr>
          <w:rFonts w:ascii="Times New Roman" w:hAnsi="Times New Roman"/>
          <w:bCs/>
          <w:sz w:val="24"/>
          <w:szCs w:val="24"/>
        </w:rPr>
        <w:t xml:space="preserve">on the basis of </w:t>
      </w:r>
      <w:r w:rsidR="009F5013">
        <w:rPr>
          <w:rFonts w:ascii="Times New Roman" w:hAnsi="Times New Roman"/>
          <w:bCs/>
          <w:sz w:val="24"/>
          <w:szCs w:val="24"/>
        </w:rPr>
        <w:t xml:space="preserve">the applicant’s </w:t>
      </w:r>
      <w:r>
        <w:rPr>
          <w:rFonts w:ascii="Times New Roman" w:hAnsi="Times New Roman"/>
          <w:bCs/>
          <w:sz w:val="24"/>
          <w:szCs w:val="24"/>
        </w:rPr>
        <w:t>sex, marital status, race, color, religion, national origin, or age. It also prohibits discrimination because an applicant’s income is derived from a public assistance program, or because the applicant has in good faith exercised any right under the Consumer Credit Protection Act</w:t>
      </w:r>
      <w:r>
        <w:rPr>
          <w:rFonts w:ascii="Times New Roman" w:hAnsi="Times New Roman"/>
          <w:bCs/>
          <w:sz w:val="24"/>
          <w:szCs w:val="24"/>
        </w:rPr>
        <w:t xml:space="preserve"> (</w:t>
      </w:r>
      <w:r>
        <w:rPr>
          <w:rFonts w:ascii="Times New Roman" w:hAnsi="Times New Roman"/>
          <w:bCs/>
          <w:sz w:val="24"/>
          <w:szCs w:val="24"/>
        </w:rPr>
        <w:t>Pub.L</w:t>
      </w:r>
      <w:r>
        <w:rPr>
          <w:rFonts w:ascii="Times New Roman" w:hAnsi="Times New Roman"/>
          <w:bCs/>
          <w:sz w:val="24"/>
          <w:szCs w:val="24"/>
        </w:rPr>
        <w:t>. 90-321, 82 Stat.146)</w:t>
      </w:r>
      <w:r>
        <w:rPr>
          <w:rFonts w:ascii="Times New Roman" w:hAnsi="Times New Roman"/>
          <w:bCs/>
          <w:sz w:val="24"/>
          <w:szCs w:val="24"/>
        </w:rPr>
        <w:t xml:space="preserve">.  </w:t>
      </w:r>
    </w:p>
    <w:p w:rsidR="003C0000" w:rsidP="006906E0" w14:paraId="511B9168" w14:textId="77777777">
      <w:pPr>
        <w:overflowPunct/>
        <w:ind w:left="720"/>
        <w:textAlignment w:val="auto"/>
        <w:rPr>
          <w:rFonts w:ascii="Times New Roman" w:hAnsi="Times New Roman"/>
          <w:bCs/>
          <w:sz w:val="24"/>
          <w:szCs w:val="24"/>
        </w:rPr>
      </w:pPr>
    </w:p>
    <w:p w:rsidR="00EB002A" w:rsidP="006906E0" w14:paraId="29A62098" w14:textId="77777777">
      <w:pPr>
        <w:overflowPunct/>
        <w:ind w:left="720"/>
        <w:textAlignment w:val="auto"/>
        <w:rPr>
          <w:rFonts w:ascii="Times New Roman" w:hAnsi="Times New Roman"/>
          <w:bCs/>
          <w:sz w:val="24"/>
          <w:szCs w:val="24"/>
        </w:rPr>
      </w:pPr>
      <w:r>
        <w:rPr>
          <w:rFonts w:ascii="Times New Roman" w:hAnsi="Times New Roman"/>
          <w:bCs/>
          <w:sz w:val="24"/>
          <w:szCs w:val="24"/>
        </w:rPr>
        <w:t xml:space="preserve">The regulation </w:t>
      </w:r>
      <w:r>
        <w:rPr>
          <w:rFonts w:ascii="Times New Roman" w:hAnsi="Times New Roman"/>
          <w:bCs/>
          <w:sz w:val="24"/>
          <w:szCs w:val="24"/>
        </w:rPr>
        <w:t xml:space="preserve">establishes guidelines for gathering and evaluating information about personal characteristics in applications for certain dwelling-related loans, requires lenders to provide applicants with </w:t>
      </w:r>
      <w:r>
        <w:rPr>
          <w:rFonts w:ascii="Times New Roman" w:hAnsi="Times New Roman"/>
          <w:bCs/>
          <w:sz w:val="24"/>
          <w:szCs w:val="24"/>
        </w:rPr>
        <w:t xml:space="preserve">certain information including </w:t>
      </w:r>
      <w:r>
        <w:rPr>
          <w:rFonts w:ascii="Times New Roman" w:hAnsi="Times New Roman"/>
          <w:bCs/>
          <w:sz w:val="24"/>
          <w:szCs w:val="24"/>
        </w:rPr>
        <w:t>copies of appraisal reports in connection with credit transactions, and requires written notification of action taken on a credit application.</w:t>
      </w:r>
      <w:r w:rsidR="004D5CDF">
        <w:rPr>
          <w:rFonts w:ascii="Times New Roman" w:hAnsi="Times New Roman"/>
          <w:bCs/>
          <w:sz w:val="24"/>
          <w:szCs w:val="24"/>
        </w:rPr>
        <w:t xml:space="preserve">  The regulation contains rules relating to the use of co-signers.  The regulation also requires spousal information to be reported to consumer reporting agencies to reflect participation of both spouses.</w:t>
      </w:r>
    </w:p>
    <w:p w:rsidR="00EB002A" w:rsidP="00002C43" w14:paraId="653D2A94" w14:textId="77777777">
      <w:pPr>
        <w:overflowPunct/>
        <w:ind w:left="720"/>
        <w:textAlignment w:val="auto"/>
        <w:rPr>
          <w:rFonts w:ascii="Times New Roman" w:hAnsi="Times New Roman"/>
          <w:bCs/>
          <w:sz w:val="24"/>
          <w:szCs w:val="24"/>
        </w:rPr>
      </w:pPr>
    </w:p>
    <w:p w:rsidR="00EB002A" w:rsidP="00002C43" w14:paraId="769754EA" w14:textId="77777777">
      <w:pPr>
        <w:overflowPunct/>
        <w:ind w:left="720"/>
        <w:textAlignment w:val="auto"/>
        <w:rPr>
          <w:rFonts w:ascii="Times New Roman" w:hAnsi="Times New Roman"/>
          <w:bCs/>
          <w:sz w:val="24"/>
          <w:szCs w:val="24"/>
        </w:rPr>
      </w:pPr>
      <w:r>
        <w:rPr>
          <w:rFonts w:ascii="Times New Roman" w:hAnsi="Times New Roman"/>
          <w:bCs/>
          <w:sz w:val="24"/>
          <w:szCs w:val="24"/>
          <w:u w:val="single"/>
        </w:rPr>
        <w:t>Regulation E – 12 C</w:t>
      </w:r>
      <w:r w:rsidR="002614B2">
        <w:rPr>
          <w:rFonts w:ascii="Times New Roman" w:hAnsi="Times New Roman"/>
          <w:bCs/>
          <w:sz w:val="24"/>
          <w:szCs w:val="24"/>
          <w:u w:val="single"/>
        </w:rPr>
        <w:t>F</w:t>
      </w:r>
      <w:r>
        <w:rPr>
          <w:rFonts w:ascii="Times New Roman" w:hAnsi="Times New Roman"/>
          <w:bCs/>
          <w:sz w:val="24"/>
          <w:szCs w:val="24"/>
          <w:u w:val="single"/>
        </w:rPr>
        <w:t xml:space="preserve">R. </w:t>
      </w:r>
      <w:r w:rsidR="00002C43">
        <w:rPr>
          <w:rFonts w:ascii="Times New Roman" w:hAnsi="Times New Roman"/>
          <w:bCs/>
          <w:sz w:val="24"/>
          <w:szCs w:val="24"/>
          <w:u w:val="single"/>
        </w:rPr>
        <w:t>Part</w:t>
      </w:r>
      <w:r>
        <w:rPr>
          <w:rFonts w:ascii="Times New Roman" w:hAnsi="Times New Roman"/>
          <w:bCs/>
          <w:sz w:val="24"/>
          <w:szCs w:val="24"/>
          <w:u w:val="single"/>
        </w:rPr>
        <w:t xml:space="preserve"> 1005 – Electronic Fund Trans</w:t>
      </w:r>
      <w:r w:rsidR="00C0157C">
        <w:rPr>
          <w:rFonts w:ascii="Times New Roman" w:hAnsi="Times New Roman"/>
          <w:bCs/>
          <w:sz w:val="24"/>
          <w:szCs w:val="24"/>
          <w:u w:val="single"/>
        </w:rPr>
        <w:t>fer</w:t>
      </w:r>
      <w:r w:rsidR="002A350E">
        <w:rPr>
          <w:rFonts w:ascii="Times New Roman" w:hAnsi="Times New Roman"/>
          <w:bCs/>
          <w:sz w:val="24"/>
          <w:szCs w:val="24"/>
          <w:u w:val="single"/>
        </w:rPr>
        <w:t>s</w:t>
      </w:r>
      <w:r w:rsidR="00C0157C">
        <w:rPr>
          <w:rFonts w:ascii="Times New Roman" w:hAnsi="Times New Roman"/>
          <w:bCs/>
          <w:sz w:val="24"/>
          <w:szCs w:val="24"/>
          <w:u w:val="single"/>
        </w:rPr>
        <w:t xml:space="preserve"> </w:t>
      </w:r>
      <w:r w:rsidR="006C7014">
        <w:rPr>
          <w:rFonts w:ascii="Times New Roman" w:hAnsi="Times New Roman"/>
          <w:bCs/>
          <w:sz w:val="24"/>
          <w:szCs w:val="24"/>
          <w:u w:val="single"/>
        </w:rPr>
        <w:t>(</w:t>
      </w:r>
      <w:r w:rsidR="004814B8">
        <w:rPr>
          <w:rFonts w:ascii="Times New Roman" w:hAnsi="Times New Roman"/>
          <w:bCs/>
          <w:sz w:val="24"/>
          <w:szCs w:val="24"/>
          <w:u w:val="single"/>
        </w:rPr>
        <w:t xml:space="preserve">Electronic Fund Transfer Act, </w:t>
      </w:r>
      <w:r w:rsidR="006C7014">
        <w:rPr>
          <w:rFonts w:ascii="Times New Roman" w:hAnsi="Times New Roman"/>
          <w:bCs/>
          <w:sz w:val="24"/>
          <w:szCs w:val="24"/>
          <w:u w:val="single"/>
        </w:rPr>
        <w:t>15 U.S.C. 1693</w:t>
      </w:r>
      <w:r w:rsidR="009916C2">
        <w:rPr>
          <w:rFonts w:ascii="Times New Roman" w:hAnsi="Times New Roman"/>
          <w:bCs/>
          <w:sz w:val="24"/>
          <w:szCs w:val="24"/>
          <w:u w:val="single"/>
        </w:rPr>
        <w:t xml:space="preserve"> et seq.</w:t>
      </w:r>
      <w:r w:rsidR="006C7014">
        <w:rPr>
          <w:rFonts w:ascii="Times New Roman" w:hAnsi="Times New Roman"/>
          <w:bCs/>
          <w:sz w:val="24"/>
          <w:szCs w:val="24"/>
          <w:u w:val="single"/>
        </w:rPr>
        <w:t>)</w:t>
      </w:r>
    </w:p>
    <w:p w:rsidR="00EB002A" w:rsidP="00002C43" w14:paraId="26A19D74" w14:textId="77777777">
      <w:pPr>
        <w:overflowPunct/>
        <w:ind w:left="720"/>
        <w:textAlignment w:val="auto"/>
        <w:rPr>
          <w:rFonts w:ascii="Times New Roman" w:hAnsi="Times New Roman"/>
          <w:bCs/>
          <w:sz w:val="24"/>
          <w:szCs w:val="24"/>
        </w:rPr>
      </w:pPr>
    </w:p>
    <w:p w:rsidR="00EB002A" w:rsidP="00002C43" w14:paraId="21223C24" w14:textId="77777777">
      <w:pPr>
        <w:overflowPunct/>
        <w:ind w:left="720"/>
        <w:textAlignment w:val="auto"/>
        <w:rPr>
          <w:rFonts w:ascii="Times New Roman" w:hAnsi="Times New Roman"/>
          <w:color w:val="000000"/>
          <w:sz w:val="24"/>
          <w:szCs w:val="24"/>
        </w:rPr>
      </w:pPr>
      <w:r>
        <w:rPr>
          <w:rFonts w:ascii="Times New Roman" w:hAnsi="Times New Roman"/>
          <w:color w:val="000000"/>
          <w:sz w:val="24"/>
          <w:szCs w:val="24"/>
        </w:rPr>
        <w:t xml:space="preserve">The </w:t>
      </w:r>
      <w:r w:rsidR="00C14C7D">
        <w:rPr>
          <w:rFonts w:ascii="Times New Roman" w:hAnsi="Times New Roman"/>
          <w:color w:val="000000"/>
          <w:sz w:val="24"/>
          <w:szCs w:val="24"/>
        </w:rPr>
        <w:t>Electronic Fund Transfer Act (</w:t>
      </w:r>
      <w:r w:rsidR="00C0157C">
        <w:rPr>
          <w:rFonts w:ascii="Times New Roman" w:hAnsi="Times New Roman"/>
          <w:color w:val="000000"/>
          <w:sz w:val="24"/>
          <w:szCs w:val="24"/>
        </w:rPr>
        <w:t>EFTA</w:t>
      </w:r>
      <w:r w:rsidR="00C14C7D">
        <w:rPr>
          <w:rFonts w:ascii="Times New Roman" w:hAnsi="Times New Roman"/>
          <w:color w:val="000000"/>
          <w:sz w:val="24"/>
          <w:szCs w:val="24"/>
        </w:rPr>
        <w:t>)</w:t>
      </w:r>
      <w:r w:rsidR="00C0157C">
        <w:rPr>
          <w:rFonts w:ascii="Times New Roman" w:hAnsi="Times New Roman"/>
          <w:color w:val="000000"/>
          <w:sz w:val="24"/>
          <w:szCs w:val="24"/>
        </w:rPr>
        <w:t xml:space="preserve"> was enacted in 1978 and is implemented by Regulation E.  </w:t>
      </w:r>
      <w:r>
        <w:rPr>
          <w:rFonts w:ascii="Times New Roman" w:hAnsi="Times New Roman"/>
          <w:color w:val="000000"/>
          <w:sz w:val="24"/>
          <w:szCs w:val="24"/>
        </w:rPr>
        <w:t xml:space="preserve">The </w:t>
      </w:r>
      <w:r w:rsidR="006F60FA">
        <w:rPr>
          <w:rFonts w:ascii="Times New Roman" w:hAnsi="Times New Roman"/>
          <w:color w:val="000000"/>
          <w:sz w:val="24"/>
          <w:szCs w:val="24"/>
        </w:rPr>
        <w:t xml:space="preserve">EFTA and Regulation E </w:t>
      </w:r>
      <w:r>
        <w:rPr>
          <w:rFonts w:ascii="Times New Roman" w:hAnsi="Times New Roman"/>
          <w:color w:val="000000"/>
          <w:sz w:val="24"/>
          <w:szCs w:val="24"/>
        </w:rPr>
        <w:t>e</w:t>
      </w:r>
      <w:r w:rsidRPr="00CA256F">
        <w:rPr>
          <w:rFonts w:ascii="Times New Roman" w:hAnsi="Times New Roman"/>
          <w:color w:val="000000"/>
          <w:sz w:val="24"/>
          <w:szCs w:val="24"/>
        </w:rPr>
        <w:t>stablish the rights, liabilities, and responsibilities of part</w:t>
      </w:r>
      <w:r w:rsidR="006F60FA">
        <w:rPr>
          <w:rFonts w:ascii="Times New Roman" w:hAnsi="Times New Roman"/>
          <w:color w:val="000000"/>
          <w:sz w:val="24"/>
          <w:szCs w:val="24"/>
        </w:rPr>
        <w:t>ies in electronic fund transfer</w:t>
      </w:r>
      <w:r w:rsidRPr="00CA256F">
        <w:rPr>
          <w:rFonts w:ascii="Times New Roman" w:hAnsi="Times New Roman"/>
          <w:color w:val="000000"/>
          <w:sz w:val="24"/>
          <w:szCs w:val="24"/>
        </w:rPr>
        <w:t xml:space="preserve"> </w:t>
      </w:r>
      <w:r w:rsidR="00D5781D">
        <w:rPr>
          <w:rFonts w:ascii="Times New Roman" w:hAnsi="Times New Roman"/>
          <w:color w:val="000000"/>
          <w:sz w:val="24"/>
          <w:szCs w:val="24"/>
        </w:rPr>
        <w:t xml:space="preserve">(EFT) </w:t>
      </w:r>
      <w:r w:rsidR="006F60FA">
        <w:rPr>
          <w:rFonts w:ascii="Times New Roman" w:hAnsi="Times New Roman"/>
          <w:color w:val="000000"/>
          <w:sz w:val="24"/>
          <w:szCs w:val="24"/>
        </w:rPr>
        <w:t xml:space="preserve">services </w:t>
      </w:r>
      <w:r w:rsidRPr="00CA256F">
        <w:rPr>
          <w:rFonts w:ascii="Times New Roman" w:hAnsi="Times New Roman"/>
          <w:color w:val="000000"/>
          <w:sz w:val="24"/>
          <w:szCs w:val="24"/>
        </w:rPr>
        <w:t xml:space="preserve">and </w:t>
      </w:r>
      <w:r w:rsidR="006F60FA">
        <w:rPr>
          <w:rFonts w:ascii="Times New Roman" w:hAnsi="Times New Roman"/>
          <w:color w:val="000000"/>
          <w:sz w:val="24"/>
          <w:szCs w:val="24"/>
        </w:rPr>
        <w:t>offer</w:t>
      </w:r>
      <w:r>
        <w:rPr>
          <w:rFonts w:ascii="Times New Roman" w:hAnsi="Times New Roman"/>
          <w:color w:val="000000"/>
          <w:sz w:val="24"/>
          <w:szCs w:val="24"/>
        </w:rPr>
        <w:t xml:space="preserve"> </w:t>
      </w:r>
      <w:r w:rsidRPr="00CA256F">
        <w:rPr>
          <w:rFonts w:ascii="Times New Roman" w:hAnsi="Times New Roman"/>
          <w:color w:val="000000"/>
          <w:sz w:val="24"/>
          <w:szCs w:val="24"/>
        </w:rPr>
        <w:t>protect</w:t>
      </w:r>
      <w:r>
        <w:rPr>
          <w:rFonts w:ascii="Times New Roman" w:hAnsi="Times New Roman"/>
          <w:color w:val="000000"/>
          <w:sz w:val="24"/>
          <w:szCs w:val="24"/>
        </w:rPr>
        <w:t xml:space="preserve">ions </w:t>
      </w:r>
      <w:r>
        <w:rPr>
          <w:rFonts w:ascii="Times New Roman" w:hAnsi="Times New Roman"/>
          <w:color w:val="000000"/>
          <w:sz w:val="24"/>
          <w:szCs w:val="24"/>
        </w:rPr>
        <w:t xml:space="preserve">to </w:t>
      </w:r>
      <w:r w:rsidRPr="00CA256F">
        <w:rPr>
          <w:rFonts w:ascii="Times New Roman" w:hAnsi="Times New Roman"/>
          <w:color w:val="000000"/>
          <w:sz w:val="24"/>
          <w:szCs w:val="24"/>
        </w:rPr>
        <w:t>consumers when they use such systems.</w:t>
      </w:r>
      <w:r w:rsidR="00D5781D">
        <w:rPr>
          <w:rFonts w:ascii="Times New Roman" w:hAnsi="Times New Roman"/>
          <w:color w:val="000000"/>
          <w:sz w:val="24"/>
          <w:szCs w:val="24"/>
        </w:rPr>
        <w:t xml:space="preserve">  The disclosures required by this regulation are designed to ensure consumer receive adequate disclosure of basic terms, costs, and right</w:t>
      </w:r>
      <w:r w:rsidR="00176527">
        <w:rPr>
          <w:rFonts w:ascii="Times New Roman" w:hAnsi="Times New Roman"/>
          <w:color w:val="000000"/>
          <w:sz w:val="24"/>
          <w:szCs w:val="24"/>
        </w:rPr>
        <w:t>s</w:t>
      </w:r>
      <w:r w:rsidR="00D5781D">
        <w:rPr>
          <w:rFonts w:ascii="Times New Roman" w:hAnsi="Times New Roman"/>
          <w:color w:val="000000"/>
          <w:sz w:val="24"/>
          <w:szCs w:val="24"/>
        </w:rPr>
        <w:t xml:space="preserve"> relating to EFT services provided to them so that they can make informed decisions.  Credit unions offering EFT services must disclose certain information to consumers including the following:  initial and updated EFT terms, transaction information, the consumer’s potential liability for unauthorized transfers, and error resolution rights and procedures.  </w:t>
      </w:r>
      <w:r w:rsidR="00EE2363">
        <w:rPr>
          <w:rFonts w:ascii="Times New Roman" w:hAnsi="Times New Roman"/>
          <w:color w:val="000000"/>
          <w:sz w:val="24"/>
          <w:szCs w:val="24"/>
        </w:rPr>
        <w:t>The regulation also covers change-in-terms notices if the change would result in increased liability for the consumer, increased fees, fewer types of available EFTs, or stricter limitations on the frequency or dollar amounts of transfers; disclosures related to loyalty, award, or promotional gift cards; and requirements for gift card and gift certificate exclusions</w:t>
      </w:r>
      <w:r w:rsidR="00313531">
        <w:rPr>
          <w:rFonts w:ascii="Times New Roman" w:hAnsi="Times New Roman"/>
          <w:color w:val="000000"/>
          <w:sz w:val="24"/>
          <w:szCs w:val="24"/>
        </w:rPr>
        <w:t>, prohibition on sale of gift certificates or cards with expiration dates, and other certificate and card disclosures</w:t>
      </w:r>
      <w:r w:rsidR="00EE2363">
        <w:rPr>
          <w:rFonts w:ascii="Times New Roman" w:hAnsi="Times New Roman"/>
          <w:color w:val="000000"/>
          <w:sz w:val="24"/>
          <w:szCs w:val="24"/>
        </w:rPr>
        <w:t xml:space="preserve">.  </w:t>
      </w:r>
      <w:r w:rsidR="00D5781D">
        <w:rPr>
          <w:rFonts w:ascii="Times New Roman" w:hAnsi="Times New Roman"/>
          <w:color w:val="000000"/>
          <w:sz w:val="24"/>
          <w:szCs w:val="24"/>
        </w:rPr>
        <w:t>Subpart B of the regulation covers activities of remittance transfer providers.</w:t>
      </w:r>
    </w:p>
    <w:p w:rsidR="00B51DD7" w:rsidP="00176527" w14:paraId="3969F21E" w14:textId="77777777">
      <w:pPr>
        <w:overflowPunct/>
        <w:ind w:left="720"/>
        <w:textAlignment w:val="auto"/>
        <w:rPr>
          <w:rFonts w:ascii="Times New Roman" w:hAnsi="Times New Roman"/>
          <w:color w:val="000000"/>
          <w:sz w:val="24"/>
          <w:szCs w:val="24"/>
        </w:rPr>
      </w:pPr>
    </w:p>
    <w:p w:rsidR="00B51DD7" w:rsidP="00176527" w14:paraId="307A35DA" w14:textId="77777777">
      <w:pPr>
        <w:overflowPunct/>
        <w:ind w:left="720"/>
        <w:textAlignment w:val="auto"/>
        <w:rPr>
          <w:rFonts w:ascii="Times New Roman" w:hAnsi="Times New Roman"/>
          <w:color w:val="000000"/>
          <w:sz w:val="24"/>
          <w:szCs w:val="24"/>
        </w:rPr>
      </w:pPr>
      <w:r>
        <w:rPr>
          <w:rFonts w:ascii="Times New Roman" w:hAnsi="Times New Roman"/>
          <w:color w:val="000000"/>
          <w:sz w:val="24"/>
          <w:szCs w:val="24"/>
          <w:u w:val="single"/>
        </w:rPr>
        <w:t xml:space="preserve">Regulation M – 12 CFR </w:t>
      </w:r>
      <w:r w:rsidR="009916C2">
        <w:rPr>
          <w:rFonts w:ascii="Times New Roman" w:hAnsi="Times New Roman"/>
          <w:color w:val="000000"/>
          <w:sz w:val="24"/>
          <w:szCs w:val="24"/>
          <w:u w:val="single"/>
        </w:rPr>
        <w:t xml:space="preserve">Part </w:t>
      </w:r>
      <w:r>
        <w:rPr>
          <w:rFonts w:ascii="Times New Roman" w:hAnsi="Times New Roman"/>
          <w:color w:val="000000"/>
          <w:sz w:val="24"/>
          <w:szCs w:val="24"/>
          <w:u w:val="single"/>
        </w:rPr>
        <w:t>1013 – Consumer Leasing</w:t>
      </w:r>
      <w:r w:rsidR="00DE4A7B">
        <w:rPr>
          <w:rFonts w:ascii="Times New Roman" w:hAnsi="Times New Roman"/>
          <w:color w:val="000000"/>
          <w:sz w:val="24"/>
          <w:szCs w:val="24"/>
          <w:u w:val="single"/>
        </w:rPr>
        <w:t xml:space="preserve"> (</w:t>
      </w:r>
      <w:r w:rsidR="00886152">
        <w:rPr>
          <w:rFonts w:ascii="Times New Roman" w:hAnsi="Times New Roman"/>
          <w:color w:val="000000"/>
          <w:sz w:val="24"/>
          <w:szCs w:val="24"/>
          <w:u w:val="single"/>
        </w:rPr>
        <w:t xml:space="preserve">Consumer Leasing Act, </w:t>
      </w:r>
      <w:r w:rsidR="00AB0011">
        <w:rPr>
          <w:rFonts w:ascii="Times New Roman" w:hAnsi="Times New Roman"/>
          <w:color w:val="000000"/>
          <w:sz w:val="24"/>
          <w:szCs w:val="24"/>
          <w:u w:val="single"/>
        </w:rPr>
        <w:t>15 U.S.C. § 1667-1667f)</w:t>
      </w:r>
    </w:p>
    <w:p w:rsidR="002F16FA" w:rsidP="00176527" w14:paraId="5B70B493" w14:textId="77777777">
      <w:pPr>
        <w:overflowPunct/>
        <w:ind w:left="720"/>
        <w:textAlignment w:val="auto"/>
        <w:rPr>
          <w:rFonts w:ascii="Times New Roman" w:hAnsi="Times New Roman"/>
          <w:color w:val="000000"/>
          <w:sz w:val="24"/>
          <w:szCs w:val="24"/>
        </w:rPr>
      </w:pPr>
    </w:p>
    <w:p w:rsidR="002F16FA" w:rsidP="00176527" w14:paraId="0DCC5714" w14:textId="77777777">
      <w:pPr>
        <w:overflowPunct/>
        <w:ind w:left="720"/>
        <w:textAlignment w:val="auto"/>
        <w:rPr>
          <w:rFonts w:ascii="Times New Roman" w:hAnsi="Times New Roman"/>
          <w:color w:val="000000"/>
          <w:sz w:val="24"/>
          <w:szCs w:val="24"/>
        </w:rPr>
      </w:pPr>
      <w:r>
        <w:rPr>
          <w:rFonts w:ascii="Times New Roman" w:hAnsi="Times New Roman"/>
          <w:color w:val="000000"/>
          <w:sz w:val="24"/>
          <w:szCs w:val="24"/>
        </w:rPr>
        <w:t>The Consumer Leasing Act (CLA) was enacted in 1976 as an amendment to the Truth in Lending Act (TILA).  The CLA and Regulation M are intended to provide consumers with meaningful disclosures about the costs and terms of leases for personal property.  The disclosures enable consumers to compare the terms for a particular lease with those for other leases and, when appropriate, to compare lease terms with those for credit transactions.  The CLA and Regulation M also contain rules about advertising consumer leases and limit the size of balloon payments in consumer lease transactions.  The CLA and regulation M requires lessors to disclose to consumers uniformly the costs, liabilities, and terms of consumer lease transactions.  Disclosures are provided to consumers before they enter into lease transactions and in advertisements that state the availability of consumer leases on particular terms.  The regulation generally applies to consumer leases of personal property in which the contractual obligation does not exceed $5</w:t>
      </w:r>
      <w:r w:rsidR="006D1412">
        <w:rPr>
          <w:rFonts w:ascii="Times New Roman" w:hAnsi="Times New Roman"/>
          <w:color w:val="000000"/>
          <w:sz w:val="24"/>
          <w:szCs w:val="24"/>
        </w:rPr>
        <w:t>4</w:t>
      </w:r>
      <w:r>
        <w:rPr>
          <w:rFonts w:ascii="Times New Roman" w:hAnsi="Times New Roman"/>
          <w:color w:val="000000"/>
          <w:sz w:val="24"/>
          <w:szCs w:val="24"/>
        </w:rPr>
        <w:t>,</w:t>
      </w:r>
      <w:r w:rsidR="006D1412">
        <w:rPr>
          <w:rFonts w:ascii="Times New Roman" w:hAnsi="Times New Roman"/>
          <w:color w:val="000000"/>
          <w:sz w:val="24"/>
          <w:szCs w:val="24"/>
        </w:rPr>
        <w:t>6</w:t>
      </w:r>
      <w:r>
        <w:rPr>
          <w:rFonts w:ascii="Times New Roman" w:hAnsi="Times New Roman"/>
          <w:color w:val="000000"/>
          <w:sz w:val="24"/>
          <w:szCs w:val="24"/>
        </w:rPr>
        <w:t>00</w:t>
      </w:r>
      <w:r>
        <w:rPr>
          <w:rStyle w:val="FootnoteReference"/>
          <w:rFonts w:ascii="Times New Roman" w:hAnsi="Times New Roman"/>
          <w:color w:val="000000"/>
          <w:sz w:val="24"/>
          <w:szCs w:val="24"/>
        </w:rPr>
        <w:footnoteReference w:id="2"/>
      </w:r>
      <w:r>
        <w:rPr>
          <w:rFonts w:ascii="Times New Roman" w:hAnsi="Times New Roman"/>
          <w:color w:val="000000"/>
          <w:sz w:val="24"/>
          <w:szCs w:val="24"/>
        </w:rPr>
        <w:t xml:space="preserve"> and has a term of more than four months.  </w:t>
      </w:r>
    </w:p>
    <w:p w:rsidR="001C772B" w:rsidP="00176527" w14:paraId="73354E6A" w14:textId="77777777">
      <w:pPr>
        <w:overflowPunct/>
        <w:ind w:left="1440" w:hanging="720"/>
        <w:textAlignment w:val="auto"/>
        <w:rPr>
          <w:rFonts w:ascii="Times New Roman" w:hAnsi="Times New Roman"/>
          <w:color w:val="000000"/>
          <w:sz w:val="24"/>
          <w:szCs w:val="24"/>
        </w:rPr>
      </w:pPr>
    </w:p>
    <w:p w:rsidR="008B3A06" w:rsidP="00176527" w14:paraId="5F0E2288" w14:textId="77777777">
      <w:pPr>
        <w:overflowPunct/>
        <w:ind w:left="720"/>
        <w:textAlignment w:val="auto"/>
        <w:rPr>
          <w:rFonts w:ascii="Times New Roman" w:hAnsi="Times New Roman"/>
          <w:color w:val="000000"/>
          <w:sz w:val="24"/>
          <w:szCs w:val="24"/>
        </w:rPr>
      </w:pPr>
      <w:r>
        <w:rPr>
          <w:rFonts w:ascii="Times New Roman" w:hAnsi="Times New Roman"/>
          <w:color w:val="000000"/>
          <w:sz w:val="24"/>
          <w:szCs w:val="24"/>
          <w:u w:val="single"/>
        </w:rPr>
        <w:t xml:space="preserve">Regulation CC – 12 CFR </w:t>
      </w:r>
      <w:r w:rsidR="00176527">
        <w:rPr>
          <w:rFonts w:ascii="Times New Roman" w:hAnsi="Times New Roman"/>
          <w:color w:val="000000"/>
          <w:sz w:val="24"/>
          <w:szCs w:val="24"/>
          <w:u w:val="single"/>
        </w:rPr>
        <w:t>Part</w:t>
      </w:r>
      <w:r>
        <w:rPr>
          <w:rFonts w:ascii="Times New Roman" w:hAnsi="Times New Roman"/>
          <w:color w:val="000000"/>
          <w:sz w:val="24"/>
          <w:szCs w:val="24"/>
          <w:u w:val="single"/>
        </w:rPr>
        <w:t xml:space="preserve"> 229 – Availability of Funds and Collection of Checks</w:t>
      </w:r>
      <w:r w:rsidR="001936C2">
        <w:rPr>
          <w:rFonts w:ascii="Times New Roman" w:hAnsi="Times New Roman"/>
          <w:color w:val="000000"/>
          <w:sz w:val="24"/>
          <w:szCs w:val="24"/>
          <w:u w:val="single"/>
        </w:rPr>
        <w:t xml:space="preserve"> (</w:t>
      </w:r>
      <w:r w:rsidR="004814B8">
        <w:rPr>
          <w:rFonts w:ascii="Times New Roman" w:hAnsi="Times New Roman"/>
          <w:color w:val="000000"/>
          <w:sz w:val="24"/>
          <w:szCs w:val="24"/>
          <w:u w:val="single"/>
        </w:rPr>
        <w:t xml:space="preserve">Expedited Funds Availability Act, </w:t>
      </w:r>
      <w:r w:rsidR="001936C2">
        <w:rPr>
          <w:rFonts w:ascii="Times New Roman" w:hAnsi="Times New Roman"/>
          <w:color w:val="000000"/>
          <w:sz w:val="24"/>
          <w:szCs w:val="24"/>
          <w:u w:val="single"/>
        </w:rPr>
        <w:t>12 U.S.C. 4001-4010</w:t>
      </w:r>
      <w:r w:rsidR="004814B8">
        <w:rPr>
          <w:rFonts w:ascii="Times New Roman" w:hAnsi="Times New Roman"/>
          <w:color w:val="000000"/>
          <w:sz w:val="24"/>
          <w:szCs w:val="24"/>
          <w:u w:val="single"/>
        </w:rPr>
        <w:t xml:space="preserve"> and the Check Clearing for the 21</w:t>
      </w:r>
      <w:r w:rsidRPr="00A541E0" w:rsidR="004814B8">
        <w:rPr>
          <w:rFonts w:ascii="Times New Roman" w:hAnsi="Times New Roman"/>
          <w:color w:val="000000"/>
          <w:sz w:val="24"/>
          <w:szCs w:val="24"/>
          <w:u w:val="single"/>
          <w:vertAlign w:val="superscript"/>
        </w:rPr>
        <w:t>st</w:t>
      </w:r>
      <w:r w:rsidR="004814B8">
        <w:rPr>
          <w:rFonts w:ascii="Times New Roman" w:hAnsi="Times New Roman"/>
          <w:color w:val="000000"/>
          <w:sz w:val="24"/>
          <w:szCs w:val="24"/>
          <w:u w:val="single"/>
        </w:rPr>
        <w:t xml:space="preserve"> Century Act, 12 U.S.C. 5001-5018</w:t>
      </w:r>
      <w:r w:rsidR="001936C2">
        <w:rPr>
          <w:rFonts w:ascii="Times New Roman" w:hAnsi="Times New Roman"/>
          <w:color w:val="000000"/>
          <w:sz w:val="24"/>
          <w:szCs w:val="24"/>
          <w:u w:val="single"/>
        </w:rPr>
        <w:t>)</w:t>
      </w:r>
    </w:p>
    <w:p w:rsidR="008B3A06" w:rsidP="00176527" w14:paraId="3C4F9625" w14:textId="77777777">
      <w:pPr>
        <w:overflowPunct/>
        <w:ind w:left="720"/>
        <w:textAlignment w:val="auto"/>
        <w:rPr>
          <w:rFonts w:ascii="Times New Roman" w:hAnsi="Times New Roman"/>
          <w:color w:val="000000"/>
          <w:sz w:val="24"/>
          <w:szCs w:val="24"/>
        </w:rPr>
      </w:pPr>
    </w:p>
    <w:p w:rsidR="008B3A06" w:rsidP="00176527" w14:paraId="543FE201" w14:textId="77777777">
      <w:pPr>
        <w:overflowPunct/>
        <w:ind w:left="720"/>
        <w:textAlignment w:val="auto"/>
        <w:rPr>
          <w:rFonts w:ascii="Times New Roman" w:hAnsi="Times New Roman"/>
          <w:color w:val="000000"/>
          <w:sz w:val="24"/>
          <w:szCs w:val="24"/>
        </w:rPr>
      </w:pPr>
      <w:r>
        <w:rPr>
          <w:rFonts w:ascii="Times New Roman" w:hAnsi="Times New Roman"/>
          <w:color w:val="000000"/>
          <w:sz w:val="24"/>
          <w:szCs w:val="24"/>
        </w:rPr>
        <w:t>This regulation establishes timeframes to govern the availability of funds deposited in checking accounts, rules to govern the collection and return of checks, and general provisions to govern the use of substitute checks.</w:t>
      </w:r>
      <w:r w:rsidR="00D5781D">
        <w:rPr>
          <w:rFonts w:ascii="Times New Roman" w:hAnsi="Times New Roman"/>
          <w:color w:val="000000"/>
          <w:sz w:val="24"/>
          <w:szCs w:val="24"/>
        </w:rPr>
        <w:t xml:space="preserve">  The regulation has consumer protection disclosure requirements and requires credit unions to make funds deposited in transaction accounts available within specified time periods, disclose their availability policies to customers, and begin accruing interest on such deposit promptly.  The disclosures are intended to alert customers that their ability to used deposited funds may be delayed, prevent unintentional (and costly) overdrafts, and allow customers to compare the policies of different institutions before deciding at which institution to </w:t>
      </w:r>
      <w:r w:rsidR="00D5781D">
        <w:rPr>
          <w:rFonts w:ascii="Times New Roman" w:hAnsi="Times New Roman"/>
          <w:color w:val="000000"/>
          <w:sz w:val="24"/>
          <w:szCs w:val="24"/>
        </w:rPr>
        <w:t xml:space="preserve">deposit funds.  </w:t>
      </w:r>
      <w:r w:rsidR="0099287E">
        <w:rPr>
          <w:rFonts w:ascii="Times New Roman" w:hAnsi="Times New Roman"/>
          <w:color w:val="000000"/>
          <w:sz w:val="24"/>
          <w:szCs w:val="24"/>
        </w:rPr>
        <w:t xml:space="preserve">The regulation also requires notice to the depositary bank and to a customer of nonpayment of a check.  </w:t>
      </w:r>
    </w:p>
    <w:p w:rsidR="008A361A" w:rsidP="00176527" w14:paraId="31CE3507" w14:textId="77777777">
      <w:pPr>
        <w:overflowPunct/>
        <w:ind w:left="1440" w:hanging="720"/>
        <w:textAlignment w:val="auto"/>
        <w:rPr>
          <w:rFonts w:ascii="Times New Roman" w:hAnsi="Times New Roman"/>
          <w:color w:val="000000"/>
          <w:sz w:val="24"/>
          <w:szCs w:val="24"/>
        </w:rPr>
      </w:pPr>
    </w:p>
    <w:p w:rsidR="004F06C3" w:rsidP="004F06C3" w14:paraId="4ED52043" w14:textId="77777777">
      <w:pPr>
        <w:pStyle w:val="BodyTextIndent2"/>
        <w:spacing w:after="0" w:line="240" w:lineRule="auto"/>
        <w:ind w:left="0"/>
        <w:rPr>
          <w:b/>
        </w:rPr>
      </w:pPr>
      <w:r>
        <w:rPr>
          <w:b/>
        </w:rPr>
        <w:t>2.</w:t>
      </w:r>
      <w:r>
        <w:rPr>
          <w:b/>
        </w:rPr>
        <w:tab/>
        <w:t>Purpose and use of the information collected.</w:t>
      </w:r>
    </w:p>
    <w:p w:rsidR="00047792" w:rsidP="00047792" w14:paraId="6143988F" w14:textId="77777777">
      <w:pPr>
        <w:tabs>
          <w:tab w:val="left" w:pos="720"/>
        </w:tabs>
        <w:overflowPunct/>
        <w:ind w:left="720"/>
        <w:textAlignment w:val="auto"/>
        <w:rPr>
          <w:rFonts w:ascii="Times New Roman" w:hAnsi="Times New Roman"/>
          <w:bCs/>
          <w:sz w:val="24"/>
          <w:szCs w:val="24"/>
          <w:u w:val="single"/>
        </w:rPr>
      </w:pPr>
    </w:p>
    <w:p w:rsidR="00250842" w:rsidRPr="003C1B01" w:rsidP="006906E0" w14:paraId="79408734" w14:textId="77777777">
      <w:pPr>
        <w:tabs>
          <w:tab w:val="left" w:pos="720"/>
        </w:tabs>
        <w:overflowPunct/>
        <w:ind w:left="720" w:hanging="720"/>
        <w:textAlignment w:val="auto"/>
        <w:rPr>
          <w:rFonts w:ascii="Times New Roman" w:hAnsi="Times New Roman"/>
          <w:bCs/>
          <w:sz w:val="24"/>
          <w:szCs w:val="24"/>
        </w:rPr>
      </w:pPr>
      <w:r>
        <w:rPr>
          <w:rFonts w:ascii="Times New Roman" w:hAnsi="Times New Roman"/>
          <w:bCs/>
          <w:sz w:val="24"/>
          <w:szCs w:val="24"/>
        </w:rPr>
        <w:tab/>
      </w:r>
      <w:r w:rsidRPr="003C1B01">
        <w:rPr>
          <w:rFonts w:ascii="Times New Roman" w:hAnsi="Times New Roman"/>
          <w:bCs/>
          <w:sz w:val="24"/>
          <w:szCs w:val="24"/>
        </w:rPr>
        <w:t>The third party disclosure and recordkeeping requirements in this collection are required by statute and regulation, as explained above.</w:t>
      </w:r>
      <w:r w:rsidRPr="003C1B01" w:rsidR="003222A8">
        <w:rPr>
          <w:rFonts w:ascii="Times New Roman" w:hAnsi="Times New Roman"/>
          <w:bCs/>
          <w:sz w:val="24"/>
          <w:szCs w:val="24"/>
        </w:rPr>
        <w:t xml:space="preserve">  The regulations prescribe </w:t>
      </w:r>
      <w:r w:rsidR="003C1B01">
        <w:rPr>
          <w:rFonts w:ascii="Times New Roman" w:hAnsi="Times New Roman"/>
          <w:bCs/>
          <w:sz w:val="24"/>
          <w:szCs w:val="24"/>
        </w:rPr>
        <w:t xml:space="preserve">certain aspects of the credit application and notification process, making certain disclosures, </w:t>
      </w:r>
      <w:r w:rsidRPr="003C1B01" w:rsidR="003222A8">
        <w:rPr>
          <w:rFonts w:ascii="Times New Roman" w:hAnsi="Times New Roman"/>
          <w:bCs/>
          <w:sz w:val="24"/>
          <w:szCs w:val="24"/>
        </w:rPr>
        <w:t>uniform methods for computi</w:t>
      </w:r>
      <w:r w:rsidRPr="003C1B01" w:rsidR="00C925CB">
        <w:rPr>
          <w:rFonts w:ascii="Times New Roman" w:hAnsi="Times New Roman"/>
          <w:bCs/>
          <w:sz w:val="24"/>
          <w:szCs w:val="24"/>
        </w:rPr>
        <w:t>ng the costs of credit, disclosing credit terms and cost, resolving errors on certain types of credit accounts</w:t>
      </w:r>
      <w:r w:rsidR="003C1B01">
        <w:rPr>
          <w:rFonts w:ascii="Times New Roman" w:hAnsi="Times New Roman"/>
          <w:bCs/>
          <w:sz w:val="24"/>
          <w:szCs w:val="24"/>
        </w:rPr>
        <w:t xml:space="preserve">, and timing requirements and disclosures relating to the availability of deposited funds.  </w:t>
      </w:r>
    </w:p>
    <w:p w:rsidR="008A361A" w:rsidP="006906E0" w14:paraId="3B8FCD41" w14:textId="77777777">
      <w:pPr>
        <w:tabs>
          <w:tab w:val="left" w:pos="720"/>
        </w:tabs>
        <w:overflowPunct/>
        <w:ind w:left="720" w:hanging="720"/>
        <w:textAlignment w:val="auto"/>
        <w:rPr>
          <w:rFonts w:ascii="Times New Roman" w:hAnsi="Times New Roman"/>
          <w:color w:val="000000"/>
          <w:sz w:val="24"/>
          <w:szCs w:val="24"/>
        </w:rPr>
      </w:pPr>
    </w:p>
    <w:p w:rsidR="004F06C3" w:rsidRPr="00663D44" w:rsidP="004F06C3" w14:paraId="16C1F7BB" w14:textId="77777777">
      <w:pPr>
        <w:rPr>
          <w:rFonts w:ascii="Times New Roman" w:hAnsi="Times New Roman"/>
          <w:b/>
          <w:sz w:val="24"/>
          <w:szCs w:val="24"/>
        </w:rPr>
      </w:pPr>
      <w:r w:rsidRPr="00663D44">
        <w:rPr>
          <w:rFonts w:ascii="Times New Roman" w:hAnsi="Times New Roman"/>
          <w:b/>
          <w:sz w:val="24"/>
          <w:szCs w:val="24"/>
        </w:rPr>
        <w:t>3.</w:t>
      </w:r>
      <w:r w:rsidRPr="00663D44">
        <w:rPr>
          <w:rFonts w:ascii="Times New Roman" w:hAnsi="Times New Roman"/>
          <w:b/>
          <w:sz w:val="24"/>
          <w:szCs w:val="24"/>
        </w:rPr>
        <w:tab/>
        <w:t>Use of information technology.</w:t>
      </w:r>
    </w:p>
    <w:p w:rsidR="00345D50" w:rsidP="006906E0" w14:paraId="2A496E7E" w14:textId="77777777">
      <w:pPr>
        <w:tabs>
          <w:tab w:val="left" w:pos="720"/>
        </w:tabs>
        <w:overflowPunct/>
        <w:ind w:left="720" w:hanging="720"/>
        <w:textAlignment w:val="auto"/>
        <w:rPr>
          <w:rFonts w:ascii="Times New Roman" w:hAnsi="Times New Roman"/>
          <w:sz w:val="24"/>
          <w:szCs w:val="24"/>
        </w:rPr>
      </w:pPr>
    </w:p>
    <w:p w:rsidR="00345D50" w:rsidP="006906E0" w14:paraId="5E209C08" w14:textId="77777777">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3475D4">
        <w:rPr>
          <w:rFonts w:ascii="Times New Roman" w:hAnsi="Times New Roman"/>
          <w:sz w:val="24"/>
          <w:szCs w:val="24"/>
        </w:rPr>
        <w:t xml:space="preserve">Credit unions may provide electronic disclosures consistent with the Electronic Signatures in Global and National Commerce Act, 15 U.S.C. §§ 7001 </w:t>
      </w:r>
      <w:r w:rsidRPr="008E7A7D" w:rsidR="003475D4">
        <w:rPr>
          <w:rFonts w:ascii="Times New Roman" w:hAnsi="Times New Roman"/>
          <w:i/>
          <w:sz w:val="24"/>
          <w:szCs w:val="24"/>
        </w:rPr>
        <w:t>et seq.</w:t>
      </w:r>
    </w:p>
    <w:p w:rsidR="004D5CDF" w:rsidP="006906E0" w14:paraId="240ECAF4" w14:textId="77777777">
      <w:pPr>
        <w:tabs>
          <w:tab w:val="left" w:pos="720"/>
        </w:tabs>
        <w:overflowPunct/>
        <w:ind w:left="720" w:hanging="720"/>
        <w:textAlignment w:val="auto"/>
        <w:rPr>
          <w:rFonts w:ascii="Times New Roman" w:hAnsi="Times New Roman"/>
          <w:sz w:val="24"/>
          <w:szCs w:val="24"/>
        </w:rPr>
      </w:pPr>
    </w:p>
    <w:p w:rsidR="004D5CDF" w:rsidP="006906E0" w14:paraId="668CC9A1" w14:textId="77777777">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Regulation B (ECOA) permits a creditor to retain records and monitoring information in a variety of electronic media.</w:t>
      </w:r>
    </w:p>
    <w:p w:rsidR="003475D4" w:rsidP="006906E0" w14:paraId="42202145" w14:textId="77777777">
      <w:pPr>
        <w:tabs>
          <w:tab w:val="left" w:pos="720"/>
        </w:tabs>
        <w:overflowPunct/>
        <w:ind w:left="720" w:hanging="720"/>
        <w:textAlignment w:val="auto"/>
        <w:rPr>
          <w:rFonts w:ascii="Times New Roman" w:hAnsi="Times New Roman"/>
          <w:sz w:val="24"/>
          <w:szCs w:val="24"/>
        </w:rPr>
      </w:pPr>
    </w:p>
    <w:p w:rsidR="004F06C3" w:rsidRPr="00663D44" w:rsidP="004F06C3" w14:paraId="65A9309A" w14:textId="77777777">
      <w:pPr>
        <w:rPr>
          <w:rFonts w:ascii="Times New Roman" w:hAnsi="Times New Roman"/>
          <w:b/>
          <w:sz w:val="24"/>
          <w:szCs w:val="24"/>
        </w:rPr>
      </w:pPr>
      <w:r w:rsidRPr="00663D44">
        <w:rPr>
          <w:rFonts w:ascii="Times New Roman" w:hAnsi="Times New Roman"/>
          <w:b/>
          <w:sz w:val="24"/>
          <w:szCs w:val="24"/>
        </w:rPr>
        <w:t>4.</w:t>
      </w:r>
      <w:r w:rsidRPr="00663D44">
        <w:rPr>
          <w:rFonts w:ascii="Times New Roman" w:hAnsi="Times New Roman"/>
          <w:b/>
          <w:sz w:val="24"/>
          <w:szCs w:val="24"/>
        </w:rPr>
        <w:tab/>
        <w:t>Duplication of information.</w:t>
      </w:r>
    </w:p>
    <w:p w:rsidR="003475D4" w:rsidP="00176527" w14:paraId="26BA6A4D" w14:textId="77777777">
      <w:pPr>
        <w:overflowPunct/>
        <w:ind w:left="1440" w:hanging="720"/>
        <w:textAlignment w:val="auto"/>
        <w:rPr>
          <w:rFonts w:ascii="Times New Roman" w:hAnsi="Times New Roman"/>
          <w:sz w:val="24"/>
          <w:szCs w:val="24"/>
        </w:rPr>
      </w:pPr>
    </w:p>
    <w:p w:rsidR="00257CE7" w:rsidP="006906E0" w14:paraId="588CC418" w14:textId="77777777">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4D5CDF">
        <w:rPr>
          <w:rFonts w:ascii="Times New Roman" w:hAnsi="Times New Roman"/>
          <w:sz w:val="24"/>
          <w:szCs w:val="24"/>
        </w:rPr>
        <w:t>The recordkeeping requirement of Regulation B (ECOA) preserves the information considered by the creditor in deciding whether to extend credit or terminate an existing credit account.  The creditor is the only source of this information, and no other federal law mandates its retention.  Similarly, the creditor is the only source of the information provided by appraisal reports, adverse action notices, and self-testing information.  No other federal law mandates their disclosure, nor does it appear that any state law exists that mandates their disclosure.</w:t>
      </w:r>
    </w:p>
    <w:p w:rsidR="00A06A8E" w:rsidP="006906E0" w14:paraId="2B4BA86F" w14:textId="77777777">
      <w:pPr>
        <w:tabs>
          <w:tab w:val="left" w:pos="720"/>
        </w:tabs>
        <w:overflowPunct/>
        <w:ind w:left="720" w:hanging="720"/>
        <w:textAlignment w:val="auto"/>
        <w:rPr>
          <w:rFonts w:ascii="Times New Roman" w:hAnsi="Times New Roman"/>
          <w:sz w:val="24"/>
          <w:szCs w:val="24"/>
        </w:rPr>
      </w:pPr>
    </w:p>
    <w:p w:rsidR="004F06C3" w:rsidRPr="00663D44" w:rsidP="004F06C3" w14:paraId="10896A64" w14:textId="77777777">
      <w:pPr>
        <w:rPr>
          <w:rFonts w:ascii="Times New Roman" w:hAnsi="Times New Roman"/>
          <w:b/>
          <w:sz w:val="24"/>
          <w:szCs w:val="24"/>
        </w:rPr>
      </w:pPr>
      <w:r w:rsidRPr="00663D44">
        <w:rPr>
          <w:rFonts w:ascii="Times New Roman" w:hAnsi="Times New Roman"/>
          <w:b/>
          <w:sz w:val="24"/>
          <w:szCs w:val="24"/>
        </w:rPr>
        <w:t>5.</w:t>
      </w:r>
      <w:r w:rsidRPr="00663D44">
        <w:rPr>
          <w:rFonts w:ascii="Times New Roman" w:hAnsi="Times New Roman"/>
          <w:b/>
          <w:sz w:val="24"/>
          <w:szCs w:val="24"/>
        </w:rPr>
        <w:tab/>
        <w:t>Efforts to reduce burden on small entities.</w:t>
      </w:r>
    </w:p>
    <w:p w:rsidR="00A06A8E" w:rsidRPr="004F06C3" w:rsidP="004F06C3" w14:paraId="02C33D6C" w14:textId="77777777">
      <w:pPr>
        <w:tabs>
          <w:tab w:val="left" w:pos="720"/>
        </w:tabs>
        <w:overflowPunct/>
        <w:textAlignment w:val="auto"/>
        <w:rPr>
          <w:rFonts w:ascii="Times New Roman" w:hAnsi="Times New Roman"/>
          <w:sz w:val="24"/>
          <w:szCs w:val="24"/>
        </w:rPr>
      </w:pPr>
    </w:p>
    <w:p w:rsidR="00A06A8E" w:rsidP="006906E0" w14:paraId="17180977" w14:textId="77777777">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256342">
        <w:rPr>
          <w:rFonts w:ascii="Times New Roman" w:hAnsi="Times New Roman"/>
          <w:sz w:val="24"/>
          <w:szCs w:val="24"/>
        </w:rPr>
        <w:t xml:space="preserve">Generally, the relevant statutes require the disclosures to be made notwithstanding the size of the credit union.  </w:t>
      </w:r>
      <w:r w:rsidR="000C0CE4">
        <w:rPr>
          <w:rFonts w:ascii="Times New Roman" w:hAnsi="Times New Roman"/>
          <w:sz w:val="24"/>
          <w:szCs w:val="24"/>
        </w:rPr>
        <w:t>Most credit unions today utilize some degree of computerization, which further assists in facilitating compliance with the regulation</w:t>
      </w:r>
      <w:r w:rsidR="00795DBA">
        <w:rPr>
          <w:rFonts w:ascii="Times New Roman" w:hAnsi="Times New Roman"/>
          <w:sz w:val="24"/>
          <w:szCs w:val="24"/>
        </w:rPr>
        <w:t xml:space="preserve">s.  Further, the regulations provide model forms </w:t>
      </w:r>
      <w:r w:rsidR="00C925CB">
        <w:rPr>
          <w:rFonts w:ascii="Times New Roman" w:hAnsi="Times New Roman"/>
          <w:sz w:val="24"/>
          <w:szCs w:val="24"/>
        </w:rPr>
        <w:t xml:space="preserve">and clauses </w:t>
      </w:r>
      <w:r w:rsidR="00795DBA">
        <w:rPr>
          <w:rFonts w:ascii="Times New Roman" w:hAnsi="Times New Roman"/>
          <w:sz w:val="24"/>
          <w:szCs w:val="24"/>
        </w:rPr>
        <w:t xml:space="preserve">that may be used in compliance with regulatory requirements.  Correct use of these </w:t>
      </w:r>
      <w:r w:rsidR="00C925CB">
        <w:rPr>
          <w:rFonts w:ascii="Times New Roman" w:hAnsi="Times New Roman"/>
          <w:sz w:val="24"/>
          <w:szCs w:val="24"/>
        </w:rPr>
        <w:t xml:space="preserve">disclosures </w:t>
      </w:r>
      <w:r w:rsidR="00795DBA">
        <w:rPr>
          <w:rFonts w:ascii="Times New Roman" w:hAnsi="Times New Roman"/>
          <w:sz w:val="24"/>
          <w:szCs w:val="24"/>
        </w:rPr>
        <w:t xml:space="preserve">insulates creditors from liability from the respective requirements.  </w:t>
      </w:r>
    </w:p>
    <w:p w:rsidR="000C0CE4" w:rsidP="006906E0" w14:paraId="102FDAAD" w14:textId="77777777">
      <w:pPr>
        <w:tabs>
          <w:tab w:val="left" w:pos="720"/>
        </w:tabs>
        <w:overflowPunct/>
        <w:ind w:left="720" w:hanging="720"/>
        <w:textAlignment w:val="auto"/>
        <w:rPr>
          <w:rFonts w:ascii="Times New Roman" w:hAnsi="Times New Roman"/>
          <w:sz w:val="24"/>
          <w:szCs w:val="24"/>
        </w:rPr>
      </w:pPr>
    </w:p>
    <w:p w:rsidR="000C0CE4" w:rsidP="006906E0" w14:paraId="16E4CB0F" w14:textId="77777777">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Regulation B (ECOA) allows</w:t>
      </w:r>
      <w:r w:rsidR="009B420A">
        <w:rPr>
          <w:rFonts w:ascii="Times New Roman" w:hAnsi="Times New Roman"/>
          <w:sz w:val="24"/>
          <w:szCs w:val="24"/>
        </w:rPr>
        <w:t xml:space="preserve"> credit unions</w:t>
      </w:r>
      <w:r>
        <w:rPr>
          <w:rFonts w:ascii="Times New Roman" w:hAnsi="Times New Roman"/>
          <w:sz w:val="24"/>
          <w:szCs w:val="24"/>
        </w:rPr>
        <w:t xml:space="preserve"> that receive fewer than 150 applications </w:t>
      </w:r>
      <w:r w:rsidR="009B420A">
        <w:rPr>
          <w:rFonts w:ascii="Times New Roman" w:hAnsi="Times New Roman"/>
          <w:sz w:val="24"/>
          <w:szCs w:val="24"/>
        </w:rPr>
        <w:t xml:space="preserve">annually </w:t>
      </w:r>
      <w:r>
        <w:rPr>
          <w:rFonts w:ascii="Times New Roman" w:hAnsi="Times New Roman"/>
          <w:sz w:val="24"/>
          <w:szCs w:val="24"/>
        </w:rPr>
        <w:t xml:space="preserve">to provide rejection notices orally rather than in writing.  </w:t>
      </w:r>
    </w:p>
    <w:p w:rsidR="00D2137F" w:rsidP="006906E0" w14:paraId="624EB85E" w14:textId="77777777">
      <w:pPr>
        <w:tabs>
          <w:tab w:val="left" w:pos="720"/>
        </w:tabs>
        <w:overflowPunct/>
        <w:ind w:left="720" w:hanging="720"/>
        <w:textAlignment w:val="auto"/>
        <w:rPr>
          <w:rFonts w:ascii="Times New Roman" w:hAnsi="Times New Roman"/>
          <w:sz w:val="24"/>
          <w:szCs w:val="24"/>
        </w:rPr>
      </w:pPr>
    </w:p>
    <w:p w:rsidR="004F06C3" w:rsidRPr="00663D44" w:rsidP="004F06C3" w14:paraId="0103D7A7" w14:textId="77777777">
      <w:pPr>
        <w:rPr>
          <w:rFonts w:ascii="Times New Roman" w:hAnsi="Times New Roman"/>
          <w:b/>
          <w:sz w:val="24"/>
          <w:szCs w:val="24"/>
        </w:rPr>
      </w:pPr>
      <w:r>
        <w:rPr>
          <w:rFonts w:ascii="Times New Roman" w:hAnsi="Times New Roman"/>
          <w:b/>
          <w:sz w:val="24"/>
          <w:szCs w:val="24"/>
        </w:rPr>
        <w:br w:type="page"/>
      </w:r>
      <w:r w:rsidRPr="00663D44">
        <w:rPr>
          <w:rFonts w:ascii="Times New Roman" w:hAnsi="Times New Roman"/>
          <w:b/>
          <w:sz w:val="24"/>
          <w:szCs w:val="24"/>
        </w:rPr>
        <w:t>6.</w:t>
      </w:r>
      <w:r w:rsidRPr="00663D44">
        <w:rPr>
          <w:rFonts w:ascii="Times New Roman" w:hAnsi="Times New Roman"/>
          <w:b/>
          <w:sz w:val="24"/>
          <w:szCs w:val="24"/>
        </w:rPr>
        <w:tab/>
        <w:t xml:space="preserve">Consequences of not conducting the collection. </w:t>
      </w:r>
    </w:p>
    <w:p w:rsidR="00D2137F" w:rsidP="006906E0" w14:paraId="0B74CB8E" w14:textId="77777777">
      <w:pPr>
        <w:tabs>
          <w:tab w:val="left" w:pos="720"/>
        </w:tabs>
        <w:overflowPunct/>
        <w:ind w:left="720" w:hanging="720"/>
        <w:textAlignment w:val="auto"/>
        <w:rPr>
          <w:rFonts w:ascii="Times New Roman" w:hAnsi="Times New Roman"/>
          <w:sz w:val="24"/>
          <w:szCs w:val="24"/>
        </w:rPr>
      </w:pPr>
    </w:p>
    <w:p w:rsidR="00D2137F" w:rsidP="006906E0" w14:paraId="1AB1CEAC" w14:textId="77777777">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Pr="00EA5D1D" w:rsidR="00EA5D1D">
        <w:rPr>
          <w:rFonts w:ascii="Times New Roman" w:hAnsi="Times New Roman"/>
          <w:sz w:val="24"/>
          <w:szCs w:val="24"/>
        </w:rPr>
        <w:t>Information collec</w:t>
      </w:r>
      <w:r w:rsidR="00EA5D1D">
        <w:rPr>
          <w:rFonts w:ascii="Times New Roman" w:hAnsi="Times New Roman"/>
          <w:sz w:val="24"/>
          <w:szCs w:val="24"/>
        </w:rPr>
        <w:t>tion pursuant to the underlying regulations is</w:t>
      </w:r>
      <w:r w:rsidRPr="00EA5D1D" w:rsidR="00EA5D1D">
        <w:rPr>
          <w:rFonts w:ascii="Times New Roman" w:hAnsi="Times New Roman"/>
          <w:sz w:val="24"/>
          <w:szCs w:val="24"/>
        </w:rPr>
        <w:t xml:space="preserve"> triggered by specific events, and disclosures must be provided to consumers within the time periods established by the law and regulation.</w:t>
      </w:r>
      <w:r w:rsidR="00EA5D1D">
        <w:rPr>
          <w:rFonts w:ascii="Times New Roman" w:hAnsi="Times New Roman"/>
          <w:sz w:val="24"/>
          <w:szCs w:val="24"/>
        </w:rPr>
        <w:t xml:space="preserve">  </w:t>
      </w:r>
      <w:r w:rsidRPr="00EA5D1D" w:rsidR="00EA5D1D">
        <w:rPr>
          <w:rFonts w:ascii="Times New Roman" w:hAnsi="Times New Roman"/>
          <w:sz w:val="24"/>
          <w:szCs w:val="24"/>
        </w:rPr>
        <w:t xml:space="preserve">If these requirements were </w:t>
      </w:r>
      <w:r w:rsidR="00EA5D1D">
        <w:rPr>
          <w:rFonts w:ascii="Times New Roman" w:hAnsi="Times New Roman"/>
          <w:sz w:val="24"/>
          <w:szCs w:val="24"/>
        </w:rPr>
        <w:t xml:space="preserve">conducted less frequently or </w:t>
      </w:r>
      <w:r w:rsidRPr="00EA5D1D" w:rsidR="00EA5D1D">
        <w:rPr>
          <w:rFonts w:ascii="Times New Roman" w:hAnsi="Times New Roman"/>
          <w:sz w:val="24"/>
          <w:szCs w:val="24"/>
        </w:rPr>
        <w:t>eliminated, consumer</w:t>
      </w:r>
      <w:r w:rsidR="00EA5D1D">
        <w:rPr>
          <w:rFonts w:ascii="Times New Roman" w:hAnsi="Times New Roman"/>
          <w:sz w:val="24"/>
          <w:szCs w:val="24"/>
        </w:rPr>
        <w:t xml:space="preserve">s would not have access to </w:t>
      </w:r>
      <w:r w:rsidRPr="00EA5D1D" w:rsidR="00EA5D1D">
        <w:rPr>
          <w:rFonts w:ascii="Times New Roman" w:hAnsi="Times New Roman"/>
          <w:sz w:val="24"/>
          <w:szCs w:val="24"/>
        </w:rPr>
        <w:t>critical information</w:t>
      </w:r>
      <w:r w:rsidR="00EA5D1D">
        <w:rPr>
          <w:rFonts w:ascii="Times New Roman" w:hAnsi="Times New Roman"/>
          <w:sz w:val="24"/>
          <w:szCs w:val="24"/>
        </w:rPr>
        <w:t xml:space="preserve"> needed to make informed decisions</w:t>
      </w:r>
      <w:r w:rsidRPr="00EA5D1D" w:rsidR="00EA5D1D">
        <w:rPr>
          <w:rFonts w:ascii="Times New Roman" w:hAnsi="Times New Roman"/>
          <w:sz w:val="24"/>
          <w:szCs w:val="24"/>
        </w:rPr>
        <w:t>.</w:t>
      </w:r>
    </w:p>
    <w:p w:rsidR="009B420A" w:rsidP="006906E0" w14:paraId="3252516C" w14:textId="77777777">
      <w:pPr>
        <w:tabs>
          <w:tab w:val="left" w:pos="720"/>
        </w:tabs>
        <w:overflowPunct/>
        <w:ind w:left="720" w:hanging="720"/>
        <w:textAlignment w:val="auto"/>
        <w:rPr>
          <w:rFonts w:ascii="Times New Roman" w:hAnsi="Times New Roman"/>
          <w:sz w:val="24"/>
          <w:szCs w:val="24"/>
        </w:rPr>
      </w:pPr>
    </w:p>
    <w:p w:rsidR="004F06C3" w:rsidRPr="00663D44" w:rsidP="004F06C3" w14:paraId="1B0A6F85" w14:textId="77777777">
      <w:pPr>
        <w:rPr>
          <w:rFonts w:ascii="Times New Roman" w:hAnsi="Times New Roman"/>
          <w:b/>
          <w:sz w:val="24"/>
          <w:szCs w:val="24"/>
        </w:rPr>
      </w:pPr>
      <w:r w:rsidRPr="00663D44">
        <w:rPr>
          <w:rFonts w:ascii="Times New Roman" w:hAnsi="Times New Roman"/>
          <w:b/>
          <w:sz w:val="24"/>
          <w:szCs w:val="24"/>
        </w:rPr>
        <w:t>7.</w:t>
      </w:r>
      <w:r w:rsidRPr="00663D44">
        <w:rPr>
          <w:rFonts w:ascii="Times New Roman" w:hAnsi="Times New Roman"/>
          <w:b/>
          <w:sz w:val="24"/>
          <w:szCs w:val="24"/>
        </w:rPr>
        <w:tab/>
        <w:t>Inconsistencies with guidelines in 5 CFR 1320.5(d)(2).</w:t>
      </w:r>
    </w:p>
    <w:p w:rsidR="004F06C3" w:rsidRPr="00625090" w:rsidP="004F06C3" w14:paraId="7A6503E3" w14:textId="77777777">
      <w:pPr>
        <w:rPr>
          <w:b/>
        </w:rPr>
      </w:pPr>
    </w:p>
    <w:p w:rsidR="009B420A" w:rsidP="006906E0" w14:paraId="1053175D" w14:textId="77777777">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Each of the regulations in the collection have minimum record retention requirements.  They generally are as follows:</w:t>
      </w:r>
    </w:p>
    <w:p w:rsidR="009B420A" w:rsidP="006906E0" w14:paraId="5EB3F844" w14:textId="77777777">
      <w:pPr>
        <w:numPr>
          <w:ilvl w:val="0"/>
          <w:numId w:val="7"/>
        </w:numPr>
        <w:tabs>
          <w:tab w:val="left" w:pos="1080"/>
        </w:tabs>
        <w:overflowPunct/>
        <w:ind w:left="1080"/>
        <w:textAlignment w:val="auto"/>
        <w:rPr>
          <w:rFonts w:ascii="Times New Roman" w:hAnsi="Times New Roman"/>
          <w:sz w:val="24"/>
          <w:szCs w:val="24"/>
        </w:rPr>
      </w:pPr>
      <w:r>
        <w:rPr>
          <w:rFonts w:ascii="Times New Roman" w:hAnsi="Times New Roman"/>
          <w:sz w:val="24"/>
          <w:szCs w:val="24"/>
        </w:rPr>
        <w:t>Regul</w:t>
      </w:r>
      <w:r w:rsidR="00C832E3">
        <w:rPr>
          <w:rFonts w:ascii="Times New Roman" w:hAnsi="Times New Roman"/>
          <w:sz w:val="24"/>
          <w:szCs w:val="24"/>
        </w:rPr>
        <w:t>ation B (ECOA):  25 months</w:t>
      </w:r>
    </w:p>
    <w:p w:rsidR="009B420A" w:rsidP="006906E0" w14:paraId="39482C5C" w14:textId="77777777">
      <w:pPr>
        <w:numPr>
          <w:ilvl w:val="0"/>
          <w:numId w:val="7"/>
        </w:numPr>
        <w:tabs>
          <w:tab w:val="left" w:pos="1080"/>
          <w:tab w:val="left" w:pos="1440"/>
        </w:tabs>
        <w:overflowPunct/>
        <w:ind w:left="1080"/>
        <w:textAlignment w:val="auto"/>
        <w:rPr>
          <w:rFonts w:ascii="Times New Roman" w:hAnsi="Times New Roman"/>
          <w:sz w:val="24"/>
          <w:szCs w:val="24"/>
        </w:rPr>
      </w:pPr>
      <w:r>
        <w:rPr>
          <w:rFonts w:ascii="Times New Roman" w:hAnsi="Times New Roman"/>
          <w:sz w:val="24"/>
          <w:szCs w:val="24"/>
        </w:rPr>
        <w:t>Regulation E (EFTA):  2 years</w:t>
      </w:r>
    </w:p>
    <w:p w:rsidR="009B420A" w:rsidP="006906E0" w14:paraId="20DA8F3A" w14:textId="77777777">
      <w:pPr>
        <w:numPr>
          <w:ilvl w:val="0"/>
          <w:numId w:val="7"/>
        </w:numPr>
        <w:tabs>
          <w:tab w:val="left" w:pos="1080"/>
          <w:tab w:val="left" w:pos="1440"/>
        </w:tabs>
        <w:overflowPunct/>
        <w:ind w:left="1080"/>
        <w:textAlignment w:val="auto"/>
        <w:rPr>
          <w:rFonts w:ascii="Times New Roman" w:hAnsi="Times New Roman"/>
          <w:sz w:val="24"/>
          <w:szCs w:val="24"/>
        </w:rPr>
      </w:pPr>
      <w:r>
        <w:rPr>
          <w:rFonts w:ascii="Times New Roman" w:hAnsi="Times New Roman"/>
          <w:sz w:val="24"/>
          <w:szCs w:val="24"/>
        </w:rPr>
        <w:t xml:space="preserve">Regulation M (CLA):  </w:t>
      </w:r>
      <w:r w:rsidR="00C832E3">
        <w:rPr>
          <w:rFonts w:ascii="Times New Roman" w:hAnsi="Times New Roman"/>
          <w:sz w:val="24"/>
          <w:szCs w:val="24"/>
        </w:rPr>
        <w:t>2 years</w:t>
      </w:r>
    </w:p>
    <w:p w:rsidR="00D2137F" w:rsidP="006906E0" w14:paraId="7BB57AAF" w14:textId="77777777">
      <w:pPr>
        <w:numPr>
          <w:ilvl w:val="0"/>
          <w:numId w:val="7"/>
        </w:numPr>
        <w:tabs>
          <w:tab w:val="left" w:pos="1080"/>
          <w:tab w:val="left" w:pos="1440"/>
        </w:tabs>
        <w:overflowPunct/>
        <w:ind w:left="1080"/>
        <w:textAlignment w:val="auto"/>
        <w:rPr>
          <w:rFonts w:ascii="Times New Roman" w:hAnsi="Times New Roman"/>
          <w:sz w:val="24"/>
          <w:szCs w:val="24"/>
        </w:rPr>
      </w:pPr>
      <w:r>
        <w:rPr>
          <w:rFonts w:ascii="Times New Roman" w:hAnsi="Times New Roman"/>
          <w:sz w:val="24"/>
          <w:szCs w:val="24"/>
        </w:rPr>
        <w:t>Regulation CC (EFAA):  2 years</w:t>
      </w:r>
    </w:p>
    <w:p w:rsidR="00D2137F" w:rsidP="006906E0" w14:paraId="7C308AE0" w14:textId="77777777">
      <w:pPr>
        <w:tabs>
          <w:tab w:val="left" w:pos="1440"/>
        </w:tabs>
        <w:overflowPunct/>
        <w:ind w:left="1080" w:hanging="360"/>
        <w:textAlignment w:val="auto"/>
        <w:rPr>
          <w:rFonts w:ascii="Times New Roman" w:hAnsi="Times New Roman"/>
          <w:sz w:val="24"/>
          <w:szCs w:val="24"/>
        </w:rPr>
      </w:pPr>
    </w:p>
    <w:p w:rsidR="004F06C3" w:rsidRPr="00663D44" w:rsidP="004F06C3" w14:paraId="6D4CA497" w14:textId="77777777">
      <w:pPr>
        <w:rPr>
          <w:rFonts w:ascii="Times New Roman" w:hAnsi="Times New Roman"/>
          <w:b/>
          <w:sz w:val="24"/>
          <w:szCs w:val="24"/>
        </w:rPr>
      </w:pPr>
      <w:r w:rsidRPr="00663D44">
        <w:rPr>
          <w:rFonts w:ascii="Times New Roman" w:hAnsi="Times New Roman"/>
          <w:b/>
          <w:sz w:val="24"/>
          <w:szCs w:val="24"/>
        </w:rPr>
        <w:t>8.</w:t>
      </w:r>
      <w:r w:rsidRPr="00663D44">
        <w:rPr>
          <w:rFonts w:ascii="Times New Roman" w:hAnsi="Times New Roman"/>
          <w:b/>
          <w:sz w:val="24"/>
          <w:szCs w:val="24"/>
        </w:rPr>
        <w:tab/>
        <w:t>Efforts to consult with persons outside the agency.</w:t>
      </w:r>
    </w:p>
    <w:p w:rsidR="00D2137F" w:rsidP="006906E0" w14:paraId="30532061" w14:textId="77777777">
      <w:pPr>
        <w:tabs>
          <w:tab w:val="left" w:pos="720"/>
        </w:tabs>
        <w:overflowPunct/>
        <w:ind w:left="720" w:hanging="720"/>
        <w:textAlignment w:val="auto"/>
        <w:rPr>
          <w:rFonts w:ascii="Times New Roman" w:hAnsi="Times New Roman"/>
          <w:sz w:val="24"/>
          <w:szCs w:val="24"/>
        </w:rPr>
      </w:pPr>
    </w:p>
    <w:p w:rsidR="00D2137F" w:rsidP="006906E0" w14:paraId="000DF5E5" w14:textId="77777777">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3339E9">
        <w:rPr>
          <w:rFonts w:ascii="Times New Roman" w:hAnsi="Times New Roman"/>
          <w:sz w:val="24"/>
          <w:szCs w:val="24"/>
        </w:rPr>
        <w:t xml:space="preserve">A 60-day notice was published in the </w:t>
      </w:r>
      <w:r w:rsidRPr="003339E9" w:rsidR="003339E9">
        <w:rPr>
          <w:rFonts w:ascii="Times New Roman" w:hAnsi="Times New Roman"/>
          <w:i/>
          <w:sz w:val="24"/>
          <w:szCs w:val="24"/>
        </w:rPr>
        <w:t>Federal Register</w:t>
      </w:r>
      <w:r w:rsidR="003339E9">
        <w:rPr>
          <w:rFonts w:ascii="Times New Roman" w:hAnsi="Times New Roman"/>
          <w:sz w:val="24"/>
          <w:szCs w:val="24"/>
        </w:rPr>
        <w:t xml:space="preserve"> on </w:t>
      </w:r>
      <w:r w:rsidR="000E4CCC">
        <w:rPr>
          <w:rFonts w:ascii="Times New Roman" w:hAnsi="Times New Roman"/>
          <w:sz w:val="24"/>
          <w:szCs w:val="24"/>
        </w:rPr>
        <w:t>November 14, 2019</w:t>
      </w:r>
      <w:r w:rsidR="003E1686">
        <w:rPr>
          <w:rFonts w:ascii="Times New Roman" w:hAnsi="Times New Roman"/>
          <w:sz w:val="24"/>
          <w:szCs w:val="24"/>
        </w:rPr>
        <w:t>,</w:t>
      </w:r>
      <w:r w:rsidR="003339E9">
        <w:rPr>
          <w:rFonts w:ascii="Times New Roman" w:hAnsi="Times New Roman"/>
          <w:sz w:val="24"/>
          <w:szCs w:val="24"/>
        </w:rPr>
        <w:t xml:space="preserve"> at </w:t>
      </w:r>
      <w:r w:rsidR="003E1686">
        <w:rPr>
          <w:rFonts w:ascii="Times New Roman" w:hAnsi="Times New Roman"/>
          <w:sz w:val="24"/>
          <w:szCs w:val="24"/>
        </w:rPr>
        <w:t>8</w:t>
      </w:r>
      <w:r w:rsidR="000E4CCC">
        <w:rPr>
          <w:rFonts w:ascii="Times New Roman" w:hAnsi="Times New Roman"/>
          <w:sz w:val="24"/>
          <w:szCs w:val="24"/>
        </w:rPr>
        <w:t>4</w:t>
      </w:r>
      <w:r w:rsidR="003E1686">
        <w:rPr>
          <w:rFonts w:ascii="Times New Roman" w:hAnsi="Times New Roman"/>
          <w:sz w:val="24"/>
          <w:szCs w:val="24"/>
        </w:rPr>
        <w:t xml:space="preserve"> FR </w:t>
      </w:r>
      <w:r w:rsidR="000E4CCC">
        <w:rPr>
          <w:rFonts w:ascii="Times New Roman" w:hAnsi="Times New Roman"/>
          <w:sz w:val="24"/>
          <w:szCs w:val="24"/>
        </w:rPr>
        <w:t>61941</w:t>
      </w:r>
      <w:r w:rsidR="003E1686">
        <w:rPr>
          <w:rFonts w:ascii="Times New Roman" w:hAnsi="Times New Roman"/>
          <w:sz w:val="24"/>
          <w:szCs w:val="24"/>
        </w:rPr>
        <w:t>,</w:t>
      </w:r>
      <w:r w:rsidR="003339E9">
        <w:rPr>
          <w:rFonts w:ascii="Times New Roman" w:hAnsi="Times New Roman"/>
          <w:sz w:val="24"/>
          <w:szCs w:val="24"/>
        </w:rPr>
        <w:t xml:space="preserve"> soliciting comments from the public and no comments were received. </w:t>
      </w:r>
    </w:p>
    <w:p w:rsidR="00D2137F" w:rsidP="006906E0" w14:paraId="329EFEB3" w14:textId="77777777">
      <w:pPr>
        <w:tabs>
          <w:tab w:val="left" w:pos="720"/>
        </w:tabs>
        <w:overflowPunct/>
        <w:ind w:left="720" w:hanging="720"/>
        <w:textAlignment w:val="auto"/>
        <w:rPr>
          <w:rFonts w:ascii="Times New Roman" w:hAnsi="Times New Roman"/>
          <w:sz w:val="24"/>
          <w:szCs w:val="24"/>
        </w:rPr>
      </w:pPr>
    </w:p>
    <w:p w:rsidR="004F06C3" w:rsidRPr="00663D44" w:rsidP="004F06C3" w14:paraId="189DEED3" w14:textId="77777777">
      <w:pPr>
        <w:rPr>
          <w:rFonts w:ascii="Times New Roman" w:hAnsi="Times New Roman"/>
          <w:b/>
          <w:sz w:val="24"/>
          <w:szCs w:val="24"/>
        </w:rPr>
      </w:pPr>
      <w:r w:rsidRPr="00663D44">
        <w:rPr>
          <w:rFonts w:ascii="Times New Roman" w:hAnsi="Times New Roman"/>
          <w:b/>
          <w:sz w:val="24"/>
          <w:szCs w:val="24"/>
        </w:rPr>
        <w:t>9.</w:t>
      </w:r>
      <w:r w:rsidRPr="00663D44">
        <w:rPr>
          <w:rFonts w:ascii="Times New Roman" w:hAnsi="Times New Roman"/>
          <w:b/>
          <w:sz w:val="24"/>
          <w:szCs w:val="24"/>
        </w:rPr>
        <w:tab/>
        <w:t>Payment or gifts to respondents.</w:t>
      </w:r>
    </w:p>
    <w:p w:rsidR="00D2137F" w:rsidP="006906E0" w14:paraId="7DDFD4F0" w14:textId="77777777">
      <w:pPr>
        <w:tabs>
          <w:tab w:val="left" w:pos="720"/>
        </w:tabs>
        <w:overflowPunct/>
        <w:ind w:left="720" w:hanging="720"/>
        <w:textAlignment w:val="auto"/>
        <w:rPr>
          <w:rFonts w:ascii="Times New Roman" w:hAnsi="Times New Roman"/>
          <w:sz w:val="24"/>
          <w:szCs w:val="24"/>
        </w:rPr>
      </w:pPr>
    </w:p>
    <w:p w:rsidR="00D2137F" w:rsidP="006906E0" w14:paraId="0EF8F58C" w14:textId="77777777">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3339E9">
        <w:rPr>
          <w:rFonts w:ascii="Times New Roman" w:hAnsi="Times New Roman"/>
          <w:sz w:val="24"/>
          <w:szCs w:val="24"/>
        </w:rPr>
        <w:t>No payments or gifts are provide to respondents from this collection.</w:t>
      </w:r>
    </w:p>
    <w:p w:rsidR="00D2137F" w:rsidP="006906E0" w14:paraId="7FF0C729" w14:textId="77777777">
      <w:pPr>
        <w:tabs>
          <w:tab w:val="left" w:pos="720"/>
        </w:tabs>
        <w:overflowPunct/>
        <w:ind w:left="720" w:hanging="720"/>
        <w:textAlignment w:val="auto"/>
        <w:rPr>
          <w:rFonts w:ascii="Times New Roman" w:hAnsi="Times New Roman"/>
          <w:sz w:val="24"/>
          <w:szCs w:val="24"/>
        </w:rPr>
      </w:pPr>
    </w:p>
    <w:p w:rsidR="004F06C3" w:rsidRPr="00663D44" w:rsidP="004F06C3" w14:paraId="53155ECA" w14:textId="77777777">
      <w:pPr>
        <w:rPr>
          <w:rFonts w:ascii="Times New Roman" w:hAnsi="Times New Roman"/>
          <w:b/>
          <w:sz w:val="24"/>
          <w:szCs w:val="24"/>
        </w:rPr>
      </w:pPr>
      <w:r w:rsidRPr="00663D44">
        <w:rPr>
          <w:rFonts w:ascii="Times New Roman" w:hAnsi="Times New Roman"/>
          <w:b/>
          <w:sz w:val="24"/>
          <w:szCs w:val="24"/>
        </w:rPr>
        <w:t>10.</w:t>
      </w:r>
      <w:r w:rsidRPr="00663D44">
        <w:rPr>
          <w:rFonts w:ascii="Times New Roman" w:hAnsi="Times New Roman"/>
          <w:b/>
          <w:sz w:val="24"/>
          <w:szCs w:val="24"/>
        </w:rPr>
        <w:tab/>
        <w:t>Assurance of confidentiality.</w:t>
      </w:r>
    </w:p>
    <w:p w:rsidR="00D2137F" w:rsidP="006906E0" w14:paraId="75E23EA0" w14:textId="77777777">
      <w:pPr>
        <w:tabs>
          <w:tab w:val="left" w:pos="720"/>
        </w:tabs>
        <w:overflowPunct/>
        <w:ind w:left="720" w:hanging="720"/>
        <w:textAlignment w:val="auto"/>
        <w:rPr>
          <w:rFonts w:ascii="Times New Roman" w:hAnsi="Times New Roman"/>
          <w:sz w:val="24"/>
          <w:szCs w:val="24"/>
        </w:rPr>
      </w:pPr>
    </w:p>
    <w:p w:rsidR="00261F9B" w:rsidP="006906E0" w14:paraId="038978C3" w14:textId="77777777">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3339E9">
        <w:rPr>
          <w:rFonts w:ascii="Times New Roman" w:hAnsi="Times New Roman"/>
          <w:sz w:val="24"/>
          <w:szCs w:val="24"/>
        </w:rPr>
        <w:t>There is no assurance of confidentiality provided to respondent.</w:t>
      </w:r>
    </w:p>
    <w:p w:rsidR="00D2137F" w:rsidP="006906E0" w14:paraId="4BEA9566" w14:textId="77777777">
      <w:pPr>
        <w:tabs>
          <w:tab w:val="left" w:pos="720"/>
        </w:tabs>
        <w:overflowPunct/>
        <w:ind w:left="720" w:hanging="720"/>
        <w:textAlignment w:val="auto"/>
        <w:rPr>
          <w:rFonts w:ascii="Times New Roman" w:hAnsi="Times New Roman"/>
          <w:sz w:val="24"/>
          <w:szCs w:val="24"/>
        </w:rPr>
      </w:pPr>
    </w:p>
    <w:p w:rsidR="004F06C3" w:rsidRPr="00663D44" w:rsidP="004F06C3" w14:paraId="01724B9E" w14:textId="77777777">
      <w:pPr>
        <w:rPr>
          <w:rFonts w:ascii="Times New Roman" w:hAnsi="Times New Roman"/>
          <w:b/>
          <w:sz w:val="24"/>
          <w:szCs w:val="24"/>
        </w:rPr>
      </w:pPr>
      <w:r w:rsidRPr="00663D44">
        <w:rPr>
          <w:rFonts w:ascii="Times New Roman" w:hAnsi="Times New Roman"/>
          <w:b/>
          <w:sz w:val="24"/>
          <w:szCs w:val="24"/>
        </w:rPr>
        <w:t>11.</w:t>
      </w:r>
      <w:r w:rsidRPr="00663D44">
        <w:rPr>
          <w:rFonts w:ascii="Times New Roman" w:hAnsi="Times New Roman"/>
          <w:b/>
          <w:sz w:val="24"/>
          <w:szCs w:val="24"/>
        </w:rPr>
        <w:tab/>
        <w:t>Questions of a sensitive nature.</w:t>
      </w:r>
    </w:p>
    <w:p w:rsidR="00D2137F" w:rsidRPr="004F06C3" w:rsidP="004F06C3" w14:paraId="18CB8C8C" w14:textId="77777777">
      <w:pPr>
        <w:tabs>
          <w:tab w:val="left" w:pos="720"/>
        </w:tabs>
        <w:overflowPunct/>
        <w:textAlignment w:val="auto"/>
        <w:rPr>
          <w:rFonts w:ascii="Times New Roman" w:hAnsi="Times New Roman"/>
          <w:sz w:val="24"/>
          <w:szCs w:val="24"/>
        </w:rPr>
      </w:pPr>
    </w:p>
    <w:p w:rsidR="002426FC" w:rsidRPr="00783004" w:rsidP="006906E0" w14:paraId="53DB876A" w14:textId="77777777">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5522EC">
        <w:rPr>
          <w:rFonts w:ascii="Times New Roman" w:hAnsi="Times New Roman"/>
          <w:sz w:val="24"/>
          <w:szCs w:val="24"/>
        </w:rPr>
        <w:t xml:space="preserve">Applicants for mortgage loans, under </w:t>
      </w:r>
      <w:r>
        <w:rPr>
          <w:rFonts w:ascii="Times New Roman" w:hAnsi="Times New Roman"/>
          <w:sz w:val="24"/>
          <w:szCs w:val="24"/>
        </w:rPr>
        <w:t xml:space="preserve">Regulation B, are asked to voluntarily provide information on ethnicity, sex, age, and marital status </w:t>
      </w:r>
      <w:r w:rsidR="005522EC">
        <w:rPr>
          <w:rFonts w:ascii="Times New Roman" w:hAnsi="Times New Roman"/>
          <w:sz w:val="24"/>
          <w:szCs w:val="24"/>
        </w:rPr>
        <w:t xml:space="preserve">so </w:t>
      </w:r>
      <w:r>
        <w:rPr>
          <w:rFonts w:ascii="Times New Roman" w:hAnsi="Times New Roman"/>
          <w:sz w:val="24"/>
          <w:szCs w:val="24"/>
        </w:rPr>
        <w:t>that regulators may monitor for compliance with the law.  It is at the option of the applicant to provide this information</w:t>
      </w:r>
      <w:r w:rsidR="00783004">
        <w:rPr>
          <w:rFonts w:ascii="Times New Roman" w:hAnsi="Times New Roman"/>
          <w:sz w:val="24"/>
          <w:szCs w:val="24"/>
        </w:rPr>
        <w:t xml:space="preserve"> and if they do not the creditor must, to the extent possible, note </w:t>
      </w:r>
      <w:r w:rsidRPr="00783004" w:rsidR="00783004">
        <w:rPr>
          <w:rFonts w:ascii="Times New Roman" w:hAnsi="Times New Roman"/>
          <w:sz w:val="24"/>
          <w:szCs w:val="24"/>
        </w:rPr>
        <w:t xml:space="preserve">the </w:t>
      </w:r>
      <w:r w:rsidRPr="00993962" w:rsidR="00783004">
        <w:rPr>
          <w:rFonts w:ascii="Times New Roman" w:hAnsi="Times New Roman"/>
          <w:sz w:val="24"/>
          <w:szCs w:val="24"/>
        </w:rPr>
        <w:t xml:space="preserve">ethnicity, </w:t>
      </w:r>
      <w:r w:rsidRPr="00783004" w:rsidR="00783004">
        <w:rPr>
          <w:rFonts w:ascii="Times New Roman" w:hAnsi="Times New Roman"/>
          <w:sz w:val="24"/>
          <w:szCs w:val="24"/>
        </w:rPr>
        <w:t>race and sex of the applicant</w:t>
      </w:r>
      <w:r w:rsidRPr="00993962" w:rsidR="00783004">
        <w:rPr>
          <w:rFonts w:ascii="Times New Roman" w:hAnsi="Times New Roman"/>
          <w:sz w:val="24"/>
          <w:szCs w:val="24"/>
        </w:rPr>
        <w:t xml:space="preserve"> by visual observation or surname</w:t>
      </w:r>
      <w:r w:rsidR="00783004">
        <w:rPr>
          <w:rFonts w:ascii="Times New Roman" w:hAnsi="Times New Roman"/>
          <w:sz w:val="24"/>
          <w:szCs w:val="24"/>
        </w:rPr>
        <w:t>.</w:t>
      </w:r>
    </w:p>
    <w:p w:rsidR="00D2137F" w:rsidP="006906E0" w14:paraId="27E6C776" w14:textId="77777777">
      <w:pPr>
        <w:tabs>
          <w:tab w:val="left" w:pos="720"/>
        </w:tabs>
        <w:overflowPunct/>
        <w:ind w:left="720" w:hanging="720"/>
        <w:textAlignment w:val="auto"/>
        <w:rPr>
          <w:rFonts w:ascii="Times New Roman" w:hAnsi="Times New Roman"/>
          <w:sz w:val="24"/>
          <w:szCs w:val="24"/>
        </w:rPr>
      </w:pPr>
    </w:p>
    <w:p w:rsidR="004F06C3" w:rsidRPr="00663D44" w:rsidP="004F06C3" w14:paraId="5B7EC2D9" w14:textId="77777777">
      <w:pPr>
        <w:rPr>
          <w:rFonts w:ascii="Times New Roman" w:hAnsi="Times New Roman"/>
          <w:b/>
          <w:sz w:val="24"/>
          <w:szCs w:val="24"/>
        </w:rPr>
      </w:pPr>
      <w:r>
        <w:rPr>
          <w:rFonts w:ascii="Times New Roman" w:hAnsi="Times New Roman"/>
          <w:b/>
          <w:sz w:val="24"/>
          <w:szCs w:val="24"/>
        </w:rPr>
        <w:br w:type="page"/>
      </w:r>
      <w:r w:rsidRPr="00663D44">
        <w:rPr>
          <w:rFonts w:ascii="Times New Roman" w:hAnsi="Times New Roman"/>
          <w:b/>
          <w:sz w:val="24"/>
          <w:szCs w:val="24"/>
        </w:rPr>
        <w:t>12.</w:t>
      </w:r>
      <w:r w:rsidRPr="00663D44">
        <w:rPr>
          <w:rFonts w:ascii="Times New Roman" w:hAnsi="Times New Roman"/>
          <w:b/>
          <w:sz w:val="24"/>
          <w:szCs w:val="24"/>
        </w:rPr>
        <w:tab/>
        <w:t>Burden of information collection.</w:t>
      </w:r>
    </w:p>
    <w:p w:rsidR="00D2137F" w:rsidP="006906E0" w14:paraId="2905D587" w14:textId="77777777">
      <w:pPr>
        <w:tabs>
          <w:tab w:val="left" w:pos="720"/>
        </w:tabs>
        <w:overflowPunct/>
        <w:ind w:left="720" w:hanging="720"/>
        <w:textAlignment w:val="auto"/>
        <w:rPr>
          <w:rFonts w:ascii="Times New Roman" w:hAnsi="Times New Roman"/>
          <w:sz w:val="24"/>
          <w:szCs w:val="24"/>
        </w:rPr>
      </w:pPr>
    </w:p>
    <w:p w:rsidR="00225A4F" w:rsidP="00844910" w14:paraId="5FDD5596" w14:textId="5579E418">
      <w:pPr>
        <w:tabs>
          <w:tab w:val="left" w:pos="-2041"/>
          <w:tab w:val="left" w:pos="720"/>
        </w:tabs>
        <w:suppressAutoHyphens/>
        <w:ind w:left="720" w:hanging="720"/>
        <w:rPr>
          <w:rFonts w:ascii="Times New Roman" w:hAnsi="Times New Roman"/>
          <w:sz w:val="24"/>
          <w:szCs w:val="24"/>
        </w:rPr>
      </w:pPr>
      <w:r>
        <w:tab/>
      </w:r>
      <w:r w:rsidRPr="002B7C6F">
        <w:rPr>
          <w:rFonts w:ascii="Times New Roman" w:hAnsi="Times New Roman"/>
          <w:sz w:val="24"/>
          <w:szCs w:val="24"/>
        </w:rPr>
        <w:t xml:space="preserve">A summary of the hour burden associated with </w:t>
      </w:r>
      <w:r>
        <w:rPr>
          <w:rFonts w:ascii="Times New Roman" w:hAnsi="Times New Roman"/>
          <w:sz w:val="24"/>
          <w:szCs w:val="24"/>
        </w:rPr>
        <w:t xml:space="preserve">Regulations B, E, M, and CC </w:t>
      </w:r>
      <w:r w:rsidR="00ED2E1E">
        <w:rPr>
          <w:rFonts w:ascii="Times New Roman" w:hAnsi="Times New Roman"/>
          <w:sz w:val="24"/>
          <w:szCs w:val="24"/>
        </w:rPr>
        <w:t>is</w:t>
      </w:r>
      <w:r w:rsidRPr="002B7C6F">
        <w:rPr>
          <w:rFonts w:ascii="Times New Roman" w:hAnsi="Times New Roman"/>
          <w:sz w:val="24"/>
          <w:szCs w:val="24"/>
        </w:rPr>
        <w:t xml:space="preserve"> shown below.  A detailed burden table identifying each information collection activity is attached.</w:t>
      </w:r>
    </w:p>
    <w:p w:rsidR="00253497" w:rsidP="00844910" w14:paraId="40304549" w14:textId="77777777">
      <w:pPr>
        <w:tabs>
          <w:tab w:val="left" w:pos="-2041"/>
          <w:tab w:val="left" w:pos="720"/>
        </w:tabs>
        <w:suppressAutoHyphens/>
        <w:ind w:left="720" w:hanging="720"/>
        <w:rPr>
          <w:rFonts w:ascii="Times New Roman" w:hAnsi="Times New Roman"/>
          <w:sz w:val="24"/>
          <w:szCs w:val="24"/>
        </w:rPr>
      </w:pPr>
    </w:p>
    <w:tbl>
      <w:tblPr>
        <w:tblStyle w:val="TableGrid"/>
        <w:tblW w:w="0" w:type="auto"/>
        <w:tblLook w:val="04A0"/>
      </w:tblPr>
      <w:tblGrid>
        <w:gridCol w:w="3120"/>
        <w:gridCol w:w="2163"/>
        <w:gridCol w:w="1950"/>
        <w:gridCol w:w="1643"/>
      </w:tblGrid>
      <w:tr w14:paraId="4A8C5277" w14:textId="77777777" w:rsidTr="00253497">
        <w:tblPrEx>
          <w:tblW w:w="0" w:type="auto"/>
          <w:tblLook w:val="04A0"/>
        </w:tblPrEx>
        <w:trPr>
          <w:trHeight w:val="765"/>
        </w:trPr>
        <w:tc>
          <w:tcPr>
            <w:tcW w:w="3120" w:type="dxa"/>
            <w:hideMark/>
          </w:tcPr>
          <w:p w:rsidR="00253497" w:rsidRPr="00253497" w:rsidP="00253497" w14:paraId="4ADFC62D" w14:textId="77777777">
            <w:pPr>
              <w:tabs>
                <w:tab w:val="left" w:pos="-2041"/>
                <w:tab w:val="left" w:pos="720"/>
              </w:tabs>
              <w:suppressAutoHyphens/>
              <w:ind w:left="720" w:hanging="720"/>
              <w:rPr>
                <w:rFonts w:ascii="Times New Roman" w:hAnsi="Times New Roman"/>
                <w:b/>
                <w:bCs/>
                <w:sz w:val="24"/>
                <w:szCs w:val="24"/>
              </w:rPr>
            </w:pPr>
            <w:r w:rsidRPr="00253497">
              <w:rPr>
                <w:rFonts w:ascii="Times New Roman" w:hAnsi="Times New Roman"/>
                <w:b/>
                <w:bCs/>
                <w:sz w:val="24"/>
                <w:szCs w:val="24"/>
              </w:rPr>
              <w:t>SUMMARY OF BURDEN</w:t>
            </w:r>
          </w:p>
        </w:tc>
        <w:tc>
          <w:tcPr>
            <w:tcW w:w="1340" w:type="dxa"/>
            <w:hideMark/>
          </w:tcPr>
          <w:p w:rsidR="00253497" w:rsidRPr="00253497" w:rsidP="00253497" w14:paraId="05C28F08" w14:textId="77777777">
            <w:pPr>
              <w:tabs>
                <w:tab w:val="left" w:pos="-2041"/>
                <w:tab w:val="left" w:pos="720"/>
              </w:tabs>
              <w:suppressAutoHyphens/>
              <w:ind w:left="720" w:hanging="720"/>
              <w:jc w:val="right"/>
              <w:rPr>
                <w:rFonts w:ascii="Times New Roman" w:hAnsi="Times New Roman"/>
                <w:sz w:val="24"/>
                <w:szCs w:val="24"/>
              </w:rPr>
            </w:pPr>
            <w:r w:rsidRPr="00253497">
              <w:rPr>
                <w:rFonts w:ascii="Times New Roman" w:hAnsi="Times New Roman"/>
                <w:sz w:val="24"/>
                <w:szCs w:val="24"/>
              </w:rPr>
              <w:t>No. Respondents</w:t>
            </w:r>
          </w:p>
        </w:tc>
        <w:tc>
          <w:tcPr>
            <w:tcW w:w="1320" w:type="dxa"/>
            <w:hideMark/>
          </w:tcPr>
          <w:p w:rsidR="00253497" w:rsidRPr="00253497" w:rsidP="00253497" w14:paraId="13F5E1DA" w14:textId="2F497FFB">
            <w:pPr>
              <w:tabs>
                <w:tab w:val="left" w:pos="-2041"/>
                <w:tab w:val="left" w:pos="782"/>
              </w:tabs>
              <w:suppressAutoHyphens/>
              <w:ind w:left="720" w:hanging="720"/>
              <w:jc w:val="right"/>
              <w:rPr>
                <w:rFonts w:ascii="Times New Roman" w:hAnsi="Times New Roman"/>
                <w:sz w:val="24"/>
                <w:szCs w:val="24"/>
              </w:rPr>
            </w:pPr>
            <w:r w:rsidRPr="00253497">
              <w:rPr>
                <w:rFonts w:ascii="Times New Roman" w:hAnsi="Times New Roman"/>
                <w:sz w:val="24"/>
                <w:szCs w:val="24"/>
              </w:rPr>
              <w:t>No. Annual</w:t>
            </w:r>
            <w:r>
              <w:rPr>
                <w:rFonts w:ascii="Times New Roman" w:hAnsi="Times New Roman"/>
                <w:sz w:val="24"/>
                <w:szCs w:val="24"/>
              </w:rPr>
              <w:t xml:space="preserve"> </w:t>
            </w:r>
            <w:r w:rsidRPr="00253497">
              <w:rPr>
                <w:rFonts w:ascii="Times New Roman" w:hAnsi="Times New Roman"/>
                <w:sz w:val="24"/>
                <w:szCs w:val="24"/>
              </w:rPr>
              <w:t>Responses</w:t>
            </w:r>
          </w:p>
        </w:tc>
        <w:tc>
          <w:tcPr>
            <w:tcW w:w="1200" w:type="dxa"/>
            <w:hideMark/>
          </w:tcPr>
          <w:p w:rsidR="00253497" w:rsidRPr="00253497" w:rsidP="00253497" w14:paraId="5AE627A9" w14:textId="77777777">
            <w:pPr>
              <w:tabs>
                <w:tab w:val="left" w:pos="-2041"/>
                <w:tab w:val="left" w:pos="720"/>
              </w:tabs>
              <w:suppressAutoHyphens/>
              <w:ind w:left="720" w:hanging="720"/>
              <w:jc w:val="right"/>
              <w:rPr>
                <w:rFonts w:ascii="Times New Roman" w:hAnsi="Times New Roman"/>
                <w:sz w:val="24"/>
                <w:szCs w:val="24"/>
              </w:rPr>
            </w:pPr>
            <w:r w:rsidRPr="00253497">
              <w:rPr>
                <w:rFonts w:ascii="Times New Roman" w:hAnsi="Times New Roman"/>
                <w:sz w:val="24"/>
                <w:szCs w:val="24"/>
              </w:rPr>
              <w:t>Total Annual Burden (hours)</w:t>
            </w:r>
          </w:p>
        </w:tc>
      </w:tr>
      <w:tr w14:paraId="50C04667" w14:textId="77777777" w:rsidTr="00253497">
        <w:tblPrEx>
          <w:tblW w:w="0" w:type="auto"/>
          <w:tblLook w:val="04A0"/>
        </w:tblPrEx>
        <w:trPr>
          <w:trHeight w:val="300"/>
        </w:trPr>
        <w:tc>
          <w:tcPr>
            <w:tcW w:w="6980" w:type="dxa"/>
            <w:gridSpan w:val="4"/>
            <w:hideMark/>
          </w:tcPr>
          <w:p w:rsidR="00253497" w:rsidRPr="00253497" w:rsidP="00253497" w14:paraId="0444716E" w14:textId="77777777">
            <w:pPr>
              <w:tabs>
                <w:tab w:val="left" w:pos="-2041"/>
                <w:tab w:val="left" w:pos="720"/>
              </w:tabs>
              <w:suppressAutoHyphens/>
              <w:ind w:left="720" w:hanging="720"/>
              <w:rPr>
                <w:rFonts w:ascii="Times New Roman" w:hAnsi="Times New Roman"/>
                <w:b/>
                <w:bCs/>
                <w:sz w:val="24"/>
                <w:szCs w:val="24"/>
              </w:rPr>
            </w:pPr>
            <w:r w:rsidRPr="00253497">
              <w:rPr>
                <w:rFonts w:ascii="Times New Roman" w:hAnsi="Times New Roman"/>
                <w:b/>
                <w:bCs/>
                <w:sz w:val="24"/>
                <w:szCs w:val="24"/>
              </w:rPr>
              <w:t>Federal Credit Union Burden</w:t>
            </w:r>
          </w:p>
        </w:tc>
      </w:tr>
      <w:tr w14:paraId="4983BF08" w14:textId="77777777" w:rsidTr="00253497">
        <w:tblPrEx>
          <w:tblW w:w="0" w:type="auto"/>
          <w:tblLook w:val="04A0"/>
        </w:tblPrEx>
        <w:trPr>
          <w:trHeight w:val="300"/>
        </w:trPr>
        <w:tc>
          <w:tcPr>
            <w:tcW w:w="3120" w:type="dxa"/>
            <w:hideMark/>
          </w:tcPr>
          <w:p w:rsidR="00253497" w:rsidRPr="00253497" w:rsidP="00253497" w14:paraId="7B59B528"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REG B</w:t>
            </w:r>
          </w:p>
        </w:tc>
        <w:tc>
          <w:tcPr>
            <w:tcW w:w="1340" w:type="dxa"/>
            <w:hideMark/>
          </w:tcPr>
          <w:p w:rsidR="00253497" w:rsidRPr="00253497" w:rsidP="00253497" w14:paraId="3B87B445"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2,969</w:t>
            </w:r>
          </w:p>
        </w:tc>
        <w:tc>
          <w:tcPr>
            <w:tcW w:w="1320" w:type="dxa"/>
            <w:hideMark/>
          </w:tcPr>
          <w:p w:rsidR="00253497" w:rsidRPr="00253497" w:rsidP="00253497" w14:paraId="601B94E7"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10,759,228</w:t>
            </w:r>
          </w:p>
        </w:tc>
        <w:tc>
          <w:tcPr>
            <w:tcW w:w="1200" w:type="dxa"/>
            <w:hideMark/>
          </w:tcPr>
          <w:p w:rsidR="00253497" w:rsidRPr="00253497" w:rsidP="00253497" w14:paraId="1D2C59F5"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431,175</w:t>
            </w:r>
          </w:p>
        </w:tc>
      </w:tr>
      <w:tr w14:paraId="5B2707E6" w14:textId="77777777" w:rsidTr="00253497">
        <w:tblPrEx>
          <w:tblW w:w="0" w:type="auto"/>
          <w:tblLook w:val="04A0"/>
        </w:tblPrEx>
        <w:trPr>
          <w:trHeight w:val="300"/>
        </w:trPr>
        <w:tc>
          <w:tcPr>
            <w:tcW w:w="3120" w:type="dxa"/>
            <w:hideMark/>
          </w:tcPr>
          <w:p w:rsidR="00253497" w:rsidRPr="00253497" w:rsidP="00253497" w14:paraId="5E446421"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REG E</w:t>
            </w:r>
          </w:p>
        </w:tc>
        <w:tc>
          <w:tcPr>
            <w:tcW w:w="1340" w:type="dxa"/>
            <w:hideMark/>
          </w:tcPr>
          <w:p w:rsidR="00253497" w:rsidRPr="00253497" w:rsidP="00253497" w14:paraId="00C2381C"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2,969</w:t>
            </w:r>
          </w:p>
        </w:tc>
        <w:tc>
          <w:tcPr>
            <w:tcW w:w="1320" w:type="dxa"/>
            <w:hideMark/>
          </w:tcPr>
          <w:p w:rsidR="00253497" w:rsidRPr="00253497" w:rsidP="00253497" w14:paraId="35EF2FC9"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2,076,286</w:t>
            </w:r>
          </w:p>
        </w:tc>
        <w:tc>
          <w:tcPr>
            <w:tcW w:w="1200" w:type="dxa"/>
            <w:hideMark/>
          </w:tcPr>
          <w:p w:rsidR="00253497" w:rsidRPr="00253497" w:rsidP="00253497" w14:paraId="340912E7"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208,944</w:t>
            </w:r>
          </w:p>
        </w:tc>
      </w:tr>
      <w:tr w14:paraId="0A607BF0" w14:textId="77777777" w:rsidTr="00253497">
        <w:tblPrEx>
          <w:tblW w:w="0" w:type="auto"/>
          <w:tblLook w:val="04A0"/>
        </w:tblPrEx>
        <w:trPr>
          <w:trHeight w:val="300"/>
        </w:trPr>
        <w:tc>
          <w:tcPr>
            <w:tcW w:w="3120" w:type="dxa"/>
            <w:hideMark/>
          </w:tcPr>
          <w:p w:rsidR="00253497" w:rsidRPr="00253497" w:rsidP="00253497" w14:paraId="0366F68C"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REG M</w:t>
            </w:r>
          </w:p>
        </w:tc>
        <w:tc>
          <w:tcPr>
            <w:tcW w:w="1340" w:type="dxa"/>
            <w:hideMark/>
          </w:tcPr>
          <w:p w:rsidR="00253497" w:rsidRPr="00253497" w:rsidP="00253497" w14:paraId="200D133B"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40</w:t>
            </w:r>
          </w:p>
        </w:tc>
        <w:tc>
          <w:tcPr>
            <w:tcW w:w="1320" w:type="dxa"/>
            <w:hideMark/>
          </w:tcPr>
          <w:p w:rsidR="00253497" w:rsidRPr="00253497" w:rsidP="00253497" w14:paraId="30A78504"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4,000</w:t>
            </w:r>
          </w:p>
        </w:tc>
        <w:tc>
          <w:tcPr>
            <w:tcW w:w="1200" w:type="dxa"/>
            <w:hideMark/>
          </w:tcPr>
          <w:p w:rsidR="00253497" w:rsidRPr="00253497" w:rsidP="00253497" w14:paraId="25A6C857"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3,000</w:t>
            </w:r>
          </w:p>
        </w:tc>
      </w:tr>
      <w:tr w14:paraId="0DF0ABEA" w14:textId="77777777" w:rsidTr="00253497">
        <w:tblPrEx>
          <w:tblW w:w="0" w:type="auto"/>
          <w:tblLook w:val="04A0"/>
        </w:tblPrEx>
        <w:trPr>
          <w:trHeight w:val="315"/>
        </w:trPr>
        <w:tc>
          <w:tcPr>
            <w:tcW w:w="3120" w:type="dxa"/>
            <w:hideMark/>
          </w:tcPr>
          <w:p w:rsidR="00253497" w:rsidRPr="00253497" w:rsidP="00253497" w14:paraId="327F60DC"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REG CC</w:t>
            </w:r>
          </w:p>
        </w:tc>
        <w:tc>
          <w:tcPr>
            <w:tcW w:w="1340" w:type="dxa"/>
            <w:hideMark/>
          </w:tcPr>
          <w:p w:rsidR="00253497" w:rsidRPr="00253497" w:rsidP="00253497" w14:paraId="5BB39403"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2,969</w:t>
            </w:r>
          </w:p>
        </w:tc>
        <w:tc>
          <w:tcPr>
            <w:tcW w:w="1320" w:type="dxa"/>
            <w:hideMark/>
          </w:tcPr>
          <w:p w:rsidR="00253497" w:rsidRPr="00253497" w:rsidP="00253497" w14:paraId="13422ADB"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11,807,733</w:t>
            </w:r>
          </w:p>
        </w:tc>
        <w:tc>
          <w:tcPr>
            <w:tcW w:w="1200" w:type="dxa"/>
            <w:hideMark/>
          </w:tcPr>
          <w:p w:rsidR="00253497" w:rsidRPr="00253497" w:rsidP="00253497" w14:paraId="6C72DF62"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337,876</w:t>
            </w:r>
          </w:p>
        </w:tc>
      </w:tr>
      <w:tr w14:paraId="0C061523" w14:textId="77777777" w:rsidTr="00253497">
        <w:tblPrEx>
          <w:tblW w:w="0" w:type="auto"/>
          <w:tblLook w:val="04A0"/>
        </w:tblPrEx>
        <w:trPr>
          <w:trHeight w:val="300"/>
        </w:trPr>
        <w:tc>
          <w:tcPr>
            <w:tcW w:w="4460" w:type="dxa"/>
            <w:gridSpan w:val="2"/>
            <w:hideMark/>
          </w:tcPr>
          <w:p w:rsidR="00253497" w:rsidRPr="00253497" w:rsidP="00253497" w14:paraId="64FFE67B"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Total</w:t>
            </w:r>
          </w:p>
        </w:tc>
        <w:tc>
          <w:tcPr>
            <w:tcW w:w="1320" w:type="dxa"/>
            <w:hideMark/>
          </w:tcPr>
          <w:p w:rsidR="00253497" w:rsidRPr="00253497" w:rsidP="00253497" w14:paraId="4839D88C"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24,647,247</w:t>
            </w:r>
          </w:p>
        </w:tc>
        <w:tc>
          <w:tcPr>
            <w:tcW w:w="1200" w:type="dxa"/>
            <w:hideMark/>
          </w:tcPr>
          <w:p w:rsidR="00253497" w:rsidRPr="00253497" w:rsidP="00253497" w14:paraId="6E3540DB"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980,995</w:t>
            </w:r>
          </w:p>
        </w:tc>
      </w:tr>
      <w:tr w14:paraId="3393130F" w14:textId="77777777" w:rsidTr="00253497">
        <w:tblPrEx>
          <w:tblW w:w="0" w:type="auto"/>
          <w:tblLook w:val="04A0"/>
        </w:tblPrEx>
        <w:trPr>
          <w:trHeight w:val="300"/>
        </w:trPr>
        <w:tc>
          <w:tcPr>
            <w:tcW w:w="6980" w:type="dxa"/>
            <w:gridSpan w:val="4"/>
            <w:hideMark/>
          </w:tcPr>
          <w:p w:rsidR="00253497" w:rsidRPr="00253497" w:rsidP="00253497" w14:paraId="606591B1"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Consumer Burden</w:t>
            </w:r>
          </w:p>
        </w:tc>
      </w:tr>
      <w:tr w14:paraId="042F14D1" w14:textId="77777777" w:rsidTr="00253497">
        <w:tblPrEx>
          <w:tblW w:w="0" w:type="auto"/>
          <w:tblLook w:val="04A0"/>
        </w:tblPrEx>
        <w:trPr>
          <w:trHeight w:val="315"/>
        </w:trPr>
        <w:tc>
          <w:tcPr>
            <w:tcW w:w="3120" w:type="dxa"/>
            <w:hideMark/>
          </w:tcPr>
          <w:p w:rsidR="00253497" w:rsidRPr="00253497" w:rsidP="00253497" w14:paraId="2C4F0589"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REG E</w:t>
            </w:r>
          </w:p>
        </w:tc>
        <w:tc>
          <w:tcPr>
            <w:tcW w:w="1340" w:type="dxa"/>
            <w:hideMark/>
          </w:tcPr>
          <w:p w:rsidR="00253497" w:rsidRPr="00253497" w:rsidP="00253497" w14:paraId="6E941F80"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24,700,000</w:t>
            </w:r>
          </w:p>
        </w:tc>
        <w:tc>
          <w:tcPr>
            <w:tcW w:w="1320" w:type="dxa"/>
            <w:hideMark/>
          </w:tcPr>
          <w:p w:rsidR="00253497" w:rsidRPr="00253497" w:rsidP="00253497" w14:paraId="43895D52"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24,700,000</w:t>
            </w:r>
          </w:p>
        </w:tc>
        <w:tc>
          <w:tcPr>
            <w:tcW w:w="1200" w:type="dxa"/>
            <w:hideMark/>
          </w:tcPr>
          <w:p w:rsidR="00253497" w:rsidRPr="00253497" w:rsidP="00253497" w14:paraId="07CDFB51"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2,058,333</w:t>
            </w:r>
          </w:p>
        </w:tc>
      </w:tr>
      <w:tr w14:paraId="757F7BCA" w14:textId="77777777" w:rsidTr="00253497">
        <w:tblPrEx>
          <w:tblW w:w="0" w:type="auto"/>
          <w:tblLook w:val="04A0"/>
        </w:tblPrEx>
        <w:trPr>
          <w:trHeight w:val="315"/>
        </w:trPr>
        <w:tc>
          <w:tcPr>
            <w:tcW w:w="4460" w:type="dxa"/>
            <w:gridSpan w:val="2"/>
            <w:hideMark/>
          </w:tcPr>
          <w:p w:rsidR="00253497" w:rsidRPr="00253497" w:rsidP="00253497" w14:paraId="1D3E46DB" w14:textId="77777777">
            <w:pPr>
              <w:tabs>
                <w:tab w:val="left" w:pos="-2041"/>
                <w:tab w:val="left" w:pos="720"/>
              </w:tabs>
              <w:suppressAutoHyphens/>
              <w:ind w:left="720" w:hanging="720"/>
              <w:rPr>
                <w:rFonts w:ascii="Times New Roman" w:hAnsi="Times New Roman"/>
                <w:b/>
                <w:bCs/>
                <w:sz w:val="24"/>
                <w:szCs w:val="24"/>
              </w:rPr>
            </w:pPr>
            <w:r w:rsidRPr="00253497">
              <w:rPr>
                <w:rFonts w:ascii="Times New Roman" w:hAnsi="Times New Roman"/>
                <w:b/>
                <w:bCs/>
                <w:sz w:val="24"/>
                <w:szCs w:val="24"/>
              </w:rPr>
              <w:t>TOTAL</w:t>
            </w:r>
          </w:p>
        </w:tc>
        <w:tc>
          <w:tcPr>
            <w:tcW w:w="1320" w:type="dxa"/>
            <w:hideMark/>
          </w:tcPr>
          <w:p w:rsidR="00253497" w:rsidRPr="00253497" w:rsidP="00253497" w14:paraId="79310A7C"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49,347,247</w:t>
            </w:r>
          </w:p>
        </w:tc>
        <w:tc>
          <w:tcPr>
            <w:tcW w:w="1200" w:type="dxa"/>
            <w:hideMark/>
          </w:tcPr>
          <w:p w:rsidR="00253497" w:rsidRPr="00253497" w:rsidP="00253497" w14:paraId="696C2976" w14:textId="77777777">
            <w:pPr>
              <w:tabs>
                <w:tab w:val="left" w:pos="-2041"/>
                <w:tab w:val="left" w:pos="720"/>
              </w:tabs>
              <w:suppressAutoHyphens/>
              <w:ind w:left="720" w:hanging="720"/>
              <w:rPr>
                <w:rFonts w:ascii="Times New Roman" w:hAnsi="Times New Roman"/>
                <w:sz w:val="24"/>
                <w:szCs w:val="24"/>
              </w:rPr>
            </w:pPr>
            <w:r w:rsidRPr="00253497">
              <w:rPr>
                <w:rFonts w:ascii="Times New Roman" w:hAnsi="Times New Roman"/>
                <w:sz w:val="24"/>
                <w:szCs w:val="24"/>
              </w:rPr>
              <w:t>3,039,328</w:t>
            </w:r>
          </w:p>
        </w:tc>
      </w:tr>
    </w:tbl>
    <w:p w:rsidR="00251170" w:rsidP="00844910" w14:paraId="49294883" w14:textId="77777777">
      <w:pPr>
        <w:tabs>
          <w:tab w:val="left" w:pos="-2041"/>
          <w:tab w:val="left" w:pos="720"/>
        </w:tabs>
        <w:suppressAutoHyphens/>
        <w:ind w:left="720" w:hanging="720"/>
        <w:rPr>
          <w:rFonts w:ascii="Times New Roman" w:hAnsi="Times New Roman"/>
          <w:sz w:val="24"/>
          <w:szCs w:val="24"/>
        </w:rPr>
      </w:pPr>
    </w:p>
    <w:p w:rsidR="00E25BCB" w:rsidP="009B71CF" w14:paraId="36A69965" w14:textId="77777777">
      <w:pPr>
        <w:ind w:left="720" w:right="-21"/>
        <w:rPr>
          <w:rFonts w:ascii="Times New Roman" w:hAnsi="Times New Roman"/>
          <w:sz w:val="24"/>
        </w:rPr>
      </w:pPr>
    </w:p>
    <w:p w:rsidR="004F06C3" w:rsidRPr="00663D44" w:rsidP="004F06C3" w14:paraId="305776DB" w14:textId="77777777">
      <w:pPr>
        <w:rPr>
          <w:rFonts w:ascii="Times New Roman" w:hAnsi="Times New Roman"/>
          <w:b/>
          <w:sz w:val="24"/>
          <w:szCs w:val="24"/>
        </w:rPr>
      </w:pPr>
      <w:r w:rsidRPr="00663D44">
        <w:rPr>
          <w:rFonts w:ascii="Times New Roman" w:hAnsi="Times New Roman"/>
          <w:b/>
          <w:sz w:val="24"/>
          <w:szCs w:val="24"/>
        </w:rPr>
        <w:t>13.</w:t>
      </w:r>
      <w:r w:rsidRPr="00663D44">
        <w:rPr>
          <w:rFonts w:ascii="Times New Roman" w:hAnsi="Times New Roman"/>
          <w:b/>
          <w:sz w:val="24"/>
          <w:szCs w:val="24"/>
        </w:rPr>
        <w:tab/>
        <w:t>Capital start-up or on-going operation and maintenance costs.</w:t>
      </w:r>
    </w:p>
    <w:p w:rsidR="00914F9A" w:rsidP="006906E0" w14:paraId="26778E1F" w14:textId="77777777">
      <w:pPr>
        <w:overflowPunct/>
        <w:ind w:left="720" w:hanging="720"/>
        <w:textAlignment w:val="auto"/>
        <w:rPr>
          <w:rFonts w:ascii="Times New Roman" w:hAnsi="Times New Roman"/>
          <w:sz w:val="24"/>
          <w:szCs w:val="24"/>
        </w:rPr>
      </w:pPr>
    </w:p>
    <w:p w:rsidR="00C97723" w:rsidP="006906E0" w14:paraId="5393F794" w14:textId="77777777">
      <w:pPr>
        <w:overflowPunct/>
        <w:ind w:left="720" w:hanging="720"/>
        <w:textAlignment w:val="auto"/>
        <w:rPr>
          <w:rFonts w:ascii="Times New Roman" w:hAnsi="Times New Roman"/>
          <w:sz w:val="24"/>
          <w:szCs w:val="24"/>
        </w:rPr>
      </w:pPr>
      <w:r>
        <w:rPr>
          <w:rFonts w:ascii="Times New Roman" w:hAnsi="Times New Roman"/>
          <w:sz w:val="24"/>
          <w:szCs w:val="24"/>
        </w:rPr>
        <w:tab/>
      </w:r>
      <w:r w:rsidR="00783004">
        <w:rPr>
          <w:rFonts w:ascii="Times New Roman" w:hAnsi="Times New Roman"/>
          <w:sz w:val="24"/>
          <w:szCs w:val="24"/>
        </w:rPr>
        <w:t>There are no capital/start-up costs or ongoing operation/maintenance costs associated with this information collection.</w:t>
      </w:r>
    </w:p>
    <w:p w:rsidR="00914F9A" w:rsidP="006906E0" w14:paraId="6E8DCB12" w14:textId="77777777">
      <w:pPr>
        <w:overflowPunct/>
        <w:ind w:left="720" w:hanging="720"/>
        <w:textAlignment w:val="auto"/>
        <w:rPr>
          <w:rFonts w:ascii="Times New Roman" w:hAnsi="Times New Roman"/>
          <w:sz w:val="24"/>
          <w:szCs w:val="24"/>
        </w:rPr>
      </w:pPr>
    </w:p>
    <w:p w:rsidR="004F06C3" w:rsidRPr="00663D44" w:rsidP="004F06C3" w14:paraId="50B4575E" w14:textId="77777777">
      <w:pPr>
        <w:rPr>
          <w:rFonts w:ascii="Times New Roman" w:hAnsi="Times New Roman"/>
          <w:b/>
          <w:sz w:val="24"/>
          <w:szCs w:val="24"/>
        </w:rPr>
      </w:pPr>
      <w:r w:rsidRPr="00663D44">
        <w:rPr>
          <w:rFonts w:ascii="Times New Roman" w:hAnsi="Times New Roman"/>
          <w:b/>
          <w:sz w:val="24"/>
          <w:szCs w:val="24"/>
        </w:rPr>
        <w:t>14.</w:t>
      </w:r>
      <w:r w:rsidRPr="00663D44">
        <w:rPr>
          <w:rFonts w:ascii="Times New Roman" w:hAnsi="Times New Roman"/>
          <w:b/>
          <w:sz w:val="24"/>
          <w:szCs w:val="24"/>
        </w:rPr>
        <w:tab/>
        <w:t>Annualized costs to Federal government.</w:t>
      </w:r>
    </w:p>
    <w:p w:rsidR="00914F9A" w:rsidP="006906E0" w14:paraId="3188854B" w14:textId="77777777">
      <w:pPr>
        <w:overflowPunct/>
        <w:ind w:left="720" w:hanging="720"/>
        <w:textAlignment w:val="auto"/>
        <w:rPr>
          <w:rFonts w:ascii="Times New Roman" w:hAnsi="Times New Roman"/>
          <w:sz w:val="24"/>
          <w:szCs w:val="24"/>
        </w:rPr>
      </w:pPr>
    </w:p>
    <w:p w:rsidR="00914F9A" w:rsidP="006906E0" w14:paraId="5D6E6769" w14:textId="77777777">
      <w:pPr>
        <w:overflowPunct/>
        <w:ind w:left="720" w:hanging="720"/>
        <w:textAlignment w:val="auto"/>
        <w:rPr>
          <w:rFonts w:ascii="Times New Roman" w:hAnsi="Times New Roman"/>
          <w:sz w:val="24"/>
          <w:szCs w:val="24"/>
        </w:rPr>
      </w:pPr>
      <w:r>
        <w:rPr>
          <w:rFonts w:ascii="Times New Roman" w:hAnsi="Times New Roman"/>
          <w:sz w:val="24"/>
          <w:szCs w:val="24"/>
        </w:rPr>
        <w:tab/>
      </w:r>
      <w:r w:rsidR="00440600">
        <w:rPr>
          <w:rFonts w:ascii="Times New Roman" w:hAnsi="Times New Roman"/>
          <w:sz w:val="24"/>
          <w:szCs w:val="24"/>
        </w:rPr>
        <w:t>These are recordkeeping and disclosure requirements.  There are no costs to the Federal government</w:t>
      </w:r>
      <w:r>
        <w:rPr>
          <w:rFonts w:ascii="Times New Roman" w:hAnsi="Times New Roman"/>
          <w:sz w:val="24"/>
          <w:szCs w:val="24"/>
        </w:rPr>
        <w:t>.</w:t>
      </w:r>
    </w:p>
    <w:p w:rsidR="00914F9A" w:rsidP="006906E0" w14:paraId="6F8206D3" w14:textId="77777777">
      <w:pPr>
        <w:overflowPunct/>
        <w:ind w:left="720" w:hanging="720"/>
        <w:textAlignment w:val="auto"/>
        <w:rPr>
          <w:rFonts w:ascii="Times New Roman" w:hAnsi="Times New Roman"/>
          <w:sz w:val="24"/>
          <w:szCs w:val="24"/>
        </w:rPr>
      </w:pPr>
    </w:p>
    <w:p w:rsidR="004F06C3" w:rsidRPr="00663D44" w:rsidP="004F06C3" w14:paraId="6A4CCB21" w14:textId="77777777">
      <w:pPr>
        <w:rPr>
          <w:rFonts w:ascii="Times New Roman" w:hAnsi="Times New Roman"/>
          <w:b/>
          <w:sz w:val="24"/>
          <w:szCs w:val="24"/>
        </w:rPr>
      </w:pPr>
      <w:r w:rsidRPr="00663D44">
        <w:rPr>
          <w:rFonts w:ascii="Times New Roman" w:hAnsi="Times New Roman"/>
          <w:b/>
          <w:sz w:val="24"/>
          <w:szCs w:val="24"/>
        </w:rPr>
        <w:t>15.</w:t>
      </w:r>
      <w:r w:rsidRPr="00663D44">
        <w:rPr>
          <w:rFonts w:ascii="Times New Roman" w:hAnsi="Times New Roman"/>
          <w:b/>
          <w:sz w:val="24"/>
          <w:szCs w:val="24"/>
        </w:rPr>
        <w:tab/>
        <w:t>Changes in burden.</w:t>
      </w:r>
    </w:p>
    <w:p w:rsidR="00914F9A" w:rsidP="006906E0" w14:paraId="1F19A235" w14:textId="77777777">
      <w:pPr>
        <w:overflowPunct/>
        <w:ind w:left="720" w:hanging="720"/>
        <w:textAlignment w:val="auto"/>
        <w:rPr>
          <w:rFonts w:ascii="Times New Roman" w:hAnsi="Times New Roman"/>
          <w:sz w:val="24"/>
          <w:szCs w:val="24"/>
        </w:rPr>
      </w:pPr>
    </w:p>
    <w:p w:rsidR="00A70F6E" w:rsidP="00A70F6E" w14:paraId="35709057" w14:textId="14534B09">
      <w:pPr>
        <w:overflowPunct/>
        <w:ind w:left="720" w:hanging="720"/>
        <w:textAlignment w:val="auto"/>
        <w:rPr>
          <w:rFonts w:ascii="Times New Roman" w:hAnsi="Times New Roman"/>
          <w:sz w:val="24"/>
          <w:szCs w:val="24"/>
        </w:rPr>
      </w:pPr>
      <w:r>
        <w:rPr>
          <w:rFonts w:ascii="Times New Roman" w:hAnsi="Times New Roman"/>
          <w:sz w:val="24"/>
          <w:szCs w:val="24"/>
        </w:rPr>
        <w:tab/>
      </w:r>
      <w:r w:rsidR="00BF5F30">
        <w:rPr>
          <w:rFonts w:ascii="Times New Roman" w:hAnsi="Times New Roman"/>
          <w:sz w:val="24"/>
          <w:szCs w:val="24"/>
        </w:rPr>
        <w:t xml:space="preserve">This is an extension of a currently approved collection.  Adjustments have been made to reflect an up-to-date accounting of the number of respondents </w:t>
      </w:r>
      <w:r w:rsidR="00D26BC4">
        <w:rPr>
          <w:rFonts w:ascii="Times New Roman" w:hAnsi="Times New Roman"/>
          <w:sz w:val="24"/>
          <w:szCs w:val="24"/>
        </w:rPr>
        <w:t>resulting in a decrease of</w:t>
      </w:r>
      <w:r w:rsidR="00253497">
        <w:rPr>
          <w:rFonts w:ascii="Times New Roman" w:hAnsi="Times New Roman"/>
          <w:sz w:val="24"/>
          <w:szCs w:val="24"/>
        </w:rPr>
        <w:t xml:space="preserve"> annual </w:t>
      </w:r>
      <w:r w:rsidR="00D26BC4">
        <w:rPr>
          <w:rFonts w:ascii="Times New Roman" w:hAnsi="Times New Roman"/>
          <w:sz w:val="24"/>
          <w:szCs w:val="24"/>
        </w:rPr>
        <w:t>burden hours for a total of 3,</w:t>
      </w:r>
      <w:r w:rsidR="00253497">
        <w:rPr>
          <w:rFonts w:ascii="Times New Roman" w:hAnsi="Times New Roman"/>
          <w:sz w:val="24"/>
          <w:szCs w:val="24"/>
        </w:rPr>
        <w:t>039</w:t>
      </w:r>
      <w:r w:rsidR="00D26BC4">
        <w:rPr>
          <w:rFonts w:ascii="Times New Roman" w:hAnsi="Times New Roman"/>
          <w:sz w:val="24"/>
          <w:szCs w:val="24"/>
        </w:rPr>
        <w:t>,</w:t>
      </w:r>
      <w:r w:rsidR="00253497">
        <w:rPr>
          <w:rFonts w:ascii="Times New Roman" w:hAnsi="Times New Roman"/>
          <w:sz w:val="24"/>
          <w:szCs w:val="24"/>
        </w:rPr>
        <w:t>328</w:t>
      </w:r>
      <w:r w:rsidR="00D26BC4">
        <w:rPr>
          <w:rFonts w:ascii="Times New Roman" w:hAnsi="Times New Roman"/>
          <w:sz w:val="24"/>
          <w:szCs w:val="24"/>
        </w:rPr>
        <w:t xml:space="preserve">. </w:t>
      </w:r>
    </w:p>
    <w:p w:rsidR="00A70F6E" w:rsidP="006906E0" w14:paraId="3A5E1F37" w14:textId="77777777">
      <w:pPr>
        <w:overflowPunct/>
        <w:ind w:left="720" w:hanging="720"/>
        <w:textAlignment w:val="auto"/>
        <w:rPr>
          <w:rFonts w:ascii="Times New Roman" w:hAnsi="Times New Roman"/>
          <w:sz w:val="24"/>
          <w:szCs w:val="24"/>
        </w:rPr>
      </w:pPr>
    </w:p>
    <w:p w:rsidR="004F06C3" w:rsidRPr="00663D44" w:rsidP="004F06C3" w14:paraId="47E05101" w14:textId="77777777">
      <w:pPr>
        <w:rPr>
          <w:rFonts w:ascii="Times New Roman" w:hAnsi="Times New Roman"/>
          <w:b/>
          <w:sz w:val="24"/>
          <w:szCs w:val="24"/>
        </w:rPr>
      </w:pPr>
      <w:r w:rsidRPr="00663D44">
        <w:rPr>
          <w:rFonts w:ascii="Times New Roman" w:hAnsi="Times New Roman"/>
          <w:b/>
          <w:sz w:val="24"/>
          <w:szCs w:val="24"/>
        </w:rPr>
        <w:t>16.</w:t>
      </w:r>
      <w:r w:rsidRPr="00663D44">
        <w:rPr>
          <w:rFonts w:ascii="Times New Roman" w:hAnsi="Times New Roman"/>
          <w:b/>
          <w:sz w:val="24"/>
          <w:szCs w:val="24"/>
        </w:rPr>
        <w:tab/>
        <w:t>Information collection planned for statistical purposes.</w:t>
      </w:r>
    </w:p>
    <w:p w:rsidR="00914F9A" w:rsidRPr="004F06C3" w:rsidP="004F06C3" w14:paraId="03906CE8" w14:textId="77777777">
      <w:pPr>
        <w:tabs>
          <w:tab w:val="left" w:pos="720"/>
        </w:tabs>
        <w:overflowPunct/>
        <w:ind w:left="720"/>
        <w:textAlignment w:val="auto"/>
        <w:rPr>
          <w:rFonts w:ascii="Times New Roman" w:hAnsi="Times New Roman"/>
          <w:sz w:val="24"/>
          <w:szCs w:val="24"/>
        </w:rPr>
      </w:pPr>
    </w:p>
    <w:p w:rsidR="00914F9A" w:rsidP="006906E0" w14:paraId="56AEB614" w14:textId="77777777">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w:t>
      </w:r>
      <w:r w:rsidR="00993962">
        <w:rPr>
          <w:rFonts w:ascii="Times New Roman" w:hAnsi="Times New Roman"/>
          <w:sz w:val="24"/>
          <w:szCs w:val="24"/>
        </w:rPr>
        <w:t>is information will not be published</w:t>
      </w:r>
      <w:r w:rsidR="00C832E3">
        <w:rPr>
          <w:rFonts w:ascii="Times New Roman" w:hAnsi="Times New Roman"/>
          <w:sz w:val="24"/>
          <w:szCs w:val="24"/>
        </w:rPr>
        <w:t>.</w:t>
      </w:r>
      <w:r w:rsidR="00993962">
        <w:rPr>
          <w:rFonts w:ascii="Times New Roman" w:hAnsi="Times New Roman"/>
          <w:sz w:val="24"/>
          <w:szCs w:val="24"/>
        </w:rPr>
        <w:t xml:space="preserve"> </w:t>
      </w:r>
    </w:p>
    <w:p w:rsidR="00C832E3" w:rsidP="006906E0" w14:paraId="078C0725" w14:textId="77777777">
      <w:pPr>
        <w:tabs>
          <w:tab w:val="left" w:pos="720"/>
        </w:tabs>
        <w:overflowPunct/>
        <w:ind w:left="720" w:hanging="720"/>
        <w:textAlignment w:val="auto"/>
        <w:rPr>
          <w:rFonts w:ascii="Times New Roman" w:hAnsi="Times New Roman"/>
          <w:sz w:val="24"/>
          <w:szCs w:val="24"/>
        </w:rPr>
      </w:pPr>
    </w:p>
    <w:p w:rsidR="004F06C3" w:rsidRPr="00663D44" w:rsidP="004F06C3" w14:paraId="21FABCCF" w14:textId="77777777">
      <w:pPr>
        <w:rPr>
          <w:rFonts w:ascii="Times New Roman" w:hAnsi="Times New Roman"/>
          <w:b/>
          <w:sz w:val="24"/>
          <w:szCs w:val="24"/>
        </w:rPr>
      </w:pPr>
      <w:r w:rsidRPr="00663D44">
        <w:rPr>
          <w:rFonts w:ascii="Times New Roman" w:hAnsi="Times New Roman"/>
          <w:b/>
          <w:sz w:val="24"/>
          <w:szCs w:val="24"/>
        </w:rPr>
        <w:t>17.</w:t>
      </w:r>
      <w:r w:rsidRPr="00663D44">
        <w:rPr>
          <w:rFonts w:ascii="Times New Roman" w:hAnsi="Times New Roman"/>
          <w:b/>
          <w:sz w:val="24"/>
          <w:szCs w:val="24"/>
        </w:rPr>
        <w:tab/>
        <w:t>Request non-display the expiration date of the OMB control number.</w:t>
      </w:r>
    </w:p>
    <w:p w:rsidR="00914F9A" w:rsidP="006906E0" w14:paraId="2B2A04AD" w14:textId="77777777">
      <w:pPr>
        <w:tabs>
          <w:tab w:val="left" w:pos="720"/>
        </w:tabs>
        <w:overflowPunct/>
        <w:ind w:left="720" w:hanging="720"/>
        <w:textAlignment w:val="auto"/>
        <w:rPr>
          <w:rFonts w:ascii="Times New Roman" w:hAnsi="Times New Roman"/>
          <w:sz w:val="24"/>
          <w:szCs w:val="24"/>
        </w:rPr>
      </w:pPr>
    </w:p>
    <w:p w:rsidR="0027170E" w:rsidRPr="0027170E" w:rsidP="0027170E" w14:paraId="06023286" w14:textId="77777777">
      <w:pPr>
        <w:ind w:left="720"/>
        <w:rPr>
          <w:rFonts w:ascii="Times New Roman" w:hAnsi="Times New Roman"/>
          <w:sz w:val="24"/>
          <w:szCs w:val="24"/>
        </w:rPr>
      </w:pPr>
      <w:r w:rsidRPr="0027170E">
        <w:rPr>
          <w:rFonts w:ascii="Times New Roman" w:hAnsi="Times New Roman"/>
          <w:sz w:val="24"/>
          <w:szCs w:val="24"/>
        </w:rPr>
        <w:t xml:space="preserve">There are no traditional forms associated with this information collection requirement.  The OMB control number and expiration date associated with this PRA submission will </w:t>
      </w:r>
      <w:r w:rsidRPr="0027170E">
        <w:rPr>
          <w:rFonts w:ascii="Times New Roman" w:hAnsi="Times New Roman"/>
          <w:sz w:val="24"/>
          <w:szCs w:val="24"/>
        </w:rPr>
        <w:t xml:space="preserve">be displayed on the Federal Government’s electronic PRA docket website at </w:t>
      </w:r>
      <w:hyperlink r:id="rId6" w:history="1">
        <w:r w:rsidRPr="0027170E">
          <w:rPr>
            <w:rStyle w:val="Hyperlink"/>
            <w:rFonts w:ascii="Times New Roman" w:hAnsi="Times New Roman"/>
            <w:sz w:val="24"/>
            <w:szCs w:val="24"/>
          </w:rPr>
          <w:t>www.reginfo.gov</w:t>
        </w:r>
      </w:hyperlink>
      <w:r w:rsidRPr="0027170E">
        <w:rPr>
          <w:rFonts w:ascii="Times New Roman" w:hAnsi="Times New Roman"/>
          <w:sz w:val="24"/>
          <w:szCs w:val="24"/>
        </w:rPr>
        <w:t>.</w:t>
      </w:r>
    </w:p>
    <w:p w:rsidR="00914F9A" w:rsidRPr="008E7A7D" w:rsidP="006906E0" w14:paraId="1D58F1B5" w14:textId="77777777">
      <w:pPr>
        <w:tabs>
          <w:tab w:val="left" w:pos="720"/>
        </w:tabs>
        <w:overflowPunct/>
        <w:ind w:left="720" w:hanging="720"/>
        <w:textAlignment w:val="auto"/>
        <w:rPr>
          <w:rFonts w:ascii="Times New Roman" w:hAnsi="Times New Roman"/>
          <w:sz w:val="24"/>
          <w:szCs w:val="24"/>
        </w:rPr>
      </w:pPr>
    </w:p>
    <w:p w:rsidR="00663D44" w:rsidRPr="008E7A7D" w:rsidP="00663D44" w14:paraId="783D7AFA" w14:textId="77777777">
      <w:pPr>
        <w:rPr>
          <w:rFonts w:ascii="Times New Roman" w:hAnsi="Times New Roman"/>
          <w:b/>
          <w:sz w:val="24"/>
          <w:szCs w:val="24"/>
        </w:rPr>
      </w:pPr>
      <w:r w:rsidRPr="008E7A7D">
        <w:rPr>
          <w:rFonts w:ascii="Times New Roman" w:hAnsi="Times New Roman"/>
          <w:b/>
          <w:sz w:val="24"/>
          <w:szCs w:val="24"/>
        </w:rPr>
        <w:t>18.</w:t>
      </w:r>
      <w:r w:rsidRPr="008E7A7D">
        <w:rPr>
          <w:rFonts w:ascii="Times New Roman" w:hAnsi="Times New Roman"/>
          <w:b/>
          <w:sz w:val="24"/>
          <w:szCs w:val="24"/>
        </w:rPr>
        <w:tab/>
        <w:t>Exceptions to the Certification for Paperwork Reduction Act Submission.</w:t>
      </w:r>
    </w:p>
    <w:p w:rsidR="00914F9A" w:rsidRPr="008E7A7D" w:rsidP="006906E0" w14:paraId="69A3BAEF" w14:textId="77777777">
      <w:pPr>
        <w:tabs>
          <w:tab w:val="left" w:pos="720"/>
        </w:tabs>
        <w:overflowPunct/>
        <w:ind w:left="720" w:hanging="720"/>
        <w:textAlignment w:val="auto"/>
        <w:rPr>
          <w:rFonts w:ascii="Times New Roman" w:hAnsi="Times New Roman"/>
          <w:sz w:val="24"/>
          <w:szCs w:val="24"/>
        </w:rPr>
      </w:pPr>
    </w:p>
    <w:p w:rsidR="00914F9A" w:rsidRPr="008E7A7D" w:rsidP="006906E0" w14:paraId="4947553D" w14:textId="77777777">
      <w:pPr>
        <w:tabs>
          <w:tab w:val="left" w:pos="720"/>
        </w:tabs>
        <w:overflowPunct/>
        <w:ind w:left="720" w:hanging="720"/>
        <w:textAlignment w:val="auto"/>
        <w:rPr>
          <w:rFonts w:ascii="Times New Roman" w:hAnsi="Times New Roman"/>
          <w:sz w:val="24"/>
          <w:szCs w:val="24"/>
        </w:rPr>
      </w:pPr>
      <w:r w:rsidRPr="008E7A7D">
        <w:rPr>
          <w:rFonts w:ascii="Times New Roman" w:hAnsi="Times New Roman"/>
          <w:sz w:val="24"/>
          <w:szCs w:val="24"/>
        </w:rPr>
        <w:tab/>
      </w:r>
      <w:r w:rsidRPr="008E7A7D" w:rsidR="00993962">
        <w:rPr>
          <w:rFonts w:ascii="Times New Roman" w:hAnsi="Times New Roman"/>
          <w:sz w:val="24"/>
          <w:szCs w:val="24"/>
        </w:rPr>
        <w:t>There are no exceptions to the certification statement.</w:t>
      </w:r>
    </w:p>
    <w:p w:rsidR="00993962" w:rsidP="006906E0" w14:paraId="509DED03" w14:textId="77777777">
      <w:pPr>
        <w:tabs>
          <w:tab w:val="left" w:pos="720"/>
        </w:tabs>
        <w:overflowPunct/>
        <w:ind w:left="720" w:hanging="720"/>
        <w:textAlignment w:val="auto"/>
        <w:rPr>
          <w:rFonts w:ascii="Times New Roman" w:hAnsi="Times New Roman"/>
          <w:sz w:val="24"/>
          <w:szCs w:val="24"/>
        </w:rPr>
      </w:pPr>
    </w:p>
    <w:p w:rsidR="008E7A7D" w:rsidP="0020092D" w14:paraId="1DDAFD6E" w14:textId="77777777">
      <w:pPr>
        <w:tabs>
          <w:tab w:val="left" w:pos="720"/>
        </w:tabs>
        <w:overflowPunct/>
        <w:textAlignment w:val="auto"/>
        <w:rPr>
          <w:rFonts w:ascii="Times New Roman" w:hAnsi="Times New Roman"/>
          <w:sz w:val="24"/>
          <w:szCs w:val="24"/>
        </w:rPr>
      </w:pPr>
    </w:p>
    <w:p w:rsidR="00A32A72" w:rsidRPr="008E7A7D" w:rsidP="00E33386" w14:paraId="75392C84" w14:textId="77777777">
      <w:pPr>
        <w:pStyle w:val="ListParagraph"/>
        <w:numPr>
          <w:ilvl w:val="0"/>
          <w:numId w:val="9"/>
        </w:numPr>
        <w:tabs>
          <w:tab w:val="left" w:pos="720"/>
        </w:tabs>
        <w:suppressAutoHyphens/>
        <w:ind w:left="360"/>
        <w:rPr>
          <w:caps/>
        </w:rPr>
      </w:pPr>
      <w:r w:rsidRPr="008E7A7D">
        <w:rPr>
          <w:b/>
          <w:caps/>
        </w:rPr>
        <w:t>Collections of Information Employing Statistical Methods</w:t>
      </w:r>
    </w:p>
    <w:p w:rsidR="00A32A72" w:rsidP="00A32A72" w14:paraId="2D6DAFB4" w14:textId="77777777">
      <w:pPr>
        <w:tabs>
          <w:tab w:val="left" w:pos="-8213"/>
          <w:tab w:val="left" w:pos="-7207"/>
          <w:tab w:val="left" w:pos="-7090"/>
          <w:tab w:val="left" w:pos="-3415"/>
          <w:tab w:val="left" w:pos="-3298"/>
          <w:tab w:val="left" w:pos="-2159"/>
          <w:tab w:val="left" w:pos="-2041"/>
        </w:tabs>
        <w:suppressAutoHyphens/>
        <w:ind w:left="720"/>
      </w:pPr>
    </w:p>
    <w:p w:rsidR="00A32A72" w:rsidRPr="00A32A72" w:rsidP="003E1686" w14:paraId="63FA47A8" w14:textId="77777777">
      <w:pPr>
        <w:suppressAutoHyphens/>
        <w:ind w:left="720" w:hanging="720"/>
        <w:rPr>
          <w:rFonts w:ascii="Times New Roman" w:hAnsi="Times New Roman"/>
          <w:sz w:val="24"/>
          <w:szCs w:val="24"/>
        </w:rPr>
      </w:pPr>
      <w:r w:rsidRPr="00A32A72">
        <w:rPr>
          <w:rFonts w:ascii="Times New Roman" w:hAnsi="Times New Roman"/>
          <w:sz w:val="24"/>
          <w:szCs w:val="24"/>
        </w:rPr>
        <w:t xml:space="preserve">This collection does not involve statistical methods.  </w:t>
      </w:r>
    </w:p>
    <w:sectPr w:rsidSect="006906E0">
      <w:footerReference w:type="even" r:id="rId7"/>
      <w:footerReference w:type="default" r:id="rId8"/>
      <w:type w:val="continuous"/>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057" w14:paraId="3990658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22057" w14:paraId="73935FA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057" w:rsidRPr="003E1686" w14:paraId="2C64929B" w14:textId="77777777">
    <w:pPr>
      <w:pStyle w:val="Footer"/>
      <w:framePr w:wrap="around" w:vAnchor="text" w:hAnchor="margin" w:xAlign="right" w:y="1"/>
      <w:rPr>
        <w:rStyle w:val="PageNumber"/>
        <w:rFonts w:ascii="Times New Roman" w:hAnsi="Times New Roman"/>
        <w:sz w:val="24"/>
        <w:szCs w:val="24"/>
      </w:rPr>
    </w:pPr>
    <w:r w:rsidRPr="003E1686">
      <w:rPr>
        <w:rStyle w:val="PageNumber"/>
        <w:rFonts w:ascii="Times New Roman" w:hAnsi="Times New Roman"/>
        <w:sz w:val="24"/>
        <w:szCs w:val="24"/>
      </w:rPr>
      <w:fldChar w:fldCharType="begin"/>
    </w:r>
    <w:r w:rsidRPr="003E1686">
      <w:rPr>
        <w:rStyle w:val="PageNumber"/>
        <w:rFonts w:ascii="Times New Roman" w:hAnsi="Times New Roman"/>
        <w:sz w:val="24"/>
        <w:szCs w:val="24"/>
      </w:rPr>
      <w:instrText xml:space="preserve">PAGE  </w:instrText>
    </w:r>
    <w:r w:rsidRPr="003E1686">
      <w:rPr>
        <w:rStyle w:val="PageNumber"/>
        <w:rFonts w:ascii="Times New Roman" w:hAnsi="Times New Roman"/>
        <w:sz w:val="24"/>
        <w:szCs w:val="24"/>
      </w:rPr>
      <w:fldChar w:fldCharType="separate"/>
    </w:r>
    <w:r w:rsidR="003B4555">
      <w:rPr>
        <w:rStyle w:val="PageNumber"/>
        <w:rFonts w:ascii="Times New Roman" w:hAnsi="Times New Roman"/>
        <w:noProof/>
        <w:sz w:val="24"/>
        <w:szCs w:val="24"/>
      </w:rPr>
      <w:t>2</w:t>
    </w:r>
    <w:r w:rsidRPr="003E1686">
      <w:rPr>
        <w:rStyle w:val="PageNumber"/>
        <w:rFonts w:ascii="Times New Roman" w:hAnsi="Times New Roman"/>
        <w:sz w:val="24"/>
        <w:szCs w:val="24"/>
      </w:rPr>
      <w:fldChar w:fldCharType="end"/>
    </w:r>
  </w:p>
  <w:p w:rsidR="00522057" w:rsidRPr="003E1686" w14:paraId="29591442" w14:textId="37D59876">
    <w:pPr>
      <w:pStyle w:val="Footer"/>
      <w:ind w:right="360"/>
      <w:rPr>
        <w:rFonts w:ascii="Times New Roman" w:hAnsi="Times New Roman"/>
        <w:i/>
        <w:sz w:val="24"/>
        <w:szCs w:val="24"/>
      </w:rPr>
    </w:pPr>
    <w:r w:rsidRPr="003E1686">
      <w:rPr>
        <w:rFonts w:ascii="Times New Roman" w:hAnsi="Times New Roman"/>
        <w:i/>
        <w:sz w:val="24"/>
        <w:szCs w:val="24"/>
      </w:rPr>
      <w:t>OMB No. 3133-0103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2836" w14:paraId="139BEBE0" w14:textId="77777777">
      <w:r>
        <w:separator/>
      </w:r>
    </w:p>
  </w:footnote>
  <w:footnote w:type="continuationSeparator" w:id="1">
    <w:p w:rsidR="00BD2836" w14:paraId="2EF08006" w14:textId="77777777">
      <w:r>
        <w:continuationSeparator/>
      </w:r>
    </w:p>
  </w:footnote>
  <w:footnote w:id="2">
    <w:p w:rsidR="00047792" w14:paraId="32712794" w14:textId="77777777">
      <w:pPr>
        <w:pStyle w:val="FootnoteText"/>
      </w:pPr>
      <w:r>
        <w:rPr>
          <w:rStyle w:val="FootnoteReference"/>
        </w:rPr>
        <w:footnoteRef/>
      </w:r>
      <w:r>
        <w:t xml:space="preserve"> The threshold amount is adjusted annually to reflect increase in the Consumer Price Index for Urban Wage Earners and Clerical Workers (</w:t>
      </w:r>
      <w:r>
        <w:rPr>
          <w:rFonts w:ascii="Times New Roman" w:hAnsi="Times New Roman"/>
        </w:rPr>
        <w:t>§</w:t>
      </w:r>
      <w:r>
        <w:t>1013.1(e)(1)).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1C50601A"/>
    <w:multiLevelType w:val="hybridMultilevel"/>
    <w:tmpl w:val="EEC4717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4AA10BE"/>
    <w:multiLevelType w:val="hybridMultilevel"/>
    <w:tmpl w:val="E4EA74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3BFF6233"/>
    <w:multiLevelType w:val="hybridMultilevel"/>
    <w:tmpl w:val="1A6AC25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44E41669"/>
    <w:multiLevelType w:val="hybridMultilevel"/>
    <w:tmpl w:val="C472F132"/>
    <w:lvl w:ilvl="0">
      <w:start w:val="2"/>
      <w:numFmt w:val="upperLetter"/>
      <w:lvlText w:val="%1."/>
      <w:lvlJc w:val="left"/>
      <w:pPr>
        <w:ind w:left="108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A4F0487"/>
    <w:multiLevelType w:val="hybridMultilevel"/>
    <w:tmpl w:val="4078CB5A"/>
    <w:lvl w:ilvl="0">
      <w:start w:val="1"/>
      <w:numFmt w:val="upperLetter"/>
      <w:lvlText w:val="%1."/>
      <w:lvlJc w:val="left"/>
      <w:pPr>
        <w:ind w:left="360" w:hanging="360"/>
      </w:pPr>
      <w:rPr>
        <w:rFonts w:hint="default"/>
        <w:b/>
        <w:u w:val="none"/>
      </w:rPr>
    </w:lvl>
    <w:lvl w:ilvl="1">
      <w:start w:val="1"/>
      <w:numFmt w:val="lowerLetter"/>
      <w:lvlText w:val="%2."/>
      <w:lvlJc w:val="left"/>
      <w:pPr>
        <w:ind w:left="1080" w:hanging="360"/>
      </w:pPr>
    </w:lvl>
    <w:lvl w:ilvl="2">
      <w:start w:val="1"/>
      <w:numFmt w:val="low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F47285B"/>
    <w:multiLevelType w:val="hybridMultilevel"/>
    <w:tmpl w:val="594ACC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6177DF1"/>
    <w:multiLevelType w:val="hybridMultilevel"/>
    <w:tmpl w:val="7B04B78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4264679"/>
    <w:multiLevelType w:val="hybridMultilevel"/>
    <w:tmpl w:val="BE7C2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2C24D41"/>
    <w:multiLevelType w:val="hybridMultilevel"/>
    <w:tmpl w:val="82020B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4">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76595615">
    <w:abstractNumId w:val="8"/>
  </w:num>
  <w:num w:numId="2" w16cid:durableId="1596666139">
    <w:abstractNumId w:val="9"/>
  </w:num>
  <w:num w:numId="3" w16cid:durableId="2133209188">
    <w:abstractNumId w:val="3"/>
  </w:num>
  <w:num w:numId="4" w16cid:durableId="688066050">
    <w:abstractNumId w:val="12"/>
  </w:num>
  <w:num w:numId="5" w16cid:durableId="612175396">
    <w:abstractNumId w:val="10"/>
  </w:num>
  <w:num w:numId="6" w16cid:durableId="19823308">
    <w:abstractNumId w:val="4"/>
  </w:num>
  <w:num w:numId="7" w16cid:durableId="264726173">
    <w:abstractNumId w:val="5"/>
  </w:num>
  <w:num w:numId="8" w16cid:durableId="721246845">
    <w:abstractNumId w:val="7"/>
  </w:num>
  <w:num w:numId="9" w16cid:durableId="7802639">
    <w:abstractNumId w:val="6"/>
  </w:num>
  <w:num w:numId="10" w16cid:durableId="2142797329">
    <w:abstractNumId w:val="11"/>
  </w:num>
  <w:num w:numId="11" w16cid:durableId="188621185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927809719">
    <w:abstractNumId w:val="14"/>
  </w:num>
  <w:num w:numId="13" w16cid:durableId="432170973">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4" w16cid:durableId="481891513">
    <w:abstractNumId w:val="2"/>
  </w:num>
  <w:num w:numId="15" w16cid:durableId="1443066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E1"/>
    <w:rsid w:val="00002C43"/>
    <w:rsid w:val="00030554"/>
    <w:rsid w:val="00047792"/>
    <w:rsid w:val="00072F15"/>
    <w:rsid w:val="00080F2B"/>
    <w:rsid w:val="000A451C"/>
    <w:rsid w:val="000A751B"/>
    <w:rsid w:val="000A7CAF"/>
    <w:rsid w:val="000B75A5"/>
    <w:rsid w:val="000C0CE4"/>
    <w:rsid w:val="000C3714"/>
    <w:rsid w:val="000D63C8"/>
    <w:rsid w:val="000E4CCC"/>
    <w:rsid w:val="00145322"/>
    <w:rsid w:val="00162B59"/>
    <w:rsid w:val="0017638E"/>
    <w:rsid w:val="00176527"/>
    <w:rsid w:val="00180262"/>
    <w:rsid w:val="001841A0"/>
    <w:rsid w:val="00192A42"/>
    <w:rsid w:val="001936C2"/>
    <w:rsid w:val="001B14C9"/>
    <w:rsid w:val="001B33D8"/>
    <w:rsid w:val="001C772B"/>
    <w:rsid w:val="0020092D"/>
    <w:rsid w:val="00216A98"/>
    <w:rsid w:val="00225A4F"/>
    <w:rsid w:val="00234683"/>
    <w:rsid w:val="00236B9A"/>
    <w:rsid w:val="002426FC"/>
    <w:rsid w:val="00243A26"/>
    <w:rsid w:val="002472E2"/>
    <w:rsid w:val="00250842"/>
    <w:rsid w:val="00251170"/>
    <w:rsid w:val="00252BB5"/>
    <w:rsid w:val="00253497"/>
    <w:rsid w:val="00256342"/>
    <w:rsid w:val="00257CE7"/>
    <w:rsid w:val="002614B2"/>
    <w:rsid w:val="00261F9B"/>
    <w:rsid w:val="0027170E"/>
    <w:rsid w:val="00283CE5"/>
    <w:rsid w:val="002972A0"/>
    <w:rsid w:val="002979B4"/>
    <w:rsid w:val="002A23AE"/>
    <w:rsid w:val="002A350E"/>
    <w:rsid w:val="002B7C6F"/>
    <w:rsid w:val="002D16F1"/>
    <w:rsid w:val="002D6744"/>
    <w:rsid w:val="002D7A1F"/>
    <w:rsid w:val="002F16FA"/>
    <w:rsid w:val="00313531"/>
    <w:rsid w:val="00313CAE"/>
    <w:rsid w:val="003222A8"/>
    <w:rsid w:val="003339E9"/>
    <w:rsid w:val="00335460"/>
    <w:rsid w:val="00345D50"/>
    <w:rsid w:val="00346E76"/>
    <w:rsid w:val="003475D4"/>
    <w:rsid w:val="00361B9A"/>
    <w:rsid w:val="0037764E"/>
    <w:rsid w:val="00384BFA"/>
    <w:rsid w:val="003A0A7A"/>
    <w:rsid w:val="003B1930"/>
    <w:rsid w:val="003B4555"/>
    <w:rsid w:val="003C0000"/>
    <w:rsid w:val="003C1B01"/>
    <w:rsid w:val="003C6683"/>
    <w:rsid w:val="003E1686"/>
    <w:rsid w:val="00405F41"/>
    <w:rsid w:val="0043250D"/>
    <w:rsid w:val="00440600"/>
    <w:rsid w:val="004814B8"/>
    <w:rsid w:val="004874FD"/>
    <w:rsid w:val="004912B7"/>
    <w:rsid w:val="004C4365"/>
    <w:rsid w:val="004D09E1"/>
    <w:rsid w:val="004D5CDF"/>
    <w:rsid w:val="004D66A5"/>
    <w:rsid w:val="004E0986"/>
    <w:rsid w:val="004F06C3"/>
    <w:rsid w:val="00522057"/>
    <w:rsid w:val="00541507"/>
    <w:rsid w:val="0054203B"/>
    <w:rsid w:val="00544E75"/>
    <w:rsid w:val="00550D86"/>
    <w:rsid w:val="005522EC"/>
    <w:rsid w:val="00552F88"/>
    <w:rsid w:val="0057020C"/>
    <w:rsid w:val="00577FFA"/>
    <w:rsid w:val="005D4722"/>
    <w:rsid w:val="00624A35"/>
    <w:rsid w:val="00625090"/>
    <w:rsid w:val="006440C5"/>
    <w:rsid w:val="00652F71"/>
    <w:rsid w:val="00663D44"/>
    <w:rsid w:val="00666ADD"/>
    <w:rsid w:val="00667E4F"/>
    <w:rsid w:val="006906E0"/>
    <w:rsid w:val="00692278"/>
    <w:rsid w:val="00692359"/>
    <w:rsid w:val="00692667"/>
    <w:rsid w:val="006C5E2C"/>
    <w:rsid w:val="006C7014"/>
    <w:rsid w:val="006D1412"/>
    <w:rsid w:val="006F60FA"/>
    <w:rsid w:val="00705B93"/>
    <w:rsid w:val="00736F9B"/>
    <w:rsid w:val="007379AD"/>
    <w:rsid w:val="007440AB"/>
    <w:rsid w:val="00757199"/>
    <w:rsid w:val="00783004"/>
    <w:rsid w:val="00795DBA"/>
    <w:rsid w:val="007E1931"/>
    <w:rsid w:val="00802A09"/>
    <w:rsid w:val="00811AA3"/>
    <w:rsid w:val="008369AF"/>
    <w:rsid w:val="00844910"/>
    <w:rsid w:val="0086275C"/>
    <w:rsid w:val="00874EE6"/>
    <w:rsid w:val="00883AB1"/>
    <w:rsid w:val="00886152"/>
    <w:rsid w:val="008A0F7A"/>
    <w:rsid w:val="008A361A"/>
    <w:rsid w:val="008B3A06"/>
    <w:rsid w:val="008C3AC0"/>
    <w:rsid w:val="008D53C4"/>
    <w:rsid w:val="008E7A7D"/>
    <w:rsid w:val="00914F9A"/>
    <w:rsid w:val="00922784"/>
    <w:rsid w:val="00923E6F"/>
    <w:rsid w:val="0094680C"/>
    <w:rsid w:val="00952CB6"/>
    <w:rsid w:val="00957D59"/>
    <w:rsid w:val="00972719"/>
    <w:rsid w:val="009730EF"/>
    <w:rsid w:val="00990F86"/>
    <w:rsid w:val="0099125D"/>
    <w:rsid w:val="009916C2"/>
    <w:rsid w:val="0099287E"/>
    <w:rsid w:val="00993962"/>
    <w:rsid w:val="009A69D1"/>
    <w:rsid w:val="009B420A"/>
    <w:rsid w:val="009B71CF"/>
    <w:rsid w:val="009C419F"/>
    <w:rsid w:val="009C7E9B"/>
    <w:rsid w:val="009D3036"/>
    <w:rsid w:val="009F5013"/>
    <w:rsid w:val="00A06A8E"/>
    <w:rsid w:val="00A13618"/>
    <w:rsid w:val="00A32A72"/>
    <w:rsid w:val="00A373E6"/>
    <w:rsid w:val="00A46A23"/>
    <w:rsid w:val="00A541E0"/>
    <w:rsid w:val="00A61E78"/>
    <w:rsid w:val="00A64CEA"/>
    <w:rsid w:val="00A70F6E"/>
    <w:rsid w:val="00A952CF"/>
    <w:rsid w:val="00AB0011"/>
    <w:rsid w:val="00AB6358"/>
    <w:rsid w:val="00AC32A1"/>
    <w:rsid w:val="00AD72D5"/>
    <w:rsid w:val="00B20C72"/>
    <w:rsid w:val="00B20DD3"/>
    <w:rsid w:val="00B21026"/>
    <w:rsid w:val="00B2401B"/>
    <w:rsid w:val="00B26188"/>
    <w:rsid w:val="00B46A78"/>
    <w:rsid w:val="00B51DD7"/>
    <w:rsid w:val="00BA6A2F"/>
    <w:rsid w:val="00BC0BB3"/>
    <w:rsid w:val="00BD2836"/>
    <w:rsid w:val="00BD7F66"/>
    <w:rsid w:val="00BE13D3"/>
    <w:rsid w:val="00BE4A63"/>
    <w:rsid w:val="00BF5F30"/>
    <w:rsid w:val="00C0157C"/>
    <w:rsid w:val="00C03BCD"/>
    <w:rsid w:val="00C14C7D"/>
    <w:rsid w:val="00C23636"/>
    <w:rsid w:val="00C34AF1"/>
    <w:rsid w:val="00C62D7A"/>
    <w:rsid w:val="00C66250"/>
    <w:rsid w:val="00C678DF"/>
    <w:rsid w:val="00C70444"/>
    <w:rsid w:val="00C72435"/>
    <w:rsid w:val="00C832E3"/>
    <w:rsid w:val="00C925CB"/>
    <w:rsid w:val="00C93402"/>
    <w:rsid w:val="00C97723"/>
    <w:rsid w:val="00CA256F"/>
    <w:rsid w:val="00CB4103"/>
    <w:rsid w:val="00CC0F39"/>
    <w:rsid w:val="00CC360A"/>
    <w:rsid w:val="00CE6CBA"/>
    <w:rsid w:val="00CF1FF3"/>
    <w:rsid w:val="00CF7739"/>
    <w:rsid w:val="00D2137F"/>
    <w:rsid w:val="00D26BC4"/>
    <w:rsid w:val="00D37755"/>
    <w:rsid w:val="00D5544C"/>
    <w:rsid w:val="00D5781D"/>
    <w:rsid w:val="00D57DA9"/>
    <w:rsid w:val="00D90EDB"/>
    <w:rsid w:val="00DD7DDD"/>
    <w:rsid w:val="00DE11B5"/>
    <w:rsid w:val="00DE4A7B"/>
    <w:rsid w:val="00E058BF"/>
    <w:rsid w:val="00E13842"/>
    <w:rsid w:val="00E25BCB"/>
    <w:rsid w:val="00E30230"/>
    <w:rsid w:val="00E321BD"/>
    <w:rsid w:val="00E33386"/>
    <w:rsid w:val="00E34C5C"/>
    <w:rsid w:val="00E53D8E"/>
    <w:rsid w:val="00E550C2"/>
    <w:rsid w:val="00EA5D1D"/>
    <w:rsid w:val="00EB002A"/>
    <w:rsid w:val="00EB5EEA"/>
    <w:rsid w:val="00ED11F2"/>
    <w:rsid w:val="00ED2E1E"/>
    <w:rsid w:val="00EE2363"/>
    <w:rsid w:val="00F103B6"/>
    <w:rsid w:val="00F300F1"/>
    <w:rsid w:val="00F348D0"/>
    <w:rsid w:val="00F967CB"/>
    <w:rsid w:val="00FB6E06"/>
    <w:rsid w:val="00FC28BA"/>
    <w:rsid w:val="00FC68D6"/>
    <w:rsid w:val="00FD03F2"/>
    <w:rsid w:val="00FF1A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10C592"/>
  <w15:chartTrackingRefBased/>
  <w15:docId w15:val="{5E5C2755-7379-4B22-B915-AE3E250E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Header">
    <w:name w:val="header"/>
    <w:basedOn w:val="Normal"/>
    <w:link w:val="HeaderChar"/>
    <w:uiPriority w:val="99"/>
    <w:unhideWhenUsed/>
    <w:rsid w:val="008369AF"/>
    <w:pPr>
      <w:tabs>
        <w:tab w:val="center" w:pos="4680"/>
        <w:tab w:val="right" w:pos="9360"/>
      </w:tabs>
    </w:pPr>
  </w:style>
  <w:style w:type="character" w:customStyle="1" w:styleId="HeaderChar">
    <w:name w:val="Header Char"/>
    <w:basedOn w:val="DefaultParagraphFont"/>
    <w:link w:val="Header"/>
    <w:uiPriority w:val="99"/>
    <w:rsid w:val="008369AF"/>
  </w:style>
  <w:style w:type="character" w:customStyle="1" w:styleId="FooterChar">
    <w:name w:val="Footer Char"/>
    <w:link w:val="Footer"/>
    <w:uiPriority w:val="99"/>
    <w:rsid w:val="00CC0F39"/>
  </w:style>
  <w:style w:type="paragraph" w:styleId="FootnoteText">
    <w:name w:val="footnote text"/>
    <w:basedOn w:val="Normal"/>
    <w:link w:val="FootnoteTextChar"/>
    <w:uiPriority w:val="99"/>
    <w:semiHidden/>
    <w:unhideWhenUsed/>
    <w:rsid w:val="00CC0F39"/>
  </w:style>
  <w:style w:type="character" w:customStyle="1" w:styleId="FootnoteTextChar">
    <w:name w:val="Footnote Text Char"/>
    <w:basedOn w:val="DefaultParagraphFont"/>
    <w:link w:val="FootnoteText"/>
    <w:uiPriority w:val="99"/>
    <w:semiHidden/>
    <w:rsid w:val="00CC0F39"/>
  </w:style>
  <w:style w:type="character" w:styleId="FootnoteReference">
    <w:name w:val="footnote reference"/>
    <w:uiPriority w:val="99"/>
    <w:semiHidden/>
    <w:unhideWhenUsed/>
    <w:rsid w:val="00CC0F39"/>
    <w:rPr>
      <w:vertAlign w:val="superscript"/>
    </w:rPr>
  </w:style>
  <w:style w:type="table" w:styleId="TableGrid">
    <w:name w:val="Table Grid"/>
    <w:basedOn w:val="TableNormal"/>
    <w:uiPriority w:val="59"/>
    <w:rsid w:val="00883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83AB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CommentReference">
    <w:name w:val="annotation reference"/>
    <w:uiPriority w:val="99"/>
    <w:semiHidden/>
    <w:unhideWhenUsed/>
    <w:rsid w:val="00CB4103"/>
    <w:rPr>
      <w:sz w:val="16"/>
      <w:szCs w:val="16"/>
    </w:rPr>
  </w:style>
  <w:style w:type="paragraph" w:styleId="CommentText">
    <w:name w:val="annotation text"/>
    <w:basedOn w:val="Normal"/>
    <w:link w:val="CommentTextChar"/>
    <w:uiPriority w:val="99"/>
    <w:semiHidden/>
    <w:unhideWhenUsed/>
    <w:rsid w:val="00CB4103"/>
  </w:style>
  <w:style w:type="character" w:customStyle="1" w:styleId="CommentTextChar">
    <w:name w:val="Comment Text Char"/>
    <w:basedOn w:val="DefaultParagraphFont"/>
    <w:link w:val="CommentText"/>
    <w:uiPriority w:val="99"/>
    <w:semiHidden/>
    <w:rsid w:val="00CB4103"/>
  </w:style>
  <w:style w:type="paragraph" w:styleId="CommentSubject">
    <w:name w:val="annotation subject"/>
    <w:basedOn w:val="CommentText"/>
    <w:next w:val="CommentText"/>
    <w:link w:val="CommentSubjectChar"/>
    <w:uiPriority w:val="99"/>
    <w:semiHidden/>
    <w:unhideWhenUsed/>
    <w:rsid w:val="00CB4103"/>
    <w:rPr>
      <w:b/>
      <w:bCs/>
    </w:rPr>
  </w:style>
  <w:style w:type="character" w:customStyle="1" w:styleId="CommentSubjectChar">
    <w:name w:val="Comment Subject Char"/>
    <w:link w:val="CommentSubject"/>
    <w:uiPriority w:val="99"/>
    <w:semiHidden/>
    <w:rsid w:val="00CB4103"/>
    <w:rPr>
      <w:b/>
      <w:bCs/>
    </w:rPr>
  </w:style>
  <w:style w:type="paragraph" w:styleId="BalloonText">
    <w:name w:val="Balloon Text"/>
    <w:basedOn w:val="Normal"/>
    <w:link w:val="BalloonTextChar"/>
    <w:uiPriority w:val="99"/>
    <w:semiHidden/>
    <w:unhideWhenUsed/>
    <w:rsid w:val="00CB4103"/>
    <w:rPr>
      <w:rFonts w:ascii="Segoe UI" w:hAnsi="Segoe UI" w:cs="Segoe UI"/>
      <w:sz w:val="18"/>
      <w:szCs w:val="18"/>
    </w:rPr>
  </w:style>
  <w:style w:type="character" w:customStyle="1" w:styleId="BalloonTextChar">
    <w:name w:val="Balloon Text Char"/>
    <w:link w:val="BalloonText"/>
    <w:uiPriority w:val="99"/>
    <w:semiHidden/>
    <w:rsid w:val="00CB4103"/>
    <w:rPr>
      <w:rFonts w:ascii="Segoe UI" w:hAnsi="Segoe UI" w:cs="Segoe UI"/>
      <w:sz w:val="18"/>
      <w:szCs w:val="18"/>
    </w:rPr>
  </w:style>
  <w:style w:type="paragraph" w:styleId="ListParagraph">
    <w:name w:val="List Paragraph"/>
    <w:basedOn w:val="Normal"/>
    <w:uiPriority w:val="34"/>
    <w:qFormat/>
    <w:rsid w:val="00A32A72"/>
    <w:pPr>
      <w:overflowPunct/>
      <w:autoSpaceDE/>
      <w:autoSpaceDN/>
      <w:adjustRightInd/>
      <w:ind w:left="720"/>
      <w:contextualSpacing/>
      <w:textAlignment w:val="auto"/>
    </w:pPr>
    <w:rPr>
      <w:rFonts w:ascii="Times New Roman" w:hAnsi="Times New Roman"/>
      <w:sz w:val="24"/>
      <w:szCs w:val="24"/>
    </w:rPr>
  </w:style>
  <w:style w:type="paragraph" w:styleId="BodyTextIndent2">
    <w:name w:val="Body Text Indent 2"/>
    <w:basedOn w:val="Normal"/>
    <w:link w:val="BodyTextIndent2Char"/>
    <w:uiPriority w:val="99"/>
    <w:unhideWhenUsed/>
    <w:rsid w:val="004F06C3"/>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link w:val="BodyTextIndent2"/>
    <w:uiPriority w:val="99"/>
    <w:rsid w:val="004F06C3"/>
    <w:rPr>
      <w:rFonts w:ascii="Times New Roman" w:hAnsi="Times New Roman"/>
      <w:sz w:val="24"/>
      <w:szCs w:val="24"/>
    </w:rPr>
  </w:style>
  <w:style w:type="paragraph" w:customStyle="1" w:styleId="Level1">
    <w:name w:val="Level 1"/>
    <w:basedOn w:val="Normal"/>
    <w:rsid w:val="004F06C3"/>
    <w:pPr>
      <w:widowControl w:val="0"/>
      <w:numPr>
        <w:numId w:val="11"/>
      </w:numPr>
      <w:overflowPunct/>
      <w:ind w:left="474" w:hanging="186"/>
      <w:textAlignment w:val="auto"/>
      <w:outlineLvl w:val="0"/>
    </w:pPr>
    <w:rPr>
      <w:rFonts w:ascii="Times New Roman" w:hAnsi="Times New Roman"/>
      <w:sz w:val="24"/>
      <w:szCs w:val="24"/>
    </w:rPr>
  </w:style>
  <w:style w:type="paragraph" w:customStyle="1" w:styleId="Level2">
    <w:name w:val="Level 2"/>
    <w:basedOn w:val="Normal"/>
    <w:rsid w:val="004F06C3"/>
    <w:pPr>
      <w:widowControl w:val="0"/>
      <w:overflowPunct/>
      <w:ind w:left="722" w:hanging="361"/>
      <w:textAlignment w:val="auto"/>
    </w:pPr>
    <w:rPr>
      <w:rFonts w:ascii="Times New Roman" w:hAnsi="Times New Roman"/>
      <w:sz w:val="24"/>
      <w:szCs w:val="24"/>
    </w:rPr>
  </w:style>
  <w:style w:type="character" w:styleId="Hyperlink">
    <w:name w:val="Hyperlink"/>
    <w:rsid w:val="00663D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C4550-F889-4597-9FE7-A5EEF9F2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1641</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Vixamar, Mahala</cp:lastModifiedBy>
  <cp:revision>4</cp:revision>
  <cp:lastPrinted>2020-01-02T15:15:00Z</cp:lastPrinted>
  <dcterms:created xsi:type="dcterms:W3CDTF">2023-06-07T19:28:00Z</dcterms:created>
  <dcterms:modified xsi:type="dcterms:W3CDTF">2023-06-07T19:33:00Z</dcterms:modified>
</cp:coreProperties>
</file>