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4B05" w:rsidR="005C4B05" w:rsidP="005C4B05" w:rsidRDefault="005C4B05" w14:paraId="08CC4582" w14:textId="77777777">
      <w:pPr>
        <w:pageBreakBefore/>
        <w:overflowPunct w:val="0"/>
        <w:autoSpaceDE w:val="0"/>
        <w:autoSpaceDN w:val="0"/>
        <w:adjustRightInd w:val="0"/>
        <w:spacing w:line="259" w:lineRule="auto"/>
        <w:textAlignment w:val="baseline"/>
        <w:outlineLvl w:val="0"/>
        <w:rPr>
          <w:rFonts w:ascii="Arial Narrow" w:hAnsi="Arial Narrow" w:eastAsia="Times New Roman" w:cs="Times New Roman"/>
          <w:b/>
          <w:caps/>
          <w:sz w:val="36"/>
          <w:szCs w:val="36"/>
        </w:rPr>
      </w:pPr>
      <w:bookmarkStart w:name="_Toc92453209" w:id="0"/>
      <w:bookmarkStart w:name="_GoBack" w:id="1"/>
      <w:bookmarkEnd w:id="1"/>
      <w:r w:rsidRPr="005C4B05">
        <w:rPr>
          <w:rFonts w:ascii="Arial Narrow" w:hAnsi="Arial Narrow" w:eastAsia="Times New Roman" w:cs="Times New Roman"/>
          <w:b/>
          <w:caps/>
          <w:sz w:val="36"/>
          <w:szCs w:val="36"/>
        </w:rPr>
        <w:t>NCUA FORM 5300 – Page 23</w:t>
      </w:r>
      <w:bookmarkEnd w:id="0"/>
    </w:p>
    <w:p w:rsidRPr="005C4B05" w:rsidR="005C4B05" w:rsidP="005C4B05" w:rsidRDefault="005C4B05" w14:paraId="1F934147" w14:textId="77777777">
      <w:pPr>
        <w:keepNext/>
        <w:pBdr>
          <w:bottom w:val="single" w:color="auto" w:sz="18" w:space="1"/>
        </w:pBdr>
        <w:overflowPunct w:val="0"/>
        <w:autoSpaceDE w:val="0"/>
        <w:autoSpaceDN w:val="0"/>
        <w:adjustRightInd w:val="0"/>
        <w:spacing w:after="120"/>
        <w:textAlignment w:val="baseline"/>
        <w:outlineLvl w:val="1"/>
        <w:rPr>
          <w:rFonts w:ascii="Arial Narrow" w:hAnsi="Arial Narrow" w:eastAsia="Times New Roman" w:cs="Times New Roman"/>
          <w:b/>
          <w:i/>
          <w:sz w:val="36"/>
          <w:szCs w:val="32"/>
        </w:rPr>
      </w:pPr>
      <w:bookmarkStart w:name="_Toc92453210" w:id="2"/>
      <w:r w:rsidRPr="005C4B05">
        <w:rPr>
          <w:rFonts w:ascii="Arial Narrow" w:hAnsi="Arial Narrow" w:eastAsia="Times New Roman" w:cs="Times New Roman"/>
          <w:b/>
          <w:i/>
          <w:sz w:val="36"/>
          <w:szCs w:val="32"/>
        </w:rPr>
        <w:t>Schedule H – COMPLEX CREDIT UNION LEVERAGE RATIO CALCULATION</w:t>
      </w:r>
      <w:bookmarkEnd w:id="2"/>
    </w:p>
    <w:p w:rsidRPr="005C4B05" w:rsidR="005C4B05" w:rsidP="005C4B05" w:rsidRDefault="005C4B05" w14:paraId="6F3C0B58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>Schedule H collects information necessary to determine a complex credit union’s election, eligibility, and qualifying criteria for the complex credit union leverage ratio (CCULR) framework described in §702.104(d).</w:t>
      </w:r>
    </w:p>
    <w:p w:rsidRPr="005C4B05" w:rsidR="005C4B05" w:rsidP="005C4B05" w:rsidRDefault="005C4B05" w14:paraId="6D8C24E7" w14:textId="77777777">
      <w:pPr>
        <w:pBdr>
          <w:top w:val="single" w:color="auto" w:sz="18" w:space="10"/>
          <w:bottom w:val="single" w:color="auto" w:sz="18" w:space="10"/>
        </w:pBdr>
        <w:shd w:val="clear" w:color="auto" w:fill="CFD9F0"/>
        <w:overflowPunct w:val="0"/>
        <w:autoSpaceDE w:val="0"/>
        <w:autoSpaceDN w:val="0"/>
        <w:adjustRightInd w:val="0"/>
        <w:spacing w:before="360" w:after="360"/>
        <w:ind w:left="864" w:right="864"/>
        <w:textAlignment w:val="baseline"/>
        <w:rPr>
          <w:rFonts w:ascii="Verdana" w:hAnsi="Verdana" w:eastAsia="Times New Roman" w:cs="Times New Roman"/>
          <w:iCs/>
          <w:sz w:val="22"/>
          <w:szCs w:val="24"/>
        </w:rPr>
      </w:pPr>
      <w:r w:rsidRPr="005C4B05">
        <w:rPr>
          <w:rFonts w:ascii="Verdana" w:hAnsi="Verdana" w:eastAsia="Times New Roman" w:cs="Times New Roman"/>
          <w:iCs/>
          <w:sz w:val="22"/>
          <w:szCs w:val="24"/>
        </w:rPr>
        <w:t>All federally insured credit unions over $500 million in assets may opt into the CCULR framework if they meet the eligibility and qualifying criteria on this form.</w:t>
      </w:r>
    </w:p>
    <w:p w:rsidRPr="005C4B05" w:rsidR="005C4B05" w:rsidP="005C4B05" w:rsidRDefault="005C4B05" w14:paraId="3470AE86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>Complex credit unions that do not opt into or qualify for the CCULR framework must complete Schedule I for the Risk-Based Capital (RBC) calculation.</w:t>
      </w:r>
    </w:p>
    <w:p w:rsidRPr="005C4B05" w:rsidR="005C4B05" w:rsidP="005C4B05" w:rsidRDefault="005C4B05" w14:paraId="61E42737" w14:textId="77777777">
      <w:pPr>
        <w:keepNext/>
        <w:overflowPunct w:val="0"/>
        <w:autoSpaceDE w:val="0"/>
        <w:autoSpaceDN w:val="0"/>
        <w:adjustRightInd w:val="0"/>
        <w:spacing w:before="200"/>
        <w:textAlignment w:val="baseline"/>
        <w:rPr>
          <w:rFonts w:ascii="Verdana" w:hAnsi="Verdana" w:eastAsia="Times New Roman" w:cs="Times New Roman"/>
          <w:b/>
          <w:bCs/>
          <w:szCs w:val="24"/>
        </w:rPr>
      </w:pPr>
      <w:bookmarkStart w:name="_Ref79671775" w:id="3"/>
      <w:r w:rsidRPr="005C4B05">
        <w:rPr>
          <w:rFonts w:ascii="Verdana" w:hAnsi="Verdana" w:eastAsia="Times New Roman" w:cs="Times New Roman"/>
          <w:b/>
          <w:bCs/>
          <w:szCs w:val="24"/>
        </w:rPr>
        <w:t xml:space="preserve">Table </w:t>
      </w:r>
      <w:r w:rsidRPr="005C4B05">
        <w:rPr>
          <w:rFonts w:ascii="Verdana" w:hAnsi="Verdana" w:eastAsia="Times New Roman" w:cs="Times New Roman"/>
          <w:b/>
          <w:bCs/>
          <w:szCs w:val="24"/>
        </w:rPr>
        <w:fldChar w:fldCharType="begin"/>
      </w:r>
      <w:r w:rsidRPr="005C4B05">
        <w:rPr>
          <w:rFonts w:ascii="Verdana" w:hAnsi="Verdana" w:eastAsia="Times New Roman" w:cs="Times New Roman"/>
          <w:b/>
          <w:bCs/>
          <w:szCs w:val="24"/>
        </w:rPr>
        <w:instrText xml:space="preserve"> SEQ Table \* ARABIC </w:instrText>
      </w:r>
      <w:r w:rsidRPr="005C4B05">
        <w:rPr>
          <w:rFonts w:ascii="Verdana" w:hAnsi="Verdana" w:eastAsia="Times New Roman" w:cs="Times New Roman"/>
          <w:b/>
          <w:bCs/>
          <w:szCs w:val="24"/>
        </w:rPr>
        <w:fldChar w:fldCharType="separate"/>
      </w:r>
      <w:r w:rsidRPr="005C4B05">
        <w:rPr>
          <w:rFonts w:ascii="Verdana" w:hAnsi="Verdana" w:eastAsia="Times New Roman" w:cs="Times New Roman"/>
          <w:b/>
          <w:bCs/>
          <w:noProof/>
          <w:szCs w:val="24"/>
        </w:rPr>
        <w:t>1</w:t>
      </w:r>
      <w:r w:rsidRPr="005C4B05">
        <w:rPr>
          <w:rFonts w:ascii="Verdana" w:hAnsi="Verdana" w:eastAsia="Times New Roman" w:cs="Times New Roman"/>
          <w:b/>
          <w:bCs/>
          <w:szCs w:val="24"/>
        </w:rPr>
        <w:fldChar w:fldCharType="end"/>
      </w:r>
      <w:bookmarkEnd w:id="3"/>
      <w:r w:rsidRPr="005C4B05">
        <w:rPr>
          <w:rFonts w:ascii="Verdana" w:hAnsi="Verdana" w:eastAsia="Times New Roman" w:cs="Times New Roman"/>
          <w:b/>
          <w:bCs/>
          <w:szCs w:val="24"/>
        </w:rPr>
        <w:t>. CCULR Eligibility Scenarios for Line Items 1 and 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CULR Eligibility Scenarios for Line Items 1 and 2"/>
        <w:tblDescription w:val="Provides guidance on answering the questions in lines 1 and 2"/>
      </w:tblPr>
      <w:tblGrid>
        <w:gridCol w:w="1288"/>
        <w:gridCol w:w="5097"/>
        <w:gridCol w:w="1530"/>
        <w:gridCol w:w="1435"/>
      </w:tblGrid>
      <w:tr w:rsidRPr="005C4B05" w:rsidR="005C4B05" w:rsidTr="0063366D" w14:paraId="4E2AD8C4" w14:textId="77777777">
        <w:trPr>
          <w:cantSplit/>
          <w:tblHeader/>
        </w:trPr>
        <w:tc>
          <w:tcPr>
            <w:tcW w:w="1288" w:type="dxa"/>
            <w:vAlign w:val="center"/>
          </w:tcPr>
          <w:p w:rsidRPr="005C4B05" w:rsidR="005C4B05" w:rsidP="005C4B05" w:rsidRDefault="005C4B05" w14:paraId="08C14F56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5C4B05">
              <w:rPr>
                <w:rFonts w:ascii="Verdana" w:hAnsi="Verdana"/>
                <w:b/>
                <w:bCs/>
                <w:sz w:val="22"/>
                <w:szCs w:val="24"/>
              </w:rPr>
              <w:t>Scenario</w:t>
            </w:r>
          </w:p>
        </w:tc>
        <w:tc>
          <w:tcPr>
            <w:tcW w:w="5097" w:type="dxa"/>
            <w:vAlign w:val="center"/>
          </w:tcPr>
          <w:p w:rsidRPr="005C4B05" w:rsidR="005C4B05" w:rsidP="005C4B05" w:rsidRDefault="005C4B05" w14:paraId="7B0D4E5C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5C4B05">
              <w:rPr>
                <w:rFonts w:ascii="Verdana" w:hAnsi="Verdana"/>
                <w:b/>
                <w:bCs/>
                <w:sz w:val="22"/>
                <w:szCs w:val="24"/>
              </w:rPr>
              <w:t>Description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4884217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5C4B05">
              <w:rPr>
                <w:rFonts w:ascii="Verdana" w:hAnsi="Verdana"/>
                <w:b/>
                <w:bCs/>
                <w:sz w:val="22"/>
                <w:szCs w:val="24"/>
              </w:rPr>
              <w:t>Line Item 1 Entry</w:t>
            </w:r>
          </w:p>
        </w:tc>
        <w:tc>
          <w:tcPr>
            <w:tcW w:w="1435" w:type="dxa"/>
          </w:tcPr>
          <w:p w:rsidRPr="005C4B05" w:rsidR="005C4B05" w:rsidP="005C4B05" w:rsidRDefault="005C4B05" w14:paraId="1005EB91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bCs/>
                <w:sz w:val="22"/>
                <w:szCs w:val="24"/>
              </w:rPr>
            </w:pPr>
            <w:r w:rsidRPr="005C4B05">
              <w:rPr>
                <w:rFonts w:ascii="Verdana" w:hAnsi="Verdana"/>
                <w:b/>
                <w:bCs/>
                <w:sz w:val="22"/>
                <w:szCs w:val="24"/>
              </w:rPr>
              <w:t>Line Item 2 Entry</w:t>
            </w:r>
          </w:p>
        </w:tc>
      </w:tr>
      <w:tr w:rsidRPr="005C4B05" w:rsidR="005C4B05" w:rsidTr="0063366D" w14:paraId="5711089B" w14:textId="77777777">
        <w:trPr>
          <w:cantSplit/>
        </w:trPr>
        <w:tc>
          <w:tcPr>
            <w:tcW w:w="1288" w:type="dxa"/>
            <w:vAlign w:val="center"/>
          </w:tcPr>
          <w:p w:rsidRPr="005C4B05" w:rsidR="005C4B05" w:rsidP="005C4B05" w:rsidRDefault="005C4B05" w14:paraId="5CCAAEC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1</w:t>
            </w:r>
          </w:p>
        </w:tc>
        <w:tc>
          <w:tcPr>
            <w:tcW w:w="5097" w:type="dxa"/>
          </w:tcPr>
          <w:p w:rsidRPr="005C4B05" w:rsidR="005C4B05" w:rsidP="005C4B05" w:rsidRDefault="005C4B05" w14:paraId="66A0888C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If credit union’s Total Assets in Account 010 are less than $500 million, no further action is required. Credit union is not required to calculate RBC or CCULR; standard Net Worth Ratio applies.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37A344C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Blank</w:t>
            </w:r>
          </w:p>
        </w:tc>
        <w:tc>
          <w:tcPr>
            <w:tcW w:w="1435" w:type="dxa"/>
            <w:vAlign w:val="center"/>
          </w:tcPr>
          <w:p w:rsidRPr="005C4B05" w:rsidR="005C4B05" w:rsidP="005C4B05" w:rsidRDefault="005C4B05" w14:paraId="0D92E2B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Blank</w:t>
            </w:r>
          </w:p>
        </w:tc>
      </w:tr>
      <w:tr w:rsidRPr="005C4B05" w:rsidR="005C4B05" w:rsidTr="0063366D" w14:paraId="792C58DB" w14:textId="77777777">
        <w:trPr>
          <w:cantSplit/>
        </w:trPr>
        <w:tc>
          <w:tcPr>
            <w:tcW w:w="1288" w:type="dxa"/>
            <w:vAlign w:val="center"/>
          </w:tcPr>
          <w:p w:rsidRPr="005C4B05" w:rsidR="005C4B05" w:rsidP="005C4B05" w:rsidRDefault="005C4B05" w14:paraId="438418F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2</w:t>
            </w:r>
          </w:p>
        </w:tc>
        <w:tc>
          <w:tcPr>
            <w:tcW w:w="5097" w:type="dxa"/>
          </w:tcPr>
          <w:p w:rsidRPr="005C4B05" w:rsidR="005C4B05" w:rsidP="005C4B05" w:rsidRDefault="005C4B05" w14:paraId="3DBFBDB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If the credit union meets all Eligibility and Qualifying Criteria, the credit union may opt into the CCULR framework.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7FDCD49D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Yes</w:t>
            </w:r>
          </w:p>
        </w:tc>
        <w:tc>
          <w:tcPr>
            <w:tcW w:w="1435" w:type="dxa"/>
            <w:vAlign w:val="center"/>
          </w:tcPr>
          <w:p w:rsidRPr="005C4B05" w:rsidR="005C4B05" w:rsidP="005C4B05" w:rsidRDefault="005C4B05" w14:paraId="55D5766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No</w:t>
            </w:r>
          </w:p>
        </w:tc>
      </w:tr>
      <w:tr w:rsidRPr="005C4B05" w:rsidR="005C4B05" w:rsidTr="0063366D" w14:paraId="215DC92C" w14:textId="77777777">
        <w:trPr>
          <w:cantSplit/>
        </w:trPr>
        <w:tc>
          <w:tcPr>
            <w:tcW w:w="1288" w:type="dxa"/>
            <w:vAlign w:val="center"/>
          </w:tcPr>
          <w:p w:rsidRPr="005C4B05" w:rsidR="005C4B05" w:rsidP="005C4B05" w:rsidRDefault="005C4B05" w14:paraId="3559CB0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3</w:t>
            </w:r>
          </w:p>
        </w:tc>
        <w:tc>
          <w:tcPr>
            <w:tcW w:w="5097" w:type="dxa"/>
          </w:tcPr>
          <w:p w:rsidRPr="005C4B05" w:rsidR="005C4B05" w:rsidP="005C4B05" w:rsidRDefault="005C4B05" w14:paraId="50CEED50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If the credit union opted into the CCULR framework under Scenario 2 in the previous quarter and Total Assets in Account 010 remain greater than $500 million, but Qualifying Criteria are not met, the credit union may opt into the CCULR framework under the first quarter of the grace period provision.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2D72F61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Yes</w:t>
            </w:r>
          </w:p>
        </w:tc>
        <w:tc>
          <w:tcPr>
            <w:tcW w:w="1435" w:type="dxa"/>
            <w:vAlign w:val="center"/>
          </w:tcPr>
          <w:p w:rsidRPr="005C4B05" w:rsidR="005C4B05" w:rsidP="005C4B05" w:rsidRDefault="005C4B05" w14:paraId="2E58D7DB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Yes</w:t>
            </w:r>
          </w:p>
        </w:tc>
      </w:tr>
      <w:tr w:rsidRPr="005C4B05" w:rsidR="005C4B05" w:rsidTr="0063366D" w14:paraId="54FB34F9" w14:textId="77777777">
        <w:trPr>
          <w:cantSplit/>
        </w:trPr>
        <w:tc>
          <w:tcPr>
            <w:tcW w:w="1288" w:type="dxa"/>
            <w:vAlign w:val="center"/>
          </w:tcPr>
          <w:p w:rsidRPr="005C4B05" w:rsidR="005C4B05" w:rsidP="005C4B05" w:rsidRDefault="005C4B05" w14:paraId="25FB63F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4</w:t>
            </w:r>
          </w:p>
        </w:tc>
        <w:tc>
          <w:tcPr>
            <w:tcW w:w="5097" w:type="dxa"/>
          </w:tcPr>
          <w:p w:rsidRPr="005C4B05" w:rsidR="005C4B05" w:rsidP="005C4B05" w:rsidRDefault="005C4B05" w14:paraId="3835EEEA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If the credit union opted into the CCULR framework under Scenario 3 in the previous quarter and Total Assets in Account 010 remain greater than $500 million, but Qualifying Criteria are not met, the credit union may opt into the CCULR framework under the second and final quarter of the grace period provision.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081B6319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Yes</w:t>
            </w:r>
          </w:p>
        </w:tc>
        <w:tc>
          <w:tcPr>
            <w:tcW w:w="1435" w:type="dxa"/>
            <w:vAlign w:val="center"/>
          </w:tcPr>
          <w:p w:rsidRPr="005C4B05" w:rsidR="005C4B05" w:rsidP="005C4B05" w:rsidRDefault="005C4B05" w14:paraId="1DB572A0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Yes</w:t>
            </w:r>
          </w:p>
        </w:tc>
      </w:tr>
      <w:tr w:rsidRPr="005C4B05" w:rsidR="005C4B05" w:rsidTr="0063366D" w14:paraId="706859E6" w14:textId="77777777">
        <w:trPr>
          <w:cantSplit/>
        </w:trPr>
        <w:tc>
          <w:tcPr>
            <w:tcW w:w="1288" w:type="dxa"/>
            <w:vAlign w:val="center"/>
          </w:tcPr>
          <w:p w:rsidRPr="005C4B05" w:rsidR="005C4B05" w:rsidP="005C4B05" w:rsidRDefault="005C4B05" w14:paraId="442C0DEC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lastRenderedPageBreak/>
              <w:t>5</w:t>
            </w:r>
          </w:p>
        </w:tc>
        <w:tc>
          <w:tcPr>
            <w:tcW w:w="5097" w:type="dxa"/>
          </w:tcPr>
          <w:p w:rsidRPr="005C4B05" w:rsidR="005C4B05" w:rsidP="005C4B05" w:rsidRDefault="005C4B05" w14:paraId="691EEBED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If the credit union opted into the CCULR framework under Scenario 4 in the previous quarter, Qualifying Criteria are not met, the credit union is not eligible for CCULR and must complete the RBC calculation.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624DD117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No</w:t>
            </w:r>
          </w:p>
        </w:tc>
        <w:tc>
          <w:tcPr>
            <w:tcW w:w="1435" w:type="dxa"/>
            <w:vAlign w:val="center"/>
          </w:tcPr>
          <w:p w:rsidRPr="005C4B05" w:rsidR="005C4B05" w:rsidP="005C4B05" w:rsidRDefault="005C4B05" w14:paraId="5E5B5212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Blank</w:t>
            </w:r>
          </w:p>
        </w:tc>
      </w:tr>
      <w:tr w:rsidRPr="005C4B05" w:rsidR="005C4B05" w:rsidTr="0063366D" w14:paraId="20AA2B81" w14:textId="77777777">
        <w:trPr>
          <w:cantSplit/>
        </w:trPr>
        <w:tc>
          <w:tcPr>
            <w:tcW w:w="1288" w:type="dxa"/>
            <w:vAlign w:val="center"/>
          </w:tcPr>
          <w:p w:rsidRPr="005C4B05" w:rsidR="005C4B05" w:rsidP="005C4B05" w:rsidRDefault="005C4B05" w14:paraId="6E4DB2D4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6</w:t>
            </w:r>
          </w:p>
        </w:tc>
        <w:tc>
          <w:tcPr>
            <w:tcW w:w="5097" w:type="dxa"/>
          </w:tcPr>
          <w:p w:rsidRPr="005C4B05" w:rsidR="005C4B05" w:rsidP="005C4B05" w:rsidRDefault="005C4B05" w14:paraId="35D26CF9" w14:textId="777777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If a credit union's Total Assets in Account 010 are greater than $500 million and Qualifying Criteria are met but the credit union elects to opt out of the CCULR framework in any quarter, the credit union must complete the RBC calculation.</w:t>
            </w:r>
          </w:p>
        </w:tc>
        <w:tc>
          <w:tcPr>
            <w:tcW w:w="1530" w:type="dxa"/>
            <w:vAlign w:val="center"/>
          </w:tcPr>
          <w:p w:rsidRPr="005C4B05" w:rsidR="005C4B05" w:rsidP="005C4B05" w:rsidRDefault="005C4B05" w14:paraId="64AB4CF8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No</w:t>
            </w:r>
          </w:p>
        </w:tc>
        <w:tc>
          <w:tcPr>
            <w:tcW w:w="1435" w:type="dxa"/>
            <w:vAlign w:val="center"/>
          </w:tcPr>
          <w:p w:rsidRPr="005C4B05" w:rsidR="005C4B05" w:rsidP="005C4B05" w:rsidRDefault="005C4B05" w14:paraId="1AB4AEFF" w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22"/>
                <w:szCs w:val="24"/>
              </w:rPr>
            </w:pPr>
            <w:r w:rsidRPr="005C4B05">
              <w:rPr>
                <w:rFonts w:ascii="Verdana" w:hAnsi="Verdana"/>
                <w:sz w:val="22"/>
                <w:szCs w:val="24"/>
              </w:rPr>
              <w:t>Blank</w:t>
            </w:r>
          </w:p>
        </w:tc>
      </w:tr>
    </w:tbl>
    <w:p w:rsidRPr="005C4B05" w:rsidR="005C4B05" w:rsidP="005C4B05" w:rsidRDefault="005C4B05" w14:paraId="3B53B68D" w14:textId="77777777">
      <w:pPr>
        <w:keepNext/>
        <w:overflowPunct w:val="0"/>
        <w:autoSpaceDE w:val="0"/>
        <w:autoSpaceDN w:val="0"/>
        <w:adjustRightInd w:val="0"/>
        <w:spacing w:before="360"/>
        <w:textAlignment w:val="baseline"/>
        <w:outlineLvl w:val="2"/>
        <w:rPr>
          <w:rFonts w:ascii="Arial Narrow" w:hAnsi="Arial Narrow" w:eastAsia="Times New Roman" w:cs="Times New Roman"/>
          <w:b/>
          <w:bCs/>
          <w:smallCaps/>
          <w:color w:val="5E7097"/>
          <w:sz w:val="28"/>
          <w:szCs w:val="32"/>
        </w:rPr>
      </w:pPr>
      <w:bookmarkStart w:name="_Toc92453211" w:id="4"/>
      <w:r w:rsidRPr="005C4B05">
        <w:rPr>
          <w:rFonts w:ascii="Arial Narrow" w:hAnsi="Arial Narrow" w:eastAsia="Times New Roman" w:cs="Times New Roman"/>
          <w:b/>
          <w:smallCaps/>
          <w:color w:val="5E7097"/>
          <w:sz w:val="28"/>
          <w:szCs w:val="32"/>
        </w:rPr>
        <w:t>Election</w:t>
      </w:r>
      <w:bookmarkEnd w:id="4"/>
    </w:p>
    <w:p w:rsidRPr="005C4B05" w:rsidR="005C4B05" w:rsidP="005C4B05" w:rsidRDefault="005C4B05" w14:paraId="158F0C07" w14:textId="77777777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spacing w:before="360" w:after="12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12" w:id="5"/>
      <w:r w:rsidRPr="005C4B05">
        <w:rPr>
          <w:rFonts w:ascii="Arial Narrow" w:hAnsi="Arial Narrow" w:eastAsia="Times New Roman" w:cs="Times New Roman"/>
          <w:b/>
          <w:smallCaps/>
          <w:szCs w:val="28"/>
        </w:rPr>
        <w:t>Does your credit union have a CCULR framework election in effect as of the quarter-end report date? (Account LR0001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"LR0001"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5"/>
    </w:p>
    <w:p w:rsidRPr="005C4B05" w:rsidR="005C4B05" w:rsidP="005C4B05" w:rsidRDefault="005C4B05" w14:paraId="2BCD22FD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>If Total Assets in Account 010 are less than $500,000,000, no entry is required. Do not complete this schedule. If Total Assets in Account 010 are greater than $500,000,000, you may opt into CCULR. See the scenarios described in Table 1 for guidance.</w:t>
      </w:r>
    </w:p>
    <w:p w:rsidRPr="005C4B05" w:rsidR="005C4B05" w:rsidP="005C4B05" w:rsidRDefault="005C4B05" w14:paraId="77C41175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>Complex credit unions that do not opt into or qualify for the CCULR framework, will select “No”, and must complete Schedule I for the RBC Ratio calculation.</w:t>
      </w:r>
    </w:p>
    <w:p w:rsidRPr="005C4B05" w:rsidR="005C4B05" w:rsidP="005C4B05" w:rsidRDefault="005C4B05" w14:paraId="37DEB5A2" w14:textId="77777777">
      <w:pPr>
        <w:pStyle w:val="ListParagraph"/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before="36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13" w:id="6"/>
      <w:r w:rsidRPr="005C4B05">
        <w:rPr>
          <w:rFonts w:ascii="Arial Narrow" w:hAnsi="Arial Narrow" w:eastAsia="Times New Roman" w:cs="Times New Roman"/>
          <w:b/>
          <w:smallCaps/>
          <w:szCs w:val="28"/>
        </w:rPr>
        <w:t>If 'Yes' to question 1, is your credit union continuing to elect the CCULR framework under the Grace Period? (Account LR0008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"LR0008"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6"/>
    </w:p>
    <w:p w:rsidRPr="005C4B05" w:rsidR="005C4B05" w:rsidP="005C4B05" w:rsidRDefault="005C4B05" w14:paraId="75EAD2B4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>If electing the CCULR framework under the grace period, select "Yes". See the scenarios described in Table 1 for guidance.</w:t>
      </w:r>
    </w:p>
    <w:p w:rsidRPr="005C4B05" w:rsidR="005C4B05" w:rsidP="005C4B05" w:rsidRDefault="005C4B05" w14:paraId="4CA22ED6" w14:textId="77777777">
      <w:pPr>
        <w:keepNext/>
        <w:overflowPunct w:val="0"/>
        <w:autoSpaceDE w:val="0"/>
        <w:autoSpaceDN w:val="0"/>
        <w:adjustRightInd w:val="0"/>
        <w:spacing w:before="360"/>
        <w:textAlignment w:val="baseline"/>
        <w:outlineLvl w:val="2"/>
        <w:rPr>
          <w:rFonts w:ascii="Arial Narrow" w:hAnsi="Arial Narrow" w:eastAsia="Times New Roman" w:cs="Times New Roman"/>
          <w:b/>
          <w:smallCaps/>
          <w:color w:val="5E7097"/>
          <w:sz w:val="28"/>
          <w:szCs w:val="32"/>
        </w:rPr>
      </w:pPr>
      <w:bookmarkStart w:name="_Toc92453214" w:id="7"/>
      <w:r w:rsidRPr="005C4B05">
        <w:rPr>
          <w:rFonts w:ascii="Arial Narrow" w:hAnsi="Arial Narrow" w:eastAsia="Times New Roman" w:cs="Times New Roman"/>
          <w:b/>
          <w:smallCaps/>
          <w:color w:val="5E7097"/>
          <w:sz w:val="28"/>
          <w:szCs w:val="32"/>
        </w:rPr>
        <w:t>Eligibility</w:t>
      </w:r>
      <w:bookmarkEnd w:id="7"/>
    </w:p>
    <w:p w:rsidRPr="005C4B05" w:rsidR="005C4B05" w:rsidP="005C4B05" w:rsidRDefault="005C4B05" w14:paraId="04EBB3DE" w14:textId="77777777">
      <w:pPr>
        <w:pStyle w:val="ListParagraph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before="36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15" w:id="8"/>
      <w:r w:rsidRPr="005C4B05">
        <w:rPr>
          <w:rFonts w:ascii="Arial Narrow" w:hAnsi="Arial Narrow" w:eastAsia="Times New Roman" w:cs="Times New Roman"/>
          <w:b/>
          <w:smallCaps/>
          <w:szCs w:val="28"/>
        </w:rPr>
        <w:t>Total Assets (Credit unions with total assets greater than $500,000,000) (Account 010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"010"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8"/>
    </w:p>
    <w:p w:rsidRPr="005C4B05" w:rsidR="005C4B05" w:rsidP="005C4B05" w:rsidRDefault="005C4B05" w14:paraId="6160033E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 xml:space="preserve">This field is </w:t>
      </w:r>
      <w:proofErr w:type="gramStart"/>
      <w:r w:rsidRPr="005C4B05">
        <w:rPr>
          <w:rFonts w:ascii="Verdana" w:hAnsi="Verdana" w:eastAsia="Times New Roman" w:cs="Times New Roman"/>
          <w:sz w:val="22"/>
          <w:szCs w:val="24"/>
        </w:rPr>
        <w:t>auto-populated</w:t>
      </w:r>
      <w:proofErr w:type="gramEnd"/>
      <w:r w:rsidRPr="005C4B05">
        <w:rPr>
          <w:rFonts w:ascii="Verdana" w:hAnsi="Verdana" w:eastAsia="Times New Roman" w:cs="Times New Roman"/>
          <w:sz w:val="22"/>
          <w:szCs w:val="24"/>
        </w:rPr>
        <w:t xml:space="preserve"> with the amount reported in Account 010.</w:t>
      </w:r>
    </w:p>
    <w:p w:rsidRPr="005C4B05" w:rsidR="005C4B05" w:rsidP="005C4B05" w:rsidRDefault="005C4B05" w14:paraId="3B69592F" w14:textId="77777777">
      <w:pPr>
        <w:keepNext/>
        <w:overflowPunct w:val="0"/>
        <w:autoSpaceDE w:val="0"/>
        <w:autoSpaceDN w:val="0"/>
        <w:adjustRightInd w:val="0"/>
        <w:spacing w:before="360"/>
        <w:textAlignment w:val="baseline"/>
        <w:outlineLvl w:val="2"/>
        <w:rPr>
          <w:rFonts w:ascii="Arial Narrow" w:hAnsi="Arial Narrow" w:eastAsia="Times New Roman" w:cs="Times New Roman"/>
          <w:b/>
          <w:smallCaps/>
          <w:color w:val="5E7097"/>
          <w:sz w:val="28"/>
          <w:szCs w:val="32"/>
        </w:rPr>
      </w:pPr>
      <w:bookmarkStart w:name="_Toc92453216" w:id="9"/>
      <w:r w:rsidRPr="005C4B05">
        <w:rPr>
          <w:rFonts w:ascii="Arial Narrow" w:hAnsi="Arial Narrow" w:eastAsia="Times New Roman" w:cs="Times New Roman"/>
          <w:b/>
          <w:smallCaps/>
          <w:color w:val="5E7097"/>
          <w:sz w:val="28"/>
          <w:szCs w:val="32"/>
        </w:rPr>
        <w:t>Qualifying Criteria (See Instructions)</w:t>
      </w:r>
      <w:bookmarkEnd w:id="9"/>
    </w:p>
    <w:p w:rsidRPr="005C4B05" w:rsidR="005C4B05" w:rsidP="005C4B05" w:rsidRDefault="005C4B05" w14:paraId="538F3CFC" w14:textId="77777777">
      <w:pPr>
        <w:pStyle w:val="ListParagraph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before="36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17" w:id="10"/>
      <w:r w:rsidRPr="005C4B05">
        <w:rPr>
          <w:rFonts w:ascii="Arial Narrow" w:hAnsi="Arial Narrow" w:eastAsia="Times New Roman" w:cs="Times New Roman"/>
          <w:b/>
          <w:smallCaps/>
          <w:szCs w:val="28"/>
        </w:rPr>
        <w:t>CCULR (Net Worth Ratio) (Credit union with a net worth ratio of 9% or greater) (account 998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"998"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10"/>
    </w:p>
    <w:p w:rsidRPr="005C4B05" w:rsidR="005C4B05" w:rsidP="005C4B05" w:rsidRDefault="005C4B05" w14:paraId="39237261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 xml:space="preserve">This field is </w:t>
      </w:r>
      <w:proofErr w:type="gramStart"/>
      <w:r w:rsidRPr="005C4B05">
        <w:rPr>
          <w:rFonts w:ascii="Verdana" w:hAnsi="Verdana" w:eastAsia="Times New Roman" w:cs="Times New Roman"/>
          <w:sz w:val="22"/>
          <w:szCs w:val="24"/>
        </w:rPr>
        <w:t>auto-populated</w:t>
      </w:r>
      <w:proofErr w:type="gramEnd"/>
      <w:r w:rsidRPr="005C4B05">
        <w:rPr>
          <w:rFonts w:ascii="Verdana" w:hAnsi="Verdana" w:eastAsia="Times New Roman" w:cs="Times New Roman"/>
          <w:sz w:val="22"/>
          <w:szCs w:val="24"/>
        </w:rPr>
        <w:t xml:space="preserve"> with the amount reported in Account 998. </w:t>
      </w:r>
    </w:p>
    <w:p w:rsidRPr="005C4B05" w:rsidR="005C4B05" w:rsidP="005C4B05" w:rsidRDefault="005C4B05" w14:paraId="1FE7BD1F" w14:textId="77777777">
      <w:pPr>
        <w:pStyle w:val="ListParagraph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before="36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18" w:id="11"/>
      <w:r w:rsidRPr="005C4B05">
        <w:rPr>
          <w:rFonts w:ascii="Arial Narrow" w:hAnsi="Arial Narrow" w:eastAsia="Times New Roman" w:cs="Times New Roman"/>
          <w:b/>
          <w:smallCaps/>
          <w:szCs w:val="28"/>
        </w:rPr>
        <w:lastRenderedPageBreak/>
        <w:t>Off-Balance sheet exposures (Requires 25% or less of Total Assets) (Accounts LR0002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"LR0002"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 xml:space="preserve"> and LR0003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"LR0003"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11"/>
    </w:p>
    <w:p w:rsidRPr="005C4B05" w:rsidR="005C4B05" w:rsidP="005C4B05" w:rsidRDefault="005C4B05" w14:paraId="184F057D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 xml:space="preserve">The Input account (LR0002), is </w:t>
      </w:r>
      <w:proofErr w:type="gramStart"/>
      <w:r w:rsidRPr="005C4B05">
        <w:rPr>
          <w:rFonts w:ascii="Verdana" w:hAnsi="Verdana" w:eastAsia="Times New Roman" w:cs="Times New Roman"/>
          <w:sz w:val="22"/>
          <w:szCs w:val="24"/>
        </w:rPr>
        <w:t>auto-populated</w:t>
      </w:r>
      <w:proofErr w:type="gramEnd"/>
      <w:r w:rsidRPr="005C4B05">
        <w:rPr>
          <w:rFonts w:ascii="Verdana" w:hAnsi="Verdana" w:eastAsia="Times New Roman" w:cs="Times New Roman"/>
          <w:sz w:val="22"/>
          <w:szCs w:val="24"/>
        </w:rPr>
        <w:t xml:space="preserve"> with the aggregate amount of off-balance sheet exposures reported in Accounts LQ0017, LQ0020, LQ0021, LQ0022, LQ0023, LQ0026, LQ0027, AND LQ0028. The Ratio account (LR0003) is </w:t>
      </w:r>
      <w:proofErr w:type="gramStart"/>
      <w:r w:rsidRPr="005C4B05">
        <w:rPr>
          <w:rFonts w:ascii="Verdana" w:hAnsi="Verdana" w:eastAsia="Times New Roman" w:cs="Times New Roman"/>
          <w:sz w:val="22"/>
          <w:szCs w:val="24"/>
        </w:rPr>
        <w:t>auto-calculated</w:t>
      </w:r>
      <w:proofErr w:type="gramEnd"/>
      <w:r w:rsidRPr="005C4B05">
        <w:rPr>
          <w:rFonts w:ascii="Verdana" w:hAnsi="Verdana" w:eastAsia="Times New Roman" w:cs="Times New Roman"/>
          <w:sz w:val="22"/>
          <w:szCs w:val="24"/>
        </w:rPr>
        <w:t xml:space="preserve"> as the Input account (LR0002) divided by Total Assets (010).</w:t>
      </w:r>
    </w:p>
    <w:p w:rsidRPr="005C4B05" w:rsidR="005C4B05" w:rsidP="005C4B05" w:rsidRDefault="005C4B05" w14:paraId="2A923ADE" w14:textId="77777777">
      <w:pPr>
        <w:pStyle w:val="ListParagraph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before="36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19" w:id="12"/>
      <w:r w:rsidRPr="005C4B05">
        <w:rPr>
          <w:rFonts w:ascii="Arial Narrow" w:hAnsi="Arial Narrow" w:eastAsia="Times New Roman" w:cs="Times New Roman"/>
          <w:b/>
          <w:smallCaps/>
          <w:szCs w:val="28"/>
        </w:rPr>
        <w:t xml:space="preserve">Trading Assets and Trading Liabilities </w:t>
      </w:r>
      <w:proofErr w:type="gramStart"/>
      <w:r w:rsidRPr="005C4B05">
        <w:rPr>
          <w:rFonts w:ascii="Arial Narrow" w:hAnsi="Arial Narrow" w:eastAsia="Times New Roman" w:cs="Times New Roman"/>
          <w:b/>
          <w:smallCaps/>
          <w:szCs w:val="28"/>
        </w:rPr>
        <w:t>( Requires</w:t>
      </w:r>
      <w:proofErr w:type="gramEnd"/>
      <w:r w:rsidRPr="005C4B05">
        <w:rPr>
          <w:rFonts w:ascii="Arial Narrow" w:hAnsi="Arial Narrow" w:eastAsia="Times New Roman" w:cs="Times New Roman"/>
          <w:b/>
          <w:smallCaps/>
          <w:szCs w:val="28"/>
        </w:rPr>
        <w:t xml:space="preserve"> 5% or less of Total Assets) (Accounts LR0004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"LR0004"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 xml:space="preserve"> and LR0005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"LR0005"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12"/>
    </w:p>
    <w:p w:rsidRPr="005C4B05" w:rsidR="005C4B05" w:rsidP="005C4B05" w:rsidRDefault="005C4B05" w14:paraId="46E921CD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 xml:space="preserve">For the Input account (LR0004), report total trading assets and trading liabilities. The Ratio account (LR0005) is </w:t>
      </w:r>
      <w:proofErr w:type="gramStart"/>
      <w:r w:rsidRPr="005C4B05">
        <w:rPr>
          <w:rFonts w:ascii="Verdana" w:hAnsi="Verdana" w:eastAsia="Times New Roman" w:cs="Times New Roman"/>
          <w:sz w:val="22"/>
          <w:szCs w:val="24"/>
        </w:rPr>
        <w:t>auto-calculated</w:t>
      </w:r>
      <w:proofErr w:type="gramEnd"/>
      <w:r w:rsidRPr="005C4B05">
        <w:rPr>
          <w:rFonts w:ascii="Verdana" w:hAnsi="Verdana" w:eastAsia="Times New Roman" w:cs="Times New Roman"/>
          <w:sz w:val="22"/>
          <w:szCs w:val="24"/>
        </w:rPr>
        <w:t xml:space="preserve"> as the Input account (LR0004) divided by Total Assets (010).</w:t>
      </w:r>
    </w:p>
    <w:p w:rsidRPr="005C4B05" w:rsidR="005C4B05" w:rsidP="005C4B05" w:rsidRDefault="005C4B05" w14:paraId="78C2966D" w14:textId="77777777">
      <w:pPr>
        <w:pStyle w:val="ListParagraph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before="360"/>
        <w:textAlignment w:val="baseline"/>
        <w:outlineLvl w:val="3"/>
        <w:rPr>
          <w:rFonts w:ascii="Arial Narrow" w:hAnsi="Arial Narrow" w:eastAsia="Times New Roman" w:cs="Times New Roman"/>
          <w:b/>
          <w:smallCaps/>
          <w:szCs w:val="28"/>
        </w:rPr>
      </w:pPr>
      <w:bookmarkStart w:name="_Toc92453220" w:id="13"/>
      <w:r w:rsidRPr="005C4B05">
        <w:rPr>
          <w:rFonts w:ascii="Arial Narrow" w:hAnsi="Arial Narrow" w:eastAsia="Times New Roman" w:cs="Times New Roman"/>
          <w:b/>
          <w:smallCaps/>
          <w:szCs w:val="28"/>
        </w:rPr>
        <w:t>Goodwill and Other Intangible Assets (Requires 2% or less of Total Assets) (Account LR0006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"LR0006"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 xml:space="preserve"> and LR0007</w: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begin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instrText xml:space="preserve"> XE "LR0007" </w:instrText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fldChar w:fldCharType="end"/>
      </w:r>
      <w:r w:rsidRPr="005C4B05">
        <w:rPr>
          <w:rFonts w:ascii="Arial Narrow" w:hAnsi="Arial Narrow" w:eastAsia="Times New Roman" w:cs="Times New Roman"/>
          <w:b/>
          <w:smallCaps/>
          <w:szCs w:val="28"/>
        </w:rPr>
        <w:t>)</w:t>
      </w:r>
      <w:bookmarkEnd w:id="13"/>
    </w:p>
    <w:p w:rsidRPr="005C4B05" w:rsidR="005C4B05" w:rsidP="005C4B05" w:rsidRDefault="005C4B05" w14:paraId="5C11D572" w14:textId="77777777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Verdana" w:hAnsi="Verdana" w:eastAsia="Times New Roman" w:cs="Times New Roman"/>
          <w:sz w:val="22"/>
          <w:szCs w:val="24"/>
        </w:rPr>
      </w:pPr>
      <w:r w:rsidRPr="005C4B05">
        <w:rPr>
          <w:rFonts w:ascii="Verdana" w:hAnsi="Verdana" w:eastAsia="Times New Roman" w:cs="Times New Roman"/>
          <w:sz w:val="22"/>
          <w:szCs w:val="24"/>
        </w:rPr>
        <w:t xml:space="preserve">For the Input account (LR0006), report the sum of goodwill and other intangible assets. Deduct the outstanding balance, maintained in accordance with GAAP, of any goodwill originating from a supervisory merger or combination that was completed on or before December 28, 2015. See definition in §702.2. The Ratio account (LR0007) is </w:t>
      </w:r>
      <w:proofErr w:type="gramStart"/>
      <w:r w:rsidRPr="005C4B05">
        <w:rPr>
          <w:rFonts w:ascii="Verdana" w:hAnsi="Verdana" w:eastAsia="Times New Roman" w:cs="Times New Roman"/>
          <w:sz w:val="22"/>
          <w:szCs w:val="24"/>
        </w:rPr>
        <w:t>auto-calculated</w:t>
      </w:r>
      <w:proofErr w:type="gramEnd"/>
      <w:r w:rsidRPr="005C4B05">
        <w:rPr>
          <w:rFonts w:ascii="Verdana" w:hAnsi="Verdana" w:eastAsia="Times New Roman" w:cs="Times New Roman"/>
          <w:sz w:val="22"/>
          <w:szCs w:val="24"/>
        </w:rPr>
        <w:t xml:space="preserve"> as the Input account (LR0006) divided by total assets (010).</w:t>
      </w:r>
    </w:p>
    <w:p w:rsidR="00286F83" w:rsidRDefault="00286F83" w14:paraId="1D81A05C" w14:textId="77777777"/>
    <w:sectPr w:rsidR="0028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9D1"/>
    <w:multiLevelType w:val="hybridMultilevel"/>
    <w:tmpl w:val="7F508C34"/>
    <w:lvl w:ilvl="0" w:tplc="2F9AA4A4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 w:tplc="B0145DF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5D6B292">
      <w:numFmt w:val="bullet"/>
      <w:lvlText w:val="•"/>
      <w:lvlJc w:val="left"/>
      <w:pPr>
        <w:ind w:left="2340" w:hanging="720"/>
      </w:pPr>
      <w:rPr>
        <w:rFonts w:ascii="Verdana" w:eastAsiaTheme="majorEastAsia" w:hAnsi="Verdan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F67E7"/>
    <w:multiLevelType w:val="hybridMultilevel"/>
    <w:tmpl w:val="DF40298A"/>
    <w:lvl w:ilvl="0" w:tplc="ACB06A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C0B5E"/>
    <w:multiLevelType w:val="hybridMultilevel"/>
    <w:tmpl w:val="949EDD30"/>
    <w:lvl w:ilvl="0" w:tplc="E8941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05"/>
    <w:rsid w:val="00286F83"/>
    <w:rsid w:val="005C4B05"/>
    <w:rsid w:val="006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8772"/>
  <w15:chartTrackingRefBased/>
  <w15:docId w15:val="{B3C82D4C-9F1B-4868-AE95-161D600F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5C4B05"/>
    <w:pPr>
      <w:keepNext/>
      <w:numPr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3"/>
    </w:pPr>
    <w:rPr>
      <w:rFonts w:ascii="Arial Narrow" w:eastAsia="Times New Roman" w:hAnsi="Arial Narrow" w:cs="Times New Roman"/>
      <w:b/>
      <w:small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4B05"/>
    <w:rPr>
      <w:rFonts w:ascii="Arial Narrow" w:eastAsia="Times New Roman" w:hAnsi="Arial Narrow" w:cs="Times New Roman"/>
      <w:b/>
      <w:smallCaps/>
      <w:szCs w:val="28"/>
    </w:rPr>
  </w:style>
  <w:style w:type="table" w:styleId="TableGrid">
    <w:name w:val="Table Grid"/>
    <w:basedOn w:val="TableNormal"/>
    <w:uiPriority w:val="39"/>
    <w:rsid w:val="005C4B05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4003</Characters>
  <Application>Microsoft Office Word</Application>
  <DocSecurity>4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Brog, Vicki</dc:creator>
  <cp:keywords/>
  <dc:description/>
  <cp:lastModifiedBy>Wolfgang, Dawn</cp:lastModifiedBy>
  <cp:revision>2</cp:revision>
  <dcterms:created xsi:type="dcterms:W3CDTF">2022-01-11T12:39:00Z</dcterms:created>
  <dcterms:modified xsi:type="dcterms:W3CDTF">2022-01-11T12:39:00Z</dcterms:modified>
</cp:coreProperties>
</file>