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6D88" w14:paraId="004CC117" w14:textId="77777777">
      <w:pPr>
        <w:pStyle w:val="Default"/>
        <w:tabs>
          <w:tab w:val="left" w:pos="378"/>
        </w:tabs>
        <w:jc w:val="center"/>
        <w:rPr>
          <w:b/>
          <w:bCs/>
          <w:u w:val="single"/>
        </w:rPr>
      </w:pPr>
      <w:r>
        <w:rPr>
          <w:b/>
          <w:bCs/>
          <w:u w:val="single"/>
        </w:rPr>
        <w:t>SUPPORTING STATEMENT</w:t>
      </w:r>
    </w:p>
    <w:p w:rsidR="00966D88" w14:paraId="1B9849E1" w14:textId="77777777">
      <w:pPr>
        <w:pStyle w:val="Default"/>
        <w:tabs>
          <w:tab w:val="left" w:pos="378"/>
        </w:tabs>
        <w:jc w:val="center"/>
      </w:pPr>
      <w:r>
        <w:rPr>
          <w:b/>
          <w:bCs/>
          <w:u w:val="single"/>
        </w:rPr>
        <w:t>FOR RECORDKEEPING AND REPORTING REQUIREMENTS</w:t>
      </w:r>
    </w:p>
    <w:p w:rsidR="00966D88" w14:paraId="3C56EAE5" w14:textId="77777777">
      <w:pPr>
        <w:pStyle w:val="Default"/>
        <w:tabs>
          <w:tab w:val="left" w:pos="378"/>
        </w:tabs>
        <w:jc w:val="center"/>
      </w:pPr>
      <w:r>
        <w:rPr>
          <w:b/>
          <w:bCs/>
          <w:u w:val="single"/>
        </w:rPr>
        <w:t>25 CFR PART 571</w:t>
      </w:r>
    </w:p>
    <w:p w:rsidR="00966D88" w14:paraId="6D7E3738" w14:textId="77777777">
      <w:pPr>
        <w:pStyle w:val="Default"/>
        <w:tabs>
          <w:tab w:val="left" w:pos="378"/>
        </w:tabs>
        <w:rPr>
          <w:b/>
          <w:bCs/>
        </w:rPr>
      </w:pPr>
    </w:p>
    <w:p w:rsidR="00966D88" w14:paraId="1E194BFE" w14:textId="77777777">
      <w:pPr>
        <w:ind w:left="360" w:hanging="360"/>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b/>
          <w:sz w:val="24"/>
          <w:szCs w:val="24"/>
        </w:rPr>
        <w:tab/>
        <w:t xml:space="preserve">JUSTIFICATION </w:t>
      </w:r>
    </w:p>
    <w:p w:rsidR="00966D88" w14:paraId="4B85116F" w14:textId="77777777">
      <w:pPr>
        <w:rPr>
          <w:rFonts w:ascii="Times New Roman" w:hAnsi="Times New Roman" w:cs="Times New Roman"/>
          <w:b/>
          <w:sz w:val="24"/>
          <w:szCs w:val="24"/>
        </w:rPr>
      </w:pPr>
    </w:p>
    <w:p w:rsidR="00966D88" w14:paraId="4AFAB813" w14:textId="77777777">
      <w:pPr>
        <w:ind w:left="360" w:hanging="360"/>
      </w:pPr>
      <w:r>
        <w:rPr>
          <w:rFonts w:ascii="Times New Roman" w:hAnsi="Times New Roman" w:cs="Times New Roman"/>
          <w:b/>
          <w:sz w:val="24"/>
          <w:szCs w:val="24"/>
        </w:rPr>
        <w:t xml:space="preserve">1. </w:t>
      </w:r>
      <w:r>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bCs/>
        </w:rPr>
        <w:t xml:space="preserve"> </w:t>
      </w:r>
    </w:p>
    <w:p w:rsidR="00966D88" w14:paraId="0F748832" w14:textId="77777777">
      <w:pPr>
        <w:pStyle w:val="Default"/>
        <w:tabs>
          <w:tab w:val="left" w:pos="378"/>
        </w:tabs>
        <w:ind w:firstLine="720"/>
      </w:pPr>
    </w:p>
    <w:p w:rsidR="00966D88" w14:paraId="0499B119" w14:textId="042C4D20">
      <w:pPr>
        <w:pStyle w:val="Default"/>
        <w:tabs>
          <w:tab w:val="left" w:pos="378"/>
        </w:tabs>
        <w:spacing w:line="480" w:lineRule="auto"/>
        <w:ind w:firstLine="720"/>
      </w:pPr>
      <w:r>
        <w:t xml:space="preserve">The Indian Gaming Regulatory Act (IGRA or the Act), Public Law 100–497, 25 U.S.C. 2701, </w:t>
      </w:r>
      <w:r>
        <w:rPr>
          <w:i/>
          <w:iCs/>
        </w:rPr>
        <w:t>et seq.</w:t>
      </w:r>
      <w:r>
        <w:rPr>
          <w:iCs/>
        </w:rPr>
        <w:t>,</w:t>
      </w:r>
      <w:r>
        <w:t xml:space="preserve"> was signed into law on </w:t>
      </w:r>
      <w:smartTag w:uri="urn:schemas-microsoft-com:office:smarttags" w:element="date">
        <w:smartTagPr>
          <w:attr w:name="Day" w:val="17"/>
          <w:attr w:name="Month" w:val="10"/>
          <w:attr w:name="Year" w:val="1988"/>
          <w:attr w:name="ls" w:val="trans"/>
        </w:smartTagPr>
        <w:r>
          <w:t>October 17, 1988</w:t>
        </w:r>
      </w:smartTag>
      <w:r>
        <w:t>. The Act established the National Indian Gaming Commission (NIGC or Commission) and set out a comprehensive framework for the regulation of gaming on Indian lands. The Act sets standards for the regulation of Indian gaming, including certain auditing, recordkeeping, and reporting requirements. Specifically, 25 U.S.C. 2706(b)(4) authorizes the Commission to “demand access to and inspect, examine, photocopy, and audit all papers, books, and records respecting gross revenues of class II gaming conducted on Indian lands and any other matters necessary to carry out the duties of the Commission.” Section 2710(b)(1)-(b)(2) authorizes tribes to engage in gaming only if they have an ordinance approved by the NIGC Chair, and amongst other things, only if the ordinance provides that the tribe will cause an annual outside audit to be conducted on their gaming activities, including an audit on all contracts for supplies, services, or concessions for a contract amount in excess of $25,000 annually (except contracts for professional legal or accounting services) relating to such gaming. The Act also authorizes the Commission to “promulgate such regulations and guidelines as it deems appropriate to implement” IGRA. 25 U.S.C. 2706(b)(10). Part 571 of title 25, Code of Federal Regulations, implements these statutory requirements.</w:t>
      </w:r>
    </w:p>
    <w:p w:rsidR="00966D88" w14:paraId="172BB1C6" w14:textId="77777777">
      <w:pPr>
        <w:pStyle w:val="Default"/>
        <w:tabs>
          <w:tab w:val="left" w:pos="378"/>
        </w:tabs>
        <w:spacing w:line="480" w:lineRule="auto"/>
        <w:jc w:val="center"/>
        <w:rPr>
          <w:b/>
          <w:bCs/>
        </w:rPr>
      </w:pPr>
    </w:p>
    <w:p w:rsidR="00966D88" w14:paraId="024FBA6C" w14:textId="77777777">
      <w:pPr>
        <w:pStyle w:val="Default"/>
        <w:tabs>
          <w:tab w:val="left" w:pos="378"/>
        </w:tabs>
        <w:spacing w:line="480" w:lineRule="auto"/>
        <w:jc w:val="center"/>
        <w:rPr>
          <w:b/>
          <w:bCs/>
        </w:rPr>
      </w:pPr>
    </w:p>
    <w:p w:rsidR="00966D88" w14:paraId="47AF6B45" w14:textId="77777777">
      <w:pPr>
        <w:pStyle w:val="Default"/>
        <w:tabs>
          <w:tab w:val="left" w:pos="378"/>
        </w:tabs>
        <w:spacing w:line="480" w:lineRule="auto"/>
        <w:jc w:val="center"/>
        <w:rPr>
          <w:b/>
          <w:bCs/>
        </w:rPr>
      </w:pPr>
      <w:r>
        <w:rPr>
          <w:b/>
          <w:bCs/>
        </w:rPr>
        <w:t xml:space="preserve">25 CFR §§ </w:t>
      </w:r>
      <w:r>
        <w:rPr>
          <w:b/>
        </w:rPr>
        <w:t>571.7, 571.14</w:t>
      </w:r>
    </w:p>
    <w:p w:rsidR="00966D88" w14:paraId="2FB30C16" w14:textId="77777777">
      <w:pPr>
        <w:pStyle w:val="Default"/>
        <w:tabs>
          <w:tab w:val="left" w:pos="378"/>
        </w:tabs>
        <w:spacing w:line="480" w:lineRule="auto"/>
      </w:pPr>
      <w:r>
        <w:tab/>
      </w:r>
      <w:r>
        <w:tab/>
        <w:t xml:space="preserve">Section 571.7(a) of title 25, Code of Federal Regulations, requires Indian gaming operations to keep/maintain permanent books of account and records sufficient to establish the amount of gross and net income, deductions and expenses, receipts and disbursements, and other relevant financial information. Section 571.7(c) requires that these records be kept for at least five years. Under § 571.7(b), the Commission may require a gaming operation to submit statements, reports, accountings, and specific records </w:t>
      </w:r>
      <w:r>
        <w:rPr>
          <w:rFonts w:eastAsia="Times New Roman"/>
        </w:rPr>
        <w:t>that will enable the NIGC to determine whether or not such operation is liable for fees payable to the Commission (and in what amount), and that the gaming operation has properly and completely accounted for all transactions and other matters monitored by the Commission.</w:t>
      </w:r>
      <w:r>
        <w:t xml:space="preserve"> Lastly, § 571.7(d) </w:t>
      </w:r>
      <w:r>
        <w:rPr>
          <w:rFonts w:eastAsia="Times New Roman"/>
        </w:rPr>
        <w:t>requires a gaming operation to keep copies of all enforcement actions that a tribe or a state has taken against the operation.</w:t>
      </w:r>
    </w:p>
    <w:p w:rsidR="00966D88" w14:paraId="02E3868E" w14:textId="77777777">
      <w:pPr>
        <w:pStyle w:val="Default"/>
        <w:tabs>
          <w:tab w:val="left" w:pos="378"/>
        </w:tabs>
        <w:spacing w:line="480" w:lineRule="auto"/>
      </w:pPr>
      <w:r>
        <w:tab/>
      </w:r>
      <w:r>
        <w:tab/>
        <w:t>The Act requires the Commission to establish a schedule of fees that the tribes must pay to fund the NIGC. These fees are computed based on quarterly fee reports submitted under 25 CFR Part 514. Because fee payments are based on “assessable gross revenues” that represent a formula developed by the NIGC and not readily reflected in the financial statements, a reconciliation is necessary to provide proof of payment. Section 571.14 requires tribes to reconcile quarterly fee reports with audited financial statements and to keep/maintain this information to be available to the NIGC upon request in order to facilitate the performance of compliance audits.</w:t>
      </w:r>
    </w:p>
    <w:p w:rsidR="00966D88" w14:paraId="6DADB1E7" w14:textId="77777777">
      <w:pPr>
        <w:pStyle w:val="Default"/>
        <w:tabs>
          <w:tab w:val="left" w:pos="378"/>
        </w:tabs>
        <w:spacing w:line="480" w:lineRule="auto"/>
        <w:jc w:val="center"/>
      </w:pPr>
      <w:r>
        <w:rPr>
          <w:b/>
          <w:bCs/>
        </w:rPr>
        <w:t>25 CFR §§ 571.12, 571.13</w:t>
      </w:r>
    </w:p>
    <w:p w:rsidR="00966D88" w14:paraId="3B8ECD3A" w14:textId="77777777">
      <w:pPr>
        <w:pStyle w:val="Default"/>
        <w:tabs>
          <w:tab w:val="left" w:pos="378"/>
        </w:tabs>
        <w:spacing w:line="480" w:lineRule="auto"/>
        <w:ind w:firstLine="720"/>
      </w:pPr>
      <w:r>
        <w:t xml:space="preserve">Section 571.12 requires tribes to prepare comparative financial statements covering all financial activities of each class II and class III gaming operation on the tribe’s Indian lands, and to engage an independent certified public accountant (CPA) to provide an annual audit of the </w:t>
      </w:r>
      <w:r>
        <w:t xml:space="preserve">financial statements of each class II and class III gaming operation. The financial statements prepared by the CPA must conform to generally accepted accounting principles (GAAP) and the annual audit must conform to generally accepted auditing standards. </w:t>
      </w:r>
    </w:p>
    <w:p w:rsidR="00966D88" w14:paraId="7064009C" w14:textId="77777777">
      <w:pPr>
        <w:pStyle w:val="Default"/>
        <w:tabs>
          <w:tab w:val="left" w:pos="378"/>
        </w:tabs>
        <w:spacing w:line="480" w:lineRule="auto"/>
        <w:ind w:firstLine="720"/>
      </w:pPr>
      <w:r>
        <w:t xml:space="preserve">Section 571.13 requires tribes to prepare and submit to the Commission two paper copies or one electronic copy of the aforementioned financial statements and audits, together with management letter(s) and other documented auditor communications and/or reports as a result of the audit, setting forth the results of each fiscal year. The submission must be sent to the Commission within 120 days after the end of the fiscal year of each gaming operation, including when a gaming operation changes its fiscal year or when gaming ceases to operate. </w:t>
      </w:r>
    </w:p>
    <w:p w:rsidR="00966D88" w14:paraId="47785902" w14:textId="77777777">
      <w:pPr>
        <w:ind w:left="360" w:hanging="360"/>
      </w:pPr>
      <w:r>
        <w:rPr>
          <w:rFonts w:ascii="Times New Roman" w:hAnsi="Times New Roman" w:cs="Times New Roman"/>
          <w:b/>
          <w:sz w:val="24"/>
          <w:szCs w:val="24"/>
        </w:rPr>
        <w:t xml:space="preserve">2. </w:t>
      </w:r>
      <w:r>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r>
        <w:rPr>
          <w:b/>
          <w:bCs/>
        </w:rPr>
        <w:t xml:space="preserve"> </w:t>
      </w:r>
    </w:p>
    <w:p w:rsidR="00966D88" w14:paraId="6EFB70C6" w14:textId="77777777">
      <w:pPr>
        <w:pStyle w:val="Default"/>
        <w:tabs>
          <w:tab w:val="left" w:pos="378"/>
        </w:tabs>
        <w:rPr>
          <w:b/>
          <w:bCs/>
        </w:rPr>
      </w:pPr>
    </w:p>
    <w:p w:rsidR="00966D88" w14:paraId="3F224DF9" w14:textId="77777777">
      <w:pPr>
        <w:pStyle w:val="Default"/>
        <w:tabs>
          <w:tab w:val="left" w:pos="378"/>
        </w:tabs>
        <w:spacing w:line="480" w:lineRule="auto"/>
      </w:pPr>
      <w:r>
        <w:tab/>
      </w:r>
      <w:r>
        <w:tab/>
        <w:t xml:space="preserve">The Commission receives and analyzes the required filings, which are submitted using non-standardized documents, for a variety of purposes. </w:t>
      </w:r>
      <w:r>
        <w:rPr>
          <w:bCs/>
        </w:rPr>
        <w:t xml:space="preserve">The regulatory </w:t>
      </w:r>
      <w:r>
        <w:t xml:space="preserve">requirement that Indian gaming operations keep/maintain permanent books of account and records sufficient to establish the amount of gross and net income, deductions and expenses, receipts and disbursements, and other relevant financial information; and the receipt and review of the audited financial statements, inclusive of management letters, is essential to effectively evaluate the risk posed to the Indian gaming industry by others. To the trained NIGC analyst, the information in these financial-type records can reveal gaming operations that possess dysfunctional internal control systems. Because the financial data is often the first indicator that an organization is being victimized by corrupting influences, this information helps the Commission identify gaming operations that are noncompliant. In short, the NIGC uses this information to ensure that tribes are adequately shielded from organized crime and other corrupting influences, to ensure that the </w:t>
      </w:r>
      <w:r>
        <w:t>Indian tribe is the primary beneficiary of the gaming operation revenue, and to assure that the gaming activities are conducted fairly and honestly by both the operator and players. Thus, the receipt and maintenance of these financial records is vital for the Commission to efficiently and effectively fulfill its statutory responsibilities.</w:t>
      </w:r>
    </w:p>
    <w:p w:rsidR="00966D88" w14:paraId="22160E9E" w14:textId="77777777">
      <w:pPr>
        <w:pStyle w:val="Default"/>
        <w:tabs>
          <w:tab w:val="left" w:pos="378"/>
        </w:tabs>
        <w:spacing w:line="480" w:lineRule="auto"/>
      </w:pPr>
      <w:r>
        <w:tab/>
      </w:r>
      <w:r>
        <w:tab/>
        <w:t>In addition, obtaining reliable and timely financial information in the form of audited financial statements is necessary for the Commission to accurately forecast the future gross gaming revenue of the tribal gaming industry, as Commission funding is derived from the assessment of fees on the gaming tribes based on a determination of gross gaming revenue. The reconciliation of the quarterly fee reports is necessary for the NIGC to verify the accuracy of the fee payments. The Commission first forecasts the gross gaming revenue and then sets a fee rate necessary to generate sufficient funding for the agency’s budget for the upcoming year. Without the reconciliation, it would be difficult for the agency to verify compliance with part 514 of its regulations.</w:t>
      </w:r>
    </w:p>
    <w:p w:rsidR="00966D88" w14:paraId="433B8FFA" w14:textId="77777777">
      <w:pPr>
        <w:pStyle w:val="Default"/>
        <w:tabs>
          <w:tab w:val="left" w:pos="378"/>
        </w:tabs>
        <w:spacing w:line="480" w:lineRule="auto"/>
      </w:pPr>
      <w:r>
        <w:tab/>
      </w:r>
      <w:r>
        <w:tab/>
        <w:t xml:space="preserve">Lastly, the Commission collects data from the gaming operations, aggregates it, and disseminates the information to the general public. These submissions provide information about the Indian gaming industry to Congress and the general public, and identify trends and industry norms. </w:t>
      </w:r>
    </w:p>
    <w:p w:rsidR="00966D88" w14:paraId="5F0F35B9" w14:textId="77777777">
      <w:pPr>
        <w:ind w:left="360" w:hanging="360"/>
      </w:pPr>
      <w:r>
        <w:rPr>
          <w:rFonts w:ascii="Times New Roman" w:hAnsi="Times New Roman" w:cs="Times New Roman"/>
          <w:b/>
          <w:sz w:val="24"/>
          <w:szCs w:val="24"/>
        </w:rPr>
        <w:t xml:space="preserve">3. </w:t>
      </w:r>
      <w:r>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rPr>
        <w:t xml:space="preserve"> </w:t>
      </w:r>
    </w:p>
    <w:p w:rsidR="00966D88" w14:paraId="658CD41E" w14:textId="77777777">
      <w:pPr>
        <w:pStyle w:val="Default"/>
        <w:tabs>
          <w:tab w:val="left" w:pos="378"/>
        </w:tabs>
      </w:pPr>
    </w:p>
    <w:p w:rsidR="00966D88" w14:paraId="66B281E6" w14:textId="48CCA2E8">
      <w:pPr>
        <w:pStyle w:val="Default"/>
        <w:tabs>
          <w:tab w:val="left" w:pos="378"/>
        </w:tabs>
        <w:spacing w:line="480" w:lineRule="auto"/>
      </w:pPr>
      <w:r>
        <w:tab/>
      </w:r>
      <w:r>
        <w:tab/>
        <w:t>Under NIGC regulations, tribes may maintain and/or submit this information to the Commission by compatible automated, electronic, and/or mechanical means. NIGC</w:t>
      </w:r>
      <w:r w:rsidR="00710C8A">
        <w:t xml:space="preserve"> estimates that approximately 85</w:t>
      </w:r>
      <w:r>
        <w:t>% of all respondents use electronic reporting.</w:t>
      </w:r>
    </w:p>
    <w:p w:rsidR="00966D88" w14:paraId="692E502F" w14:textId="77777777">
      <w:pPr>
        <w:ind w:left="360" w:hanging="360"/>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966D88" w14:paraId="30C7100A" w14:textId="77777777">
      <w:pPr>
        <w:pStyle w:val="Default"/>
        <w:tabs>
          <w:tab w:val="left" w:pos="378"/>
        </w:tabs>
      </w:pPr>
    </w:p>
    <w:p w:rsidR="00966D88" w14:paraId="5FBF17DD" w14:textId="77777777">
      <w:pPr>
        <w:pStyle w:val="Default"/>
        <w:tabs>
          <w:tab w:val="left" w:pos="378"/>
        </w:tabs>
        <w:spacing w:line="480" w:lineRule="auto"/>
      </w:pPr>
      <w:r>
        <w:tab/>
      </w:r>
      <w:r>
        <w:tab/>
        <w:t xml:space="preserve">The information required to be maintained and/or annually submitted to the Commission is unique to each Indian tribe and each gaming operation. No similar information pertaining to gaming on Indian lands is collected by the Commission or by any other federal agencies. </w:t>
      </w:r>
    </w:p>
    <w:p w:rsidR="00966D88" w14:paraId="41035705" w14:textId="77777777">
      <w:pPr>
        <w:ind w:left="360" w:hanging="360"/>
      </w:pPr>
      <w:r>
        <w:rPr>
          <w:rFonts w:ascii="Times New Roman" w:hAnsi="Times New Roman" w:cs="Times New Roman"/>
          <w:b/>
          <w:sz w:val="24"/>
          <w:szCs w:val="24"/>
        </w:rPr>
        <w:t xml:space="preserve">5. </w:t>
      </w:r>
      <w:r>
        <w:rPr>
          <w:rFonts w:ascii="Times New Roman" w:hAnsi="Times New Roman" w:cs="Times New Roman"/>
          <w:b/>
          <w:sz w:val="24"/>
          <w:szCs w:val="24"/>
        </w:rPr>
        <w:tab/>
        <w:t>If the collection of information impacts small businesses or other small entities, describe any methods used to minimize burden.</w:t>
      </w:r>
      <w:r>
        <w:rPr>
          <w:b/>
          <w:bCs/>
        </w:rPr>
        <w:t xml:space="preserve"> </w:t>
      </w:r>
    </w:p>
    <w:p w:rsidR="00966D88" w14:paraId="382E3D93" w14:textId="77777777">
      <w:pPr>
        <w:pStyle w:val="Default"/>
        <w:tabs>
          <w:tab w:val="left" w:pos="378"/>
        </w:tabs>
      </w:pPr>
    </w:p>
    <w:p w:rsidR="00966D88" w14:paraId="60FCF350" w14:textId="77777777">
      <w:pPr>
        <w:pStyle w:val="Default"/>
        <w:tabs>
          <w:tab w:val="left" w:pos="378"/>
        </w:tabs>
        <w:spacing w:line="480" w:lineRule="auto"/>
      </w:pPr>
      <w:r>
        <w:tab/>
      </w:r>
      <w:r>
        <w:tab/>
        <w:t xml:space="preserve">None of the respondents meet the Small Business Administration’s definition of a small business. Nonetheless, the Commission’s regulations require operations to submit the minimum amount of information that the Commission requires to fulfill its statutory responsibilities. The audit requirements apply to all Indian gaming operations, regardless of size. The burden is directly proportional to the economic activity conducted. </w:t>
      </w:r>
    </w:p>
    <w:p w:rsidR="00966D88" w14:paraId="630F25C4" w14:textId="77777777">
      <w:pPr>
        <w:ind w:left="360" w:hanging="360"/>
      </w:pPr>
      <w:r>
        <w:rPr>
          <w:rFonts w:ascii="Times New Roman" w:hAnsi="Times New Roman" w:cs="Times New Roman"/>
          <w:b/>
          <w:sz w:val="24"/>
          <w:szCs w:val="24"/>
        </w:rPr>
        <w:t xml:space="preserve">6. </w:t>
      </w:r>
      <w:r>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r>
        <w:rPr>
          <w:b/>
          <w:bCs/>
        </w:rPr>
        <w:t xml:space="preserve"> </w:t>
      </w:r>
    </w:p>
    <w:p w:rsidR="00966D88" w14:paraId="5728CB02" w14:textId="77777777">
      <w:pPr>
        <w:pStyle w:val="Default"/>
        <w:tabs>
          <w:tab w:val="left" w:pos="378"/>
        </w:tabs>
        <w:rPr>
          <w:b/>
          <w:bCs/>
        </w:rPr>
      </w:pPr>
    </w:p>
    <w:p w:rsidR="00F913CF" w14:paraId="530100C4" w14:textId="77777777">
      <w:pPr>
        <w:pStyle w:val="Default"/>
        <w:tabs>
          <w:tab w:val="left" w:pos="378"/>
        </w:tabs>
        <w:spacing w:line="480" w:lineRule="auto"/>
      </w:pPr>
      <w:r>
        <w:tab/>
      </w:r>
      <w:r>
        <w:tab/>
      </w:r>
      <w:r>
        <w:t>The specific recordkeeping, accounting, and auditing requirements of these information collections represent long-established norms of conducting business and are essential to the NIGC being able to fulfill its statutory obligations. Without the information required to be kept for review or provided by the submissions, the Commission would be hampered in the fulfillment of its mission.</w:t>
      </w:r>
    </w:p>
    <w:p w:rsidR="00966D88" w14:paraId="68872E66" w14:textId="77777777">
      <w:pPr>
        <w:pStyle w:val="Default"/>
        <w:tabs>
          <w:tab w:val="left" w:pos="378"/>
        </w:tabs>
        <w:spacing w:line="480" w:lineRule="auto"/>
      </w:pPr>
      <w:r>
        <w:tab/>
      </w:r>
      <w:r>
        <w:tab/>
      </w:r>
      <w:r w:rsidR="00805537">
        <w:t xml:space="preserve">Amongst other purposes, Congress enacted IGRA and established the Commission to ensure that: </w:t>
      </w:r>
    </w:p>
    <w:p w:rsidR="00966D88" w14:paraId="250BFF09" w14:textId="77777777">
      <w:pPr>
        <w:pStyle w:val="Default"/>
        <w:numPr>
          <w:ilvl w:val="0"/>
          <w:numId w:val="2"/>
        </w:numPr>
        <w:spacing w:line="360" w:lineRule="auto"/>
      </w:pPr>
      <w:r>
        <w:t xml:space="preserve">the industry is shielded from organized crime and other corrupting influences; </w:t>
      </w:r>
    </w:p>
    <w:p w:rsidR="00966D88" w14:paraId="5843B909" w14:textId="77777777">
      <w:pPr>
        <w:pStyle w:val="Default"/>
        <w:numPr>
          <w:ilvl w:val="0"/>
          <w:numId w:val="2"/>
        </w:numPr>
        <w:spacing w:line="360" w:lineRule="auto"/>
      </w:pPr>
      <w:r>
        <w:t xml:space="preserve">the tribe is the primary beneficiary of its gaming revenue; and </w:t>
      </w:r>
    </w:p>
    <w:p w:rsidR="00966D88" w14:paraId="391E7406" w14:textId="77777777">
      <w:pPr>
        <w:pStyle w:val="Default"/>
        <w:numPr>
          <w:ilvl w:val="0"/>
          <w:numId w:val="2"/>
        </w:numPr>
        <w:spacing w:line="480" w:lineRule="auto"/>
      </w:pPr>
      <w:r>
        <w:t xml:space="preserve">fairness and honesty are the hallmarks of Indian gaming. </w:t>
      </w:r>
    </w:p>
    <w:p w:rsidR="00966D88" w14:paraId="6055D747" w14:textId="6649225B">
      <w:pPr>
        <w:pStyle w:val="Default"/>
        <w:tabs>
          <w:tab w:val="left" w:pos="378"/>
        </w:tabs>
        <w:spacing w:line="480" w:lineRule="auto"/>
      </w:pPr>
      <w:r>
        <w:tab/>
      </w:r>
      <w:r>
        <w:tab/>
        <w:t xml:space="preserve">Accordingly, the Commission has determined that it is necessary that basic accounting and recordkeeping be employed by the gaming operators to provide for a methodology that would produce reliable financial data in a timely manner, and reconciliations to ensure timely and accurate payment of fees to the agency. </w:t>
      </w:r>
    </w:p>
    <w:p w:rsidR="00966D88" w14:paraId="5830BB79" w14:textId="77777777">
      <w:pPr>
        <w:ind w:left="360" w:hanging="360"/>
        <w:rPr>
          <w:rFonts w:ascii="Times New Roman" w:hAnsi="Times New Roman" w:cs="Times New Roman"/>
          <w:b/>
          <w:sz w:val="24"/>
          <w:szCs w:val="24"/>
        </w:rPr>
      </w:pPr>
      <w:r>
        <w:rPr>
          <w:rFonts w:ascii="Times New Roman" w:hAnsi="Times New Roman" w:cs="Times New Roman"/>
          <w:b/>
          <w:sz w:val="24"/>
          <w:szCs w:val="24"/>
        </w:rPr>
        <w:t xml:space="preserve">7. </w:t>
      </w:r>
      <w:r>
        <w:rPr>
          <w:rFonts w:ascii="Times New Roman" w:hAnsi="Times New Roman" w:cs="Times New Roman"/>
          <w:b/>
          <w:sz w:val="24"/>
          <w:szCs w:val="24"/>
        </w:rPr>
        <w:tab/>
        <w:t xml:space="preserve">Explain any special circumstances that would cause an information collection to be conducted in a manner: </w:t>
      </w:r>
    </w:p>
    <w:p w:rsidR="00966D88" w14:paraId="6094F463" w14:textId="77777777">
      <w:pPr>
        <w:ind w:left="360" w:hanging="360"/>
        <w:rPr>
          <w:rFonts w:ascii="Times New Roman" w:hAnsi="Times New Roman" w:cs="Times New Roman"/>
          <w:b/>
          <w:sz w:val="24"/>
          <w:szCs w:val="24"/>
        </w:rPr>
      </w:pPr>
    </w:p>
    <w:p w:rsidR="00966D88" w14:paraId="4D70553A"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report information to the agency more often than quarterly:</w:t>
      </w:r>
    </w:p>
    <w:p w:rsidR="00966D88" w14:paraId="6982750C" w14:textId="77777777">
      <w:pPr>
        <w:pStyle w:val="ListParagraph"/>
        <w:spacing w:after="0" w:line="240" w:lineRule="auto"/>
        <w:rPr>
          <w:rFonts w:ascii="Times New Roman" w:hAnsi="Times New Roman" w:cs="Times New Roman"/>
          <w:b/>
          <w:sz w:val="24"/>
          <w:szCs w:val="24"/>
        </w:rPr>
      </w:pPr>
    </w:p>
    <w:p w:rsidR="00966D88" w14:paraId="4CD14B8A"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14:paraId="144BC27B" w14:textId="77777777">
      <w:pPr>
        <w:pStyle w:val="ListParagraph"/>
        <w:spacing w:after="0" w:line="240" w:lineRule="auto"/>
        <w:rPr>
          <w:rFonts w:ascii="Times New Roman" w:hAnsi="Times New Roman" w:cs="Times New Roman"/>
          <w:b/>
          <w:sz w:val="24"/>
          <w:szCs w:val="24"/>
        </w:rPr>
      </w:pPr>
    </w:p>
    <w:p w:rsidR="00966D88" w14:paraId="397097E4"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prepare a written response to a collection of information in fewer than 30 days after receipt of it:</w:t>
      </w:r>
    </w:p>
    <w:p w:rsidR="00966D88" w14:paraId="2F7FC9F0" w14:textId="77777777">
      <w:pPr>
        <w:pStyle w:val="ListParagraph"/>
        <w:spacing w:after="0" w:line="240" w:lineRule="auto"/>
        <w:rPr>
          <w:rFonts w:ascii="Times New Roman" w:hAnsi="Times New Roman" w:cs="Times New Roman"/>
          <w:b/>
          <w:sz w:val="24"/>
          <w:szCs w:val="24"/>
        </w:rPr>
      </w:pPr>
    </w:p>
    <w:p w:rsidR="00966D88" w14:paraId="5472DA4C"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14:paraId="552D74D8" w14:textId="77777777">
      <w:pPr>
        <w:pStyle w:val="ListParagraph"/>
        <w:spacing w:after="0" w:line="240" w:lineRule="auto"/>
        <w:rPr>
          <w:rFonts w:ascii="Times New Roman" w:hAnsi="Times New Roman" w:cs="Times New Roman"/>
          <w:b/>
          <w:sz w:val="24"/>
          <w:szCs w:val="24"/>
        </w:rPr>
      </w:pPr>
    </w:p>
    <w:p w:rsidR="00966D88" w14:paraId="4BE85723"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submit more than an original and two copies of any document:</w:t>
      </w:r>
    </w:p>
    <w:p w:rsidR="00966D88" w14:paraId="2B63BD4C" w14:textId="77777777">
      <w:pPr>
        <w:pStyle w:val="ListParagraph"/>
        <w:spacing w:after="0" w:line="240" w:lineRule="auto"/>
        <w:rPr>
          <w:rFonts w:ascii="Times New Roman" w:hAnsi="Times New Roman" w:cs="Times New Roman"/>
          <w:b/>
          <w:sz w:val="24"/>
          <w:szCs w:val="24"/>
        </w:rPr>
      </w:pPr>
    </w:p>
    <w:p w:rsidR="00966D88" w14:paraId="2C61CF72"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14:paraId="3F602327" w14:textId="77777777">
      <w:pPr>
        <w:rPr>
          <w:rFonts w:ascii="Times New Roman" w:hAnsi="Times New Roman" w:cs="Times New Roman"/>
          <w:b/>
          <w:sz w:val="24"/>
          <w:szCs w:val="24"/>
        </w:rPr>
      </w:pPr>
    </w:p>
    <w:p w:rsidR="00966D88" w14:paraId="663167BB"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retain records, other than health, medical, government contract, grant-in-aid, or tax records, for more than three years:</w:t>
      </w:r>
    </w:p>
    <w:p w:rsidR="00966D88" w14:paraId="1065659A" w14:textId="77777777">
      <w:pPr>
        <w:pStyle w:val="ListParagraph"/>
        <w:spacing w:after="0" w:line="240" w:lineRule="auto"/>
        <w:rPr>
          <w:rFonts w:ascii="Times New Roman" w:hAnsi="Times New Roman" w:cs="Times New Roman"/>
          <w:b/>
          <w:sz w:val="24"/>
          <w:szCs w:val="24"/>
        </w:rPr>
      </w:pPr>
    </w:p>
    <w:p w:rsidR="00966D88" w14:paraId="1CF7714E" w14:textId="77777777">
      <w:pPr>
        <w:pStyle w:val="ListParagraph"/>
        <w:spacing w:after="0"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Under 25 CFR § 571.7(c), gaming operations are required to maintain financial books and records for no less than 5 years. This requirement corresponds to financial-type records retention mandated by other federal agencies, such as the implementing regulations for the Bank Secrecy Act, found at 31 CFR chapter X.</w:t>
      </w:r>
      <w:r>
        <w:rPr>
          <w:rFonts w:ascii="Times New Roman" w:hAnsi="Times New Roman" w:cs="Times New Roman"/>
          <w:sz w:val="24"/>
          <w:szCs w:val="24"/>
        </w:rPr>
        <w:t xml:space="preserve"> </w:t>
      </w:r>
    </w:p>
    <w:p w:rsidR="00966D88" w14:paraId="5BC28531"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in connection with a statistical survey, that is not designed to produce valid and reliable results that can be generalized to the universe of study:</w:t>
      </w:r>
    </w:p>
    <w:p w:rsidR="00966D88" w14:paraId="507C8A0F" w14:textId="77777777">
      <w:pPr>
        <w:pStyle w:val="ListParagraph"/>
        <w:spacing w:after="0" w:line="240" w:lineRule="auto"/>
        <w:rPr>
          <w:rFonts w:ascii="Times New Roman" w:hAnsi="Times New Roman" w:cs="Times New Roman"/>
          <w:b/>
          <w:sz w:val="24"/>
          <w:szCs w:val="24"/>
        </w:rPr>
      </w:pPr>
    </w:p>
    <w:p w:rsidR="00966D88" w14:paraId="54C93272"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14:paraId="45A126D1" w14:textId="77777777">
      <w:pPr>
        <w:rPr>
          <w:rFonts w:ascii="Times New Roman" w:hAnsi="Times New Roman" w:cs="Times New Roman"/>
          <w:b/>
          <w:sz w:val="24"/>
          <w:szCs w:val="24"/>
        </w:rPr>
      </w:pPr>
    </w:p>
    <w:p w:rsidR="00966D88" w14:paraId="525AECE0"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the use of a statistical data classification that has not been reviewed and approved by OMB:</w:t>
      </w:r>
    </w:p>
    <w:p w:rsidR="00966D88" w14:paraId="053E3C1F" w14:textId="77777777">
      <w:pPr>
        <w:rPr>
          <w:rFonts w:ascii="Times New Roman" w:hAnsi="Times New Roman" w:cs="Times New Roman"/>
          <w:b/>
          <w:sz w:val="24"/>
          <w:szCs w:val="24"/>
        </w:rPr>
      </w:pPr>
    </w:p>
    <w:p w:rsidR="00966D88" w14:paraId="3F953692"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14:paraId="5A5B598D" w14:textId="77777777">
      <w:pPr>
        <w:rPr>
          <w:rFonts w:ascii="Times New Roman" w:hAnsi="Times New Roman" w:cs="Times New Roman"/>
          <w:b/>
          <w:sz w:val="24"/>
          <w:szCs w:val="24"/>
        </w:rPr>
      </w:pPr>
    </w:p>
    <w:p w:rsidR="00966D88" w14:paraId="7D87603E"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6D88" w14:paraId="4D842B8D" w14:textId="77777777">
      <w:pPr>
        <w:rPr>
          <w:rFonts w:ascii="Times New Roman" w:hAnsi="Times New Roman" w:cs="Times New Roman"/>
          <w:b/>
          <w:sz w:val="24"/>
          <w:szCs w:val="24"/>
        </w:rPr>
      </w:pPr>
    </w:p>
    <w:p w:rsidR="00966D88" w14:paraId="628791F8"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14:paraId="05F7B775" w14:textId="77777777">
      <w:pPr>
        <w:rPr>
          <w:rFonts w:ascii="Times New Roman" w:hAnsi="Times New Roman" w:cs="Times New Roman"/>
          <w:b/>
          <w:sz w:val="24"/>
          <w:szCs w:val="24"/>
        </w:rPr>
      </w:pPr>
    </w:p>
    <w:p w:rsidR="00966D88" w14:paraId="0B45A740" w14:textId="77777777">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cs="Times New Roman"/>
          <w:b/>
          <w:bCs/>
          <w:color w:val="000000"/>
          <w:sz w:val="24"/>
          <w:szCs w:val="24"/>
        </w:rPr>
        <w:t xml:space="preserve"> </w:t>
      </w:r>
    </w:p>
    <w:p w:rsidR="00966D88" w14:paraId="0A2DE804" w14:textId="77777777">
      <w:pPr>
        <w:pStyle w:val="ListParagraph"/>
        <w:spacing w:after="0" w:line="240" w:lineRule="auto"/>
        <w:rPr>
          <w:rFonts w:ascii="Times New Roman" w:hAnsi="Times New Roman" w:cs="Times New Roman"/>
          <w:b/>
          <w:sz w:val="24"/>
          <w:szCs w:val="24"/>
        </w:rPr>
      </w:pPr>
    </w:p>
    <w:p w:rsidR="00966D88" w14:paraId="1E2AA9E9"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N/A.</w:t>
      </w:r>
    </w:p>
    <w:p w:rsidR="00966D88" w14:paraId="65C51BEB" w14:textId="77777777">
      <w:pPr>
        <w:rPr>
          <w:rFonts w:ascii="Times New Roman" w:hAnsi="Times New Roman" w:cs="Times New Roman"/>
          <w:b/>
          <w:sz w:val="24"/>
          <w:szCs w:val="24"/>
        </w:rPr>
      </w:pPr>
    </w:p>
    <w:p w:rsidR="00966D88" w14:paraId="55CD0320" w14:textId="77777777">
      <w:pPr>
        <w:ind w:left="360" w:hanging="360"/>
        <w:rPr>
          <w:rFonts w:ascii="Times New Roman" w:hAnsi="Times New Roman" w:cs="Times New Roman"/>
          <w:b/>
          <w:sz w:val="24"/>
          <w:szCs w:val="24"/>
        </w:rPr>
      </w:pPr>
      <w:r>
        <w:rPr>
          <w:rFonts w:ascii="Times New Roman" w:hAnsi="Times New Roman" w:cs="Times New Roman"/>
          <w:b/>
          <w:sz w:val="24"/>
          <w:szCs w:val="24"/>
        </w:rPr>
        <w:t xml:space="preserve">8. </w:t>
      </w:r>
      <w:r>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66D88" w14:paraId="34FDCD06" w14:textId="77777777">
      <w:pPr>
        <w:ind w:left="360"/>
        <w:rPr>
          <w:rFonts w:ascii="Times New Roman" w:hAnsi="Times New Roman" w:cs="Times New Roman"/>
          <w:b/>
          <w:sz w:val="24"/>
          <w:szCs w:val="24"/>
        </w:rPr>
      </w:pPr>
      <w:r>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966D88" w14:paraId="07AF3653" w14:textId="77777777">
      <w:pPr>
        <w:ind w:left="360"/>
      </w:pPr>
      <w:r>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bCs/>
        </w:rPr>
        <w:t xml:space="preserve"> </w:t>
      </w:r>
    </w:p>
    <w:p w:rsidR="00966D88" w14:paraId="67C3CB24" w14:textId="77777777">
      <w:pPr>
        <w:pStyle w:val="Default"/>
        <w:tabs>
          <w:tab w:val="left" w:pos="378"/>
        </w:tabs>
        <w:ind w:left="720" w:hanging="360"/>
      </w:pPr>
    </w:p>
    <w:p w:rsidR="00966D88" w14:paraId="5D551EBC" w14:textId="4CBB0CAE">
      <w:pPr>
        <w:tabs>
          <w:tab w:val="left" w:pos="378"/>
        </w:tabs>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On</w:t>
      </w:r>
      <w:r w:rsidR="004B686F">
        <w:rPr>
          <w:rFonts w:ascii="Times New Roman" w:hAnsi="Times New Roman" w:cs="Times New Roman"/>
          <w:color w:val="000000"/>
          <w:sz w:val="24"/>
          <w:szCs w:val="24"/>
        </w:rPr>
        <w:t xml:space="preserve"> April 5, 2023, </w:t>
      </w:r>
      <w:r>
        <w:rPr>
          <w:rFonts w:ascii="Times New Roman" w:hAnsi="Times New Roman" w:cs="Times New Roman"/>
          <w:color w:val="000000"/>
          <w:sz w:val="24"/>
          <w:szCs w:val="24"/>
        </w:rPr>
        <w:t xml:space="preserve">a 60-day notice containing the information collection renewals was published in the Federal Register allowing the public an opportunity to comment on the requirements. </w:t>
      </w:r>
      <w:r>
        <w:rPr>
          <w:rFonts w:ascii="Times New Roman" w:hAnsi="Times New Roman" w:cs="Times New Roman"/>
          <w:i/>
          <w:color w:val="000000"/>
          <w:sz w:val="24"/>
          <w:szCs w:val="24"/>
        </w:rPr>
        <w:t>Se</w:t>
      </w:r>
      <w:r w:rsidRPr="004B686F">
        <w:rPr>
          <w:rFonts w:ascii="Times New Roman" w:hAnsi="Times New Roman" w:cs="Times New Roman"/>
          <w:i/>
          <w:color w:val="000000"/>
          <w:sz w:val="24"/>
          <w:szCs w:val="24"/>
        </w:rPr>
        <w:t>e</w:t>
      </w:r>
      <w:r w:rsidRPr="004B686F">
        <w:rPr>
          <w:rFonts w:ascii="Times New Roman" w:hAnsi="Times New Roman" w:cs="Times New Roman"/>
          <w:color w:val="000000"/>
          <w:sz w:val="24"/>
          <w:szCs w:val="24"/>
        </w:rPr>
        <w:t xml:space="preserve"> </w:t>
      </w:r>
      <w:r w:rsidRPr="004B686F" w:rsidR="004B686F">
        <w:rPr>
          <w:rFonts w:ascii="Times New Roman" w:hAnsi="Times New Roman" w:cs="Times New Roman"/>
          <w:color w:val="000000"/>
          <w:sz w:val="24"/>
          <w:szCs w:val="24"/>
        </w:rPr>
        <w:t>88 FR 20182</w:t>
      </w:r>
      <w:r w:rsidRPr="004B686F">
        <w:rPr>
          <w:rFonts w:ascii="Times New Roman" w:hAnsi="Times New Roman" w:cs="Times New Roman"/>
          <w:color w:val="000000"/>
          <w:sz w:val="24"/>
          <w:szCs w:val="24"/>
        </w:rPr>
        <w:t xml:space="preserve"> (</w:t>
      </w:r>
      <w:r w:rsidRPr="004B686F" w:rsidR="004B686F">
        <w:rPr>
          <w:rFonts w:ascii="Times New Roman" w:hAnsi="Times New Roman" w:cs="Times New Roman"/>
          <w:color w:val="000000"/>
          <w:sz w:val="24"/>
          <w:szCs w:val="24"/>
        </w:rPr>
        <w:t>April 5, 2023</w:t>
      </w:r>
      <w:r w:rsidRPr="004B686F">
        <w:rPr>
          <w:rFonts w:ascii="Times New Roman" w:hAnsi="Times New Roman" w:cs="Times New Roman"/>
          <w:color w:val="000000"/>
          <w:sz w:val="24"/>
          <w:szCs w:val="24"/>
        </w:rPr>
        <w:t>). T</w:t>
      </w:r>
      <w:r>
        <w:rPr>
          <w:rFonts w:ascii="Times New Roman" w:hAnsi="Times New Roman" w:cs="Times New Roman"/>
          <w:color w:val="000000"/>
          <w:sz w:val="24"/>
          <w:szCs w:val="24"/>
        </w:rPr>
        <w:t>he public comment period closed on</w:t>
      </w:r>
      <w:r w:rsidR="004B686F">
        <w:rPr>
          <w:rFonts w:ascii="Times New Roman" w:hAnsi="Times New Roman" w:cs="Times New Roman"/>
          <w:color w:val="000000"/>
          <w:sz w:val="24"/>
          <w:szCs w:val="24"/>
        </w:rPr>
        <w:t xml:space="preserve"> June 5, 2023</w:t>
      </w:r>
      <w:r>
        <w:rPr>
          <w:rFonts w:ascii="Times New Roman" w:hAnsi="Times New Roman" w:cs="Times New Roman"/>
          <w:color w:val="000000"/>
          <w:sz w:val="24"/>
          <w:szCs w:val="24"/>
        </w:rPr>
        <w:t>. No public comments were received.</w:t>
      </w:r>
      <w:r>
        <w:rPr>
          <w:rFonts w:ascii="Times New Roman" w:hAnsi="Times New Roman" w:cs="Times New Roman"/>
          <w:color w:val="000000"/>
          <w:sz w:val="24"/>
          <w:szCs w:val="24"/>
        </w:rPr>
        <w:tab/>
      </w:r>
    </w:p>
    <w:p w:rsidR="004C5CA0" w:rsidRPr="008B3660" w:rsidP="004C5CA0" w14:paraId="7ABD66EA" w14:textId="360791DC">
      <w:pPr>
        <w:pStyle w:val="Default"/>
        <w:spacing w:line="480" w:lineRule="auto"/>
        <w:ind w:firstLine="720"/>
        <w:rPr>
          <w:color w:val="auto"/>
        </w:rPr>
      </w:pPr>
      <w:r>
        <w:t>T</w:t>
      </w:r>
      <w:r w:rsidRPr="008B3660">
        <w:t xml:space="preserve">he Commission </w:t>
      </w:r>
      <w:r>
        <w:t xml:space="preserve">has also performed outreach to </w:t>
      </w:r>
      <w:r w:rsidR="00D507B2">
        <w:t xml:space="preserve">sample of </w:t>
      </w:r>
      <w:r>
        <w:t xml:space="preserve">Tribes </w:t>
      </w:r>
      <w:r w:rsidR="00EC0C16">
        <w:t xml:space="preserve">and </w:t>
      </w:r>
      <w:r w:rsidR="00D507B2">
        <w:t>requested input in regards to</w:t>
      </w:r>
      <w:r w:rsidRPr="008B3660" w:rsidR="00EC0C16">
        <w:t xml:space="preserve"> </w:t>
      </w:r>
      <w:r w:rsidR="00EC0C16">
        <w:t xml:space="preserve">burden time and cost estimates </w:t>
      </w:r>
      <w:r w:rsidR="00D507B2">
        <w:t xml:space="preserve">for responding </w:t>
      </w:r>
      <w:r w:rsidR="00EC0C16">
        <w:t xml:space="preserve">to the information requests.  </w:t>
      </w:r>
      <w:r w:rsidRPr="008B3660">
        <w:t>The Commission has adjusted its previous estimates accordingly.</w:t>
      </w:r>
    </w:p>
    <w:p w:rsidR="00966D88" w:rsidP="004C5CA0" w14:paraId="12D49580" w14:textId="2C4F56B0">
      <w:pPr>
        <w:tabs>
          <w:tab w:val="left" w:pos="378"/>
        </w:tabs>
        <w:autoSpaceDE w:val="0"/>
        <w:autoSpaceDN w:val="0"/>
        <w:adjustRightInd w:val="0"/>
        <w:spacing w:line="480" w:lineRule="auto"/>
      </w:pPr>
      <w:r>
        <w:rPr>
          <w:rFonts w:ascii="Times New Roman" w:hAnsi="Times New Roman" w:cs="Times New Roman"/>
          <w:b/>
          <w:sz w:val="24"/>
          <w:szCs w:val="24"/>
        </w:rPr>
        <w:t xml:space="preserve">9. </w:t>
      </w:r>
      <w:r>
        <w:rPr>
          <w:rFonts w:ascii="Times New Roman" w:hAnsi="Times New Roman" w:cs="Times New Roman"/>
          <w:b/>
          <w:sz w:val="24"/>
          <w:szCs w:val="24"/>
        </w:rPr>
        <w:tab/>
        <w:t>Explain any decision to provide any payment or gift to respondents, other than remuneration of contractors or grantees.</w:t>
      </w:r>
      <w:r>
        <w:rPr>
          <w:b/>
          <w:bCs/>
        </w:rPr>
        <w:t xml:space="preserve"> </w:t>
      </w:r>
    </w:p>
    <w:p w:rsidR="00966D88" w14:paraId="00780202" w14:textId="77777777">
      <w:pPr>
        <w:pStyle w:val="Default"/>
        <w:tabs>
          <w:tab w:val="left" w:pos="378"/>
        </w:tabs>
        <w:ind w:left="720" w:hanging="360"/>
      </w:pPr>
    </w:p>
    <w:p w:rsidR="00966D88" w14:paraId="16F1A42D" w14:textId="77777777">
      <w:pPr>
        <w:pStyle w:val="Default"/>
        <w:tabs>
          <w:tab w:val="left" w:pos="378"/>
        </w:tabs>
        <w:ind w:left="720" w:hanging="360"/>
      </w:pPr>
      <w:r>
        <w:tab/>
      </w:r>
      <w:r>
        <w:tab/>
        <w:t>Not applicable. The NIGC does not provide any payment or gift to respondents.</w:t>
      </w:r>
    </w:p>
    <w:p w:rsidR="00966D88" w14:paraId="4F341496" w14:textId="77777777">
      <w:pPr>
        <w:pStyle w:val="Default"/>
        <w:tabs>
          <w:tab w:val="left" w:pos="378"/>
        </w:tabs>
        <w:rPr>
          <w:b/>
          <w:bCs/>
        </w:rPr>
      </w:pPr>
    </w:p>
    <w:p w:rsidR="00966D88" w14:paraId="1C06935A" w14:textId="77777777">
      <w:pPr>
        <w:ind w:left="360" w:hanging="360"/>
      </w:pPr>
      <w:r>
        <w:rPr>
          <w:rFonts w:ascii="Times New Roman" w:hAnsi="Times New Roman" w:cs="Times New Roman"/>
          <w:b/>
          <w:sz w:val="24"/>
          <w:szCs w:val="24"/>
        </w:rPr>
        <w:t>10.</w:t>
      </w:r>
      <w:r>
        <w:rPr>
          <w:rFonts w:ascii="Times New Roman" w:hAnsi="Times New Roman" w:cs="Times New Roman"/>
          <w:b/>
          <w:sz w:val="24"/>
          <w:szCs w:val="24"/>
        </w:rPr>
        <w:tab/>
        <w:t>Describe any assurance of confidentiality provided to respondents and the basis for the assurance in statute, regulation, or agency policy.</w:t>
      </w:r>
      <w:r>
        <w:rPr>
          <w:b/>
          <w:bCs/>
        </w:rPr>
        <w:t xml:space="preserve"> </w:t>
      </w:r>
    </w:p>
    <w:p w:rsidR="00966D88" w14:paraId="434F9F30" w14:textId="77777777">
      <w:pPr>
        <w:pStyle w:val="Default"/>
        <w:tabs>
          <w:tab w:val="left" w:pos="378"/>
        </w:tabs>
        <w:ind w:firstLine="720"/>
      </w:pPr>
    </w:p>
    <w:p w:rsidR="00966D88" w14:paraId="609AD6D1" w14:textId="77777777">
      <w:pPr>
        <w:pStyle w:val="Default"/>
        <w:tabs>
          <w:tab w:val="left" w:pos="378"/>
        </w:tabs>
        <w:spacing w:line="480" w:lineRule="auto"/>
        <w:ind w:firstLine="720"/>
      </w:pPr>
      <w:r>
        <w:t xml:space="preserve">The Act requires the Commission to keep confidential trade secrets, privileged or confidential, commercial or financial information, or information related to ongoing law enforcement investigations. Section 2716 of title 25, United States Code, removes from the Commission any discretion it otherwise would have to disclose information that falls within FOIA exemptions 4 and 7, and requires the Commission to disclose such information only to other law enforcement agencies for law enforcement purposes. </w:t>
      </w:r>
    </w:p>
    <w:p w:rsidR="00966D88" w14:paraId="2F2FFCB9" w14:textId="77777777">
      <w:pPr>
        <w:ind w:left="360" w:hanging="360"/>
      </w:pPr>
      <w:r>
        <w:rPr>
          <w:rFonts w:ascii="Times New Roman" w:hAnsi="Times New Roman" w:cs="Times New Roman"/>
          <w:b/>
          <w:sz w:val="24"/>
          <w:szCs w:val="24"/>
        </w:rPr>
        <w:t>11.</w:t>
      </w:r>
      <w:r>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bCs/>
        </w:rPr>
        <w:t xml:space="preserve"> </w:t>
      </w:r>
    </w:p>
    <w:p w:rsidR="00966D88" w14:paraId="5EFF1527" w14:textId="77777777">
      <w:pPr>
        <w:pStyle w:val="Default"/>
        <w:tabs>
          <w:tab w:val="left" w:pos="378"/>
        </w:tabs>
      </w:pPr>
    </w:p>
    <w:p w:rsidR="00966D88" w14:paraId="7ADB7219" w14:textId="77777777">
      <w:pPr>
        <w:pStyle w:val="Default"/>
        <w:tabs>
          <w:tab w:val="left" w:pos="378"/>
        </w:tabs>
      </w:pPr>
      <w:r>
        <w:tab/>
      </w:r>
      <w:r>
        <w:tab/>
        <w:t xml:space="preserve">Not applicable. No sensitive questions are asked. </w:t>
      </w:r>
    </w:p>
    <w:p w:rsidR="00966D88" w14:paraId="4FB52FBA" w14:textId="77777777">
      <w:pPr>
        <w:pStyle w:val="Default"/>
        <w:tabs>
          <w:tab w:val="left" w:pos="378"/>
        </w:tabs>
      </w:pPr>
    </w:p>
    <w:p w:rsidR="00966D88" w14:paraId="74F4DC24" w14:textId="77777777">
      <w:pPr>
        <w:ind w:left="360" w:hanging="36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 xml:space="preserve">Provide estimates of the hour burden of the collection of information. The statement should: </w:t>
      </w:r>
    </w:p>
    <w:p w:rsidR="00966D88" w14:paraId="70AE4EA8"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66D88" w14:paraId="6A0C6D5A"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If this request for approval covers more than one form, provide separate hour burden estimates for each form and aggregate the hour burdens in Item 13. </w:t>
      </w:r>
    </w:p>
    <w:p w:rsidR="00966D88" w14:paraId="79CC0C4E" w14:textId="77777777">
      <w:pPr>
        <w:pStyle w:val="ListParagraph"/>
        <w:numPr>
          <w:ilvl w:val="0"/>
          <w:numId w:val="1"/>
        </w:numPr>
        <w:spacing w:after="0" w:line="240" w:lineRule="auto"/>
      </w:pPr>
      <w:r>
        <w:rPr>
          <w:rFonts w:ascii="Times New Roman" w:hAnsi="Times New Roman" w:cs="Times New Roman"/>
          <w:b/>
          <w:sz w:val="24"/>
          <w:szCs w:val="24"/>
        </w:rPr>
        <w:t xml:space="preserve">Provide estimates of annualized cost to respondents for the hour burdens for collections of information, identifying and using appropriate wage rate categories. </w:t>
      </w:r>
      <w:r>
        <w:rPr>
          <w:rFonts w:ascii="Times New Roman" w:hAnsi="Times New Roman" w:cs="Times New Roman"/>
          <w:b/>
          <w:sz w:val="24"/>
          <w:szCs w:val="24"/>
        </w:rPr>
        <w:t>The cost of contracting out or paying outside parties for information collection activities should not be included here. Instead, this cost should be included in Item</w:t>
      </w:r>
    </w:p>
    <w:p w:rsidR="00966D88" w14:paraId="2400FAC8" w14:textId="77777777"/>
    <w:p w:rsidR="00966D88" w14:paraId="54A19A9B" w14:textId="66FE116D">
      <w:pPr>
        <w:pStyle w:val="Default"/>
        <w:tabs>
          <w:tab w:val="left" w:pos="378"/>
        </w:tabs>
        <w:spacing w:line="480" w:lineRule="auto"/>
        <w:ind w:firstLine="720"/>
      </w:pPr>
      <w:r>
        <w:t xml:space="preserve">The number of respondents are the number of gaming Tribes.  </w:t>
      </w:r>
      <w:r w:rsidR="00C57C7E">
        <w:t>Except for the collection under 571.7/571.14, which are quarterly, the</w:t>
      </w:r>
      <w:r>
        <w:t xml:space="preserve"> number</w:t>
      </w:r>
      <w:r w:rsidR="00C57C7E">
        <w:t xml:space="preserve"> </w:t>
      </w:r>
      <w:r>
        <w:t xml:space="preserve">of responses is equal to the number of respondents. </w:t>
      </w:r>
      <w:r w:rsidR="00C57C7E">
        <w:t xml:space="preserve">Average hours per response and average wage costs per response were derived from Tribal </w:t>
      </w:r>
      <w:r w:rsidR="001E4D95">
        <w:t>estimates</w:t>
      </w:r>
      <w:r w:rsidR="00C57C7E">
        <w:t>.  Total annual hours were calculated by multiplying the number of responses by the average</w:t>
      </w:r>
      <w:r>
        <w:t xml:space="preserve"> hours per response.  Total annual wage costs were calculated by multiplying the number of responses by the average </w:t>
      </w:r>
      <w:r w:rsidR="00C57C7E">
        <w:t>wage cost</w:t>
      </w:r>
      <w:r>
        <w:t xml:space="preserve"> per response</w:t>
      </w:r>
      <w:r w:rsidR="003A2540">
        <w:t>.</w:t>
      </w:r>
    </w:p>
    <w:p w:rsidR="00966D88" w14:paraId="56B4FEE1" w14:textId="77777777">
      <w:pPr>
        <w:pStyle w:val="Default"/>
        <w:tabs>
          <w:tab w:val="left" w:pos="378"/>
        </w:tabs>
        <w:jc w:val="center"/>
      </w:pPr>
      <w:r>
        <w:rPr>
          <w:b/>
          <w:bCs/>
          <w:u w:val="single"/>
        </w:rPr>
        <w:t>ESTIMATED ANNUAL HOURLY BURDEN TOTALS</w:t>
      </w:r>
    </w:p>
    <w:p w:rsidR="00966D88" w14:paraId="78A2DE05" w14:textId="77777777">
      <w:pPr>
        <w:pStyle w:val="Default"/>
      </w:pPr>
    </w:p>
    <w:tbl>
      <w:tblPr>
        <w:tblW w:w="945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60"/>
        <w:gridCol w:w="1340"/>
        <w:gridCol w:w="1170"/>
        <w:gridCol w:w="1080"/>
        <w:gridCol w:w="990"/>
        <w:gridCol w:w="1180"/>
        <w:gridCol w:w="1080"/>
        <w:gridCol w:w="1350"/>
      </w:tblGrid>
      <w:tr w14:paraId="37D428D4" w14:textId="77777777">
        <w:tblPrEx>
          <w:tblW w:w="945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745"/>
        </w:trPr>
        <w:tc>
          <w:tcPr>
            <w:tcW w:w="1260" w:type="dxa"/>
            <w:shd w:val="clear" w:color="000000" w:fill="BFBFBF" w:themeFill="background1" w:themeFillShade="BF"/>
            <w:hideMark/>
          </w:tcPr>
          <w:p w:rsidR="00966D88" w14:paraId="1B2C4F51" w14:textId="77777777">
            <w:pPr>
              <w:spacing w:before="60" w:after="60"/>
              <w:ind w:left="-93" w:right="-108"/>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CFR CITE/ COLLECTION</w:t>
            </w:r>
          </w:p>
        </w:tc>
        <w:tc>
          <w:tcPr>
            <w:tcW w:w="1340" w:type="dxa"/>
            <w:shd w:val="clear" w:color="000000" w:fill="BFBFBF" w:themeFill="background1" w:themeFillShade="BF"/>
            <w:hideMark/>
          </w:tcPr>
          <w:p w:rsidR="00966D88" w14:paraId="0DEBA6AD"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NUMBER OF ANNUAL RESPONDENTS</w:t>
            </w:r>
          </w:p>
        </w:tc>
        <w:tc>
          <w:tcPr>
            <w:tcW w:w="1170" w:type="dxa"/>
            <w:shd w:val="clear" w:color="000000" w:fill="BFBFBF" w:themeFill="background1" w:themeFillShade="BF"/>
            <w:hideMark/>
          </w:tcPr>
          <w:p w:rsidR="00966D88" w14:paraId="246602EE"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FREQUENCY OF RESPONSES PER YEAR</w:t>
            </w:r>
          </w:p>
        </w:tc>
        <w:tc>
          <w:tcPr>
            <w:tcW w:w="1080" w:type="dxa"/>
            <w:shd w:val="clear" w:color="000000" w:fill="BFBFBF" w:themeFill="background1" w:themeFillShade="BF"/>
            <w:hideMark/>
          </w:tcPr>
          <w:p w:rsidR="00966D88" w14:paraId="788B3442"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ANNUAL RESPONSES</w:t>
            </w:r>
          </w:p>
        </w:tc>
        <w:tc>
          <w:tcPr>
            <w:tcW w:w="990" w:type="dxa"/>
            <w:shd w:val="clear" w:color="000000" w:fill="BFBFBF" w:themeFill="background1" w:themeFillShade="BF"/>
            <w:hideMark/>
          </w:tcPr>
          <w:p w:rsidR="00966D88" w14:paraId="0F60B2FA"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AVERAGE HOURS  PER RESPONSE</w:t>
            </w:r>
          </w:p>
        </w:tc>
        <w:tc>
          <w:tcPr>
            <w:tcW w:w="1180" w:type="dxa"/>
            <w:shd w:val="clear" w:color="000000" w:fill="BFBFBF" w:themeFill="background1" w:themeFillShade="BF"/>
          </w:tcPr>
          <w:p w:rsidR="00966D88" w14:paraId="0BBEE2FC" w14:textId="77777777">
            <w:pPr>
              <w:spacing w:before="60" w:after="6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AVERAGE (WAGE) COST PER REPONSE</w:t>
            </w:r>
          </w:p>
        </w:tc>
        <w:tc>
          <w:tcPr>
            <w:tcW w:w="1080" w:type="dxa"/>
            <w:shd w:val="clear" w:color="000000" w:fill="BFBFBF" w:themeFill="background1" w:themeFillShade="BF"/>
            <w:hideMark/>
          </w:tcPr>
          <w:p w:rsidR="00966D88" w14:paraId="35169FEF" w14:textId="77777777">
            <w:pPr>
              <w:spacing w:before="60" w:after="6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ANNUAL HOURS</w:t>
            </w:r>
          </w:p>
        </w:tc>
        <w:tc>
          <w:tcPr>
            <w:tcW w:w="1350" w:type="dxa"/>
            <w:shd w:val="clear" w:color="000000" w:fill="BFBFBF" w:themeFill="background1" w:themeFillShade="BF"/>
          </w:tcPr>
          <w:p w:rsidR="00966D88" w14:paraId="40026B1E" w14:textId="77777777">
            <w:pPr>
              <w:spacing w:before="60" w:after="6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(WAGE) COST</w:t>
            </w:r>
          </w:p>
        </w:tc>
      </w:tr>
      <w:tr w14:paraId="4B6E6B51" w14:textId="77777777">
        <w:tblPrEx>
          <w:tblW w:w="9450" w:type="dxa"/>
          <w:tblInd w:w="-100" w:type="dxa"/>
          <w:tblLayout w:type="fixed"/>
          <w:tblLook w:val="04A0"/>
        </w:tblPrEx>
        <w:trPr>
          <w:trHeight w:val="330"/>
        </w:trPr>
        <w:tc>
          <w:tcPr>
            <w:tcW w:w="1260" w:type="dxa"/>
            <w:shd w:val="clear" w:color="auto" w:fill="auto"/>
            <w:hideMark/>
          </w:tcPr>
          <w:p w:rsidR="00966D88" w14:paraId="612F1911" w14:textId="77777777">
            <w:pPr>
              <w:spacing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571.7; 571.14</w:t>
            </w:r>
          </w:p>
        </w:tc>
        <w:tc>
          <w:tcPr>
            <w:tcW w:w="1340" w:type="dxa"/>
            <w:shd w:val="clear" w:color="auto" w:fill="auto"/>
            <w:hideMark/>
          </w:tcPr>
          <w:p w:rsidR="00966D88" w:rsidP="00DD18AC" w14:paraId="66E18906" w14:textId="21734256">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w:t>
            </w:r>
          </w:p>
        </w:tc>
        <w:tc>
          <w:tcPr>
            <w:tcW w:w="1170" w:type="dxa"/>
            <w:shd w:val="clear" w:color="auto" w:fill="auto"/>
            <w:hideMark/>
          </w:tcPr>
          <w:p w:rsidR="00966D88" w:rsidP="00DD18AC" w14:paraId="7552A1F0" w14:textId="53201B5E">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080" w:type="dxa"/>
            <w:shd w:val="clear" w:color="auto" w:fill="auto"/>
            <w:hideMark/>
          </w:tcPr>
          <w:p w:rsidR="00966D88" w:rsidP="00DD18AC" w14:paraId="7E1B7091" w14:textId="1CB7B643">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960</w:t>
            </w:r>
          </w:p>
        </w:tc>
        <w:tc>
          <w:tcPr>
            <w:tcW w:w="990" w:type="dxa"/>
            <w:shd w:val="clear" w:color="auto" w:fill="auto"/>
            <w:hideMark/>
          </w:tcPr>
          <w:p w:rsidR="00966D88" w:rsidP="00DD18AC" w14:paraId="7DBA5898" w14:textId="40912B7C">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1180" w:type="dxa"/>
          </w:tcPr>
          <w:p w:rsidR="00966D88" w:rsidP="00162D1E" w14:paraId="70E5AB0A" w14:textId="2F61BC68">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162D1E">
              <w:rPr>
                <w:rFonts w:ascii="Times New Roman" w:eastAsia="Times New Roman" w:hAnsi="Times New Roman" w:cs="Times New Roman"/>
                <w:color w:val="000000" w:themeColor="text1"/>
                <w:sz w:val="24"/>
                <w:szCs w:val="24"/>
              </w:rPr>
              <w:t>435</w:t>
            </w:r>
          </w:p>
        </w:tc>
        <w:tc>
          <w:tcPr>
            <w:tcW w:w="1080" w:type="dxa"/>
            <w:shd w:val="clear" w:color="auto" w:fill="auto"/>
            <w:hideMark/>
          </w:tcPr>
          <w:p w:rsidR="00966D88" w:rsidP="00813694" w14:paraId="35DF8729" w14:textId="17DBE193">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11,520</w:t>
            </w:r>
          </w:p>
        </w:tc>
        <w:tc>
          <w:tcPr>
            <w:tcW w:w="1350" w:type="dxa"/>
          </w:tcPr>
          <w:p w:rsidR="00966D88" w:rsidP="001F2DB3" w14:paraId="5B50F25B" w14:textId="0D876C2E">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162D1E">
              <w:rPr>
                <w:rFonts w:ascii="Times New Roman" w:eastAsia="Times New Roman" w:hAnsi="Times New Roman" w:cs="Times New Roman"/>
                <w:color w:val="000000" w:themeColor="text1"/>
                <w:sz w:val="24"/>
                <w:szCs w:val="24"/>
              </w:rPr>
              <w:t>4</w:t>
            </w:r>
            <w:r w:rsidR="001F2DB3">
              <w:rPr>
                <w:rFonts w:ascii="Times New Roman" w:eastAsia="Times New Roman" w:hAnsi="Times New Roman" w:cs="Times New Roman"/>
                <w:color w:val="000000" w:themeColor="text1"/>
                <w:sz w:val="24"/>
                <w:szCs w:val="24"/>
              </w:rPr>
              <w:t>17,600</w:t>
            </w:r>
          </w:p>
        </w:tc>
      </w:tr>
      <w:tr w14:paraId="22294308" w14:textId="77777777">
        <w:tblPrEx>
          <w:tblW w:w="9450" w:type="dxa"/>
          <w:tblInd w:w="-100" w:type="dxa"/>
          <w:tblLayout w:type="fixed"/>
          <w:tblLook w:val="04A0"/>
        </w:tblPrEx>
        <w:trPr>
          <w:trHeight w:val="330"/>
        </w:trPr>
        <w:tc>
          <w:tcPr>
            <w:tcW w:w="1260" w:type="dxa"/>
            <w:shd w:val="clear" w:color="auto" w:fill="auto"/>
            <w:hideMark/>
          </w:tcPr>
          <w:p w:rsidR="00966D88" w14:paraId="6617EF98" w14:textId="77777777">
            <w:pPr>
              <w:spacing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571.12</w:t>
            </w:r>
          </w:p>
        </w:tc>
        <w:tc>
          <w:tcPr>
            <w:tcW w:w="1340" w:type="dxa"/>
            <w:shd w:val="clear" w:color="auto" w:fill="auto"/>
            <w:hideMark/>
          </w:tcPr>
          <w:p w:rsidR="00966D88" w:rsidP="00DD18AC" w14:paraId="3F4F8D02" w14:textId="08FEF40F">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w:t>
            </w:r>
          </w:p>
        </w:tc>
        <w:tc>
          <w:tcPr>
            <w:tcW w:w="1170" w:type="dxa"/>
            <w:shd w:val="clear" w:color="auto" w:fill="auto"/>
            <w:hideMark/>
          </w:tcPr>
          <w:p w:rsidR="00966D88" w:rsidP="00DD18AC" w14:paraId="69E16A0E" w14:textId="77777777">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080" w:type="dxa"/>
            <w:shd w:val="clear" w:color="auto" w:fill="auto"/>
            <w:hideMark/>
          </w:tcPr>
          <w:p w:rsidR="00966D88" w:rsidP="00DD18AC" w14:paraId="07AE7D3F" w14:textId="497E3491">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w:t>
            </w:r>
          </w:p>
        </w:tc>
        <w:tc>
          <w:tcPr>
            <w:tcW w:w="990" w:type="dxa"/>
            <w:shd w:val="clear" w:color="auto" w:fill="auto"/>
            <w:hideMark/>
          </w:tcPr>
          <w:p w:rsidR="00966D88" w:rsidP="00DD18AC" w14:paraId="4C078B6A" w14:textId="77777777">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476</w:t>
            </w:r>
          </w:p>
        </w:tc>
        <w:tc>
          <w:tcPr>
            <w:tcW w:w="1180" w:type="dxa"/>
          </w:tcPr>
          <w:p w:rsidR="00966D88" w:rsidP="00162D1E" w14:paraId="587C3DD1" w14:textId="4058C3FB">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162D1E">
              <w:rPr>
                <w:rFonts w:ascii="Times New Roman" w:eastAsia="Times New Roman" w:hAnsi="Times New Roman" w:cs="Times New Roman"/>
                <w:color w:val="000000" w:themeColor="text1"/>
                <w:sz w:val="24"/>
                <w:szCs w:val="24"/>
              </w:rPr>
              <w:t>4,040</w:t>
            </w:r>
          </w:p>
        </w:tc>
        <w:tc>
          <w:tcPr>
            <w:tcW w:w="1080" w:type="dxa"/>
            <w:shd w:val="clear" w:color="auto" w:fill="auto"/>
            <w:hideMark/>
          </w:tcPr>
          <w:p w:rsidR="00966D88" w:rsidP="001F2DB3" w14:paraId="315C72BD" w14:textId="2401CFF6">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r w:rsidR="001F2DB3">
              <w:rPr>
                <w:rFonts w:ascii="Times New Roman" w:eastAsia="Times New Roman" w:hAnsi="Times New Roman" w:cs="Times New Roman"/>
                <w:color w:val="000000" w:themeColor="text1"/>
                <w:sz w:val="24"/>
                <w:szCs w:val="24"/>
              </w:rPr>
              <w:t>4,240</w:t>
            </w:r>
          </w:p>
        </w:tc>
        <w:tc>
          <w:tcPr>
            <w:tcW w:w="1350" w:type="dxa"/>
          </w:tcPr>
          <w:p w:rsidR="00966D88" w:rsidP="00DB5CA4" w14:paraId="42AA8125" w14:textId="6334193F">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1F2DB3">
              <w:rPr>
                <w:rFonts w:ascii="Times New Roman" w:eastAsia="Times New Roman" w:hAnsi="Times New Roman" w:cs="Times New Roman"/>
                <w:color w:val="000000" w:themeColor="text1"/>
                <w:sz w:val="24"/>
                <w:szCs w:val="24"/>
              </w:rPr>
              <w:t>3,369,600</w:t>
            </w:r>
          </w:p>
        </w:tc>
      </w:tr>
      <w:tr w14:paraId="4792D8A0" w14:textId="77777777">
        <w:tblPrEx>
          <w:tblW w:w="9450" w:type="dxa"/>
          <w:tblInd w:w="-100" w:type="dxa"/>
          <w:tblLayout w:type="fixed"/>
          <w:tblLook w:val="04A0"/>
        </w:tblPrEx>
        <w:trPr>
          <w:trHeight w:val="330"/>
        </w:trPr>
        <w:tc>
          <w:tcPr>
            <w:tcW w:w="1260" w:type="dxa"/>
            <w:shd w:val="clear" w:color="auto" w:fill="auto"/>
            <w:hideMark/>
          </w:tcPr>
          <w:p w:rsidR="00966D88" w14:paraId="23FD5489" w14:textId="77777777">
            <w:pPr>
              <w:spacing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571.13</w:t>
            </w:r>
          </w:p>
        </w:tc>
        <w:tc>
          <w:tcPr>
            <w:tcW w:w="1340" w:type="dxa"/>
            <w:shd w:val="clear" w:color="auto" w:fill="auto"/>
            <w:hideMark/>
          </w:tcPr>
          <w:p w:rsidR="00966D88" w:rsidP="00DD18AC" w14:paraId="48A0E250" w14:textId="44227FC0">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w:t>
            </w:r>
          </w:p>
        </w:tc>
        <w:tc>
          <w:tcPr>
            <w:tcW w:w="1170" w:type="dxa"/>
            <w:shd w:val="clear" w:color="auto" w:fill="auto"/>
            <w:hideMark/>
          </w:tcPr>
          <w:p w:rsidR="00966D88" w:rsidP="00DD18AC" w14:paraId="5F16E908" w14:textId="77777777">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080" w:type="dxa"/>
            <w:shd w:val="clear" w:color="auto" w:fill="auto"/>
            <w:hideMark/>
          </w:tcPr>
          <w:p w:rsidR="00966D88" w:rsidP="00DD18AC" w14:paraId="0CF6CD2C" w14:textId="1C0CA615">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w:t>
            </w:r>
          </w:p>
        </w:tc>
        <w:tc>
          <w:tcPr>
            <w:tcW w:w="990" w:type="dxa"/>
            <w:shd w:val="clear" w:color="auto" w:fill="auto"/>
            <w:hideMark/>
          </w:tcPr>
          <w:p w:rsidR="00966D88" w:rsidP="00DD18AC" w14:paraId="7329CEB9" w14:textId="77777777">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180" w:type="dxa"/>
          </w:tcPr>
          <w:p w:rsidR="00966D88" w14:paraId="25EC82D3" w14:textId="704E3B10">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$259</w:t>
            </w:r>
          </w:p>
        </w:tc>
        <w:tc>
          <w:tcPr>
            <w:tcW w:w="1080" w:type="dxa"/>
            <w:shd w:val="clear" w:color="auto" w:fill="auto"/>
            <w:hideMark/>
          </w:tcPr>
          <w:p w:rsidR="00966D88" w14:paraId="7D63969D" w14:textId="067BE64B">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960</w:t>
            </w:r>
          </w:p>
        </w:tc>
        <w:tc>
          <w:tcPr>
            <w:tcW w:w="1350" w:type="dxa"/>
          </w:tcPr>
          <w:p w:rsidR="00966D88" w:rsidP="001F2DB3" w14:paraId="70960D8D" w14:textId="27772E36">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162D1E">
              <w:rPr>
                <w:rFonts w:ascii="Times New Roman" w:eastAsia="Times New Roman" w:hAnsi="Times New Roman" w:cs="Times New Roman"/>
                <w:color w:val="000000" w:themeColor="text1"/>
                <w:sz w:val="24"/>
                <w:szCs w:val="24"/>
              </w:rPr>
              <w:t>62,</w:t>
            </w:r>
            <w:r w:rsidR="001F2DB3">
              <w:rPr>
                <w:rFonts w:ascii="Times New Roman" w:eastAsia="Times New Roman" w:hAnsi="Times New Roman" w:cs="Times New Roman"/>
                <w:color w:val="000000" w:themeColor="text1"/>
                <w:sz w:val="24"/>
                <w:szCs w:val="24"/>
              </w:rPr>
              <w:t>160</w:t>
            </w:r>
          </w:p>
        </w:tc>
      </w:tr>
      <w:tr w14:paraId="07B46E4A" w14:textId="77777777">
        <w:tblPrEx>
          <w:tblW w:w="9450" w:type="dxa"/>
          <w:tblInd w:w="-100" w:type="dxa"/>
          <w:tblLayout w:type="fixed"/>
          <w:tblLook w:val="04A0"/>
        </w:tblPrEx>
        <w:trPr>
          <w:trHeight w:val="315"/>
        </w:trPr>
        <w:tc>
          <w:tcPr>
            <w:tcW w:w="1260" w:type="dxa"/>
            <w:shd w:val="clear" w:color="000000" w:fill="C0C0C0"/>
            <w:hideMark/>
          </w:tcPr>
          <w:p w:rsidR="00966D88" w14:paraId="678D5C72" w14:textId="77777777">
            <w:pPr>
              <w:spacing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1340" w:type="dxa"/>
            <w:shd w:val="clear" w:color="000000" w:fill="C0C0C0"/>
            <w:hideMark/>
          </w:tcPr>
          <w:p w:rsidR="00966D88" w14:paraId="352077F4" w14:textId="5B50635F">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720</w:t>
            </w:r>
          </w:p>
        </w:tc>
        <w:tc>
          <w:tcPr>
            <w:tcW w:w="1170" w:type="dxa"/>
            <w:shd w:val="clear" w:color="000000" w:fill="C0C0C0"/>
            <w:hideMark/>
          </w:tcPr>
          <w:p w:rsidR="00966D88" w14:paraId="39A68CC1" w14:textId="77777777">
            <w:pPr>
              <w:spacing w:after="60"/>
              <w:jc w:val="center"/>
              <w:rPr>
                <w:rFonts w:ascii="Times New Roman" w:eastAsia="Times New Roman" w:hAnsi="Times New Roman" w:cs="Times New Roman"/>
                <w:color w:val="000000" w:themeColor="text1"/>
                <w:sz w:val="24"/>
                <w:szCs w:val="24"/>
              </w:rPr>
            </w:pPr>
          </w:p>
        </w:tc>
        <w:tc>
          <w:tcPr>
            <w:tcW w:w="1080" w:type="dxa"/>
            <w:shd w:val="clear" w:color="000000" w:fill="C0C0C0"/>
            <w:hideMark/>
          </w:tcPr>
          <w:p w:rsidR="00966D88" w14:paraId="45729C08" w14:textId="54CF8061">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1,440</w:t>
            </w:r>
          </w:p>
        </w:tc>
        <w:tc>
          <w:tcPr>
            <w:tcW w:w="990" w:type="dxa"/>
            <w:shd w:val="clear" w:color="000000" w:fill="C0C0C0"/>
            <w:hideMark/>
          </w:tcPr>
          <w:p w:rsidR="00966D88" w14:paraId="58D8C987" w14:textId="77777777">
            <w:pPr>
              <w:spacing w:after="60"/>
              <w:jc w:val="center"/>
              <w:rPr>
                <w:rFonts w:ascii="Times New Roman" w:eastAsia="Times New Roman" w:hAnsi="Times New Roman" w:cs="Times New Roman"/>
                <w:b/>
                <w:color w:val="000000" w:themeColor="text1"/>
                <w:sz w:val="24"/>
                <w:szCs w:val="24"/>
              </w:rPr>
            </w:pPr>
          </w:p>
        </w:tc>
        <w:tc>
          <w:tcPr>
            <w:tcW w:w="1180" w:type="dxa"/>
            <w:shd w:val="clear" w:color="000000" w:fill="C0C0C0"/>
          </w:tcPr>
          <w:p w:rsidR="00966D88" w14:paraId="0FB82C18" w14:textId="77777777">
            <w:pPr>
              <w:spacing w:after="60"/>
              <w:ind w:left="-108" w:right="-18"/>
              <w:jc w:val="center"/>
              <w:rPr>
                <w:rFonts w:ascii="Times New Roman" w:eastAsia="Times New Roman" w:hAnsi="Times New Roman" w:cs="Times New Roman"/>
                <w:color w:val="000000" w:themeColor="text1"/>
                <w:sz w:val="24"/>
                <w:szCs w:val="24"/>
              </w:rPr>
            </w:pPr>
          </w:p>
        </w:tc>
        <w:tc>
          <w:tcPr>
            <w:tcW w:w="1080" w:type="dxa"/>
            <w:shd w:val="clear" w:color="000000" w:fill="C0C0C0"/>
            <w:hideMark/>
          </w:tcPr>
          <w:p w:rsidR="00966D88" w:rsidP="008325FC" w14:paraId="27804559" w14:textId="01D1EC85">
            <w:pPr>
              <w:spacing w:after="60"/>
              <w:ind w:left="-108" w:right="-1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126,720</w:t>
            </w:r>
          </w:p>
        </w:tc>
        <w:tc>
          <w:tcPr>
            <w:tcW w:w="1350" w:type="dxa"/>
            <w:shd w:val="clear" w:color="000000" w:fill="C0C0C0"/>
          </w:tcPr>
          <w:p w:rsidR="00966D88" w:rsidP="008325FC" w14:paraId="7EF13CBF" w14:textId="67FF9815">
            <w:pPr>
              <w:spacing w:after="60"/>
              <w:ind w:left="-108" w:right="-1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B83208">
              <w:rPr>
                <w:rFonts w:ascii="Times New Roman" w:eastAsia="Times New Roman" w:hAnsi="Times New Roman" w:cs="Times New Roman"/>
                <w:color w:val="000000" w:themeColor="text1"/>
                <w:sz w:val="24"/>
                <w:szCs w:val="24"/>
              </w:rPr>
              <w:t>3,</w:t>
            </w:r>
            <w:r w:rsidR="00162D1E">
              <w:rPr>
                <w:rFonts w:ascii="Times New Roman" w:eastAsia="Times New Roman" w:hAnsi="Times New Roman" w:cs="Times New Roman"/>
                <w:color w:val="000000" w:themeColor="text1"/>
                <w:sz w:val="24"/>
                <w:szCs w:val="24"/>
              </w:rPr>
              <w:t>8</w:t>
            </w:r>
            <w:r w:rsidR="008325FC">
              <w:rPr>
                <w:rFonts w:ascii="Times New Roman" w:eastAsia="Times New Roman" w:hAnsi="Times New Roman" w:cs="Times New Roman"/>
                <w:color w:val="000000" w:themeColor="text1"/>
                <w:sz w:val="24"/>
                <w:szCs w:val="24"/>
              </w:rPr>
              <w:t>49,360</w:t>
            </w:r>
          </w:p>
        </w:tc>
      </w:tr>
    </w:tbl>
    <w:p w:rsidR="00966D88" w14:paraId="2FF7CCF3" w14:textId="77777777">
      <w:pPr>
        <w:pStyle w:val="Default"/>
        <w:tabs>
          <w:tab w:val="left" w:pos="378"/>
        </w:tabs>
      </w:pPr>
      <w:r>
        <w:t xml:space="preserve"> </w:t>
      </w:r>
    </w:p>
    <w:p w:rsidR="00966D88" w14:paraId="507E455E" w14:textId="77777777">
      <w:pPr>
        <w:ind w:left="360" w:hanging="36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Provide an estimate for the total annual cost burden to respondents or recordkeepers resulting from the collection of information. (Do not include the cost of any hour burden shown in Items 12 and 14). </w:t>
      </w:r>
    </w:p>
    <w:p w:rsidR="00966D88" w14:paraId="1737FEBE"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66D88" w14:paraId="5A347F76" w14:textId="7777777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w:t>
      </w:r>
      <w:r>
        <w:rPr>
          <w:rFonts w:ascii="Times New Roman" w:hAnsi="Times New Roman" w:cs="Times New Roman"/>
          <w:b/>
          <w:sz w:val="24"/>
          <w:szCs w:val="24"/>
        </w:rPr>
        <w:t xml:space="preserve">comment process and use existing economic or regulatory impact analysis associated with the rulemaking containing the information collection, as appropriate. </w:t>
      </w:r>
    </w:p>
    <w:p w:rsidR="00966D88" w14:paraId="2B0AB3CD" w14:textId="77777777">
      <w:pPr>
        <w:pStyle w:val="ListParagraph"/>
        <w:numPr>
          <w:ilvl w:val="0"/>
          <w:numId w:val="1"/>
        </w:numPr>
        <w:spacing w:after="0" w:line="240" w:lineRule="auto"/>
      </w:pPr>
      <w:r>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b/>
          <w:bCs/>
        </w:rPr>
        <w:t xml:space="preserve"> </w:t>
      </w:r>
    </w:p>
    <w:p w:rsidR="00966D88" w14:paraId="54A08275" w14:textId="77777777">
      <w:pPr>
        <w:pStyle w:val="Default"/>
        <w:tabs>
          <w:tab w:val="left" w:pos="378"/>
        </w:tabs>
        <w:rPr>
          <w:b/>
          <w:bCs/>
        </w:rPr>
      </w:pPr>
    </w:p>
    <w:p w:rsidR="00966D88" w14:paraId="2CB9AB2E" w14:textId="77777777">
      <w:pPr>
        <w:pStyle w:val="Default"/>
        <w:tabs>
          <w:tab w:val="left" w:pos="378"/>
        </w:tabs>
        <w:rPr>
          <w:b/>
          <w:bCs/>
        </w:rPr>
      </w:pPr>
    </w:p>
    <w:p w:rsidR="00966D88" w14:paraId="69E8D408" w14:textId="7990BFA2">
      <w:pPr>
        <w:pStyle w:val="Default"/>
        <w:tabs>
          <w:tab w:val="left" w:pos="378"/>
        </w:tabs>
        <w:spacing w:line="480" w:lineRule="auto"/>
        <w:ind w:firstLine="720"/>
        <w:rPr>
          <w:color w:val="auto"/>
        </w:rPr>
      </w:pPr>
      <w:r>
        <w:rPr>
          <w:color w:val="auto"/>
        </w:rPr>
        <w:t>The dollar cost for this information collection</w:t>
      </w:r>
      <w:r>
        <w:rPr>
          <w:color w:val="000000" w:themeColor="text1"/>
        </w:rPr>
        <w:t xml:space="preserve"> (</w:t>
      </w:r>
      <w:r>
        <w:rPr>
          <w:rFonts w:eastAsia="Times New Roman"/>
          <w:color w:val="000000" w:themeColor="text1"/>
        </w:rPr>
        <w:t>$</w:t>
      </w:r>
      <w:r w:rsidR="0025361B">
        <w:rPr>
          <w:rFonts w:eastAsia="Times New Roman"/>
        </w:rPr>
        <w:t>38,</w:t>
      </w:r>
      <w:r w:rsidR="00F31F74">
        <w:rPr>
          <w:rFonts w:eastAsia="Times New Roman"/>
        </w:rPr>
        <w:t>376,960</w:t>
      </w:r>
      <w:r>
        <w:rPr>
          <w:rFonts w:eastAsia="Times New Roman"/>
          <w:color w:val="000000" w:themeColor="text1"/>
        </w:rPr>
        <w:t>) i</w:t>
      </w:r>
      <w:r>
        <w:rPr>
          <w:rFonts w:eastAsia="Times New Roman"/>
          <w:color w:val="auto"/>
        </w:rPr>
        <w:t xml:space="preserve">s the estimated total amount that the tribes will have to pay to </w:t>
      </w:r>
      <w:r>
        <w:rPr>
          <w:color w:val="auto"/>
        </w:rPr>
        <w:t xml:space="preserve">engage independent CPA firms to provide annual independent audits of the financial statements of all of the class II and class III gaming operations.  </w:t>
      </w:r>
    </w:p>
    <w:p w:rsidR="00966D88" w14:paraId="241B2C52" w14:textId="77777777">
      <w:pPr>
        <w:pStyle w:val="Default"/>
        <w:tabs>
          <w:tab w:val="left" w:pos="378"/>
        </w:tabs>
        <w:jc w:val="center"/>
        <w:rPr>
          <w:b/>
          <w:bCs/>
          <w:u w:val="single"/>
        </w:rPr>
      </w:pPr>
      <w:r>
        <w:rPr>
          <w:b/>
          <w:bCs/>
          <w:u w:val="single"/>
        </w:rPr>
        <w:t>ESTIMATED ANNUAL COST TOTALS</w:t>
      </w:r>
    </w:p>
    <w:p w:rsidR="00966D88" w14:paraId="41801178" w14:textId="77777777">
      <w:pPr>
        <w:pStyle w:val="Default"/>
        <w:tabs>
          <w:tab w:val="left" w:pos="378"/>
        </w:tabs>
        <w:jc w:val="center"/>
      </w:pPr>
    </w:p>
    <w:tbl>
      <w:tblPr>
        <w:tblW w:w="7790" w:type="dxa"/>
        <w:tblInd w:w="930" w:type="dxa"/>
        <w:tblLayout w:type="fixed"/>
        <w:tblLook w:val="04A0"/>
      </w:tblPr>
      <w:tblGrid>
        <w:gridCol w:w="1260"/>
        <w:gridCol w:w="1340"/>
        <w:gridCol w:w="1170"/>
        <w:gridCol w:w="1080"/>
        <w:gridCol w:w="1270"/>
        <w:gridCol w:w="1670"/>
      </w:tblGrid>
      <w:tr w14:paraId="7222CA25" w14:textId="77777777" w:rsidTr="00DD18AC">
        <w:tblPrEx>
          <w:tblW w:w="7790" w:type="dxa"/>
          <w:tblInd w:w="930" w:type="dxa"/>
          <w:tblLayout w:type="fixed"/>
          <w:tblLook w:val="04A0"/>
        </w:tblPrEx>
        <w:trPr>
          <w:trHeight w:val="745"/>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hideMark/>
          </w:tcPr>
          <w:p w:rsidR="00966D88" w14:paraId="692AED9A" w14:textId="77777777">
            <w:pPr>
              <w:spacing w:before="60" w:after="60"/>
              <w:ind w:left="-93" w:right="-108"/>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CFR CITE/ COLLECTION</w:t>
            </w:r>
          </w:p>
        </w:tc>
        <w:tc>
          <w:tcPr>
            <w:tcW w:w="1340" w:type="dxa"/>
            <w:tcBorders>
              <w:top w:val="single" w:sz="8" w:space="0" w:color="auto"/>
              <w:left w:val="nil"/>
              <w:bottom w:val="single" w:sz="8" w:space="0" w:color="auto"/>
              <w:right w:val="single" w:sz="8" w:space="0" w:color="auto"/>
            </w:tcBorders>
            <w:shd w:val="clear" w:color="000000" w:fill="BFBFBF" w:themeFill="background1" w:themeFillShade="BF"/>
            <w:hideMark/>
          </w:tcPr>
          <w:p w:rsidR="00966D88" w14:paraId="2EEA11F3"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NUMBER OF ANNUAL RESPONDENTS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hideMark/>
          </w:tcPr>
          <w:p w:rsidR="00966D88" w14:paraId="64BF6B6B"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hideMark/>
          </w:tcPr>
          <w:p w:rsidR="00966D88" w14:paraId="1E88E767"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ANNUAL RESPONSES</w:t>
            </w:r>
          </w:p>
        </w:tc>
        <w:tc>
          <w:tcPr>
            <w:tcW w:w="12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966D88" w14:paraId="052213BE" w14:textId="77777777">
            <w:pPr>
              <w:spacing w:before="60" w:after="6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AVERAGE ANNUAL COSTS</w:t>
            </w:r>
          </w:p>
        </w:tc>
        <w:tc>
          <w:tcPr>
            <w:tcW w:w="167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hideMark/>
          </w:tcPr>
          <w:p w:rsidR="00966D88" w14:paraId="075C11C8" w14:textId="77777777">
            <w:pPr>
              <w:spacing w:before="60" w:after="6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COSTS</w:t>
            </w:r>
          </w:p>
        </w:tc>
      </w:tr>
      <w:tr w14:paraId="675AE863" w14:textId="77777777" w:rsidTr="00DD18AC">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66D88" w14:paraId="3BB1D8E4" w14:textId="77777777">
            <w:pPr>
              <w:spacing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571.7; 571.14</w:t>
            </w:r>
          </w:p>
        </w:tc>
        <w:tc>
          <w:tcPr>
            <w:tcW w:w="1340" w:type="dxa"/>
            <w:tcBorders>
              <w:top w:val="single" w:sz="8" w:space="0" w:color="auto"/>
              <w:left w:val="single" w:sz="4" w:space="0" w:color="auto"/>
              <w:bottom w:val="single" w:sz="8" w:space="0" w:color="auto"/>
              <w:right w:val="single" w:sz="8" w:space="0" w:color="auto"/>
            </w:tcBorders>
            <w:shd w:val="clear" w:color="auto" w:fill="auto"/>
            <w:hideMark/>
          </w:tcPr>
          <w:p w:rsidR="00966D88" w:rsidP="00DD18AC" w14:paraId="30DA6896" w14:textId="47E0A8F5">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170" w:type="dxa"/>
            <w:tcBorders>
              <w:top w:val="single" w:sz="8" w:space="0" w:color="auto"/>
              <w:left w:val="nil"/>
              <w:bottom w:val="single" w:sz="8" w:space="0" w:color="auto"/>
              <w:right w:val="single" w:sz="8" w:space="0" w:color="auto"/>
            </w:tcBorders>
            <w:shd w:val="clear" w:color="auto" w:fill="auto"/>
            <w:hideMark/>
          </w:tcPr>
          <w:p w:rsidR="00966D88" w:rsidP="00DD18AC" w14:paraId="45EB2074" w14:textId="60860614">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tcBorders>
              <w:top w:val="single" w:sz="8" w:space="0" w:color="auto"/>
              <w:left w:val="nil"/>
              <w:bottom w:val="single" w:sz="8" w:space="0" w:color="auto"/>
              <w:right w:val="single" w:sz="8" w:space="0" w:color="auto"/>
            </w:tcBorders>
            <w:shd w:val="clear" w:color="auto" w:fill="auto"/>
            <w:hideMark/>
          </w:tcPr>
          <w:p w:rsidR="00966D88" w:rsidP="00DD18AC" w14:paraId="6848D370" w14:textId="70E9E4C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p>
        </w:tc>
        <w:tc>
          <w:tcPr>
            <w:tcW w:w="1270" w:type="dxa"/>
            <w:tcBorders>
              <w:top w:val="single" w:sz="8" w:space="0" w:color="auto"/>
              <w:left w:val="single" w:sz="4" w:space="0" w:color="auto"/>
              <w:bottom w:val="single" w:sz="8" w:space="0" w:color="auto"/>
              <w:right w:val="single" w:sz="4" w:space="0" w:color="auto"/>
            </w:tcBorders>
          </w:tcPr>
          <w:p w:rsidR="00966D88" w14:paraId="4CE44C99" w14:textId="674CE760">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70" w:type="dxa"/>
            <w:tcBorders>
              <w:top w:val="single" w:sz="8" w:space="0" w:color="auto"/>
              <w:left w:val="single" w:sz="4" w:space="0" w:color="auto"/>
              <w:bottom w:val="single" w:sz="8" w:space="0" w:color="auto"/>
              <w:right w:val="single" w:sz="8" w:space="0" w:color="auto"/>
            </w:tcBorders>
            <w:shd w:val="clear" w:color="auto" w:fill="auto"/>
            <w:hideMark/>
          </w:tcPr>
          <w:p w:rsidR="00966D88" w14:paraId="6D5B6C69" w14:textId="7D7B96A8">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14:paraId="59F4F399" w14:textId="77777777" w:rsidTr="00DD18AC">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66D88" w14:paraId="2591FBB4" w14:textId="77777777">
            <w:pPr>
              <w:spacing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571.12</w:t>
            </w:r>
          </w:p>
        </w:tc>
        <w:tc>
          <w:tcPr>
            <w:tcW w:w="1340" w:type="dxa"/>
            <w:tcBorders>
              <w:top w:val="nil"/>
              <w:left w:val="single" w:sz="4" w:space="0" w:color="auto"/>
              <w:bottom w:val="single" w:sz="8" w:space="0" w:color="auto"/>
              <w:right w:val="single" w:sz="8" w:space="0" w:color="auto"/>
            </w:tcBorders>
            <w:shd w:val="clear" w:color="auto" w:fill="auto"/>
            <w:hideMark/>
          </w:tcPr>
          <w:p w:rsidR="00966D88" w:rsidP="00DD18AC" w14:paraId="6C71E4C8" w14:textId="5C12A595">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170" w:type="dxa"/>
            <w:tcBorders>
              <w:top w:val="nil"/>
              <w:left w:val="nil"/>
              <w:bottom w:val="single" w:sz="8" w:space="0" w:color="auto"/>
              <w:right w:val="single" w:sz="8" w:space="0" w:color="auto"/>
            </w:tcBorders>
            <w:shd w:val="clear" w:color="auto" w:fill="auto"/>
            <w:hideMark/>
          </w:tcPr>
          <w:p w:rsidR="00966D88" w:rsidP="00DD18AC" w14:paraId="6862B5EE" w14:textId="77777777">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nil"/>
              <w:left w:val="nil"/>
              <w:bottom w:val="single" w:sz="8" w:space="0" w:color="auto"/>
              <w:right w:val="single" w:sz="8" w:space="0" w:color="auto"/>
            </w:tcBorders>
            <w:shd w:val="clear" w:color="auto" w:fill="auto"/>
            <w:hideMark/>
          </w:tcPr>
          <w:p w:rsidR="00966D88" w:rsidP="00DD18AC" w14:paraId="2DEA4D3E" w14:textId="4387C1F8">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270" w:type="dxa"/>
            <w:tcBorders>
              <w:top w:val="nil"/>
              <w:left w:val="single" w:sz="4" w:space="0" w:color="auto"/>
              <w:bottom w:val="single" w:sz="8" w:space="0" w:color="auto"/>
              <w:right w:val="single" w:sz="4" w:space="0" w:color="auto"/>
            </w:tcBorders>
          </w:tcPr>
          <w:p w:rsidR="00966D88" w:rsidP="00DB5CA4" w14:paraId="10A21EF0" w14:textId="66F19773">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57039">
              <w:rPr>
                <w:rFonts w:ascii="Times New Roman" w:eastAsia="Times New Roman" w:hAnsi="Times New Roman" w:cs="Times New Roman"/>
                <w:sz w:val="24"/>
                <w:szCs w:val="24"/>
              </w:rPr>
              <w:t>159,904</w:t>
            </w:r>
          </w:p>
        </w:tc>
        <w:tc>
          <w:tcPr>
            <w:tcW w:w="1670" w:type="dxa"/>
            <w:tcBorders>
              <w:top w:val="nil"/>
              <w:left w:val="single" w:sz="4" w:space="0" w:color="auto"/>
              <w:bottom w:val="single" w:sz="8" w:space="0" w:color="auto"/>
              <w:right w:val="single" w:sz="8" w:space="0" w:color="auto"/>
            </w:tcBorders>
            <w:shd w:val="clear" w:color="auto" w:fill="auto"/>
            <w:hideMark/>
          </w:tcPr>
          <w:p w:rsidR="00966D88" w:rsidP="008325FC" w14:paraId="3689A7BE" w14:textId="34742E59">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83208">
              <w:rPr>
                <w:rFonts w:ascii="Times New Roman" w:eastAsia="Times New Roman" w:hAnsi="Times New Roman" w:cs="Times New Roman"/>
                <w:sz w:val="24"/>
                <w:szCs w:val="24"/>
              </w:rPr>
              <w:t>3</w:t>
            </w:r>
            <w:r w:rsidR="00B57039">
              <w:rPr>
                <w:rFonts w:ascii="Times New Roman" w:eastAsia="Times New Roman" w:hAnsi="Times New Roman" w:cs="Times New Roman"/>
                <w:sz w:val="24"/>
                <w:szCs w:val="24"/>
              </w:rPr>
              <w:t>8,</w:t>
            </w:r>
            <w:r w:rsidR="008325FC">
              <w:rPr>
                <w:rFonts w:ascii="Times New Roman" w:eastAsia="Times New Roman" w:hAnsi="Times New Roman" w:cs="Times New Roman"/>
                <w:sz w:val="24"/>
                <w:szCs w:val="24"/>
              </w:rPr>
              <w:t>376,960</w:t>
            </w:r>
          </w:p>
        </w:tc>
      </w:tr>
      <w:tr w14:paraId="7D7F8903" w14:textId="77777777" w:rsidTr="00DD18AC">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66D88" w14:paraId="25320AAD" w14:textId="77777777">
            <w:pPr>
              <w:spacing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571.13</w:t>
            </w:r>
          </w:p>
        </w:tc>
        <w:tc>
          <w:tcPr>
            <w:tcW w:w="1340" w:type="dxa"/>
            <w:tcBorders>
              <w:top w:val="nil"/>
              <w:left w:val="single" w:sz="4" w:space="0" w:color="auto"/>
              <w:bottom w:val="single" w:sz="8" w:space="0" w:color="auto"/>
              <w:right w:val="single" w:sz="8" w:space="0" w:color="auto"/>
            </w:tcBorders>
            <w:shd w:val="clear" w:color="auto" w:fill="auto"/>
            <w:hideMark/>
          </w:tcPr>
          <w:p w:rsidR="00966D88" w:rsidP="00DD18AC" w14:paraId="0BD05D60" w14:textId="1C22810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170" w:type="dxa"/>
            <w:tcBorders>
              <w:top w:val="nil"/>
              <w:left w:val="nil"/>
              <w:bottom w:val="single" w:sz="8" w:space="0" w:color="auto"/>
              <w:right w:val="single" w:sz="8" w:space="0" w:color="auto"/>
            </w:tcBorders>
            <w:shd w:val="clear" w:color="auto" w:fill="auto"/>
            <w:hideMark/>
          </w:tcPr>
          <w:p w:rsidR="00966D88" w:rsidP="00DD18AC" w14:paraId="539AED23" w14:textId="228B242E">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nil"/>
              <w:left w:val="nil"/>
              <w:bottom w:val="single" w:sz="8" w:space="0" w:color="auto"/>
              <w:right w:val="single" w:sz="8" w:space="0" w:color="auto"/>
            </w:tcBorders>
            <w:shd w:val="clear" w:color="auto" w:fill="auto"/>
            <w:hideMark/>
          </w:tcPr>
          <w:p w:rsidR="00966D88" w:rsidP="00DD18AC" w14:paraId="79883991" w14:textId="27651547">
            <w:pPr>
              <w:spacing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270" w:type="dxa"/>
            <w:tcBorders>
              <w:top w:val="nil"/>
              <w:left w:val="single" w:sz="4" w:space="0" w:color="auto"/>
              <w:bottom w:val="single" w:sz="8" w:space="0" w:color="auto"/>
              <w:right w:val="single" w:sz="4" w:space="0" w:color="auto"/>
            </w:tcBorders>
          </w:tcPr>
          <w:p w:rsidR="00966D88" w14:paraId="7A15786B" w14:textId="3EACD1EE">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70" w:type="dxa"/>
            <w:tcBorders>
              <w:top w:val="nil"/>
              <w:left w:val="single" w:sz="4" w:space="0" w:color="auto"/>
              <w:bottom w:val="single" w:sz="8" w:space="0" w:color="auto"/>
              <w:right w:val="single" w:sz="8" w:space="0" w:color="auto"/>
            </w:tcBorders>
            <w:shd w:val="clear" w:color="auto" w:fill="auto"/>
            <w:hideMark/>
          </w:tcPr>
          <w:p w:rsidR="00966D88" w14:paraId="24B98DBE" w14:textId="5E630A3C">
            <w:pPr>
              <w:spacing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14:paraId="30BC2E75" w14:textId="77777777" w:rsidTr="00DD18AC">
        <w:tblPrEx>
          <w:tblW w:w="7790" w:type="dxa"/>
          <w:tblInd w:w="930"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rsidR="00966D88" w14:paraId="20B833E0" w14:textId="77777777">
            <w:pPr>
              <w:spacing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1340" w:type="dxa"/>
            <w:tcBorders>
              <w:top w:val="single" w:sz="4" w:space="0" w:color="auto"/>
              <w:left w:val="single" w:sz="4" w:space="0" w:color="auto"/>
              <w:bottom w:val="single" w:sz="4" w:space="0" w:color="auto"/>
              <w:right w:val="single" w:sz="4" w:space="0" w:color="auto"/>
            </w:tcBorders>
            <w:shd w:val="clear" w:color="000000" w:fill="C0C0C0"/>
            <w:hideMark/>
          </w:tcPr>
          <w:p w:rsidR="00966D88" w14:paraId="55AACE8C" w14:textId="072203D4">
            <w:pPr>
              <w:spacing w:after="60"/>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C0C0C0"/>
            <w:hideMark/>
          </w:tcPr>
          <w:p w:rsidR="00966D88" w14:paraId="14C2B737" w14:textId="77777777">
            <w:pPr>
              <w:spacing w:after="60"/>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000000" w:fill="C0C0C0"/>
            <w:hideMark/>
          </w:tcPr>
          <w:p w:rsidR="00966D88" w14:paraId="0CFB711B" w14:textId="71BBAF3D">
            <w:pPr>
              <w:spacing w:after="60"/>
              <w:jc w:val="center"/>
              <w:rPr>
                <w:rFonts w:ascii="Times New Roman" w:eastAsia="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000000" w:fill="C0C0C0"/>
          </w:tcPr>
          <w:p w:rsidR="00966D88" w14:paraId="252ECE29" w14:textId="77777777">
            <w:pPr>
              <w:spacing w:after="60"/>
              <w:ind w:left="-108" w:right="-18"/>
              <w:jc w:val="center"/>
              <w:rPr>
                <w:rFonts w:ascii="Times New Roman" w:eastAsia="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000000" w:fill="C0C0C0"/>
            <w:hideMark/>
          </w:tcPr>
          <w:p w:rsidR="00966D88" w:rsidP="00DB5CA4" w14:paraId="0FA7BAF6" w14:textId="73DEA450">
            <w:pPr>
              <w:spacing w:after="60"/>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$38,376,960</w:t>
            </w:r>
          </w:p>
        </w:tc>
      </w:tr>
    </w:tbl>
    <w:p w:rsidR="00966D88" w14:paraId="3E4F1618" w14:textId="77777777">
      <w:pPr>
        <w:pStyle w:val="Default"/>
        <w:tabs>
          <w:tab w:val="left" w:pos="378"/>
        </w:tabs>
        <w:jc w:val="center"/>
      </w:pPr>
    </w:p>
    <w:p w:rsidR="00966D88" w14:paraId="7B0F7D84" w14:textId="77777777">
      <w:pPr>
        <w:ind w:left="360" w:hanging="360"/>
      </w:pPr>
      <w:r>
        <w:rPr>
          <w:rFonts w:ascii="Times New Roman" w:hAnsi="Times New Roman" w:cs="Times New Roman"/>
          <w:b/>
          <w:sz w:val="24"/>
          <w:szCs w:val="24"/>
        </w:rPr>
        <w:t>14.</w:t>
      </w:r>
      <w:r>
        <w:rPr>
          <w:rFonts w:ascii="Times New Roman" w:hAnsi="Times New Roman" w:cs="Times New Roman"/>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b/>
          <w:bCs/>
        </w:rPr>
        <w:t xml:space="preserve"> </w:t>
      </w:r>
    </w:p>
    <w:p w:rsidR="00966D88" w14:paraId="1C4F3940" w14:textId="77777777">
      <w:pPr>
        <w:pStyle w:val="Default"/>
        <w:tabs>
          <w:tab w:val="left" w:pos="378"/>
        </w:tabs>
      </w:pPr>
    </w:p>
    <w:p w:rsidR="00966D88" w14:paraId="26540F50" w14:textId="6A21BA26">
      <w:pPr>
        <w:pStyle w:val="Default"/>
        <w:tabs>
          <w:tab w:val="left" w:pos="378"/>
        </w:tabs>
        <w:spacing w:line="480" w:lineRule="auto"/>
      </w:pPr>
      <w:r>
        <w:tab/>
      </w:r>
      <w:r>
        <w:tab/>
        <w:t xml:space="preserve">The Commission determined its cost and burden hour estimates, inclusive of operational expenses, based on the workflows of the agency, and the functions specific to the receipt, recording, and analysis of the submissions. The wage rates are based on hourly compensation at the level of a GS-13/1. </w:t>
      </w:r>
    </w:p>
    <w:p w:rsidR="00524AD0" w14:paraId="2AEF2E5B" w14:textId="067A950B">
      <w:pPr>
        <w:pStyle w:val="Default"/>
        <w:tabs>
          <w:tab w:val="left" w:pos="378"/>
        </w:tabs>
        <w:spacing w:line="480" w:lineRule="auto"/>
      </w:pPr>
    </w:p>
    <w:p w:rsidR="00524AD0" w14:paraId="27B480C5" w14:textId="77777777">
      <w:pPr>
        <w:pStyle w:val="Default"/>
        <w:tabs>
          <w:tab w:val="left" w:pos="378"/>
        </w:tabs>
        <w:spacing w:line="480" w:lineRule="auto"/>
      </w:pPr>
    </w:p>
    <w:p w:rsidR="00966D88" w14:paraId="01DC3959" w14:textId="77777777">
      <w:pPr>
        <w:pStyle w:val="Default"/>
        <w:tabs>
          <w:tab w:val="left" w:pos="378"/>
        </w:tabs>
        <w:jc w:val="center"/>
      </w:pPr>
      <w:r w:rsidRPr="00725991">
        <w:rPr>
          <w:b/>
          <w:bCs/>
          <w:color w:val="000000" w:themeColor="text1"/>
          <w:u w:val="single"/>
        </w:rPr>
        <w:t>ESTIMATED A</w:t>
      </w:r>
      <w:r w:rsidRPr="00725991">
        <w:rPr>
          <w:b/>
          <w:bCs/>
          <w:u w:val="single"/>
        </w:rPr>
        <w:t>N</w:t>
      </w:r>
      <w:r>
        <w:rPr>
          <w:b/>
          <w:bCs/>
          <w:u w:val="single"/>
        </w:rPr>
        <w:t>NUAL AGENCY BURDEN TOTALS</w:t>
      </w:r>
    </w:p>
    <w:p w:rsidR="00966D88" w14:paraId="7890B12B" w14:textId="77777777">
      <w:pPr>
        <w:pStyle w:val="Default"/>
        <w:tabs>
          <w:tab w:val="left" w:pos="378"/>
        </w:tabs>
        <w:rPr>
          <w:b/>
          <w:bCs/>
        </w:rPr>
      </w:pPr>
    </w:p>
    <w:tbl>
      <w:tblPr>
        <w:tblW w:w="10530" w:type="dxa"/>
        <w:tblInd w:w="-600" w:type="dxa"/>
        <w:tblLayout w:type="fixed"/>
        <w:tblLook w:val="04A0"/>
      </w:tblPr>
      <w:tblGrid>
        <w:gridCol w:w="1350"/>
        <w:gridCol w:w="1530"/>
        <w:gridCol w:w="1142"/>
        <w:gridCol w:w="1468"/>
        <w:gridCol w:w="1080"/>
        <w:gridCol w:w="1130"/>
        <w:gridCol w:w="1440"/>
        <w:gridCol w:w="1390"/>
      </w:tblGrid>
      <w:tr w14:paraId="33D4158B" w14:textId="77777777" w:rsidTr="00DD18AC">
        <w:tblPrEx>
          <w:tblW w:w="10530" w:type="dxa"/>
          <w:tblInd w:w="-600" w:type="dxa"/>
          <w:tblLayout w:type="fixed"/>
          <w:tblLook w:val="04A0"/>
        </w:tblPrEx>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center"/>
            <w:hideMark/>
          </w:tcPr>
          <w:p w:rsidR="00966D88" w14:paraId="61E9B469" w14:textId="77777777">
            <w:pPr>
              <w:spacing w:before="60" w:after="60"/>
              <w:ind w:right="-108"/>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14:paraId="5DBAFF60"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NUMBER OF ANNUAL RESPONDENTS</w:t>
            </w:r>
          </w:p>
        </w:tc>
        <w:tc>
          <w:tcPr>
            <w:tcW w:w="1142"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14:paraId="69E400E8"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ANNUAL FREQUENCY OF RESPONSES</w:t>
            </w:r>
          </w:p>
        </w:tc>
        <w:tc>
          <w:tcPr>
            <w:tcW w:w="1468"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14:paraId="6B03A7DC"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ANNUAL RESPONSES</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14:paraId="064B8C20" w14:textId="77777777">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REVIEW HOURS  PER RESPONSE</w:t>
            </w:r>
          </w:p>
        </w:tc>
        <w:tc>
          <w:tcPr>
            <w:tcW w:w="1130" w:type="dxa"/>
            <w:tcBorders>
              <w:top w:val="single" w:sz="8" w:space="0" w:color="auto"/>
              <w:left w:val="nil"/>
              <w:bottom w:val="single" w:sz="8" w:space="0" w:color="auto"/>
              <w:right w:val="single" w:sz="8" w:space="0" w:color="auto"/>
            </w:tcBorders>
            <w:shd w:val="clear" w:color="000000" w:fill="BFBFBF" w:themeFill="background1" w:themeFillShade="BF"/>
            <w:vAlign w:val="center"/>
          </w:tcPr>
          <w:p w:rsidR="00966D88" w14:paraId="1B4B5C01" w14:textId="77777777">
            <w:pPr>
              <w:spacing w:before="60" w:after="6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HOURS</w:t>
            </w:r>
          </w:p>
        </w:tc>
        <w:tc>
          <w:tcPr>
            <w:tcW w:w="144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14:paraId="35154491" w14:textId="77777777">
            <w:pPr>
              <w:spacing w:before="60" w:after="60"/>
              <w:ind w:left="-105" w:right="-122"/>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AVERAGE HOURLY RATE</w:t>
            </w:r>
          </w:p>
        </w:tc>
        <w:tc>
          <w:tcPr>
            <w:tcW w:w="139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14:paraId="0BF43CFB" w14:textId="77777777">
            <w:pPr>
              <w:spacing w:before="60" w:after="60"/>
              <w:ind w:lef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AGENCY COST</w:t>
            </w:r>
          </w:p>
        </w:tc>
      </w:tr>
      <w:tr w14:paraId="7A29A9E6" w14:textId="77777777" w:rsidTr="00DD18AC">
        <w:tblPrEx>
          <w:tblW w:w="10530" w:type="dxa"/>
          <w:tblInd w:w="-600" w:type="dxa"/>
          <w:tblLayout w:type="fixed"/>
          <w:tblLook w:val="04A0"/>
        </w:tblPrEx>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6D88" w14:paraId="6A4B3D5A" w14:textId="77777777">
            <w:pPr>
              <w:spacing w:after="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571.7; 571.14</w:t>
            </w:r>
          </w:p>
        </w:tc>
        <w:tc>
          <w:tcPr>
            <w:tcW w:w="153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966D88" w:rsidRPr="00FF3B05" w:rsidP="00DD18AC" w14:paraId="637D86F3" w14:textId="77777777">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12</w:t>
            </w:r>
          </w:p>
        </w:tc>
        <w:tc>
          <w:tcPr>
            <w:tcW w:w="1142" w:type="dxa"/>
            <w:tcBorders>
              <w:top w:val="single" w:sz="8" w:space="0" w:color="auto"/>
              <w:left w:val="nil"/>
              <w:bottom w:val="single" w:sz="8" w:space="0" w:color="auto"/>
              <w:right w:val="single" w:sz="8" w:space="0" w:color="auto"/>
            </w:tcBorders>
            <w:shd w:val="clear" w:color="auto" w:fill="auto"/>
            <w:vAlign w:val="center"/>
            <w:hideMark/>
          </w:tcPr>
          <w:p w:rsidR="00966D88" w:rsidRPr="00FF3B05" w:rsidP="00DD18AC" w14:paraId="61AF0FA3" w14:textId="77777777">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1</w:t>
            </w:r>
          </w:p>
        </w:tc>
        <w:tc>
          <w:tcPr>
            <w:tcW w:w="1468" w:type="dxa"/>
            <w:tcBorders>
              <w:top w:val="single" w:sz="8" w:space="0" w:color="auto"/>
              <w:left w:val="nil"/>
              <w:bottom w:val="single" w:sz="8" w:space="0" w:color="auto"/>
              <w:right w:val="single" w:sz="8" w:space="0" w:color="auto"/>
            </w:tcBorders>
            <w:shd w:val="clear" w:color="auto" w:fill="auto"/>
            <w:vAlign w:val="center"/>
            <w:hideMark/>
          </w:tcPr>
          <w:p w:rsidR="00966D88" w:rsidRPr="00FF3B05" w:rsidP="00DD18AC" w14:paraId="13F7C79E" w14:textId="77777777">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12</w:t>
            </w:r>
          </w:p>
        </w:tc>
        <w:tc>
          <w:tcPr>
            <w:tcW w:w="1080" w:type="dxa"/>
            <w:tcBorders>
              <w:top w:val="single" w:sz="8" w:space="0" w:color="auto"/>
              <w:left w:val="nil"/>
              <w:bottom w:val="single" w:sz="8" w:space="0" w:color="auto"/>
              <w:right w:val="single" w:sz="8" w:space="0" w:color="auto"/>
            </w:tcBorders>
            <w:shd w:val="clear" w:color="auto" w:fill="auto"/>
            <w:vAlign w:val="center"/>
          </w:tcPr>
          <w:p w:rsidR="00966D88" w:rsidRPr="00FF3B05" w:rsidP="00DD18AC" w14:paraId="23B1C55A" w14:textId="77777777">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67</w:t>
            </w:r>
          </w:p>
        </w:tc>
        <w:tc>
          <w:tcPr>
            <w:tcW w:w="1130" w:type="dxa"/>
            <w:tcBorders>
              <w:top w:val="single" w:sz="8" w:space="0" w:color="auto"/>
              <w:left w:val="nil"/>
              <w:bottom w:val="single" w:sz="8" w:space="0" w:color="auto"/>
              <w:right w:val="single" w:sz="8" w:space="0" w:color="auto"/>
            </w:tcBorders>
            <w:vAlign w:val="center"/>
          </w:tcPr>
          <w:p w:rsidR="00966D88" w:rsidRPr="00FF3B05" w:rsidP="00DD18AC" w14:paraId="75ECD613" w14:textId="77777777">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804</w:t>
            </w:r>
          </w:p>
        </w:tc>
        <w:tc>
          <w:tcPr>
            <w:tcW w:w="1440" w:type="dxa"/>
            <w:tcBorders>
              <w:top w:val="single" w:sz="8" w:space="0" w:color="auto"/>
              <w:left w:val="nil"/>
              <w:bottom w:val="single" w:sz="8" w:space="0" w:color="auto"/>
              <w:right w:val="single" w:sz="8" w:space="0" w:color="auto"/>
            </w:tcBorders>
            <w:shd w:val="clear" w:color="auto" w:fill="auto"/>
            <w:vAlign w:val="center"/>
          </w:tcPr>
          <w:p w:rsidR="00966D88" w:rsidRPr="00FF3B05" w:rsidP="00FF3B05" w14:paraId="19DD8294" w14:textId="5518078C">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w:t>
            </w:r>
            <w:r w:rsidRPr="00FF3B05" w:rsidR="00FF3B05">
              <w:rPr>
                <w:rFonts w:ascii="Times New Roman" w:eastAsia="Times New Roman" w:hAnsi="Times New Roman" w:cs="Times New Roman"/>
                <w:sz w:val="24"/>
                <w:szCs w:val="24"/>
              </w:rPr>
              <w:t>40.51</w:t>
            </w:r>
          </w:p>
        </w:tc>
        <w:tc>
          <w:tcPr>
            <w:tcW w:w="1390" w:type="dxa"/>
            <w:tcBorders>
              <w:top w:val="single" w:sz="8" w:space="0" w:color="auto"/>
              <w:left w:val="nil"/>
              <w:bottom w:val="single" w:sz="8" w:space="0" w:color="auto"/>
              <w:right w:val="single" w:sz="8" w:space="0" w:color="auto"/>
            </w:tcBorders>
            <w:shd w:val="clear" w:color="auto" w:fill="auto"/>
            <w:vAlign w:val="center"/>
          </w:tcPr>
          <w:p w:rsidR="00966D88" w:rsidRPr="00FF3B05" w:rsidP="00FF3B05" w14:paraId="61E71BFD" w14:textId="4EBBD3FA">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w:t>
            </w:r>
            <w:r w:rsidRPr="00FF3B05" w:rsidR="00FF3B05">
              <w:rPr>
                <w:rFonts w:ascii="Times New Roman" w:eastAsia="Times New Roman" w:hAnsi="Times New Roman" w:cs="Times New Roman"/>
                <w:sz w:val="24"/>
                <w:szCs w:val="24"/>
              </w:rPr>
              <w:t>32,570.04</w:t>
            </w:r>
          </w:p>
        </w:tc>
      </w:tr>
      <w:tr w14:paraId="352A7840" w14:textId="77777777" w:rsidTr="00DD18AC">
        <w:tblPrEx>
          <w:tblW w:w="10530" w:type="dxa"/>
          <w:tblInd w:w="-600"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6D88" w14:paraId="2B67D976" w14:textId="77777777">
            <w:pPr>
              <w:spacing w:after="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571.12; 571.13</w:t>
            </w:r>
          </w:p>
        </w:tc>
        <w:tc>
          <w:tcPr>
            <w:tcW w:w="1530" w:type="dxa"/>
            <w:tcBorders>
              <w:top w:val="nil"/>
              <w:left w:val="single" w:sz="4" w:space="0" w:color="auto"/>
              <w:bottom w:val="single" w:sz="8" w:space="0" w:color="auto"/>
              <w:right w:val="single" w:sz="8" w:space="0" w:color="auto"/>
            </w:tcBorders>
            <w:shd w:val="clear" w:color="auto" w:fill="auto"/>
            <w:vAlign w:val="center"/>
            <w:hideMark/>
          </w:tcPr>
          <w:p w:rsidR="00966D88" w:rsidRPr="00FF3B05" w:rsidP="00FF3B05" w14:paraId="4A0E55EA" w14:textId="5829A69B">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5</w:t>
            </w:r>
            <w:r w:rsidRPr="00FF3B05" w:rsidR="00FF3B05">
              <w:rPr>
                <w:rFonts w:ascii="Times New Roman" w:eastAsia="Times New Roman" w:hAnsi="Times New Roman" w:cs="Times New Roman"/>
                <w:sz w:val="24"/>
                <w:szCs w:val="24"/>
              </w:rPr>
              <w:t>14</w:t>
            </w:r>
          </w:p>
        </w:tc>
        <w:tc>
          <w:tcPr>
            <w:tcW w:w="1142" w:type="dxa"/>
            <w:tcBorders>
              <w:top w:val="nil"/>
              <w:left w:val="nil"/>
              <w:bottom w:val="single" w:sz="8" w:space="0" w:color="auto"/>
              <w:right w:val="single" w:sz="8" w:space="0" w:color="auto"/>
            </w:tcBorders>
            <w:shd w:val="clear" w:color="auto" w:fill="auto"/>
            <w:vAlign w:val="center"/>
            <w:hideMark/>
          </w:tcPr>
          <w:p w:rsidR="00966D88" w:rsidRPr="00FF3B05" w:rsidP="00DD18AC" w14:paraId="2302C7E1" w14:textId="77777777">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1</w:t>
            </w:r>
          </w:p>
        </w:tc>
        <w:tc>
          <w:tcPr>
            <w:tcW w:w="1468" w:type="dxa"/>
            <w:tcBorders>
              <w:top w:val="nil"/>
              <w:left w:val="nil"/>
              <w:bottom w:val="single" w:sz="8" w:space="0" w:color="auto"/>
              <w:right w:val="single" w:sz="8" w:space="0" w:color="auto"/>
            </w:tcBorders>
            <w:shd w:val="clear" w:color="auto" w:fill="auto"/>
            <w:vAlign w:val="center"/>
            <w:hideMark/>
          </w:tcPr>
          <w:p w:rsidR="00966D88" w:rsidRPr="00FF3B05" w:rsidP="00FF3B05" w14:paraId="3CBABC5C" w14:textId="4884CA2C">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5</w:t>
            </w:r>
            <w:r w:rsidRPr="00FF3B05" w:rsidR="00FF3B05">
              <w:rPr>
                <w:rFonts w:ascii="Times New Roman" w:eastAsia="Times New Roman" w:hAnsi="Times New Roman" w:cs="Times New Roman"/>
                <w:sz w:val="24"/>
                <w:szCs w:val="24"/>
              </w:rPr>
              <w:t>14</w:t>
            </w:r>
          </w:p>
        </w:tc>
        <w:tc>
          <w:tcPr>
            <w:tcW w:w="1080" w:type="dxa"/>
            <w:tcBorders>
              <w:top w:val="nil"/>
              <w:left w:val="nil"/>
              <w:bottom w:val="single" w:sz="8" w:space="0" w:color="auto"/>
              <w:right w:val="single" w:sz="8" w:space="0" w:color="auto"/>
            </w:tcBorders>
            <w:shd w:val="clear" w:color="auto" w:fill="auto"/>
            <w:vAlign w:val="center"/>
          </w:tcPr>
          <w:p w:rsidR="00966D88" w:rsidRPr="00FF3B05" w:rsidP="00DD18AC" w14:paraId="62D8E30C" w14:textId="30907907">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2.4</w:t>
            </w:r>
          </w:p>
        </w:tc>
        <w:tc>
          <w:tcPr>
            <w:tcW w:w="1130" w:type="dxa"/>
            <w:tcBorders>
              <w:top w:val="nil"/>
              <w:left w:val="nil"/>
              <w:bottom w:val="single" w:sz="8" w:space="0" w:color="auto"/>
              <w:right w:val="single" w:sz="8" w:space="0" w:color="auto"/>
            </w:tcBorders>
            <w:vAlign w:val="center"/>
          </w:tcPr>
          <w:p w:rsidR="00966D88" w:rsidRPr="00FF3B05" w:rsidP="00FF3B05" w14:paraId="358B2418" w14:textId="78814705">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1,</w:t>
            </w:r>
            <w:r w:rsidRPr="00FF3B05" w:rsidR="00FF3B05">
              <w:rPr>
                <w:rFonts w:ascii="Times New Roman" w:eastAsia="Times New Roman" w:hAnsi="Times New Roman" w:cs="Times New Roman"/>
                <w:sz w:val="24"/>
                <w:szCs w:val="24"/>
              </w:rPr>
              <w:t>248</w:t>
            </w:r>
          </w:p>
        </w:tc>
        <w:tc>
          <w:tcPr>
            <w:tcW w:w="1440" w:type="dxa"/>
            <w:tcBorders>
              <w:top w:val="nil"/>
              <w:left w:val="nil"/>
              <w:bottom w:val="single" w:sz="8" w:space="0" w:color="auto"/>
              <w:right w:val="single" w:sz="8" w:space="0" w:color="auto"/>
            </w:tcBorders>
            <w:shd w:val="clear" w:color="auto" w:fill="auto"/>
            <w:vAlign w:val="center"/>
          </w:tcPr>
          <w:p w:rsidR="00966D88" w:rsidRPr="00FF3B05" w:rsidP="00FF3B05" w14:paraId="35F4734D" w14:textId="74109842">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w:t>
            </w:r>
            <w:r w:rsidRPr="00FF3B05" w:rsidR="00FF3B05">
              <w:rPr>
                <w:rFonts w:ascii="Times New Roman" w:eastAsia="Times New Roman" w:hAnsi="Times New Roman" w:cs="Times New Roman"/>
                <w:sz w:val="24"/>
                <w:szCs w:val="24"/>
              </w:rPr>
              <w:t>40.51</w:t>
            </w:r>
          </w:p>
        </w:tc>
        <w:tc>
          <w:tcPr>
            <w:tcW w:w="1390" w:type="dxa"/>
            <w:tcBorders>
              <w:top w:val="nil"/>
              <w:left w:val="nil"/>
              <w:bottom w:val="single" w:sz="8" w:space="0" w:color="auto"/>
              <w:right w:val="single" w:sz="8" w:space="0" w:color="auto"/>
            </w:tcBorders>
            <w:shd w:val="clear" w:color="auto" w:fill="auto"/>
            <w:vAlign w:val="center"/>
          </w:tcPr>
          <w:p w:rsidR="00966D88" w:rsidRPr="00FF3B05" w:rsidP="00FF3B05" w14:paraId="7DF82EDB" w14:textId="52C5D6B1">
            <w:pPr>
              <w:spacing w:after="60"/>
              <w:jc w:val="center"/>
              <w:rPr>
                <w:rFonts w:ascii="Times New Roman" w:eastAsia="Times New Roman" w:hAnsi="Times New Roman" w:cs="Times New Roman"/>
                <w:sz w:val="24"/>
                <w:szCs w:val="24"/>
              </w:rPr>
            </w:pPr>
            <w:r w:rsidRPr="00FF3B05">
              <w:rPr>
                <w:rFonts w:ascii="Times New Roman" w:eastAsia="Times New Roman" w:hAnsi="Times New Roman" w:cs="Times New Roman"/>
                <w:sz w:val="24"/>
                <w:szCs w:val="24"/>
              </w:rPr>
              <w:t>$</w:t>
            </w:r>
            <w:r w:rsidRPr="00FF3B05" w:rsidR="00FF3B05">
              <w:rPr>
                <w:rFonts w:ascii="Times New Roman" w:eastAsia="Times New Roman" w:hAnsi="Times New Roman" w:cs="Times New Roman"/>
                <w:sz w:val="24"/>
                <w:szCs w:val="24"/>
              </w:rPr>
              <w:t>50,556.48</w:t>
            </w:r>
          </w:p>
        </w:tc>
      </w:tr>
      <w:tr w14:paraId="7865107A" w14:textId="77777777">
        <w:tblPrEx>
          <w:tblW w:w="10530" w:type="dxa"/>
          <w:tblInd w:w="-600" w:type="dxa"/>
          <w:tblLayout w:type="fixed"/>
          <w:tblLook w:val="04A0"/>
        </w:tblPrEx>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66D88" w14:paraId="39541048" w14:textId="77777777">
            <w:pPr>
              <w:spacing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1530" w:type="dxa"/>
            <w:tcBorders>
              <w:top w:val="single" w:sz="4" w:space="0" w:color="auto"/>
              <w:left w:val="single" w:sz="4" w:space="0" w:color="auto"/>
              <w:bottom w:val="single" w:sz="4" w:space="0" w:color="auto"/>
              <w:right w:val="single" w:sz="4" w:space="0" w:color="auto"/>
            </w:tcBorders>
            <w:shd w:val="clear" w:color="000000" w:fill="C0C0C0"/>
            <w:hideMark/>
          </w:tcPr>
          <w:p w:rsidR="00966D88" w14:paraId="69017C9C" w14:textId="10E370D3">
            <w:pPr>
              <w:spacing w:after="60"/>
              <w:jc w:val="center"/>
              <w:rPr>
                <w:rFonts w:ascii="Times New Roman" w:eastAsia="Times New Roman" w:hAnsi="Times New Roman" w:cs="Times New Roman"/>
                <w:color w:val="000000" w:themeColor="text1"/>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000000" w:fill="C0C0C0"/>
            <w:hideMark/>
          </w:tcPr>
          <w:p w:rsidR="00966D88" w14:paraId="7916606F" w14:textId="77777777">
            <w:pPr>
              <w:spacing w:after="60"/>
              <w:jc w:val="center"/>
              <w:rPr>
                <w:rFonts w:ascii="Times New Roman" w:eastAsia="Times New Roman" w:hAnsi="Times New Roman" w:cs="Times New Roman"/>
                <w:color w:val="000000" w:themeColor="text1"/>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000000" w:fill="C0C0C0"/>
            <w:hideMark/>
          </w:tcPr>
          <w:p w:rsidR="00966D88" w14:paraId="6A7E7483" w14:textId="475F1F6F">
            <w:pPr>
              <w:spacing w:after="60"/>
              <w:jc w:val="center"/>
              <w:rPr>
                <w:rFonts w:ascii="Times New Roman" w:eastAsia="Times New Roman" w:hAnsi="Times New Roman" w:cs="Times New Roman"/>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000000" w:fill="C0C0C0"/>
          </w:tcPr>
          <w:p w:rsidR="00966D88" w14:paraId="1048BEE7" w14:textId="77777777">
            <w:pPr>
              <w:spacing w:after="60"/>
              <w:jc w:val="center"/>
              <w:rPr>
                <w:rFonts w:ascii="Times New Roman" w:eastAsia="Times New Roman" w:hAnsi="Times New Roman" w:cs="Times New Roman"/>
                <w:b/>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000000" w:fill="C0C0C0"/>
          </w:tcPr>
          <w:p w:rsidR="00966D88" w14:paraId="51D05A51" w14:textId="32137984">
            <w:pPr>
              <w:spacing w:after="60"/>
              <w:jc w:val="center"/>
              <w:rPr>
                <w:rFonts w:ascii="Times New Roman" w:eastAsia="Times New Roman" w:hAnsi="Times New Roman" w:cs="Times New Roman"/>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000000" w:fill="C0C0C0"/>
          </w:tcPr>
          <w:p w:rsidR="00966D88" w14:paraId="4125AA52" w14:textId="77777777">
            <w:pPr>
              <w:spacing w:after="60"/>
              <w:jc w:val="center"/>
              <w:rPr>
                <w:rFonts w:ascii="Times New Roman" w:eastAsia="Times New Roman" w:hAnsi="Times New Roman" w:cs="Times New Roman"/>
                <w:b/>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shd w:val="clear" w:color="000000" w:fill="C0C0C0"/>
          </w:tcPr>
          <w:p w:rsidR="00966D88" w:rsidP="00C53DFB" w14:paraId="5D03DDE9" w14:textId="165D6193">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r>
    </w:tbl>
    <w:p w:rsidR="00966D88" w14:paraId="58361A8B" w14:textId="77777777">
      <w:pPr>
        <w:pStyle w:val="Default"/>
        <w:tabs>
          <w:tab w:val="left" w:pos="378"/>
        </w:tabs>
        <w:rPr>
          <w:b/>
          <w:bCs/>
        </w:rPr>
      </w:pPr>
    </w:p>
    <w:p w:rsidR="00966D88" w14:paraId="2EA53B03" w14:textId="77777777">
      <w:pPr>
        <w:ind w:left="360" w:hanging="360"/>
      </w:pPr>
      <w:r w:rsidRPr="00725991">
        <w:rPr>
          <w:rFonts w:ascii="Times New Roman" w:hAnsi="Times New Roman" w:cs="Times New Roman"/>
          <w:b/>
          <w:sz w:val="24"/>
          <w:szCs w:val="24"/>
        </w:rPr>
        <w:t>15.</w:t>
      </w:r>
      <w:r w:rsidRPr="00725991">
        <w:rPr>
          <w:rFonts w:ascii="Times New Roman" w:hAnsi="Times New Roman" w:cs="Times New Roman"/>
          <w:b/>
          <w:sz w:val="24"/>
          <w:szCs w:val="24"/>
        </w:rPr>
        <w:tab/>
        <w:t>Explain the</w:t>
      </w:r>
      <w:r>
        <w:rPr>
          <w:rFonts w:ascii="Times New Roman" w:hAnsi="Times New Roman" w:cs="Times New Roman"/>
          <w:b/>
          <w:sz w:val="24"/>
          <w:szCs w:val="24"/>
        </w:rPr>
        <w:t xml:space="preserve"> reasons for any program changes or adjustments reported in Items 13 or 14 of the OMB Form 83-I.</w:t>
      </w:r>
      <w:r>
        <w:rPr>
          <w:b/>
          <w:bCs/>
        </w:rPr>
        <w:t xml:space="preserve"> </w:t>
      </w:r>
    </w:p>
    <w:p w:rsidR="00966D88" w14:paraId="13D5A6E1" w14:textId="77777777">
      <w:pPr>
        <w:pStyle w:val="Default"/>
        <w:tabs>
          <w:tab w:val="left" w:pos="378"/>
        </w:tabs>
      </w:pPr>
    </w:p>
    <w:p w:rsidR="00E627EB" w:rsidP="001E470D" w14:paraId="542D1C9E" w14:textId="295431D2">
      <w:pPr>
        <w:pStyle w:val="Default"/>
        <w:tabs>
          <w:tab w:val="left" w:pos="378"/>
        </w:tabs>
        <w:spacing w:line="480" w:lineRule="auto"/>
        <w:ind w:firstLine="720"/>
      </w:pPr>
      <w:r w:rsidRPr="00545A17">
        <w:t xml:space="preserve">It should be noted at the outset that tribal gaming operations and their business practices are unique to each gaming Tribe and influenced by many local, state, cultural, and regional factors. Tribal gaming facilities vary in size and complexity and range from small truck stops to world-class casino resorts. The amount of time and resources that gaming tribes expend fulfilling regulatory requirements can vary dramatically and is further complicated by their varying levels of investment in, and adoption of, new technologies and technical expertise. For these reasons, estimates provided by a statistically insignificant group of rotating tribal contacts will necessarily have limited value and it would be improper to claim to be able to extrapolate from this feedback any definitive trends. Nevertheless, the Commission notes that some changes in burden numbers can be attributed to specific factors. The increase in the annual number of responses is due to the fact that, for one information collection, Tribes now submit quarterly reports instead of annual reports. The decrease in annual time burdens may be attributable to the fact that Tribes are increasingly contracting with financial experts to prepare financial reports and conduct audits, and this would also be the reason for the increase in the annual cost burden. </w:t>
      </w:r>
      <w:bookmarkStart w:id="0" w:name="_GoBack"/>
      <w:bookmarkEnd w:id="0"/>
      <w:r w:rsidR="001E470D">
        <w:t xml:space="preserve"> </w:t>
      </w:r>
      <w:r>
        <w:t xml:space="preserve"> </w:t>
      </w:r>
    </w:p>
    <w:p w:rsidR="00966D88" w:rsidRPr="00805537" w:rsidP="00805537" w14:paraId="27CC87FE" w14:textId="77777777">
      <w:pPr>
        <w:pStyle w:val="Default"/>
        <w:tabs>
          <w:tab w:val="left" w:pos="378"/>
        </w:tabs>
        <w:spacing w:line="480" w:lineRule="auto"/>
        <w:jc w:val="center"/>
        <w:rPr>
          <w:b/>
          <w:u w:val="single"/>
        </w:rPr>
      </w:pPr>
      <w:r w:rsidRPr="00E627EB">
        <w:rPr>
          <w:b/>
          <w:u w:val="single"/>
        </w:rPr>
        <w:t>CHANGE</w:t>
      </w:r>
      <w:r>
        <w:rPr>
          <w:b/>
          <w:u w:val="single"/>
        </w:rPr>
        <w:t>S FROM THE PREVIOUS COLLECTION</w:t>
      </w:r>
    </w:p>
    <w:tbl>
      <w:tblPr>
        <w:tblStyle w:val="TableGrid"/>
        <w:tblW w:w="0" w:type="auto"/>
        <w:tblLook w:val="04A0"/>
      </w:tblPr>
      <w:tblGrid>
        <w:gridCol w:w="2605"/>
        <w:gridCol w:w="2250"/>
        <w:gridCol w:w="2430"/>
        <w:gridCol w:w="2065"/>
      </w:tblGrid>
      <w:tr w14:paraId="6581ECD0" w14:textId="77777777" w:rsidTr="00805537">
        <w:tblPrEx>
          <w:tblW w:w="0" w:type="auto"/>
          <w:tblLook w:val="04A0"/>
        </w:tblPrEx>
        <w:tc>
          <w:tcPr>
            <w:tcW w:w="2605" w:type="dxa"/>
          </w:tcPr>
          <w:p w:rsidR="00966D88" w:rsidP="00805537" w14:paraId="6C89D62A" w14:textId="77777777">
            <w:pPr>
              <w:pStyle w:val="Default"/>
              <w:tabs>
                <w:tab w:val="left" w:pos="378"/>
              </w:tabs>
            </w:pPr>
          </w:p>
        </w:tc>
        <w:tc>
          <w:tcPr>
            <w:tcW w:w="2250" w:type="dxa"/>
          </w:tcPr>
          <w:p w:rsidR="00966D88" w:rsidRPr="00805537" w:rsidP="00805537" w14:paraId="7EEA009D" w14:textId="77777777">
            <w:pPr>
              <w:pStyle w:val="Default"/>
              <w:tabs>
                <w:tab w:val="left" w:pos="378"/>
              </w:tabs>
              <w:rPr>
                <w:b/>
              </w:rPr>
            </w:pPr>
            <w:r w:rsidRPr="00805537">
              <w:rPr>
                <w:b/>
              </w:rPr>
              <w:t>Requested in this collection</w:t>
            </w:r>
          </w:p>
        </w:tc>
        <w:tc>
          <w:tcPr>
            <w:tcW w:w="2430" w:type="dxa"/>
          </w:tcPr>
          <w:p w:rsidR="00966D88" w:rsidRPr="00805537" w:rsidP="00805537" w14:paraId="722694DF" w14:textId="77777777">
            <w:pPr>
              <w:pStyle w:val="Default"/>
              <w:tabs>
                <w:tab w:val="left" w:pos="378"/>
              </w:tabs>
              <w:rPr>
                <w:b/>
              </w:rPr>
            </w:pPr>
            <w:r w:rsidRPr="00805537">
              <w:rPr>
                <w:b/>
              </w:rPr>
              <w:t>Previously Approved Collection</w:t>
            </w:r>
          </w:p>
        </w:tc>
        <w:tc>
          <w:tcPr>
            <w:tcW w:w="2065" w:type="dxa"/>
          </w:tcPr>
          <w:p w:rsidR="00966D88" w:rsidRPr="00805537" w:rsidP="00805537" w14:paraId="4D2A295F" w14:textId="77777777">
            <w:pPr>
              <w:pStyle w:val="Default"/>
              <w:tabs>
                <w:tab w:val="left" w:pos="378"/>
              </w:tabs>
              <w:rPr>
                <w:b/>
              </w:rPr>
            </w:pPr>
            <w:r w:rsidRPr="00805537">
              <w:rPr>
                <w:b/>
              </w:rPr>
              <w:t>Net Change</w:t>
            </w:r>
          </w:p>
        </w:tc>
      </w:tr>
      <w:tr w14:paraId="1EF50B7A" w14:textId="77777777" w:rsidTr="00805537">
        <w:tblPrEx>
          <w:tblW w:w="0" w:type="auto"/>
          <w:tblLook w:val="04A0"/>
        </w:tblPrEx>
        <w:tc>
          <w:tcPr>
            <w:tcW w:w="2605" w:type="dxa"/>
          </w:tcPr>
          <w:p w:rsidR="00966D88" w:rsidP="00805537" w14:paraId="4466D675" w14:textId="77777777">
            <w:pPr>
              <w:pStyle w:val="Default"/>
              <w:tabs>
                <w:tab w:val="left" w:pos="378"/>
              </w:tabs>
            </w:pPr>
            <w:r>
              <w:t># of Responses</w:t>
            </w:r>
          </w:p>
        </w:tc>
        <w:tc>
          <w:tcPr>
            <w:tcW w:w="2250" w:type="dxa"/>
          </w:tcPr>
          <w:p w:rsidR="00966D88" w:rsidP="00805537" w14:paraId="383E19C0" w14:textId="0265D42D">
            <w:pPr>
              <w:pStyle w:val="Default"/>
              <w:tabs>
                <w:tab w:val="left" w:pos="378"/>
              </w:tabs>
            </w:pPr>
            <w:r>
              <w:t>1,440</w:t>
            </w:r>
          </w:p>
        </w:tc>
        <w:tc>
          <w:tcPr>
            <w:tcW w:w="2430" w:type="dxa"/>
          </w:tcPr>
          <w:p w:rsidR="00966D88" w:rsidP="00805537" w14:paraId="416EAD06" w14:textId="7A2F7D9F">
            <w:pPr>
              <w:pStyle w:val="Default"/>
              <w:tabs>
                <w:tab w:val="left" w:pos="378"/>
              </w:tabs>
            </w:pPr>
            <w:r>
              <w:t>723</w:t>
            </w:r>
          </w:p>
        </w:tc>
        <w:tc>
          <w:tcPr>
            <w:tcW w:w="2065" w:type="dxa"/>
          </w:tcPr>
          <w:p w:rsidR="00966D88" w:rsidP="00BC4EFA" w14:paraId="4DF08397" w14:textId="560B14EB">
            <w:pPr>
              <w:pStyle w:val="Default"/>
              <w:tabs>
                <w:tab w:val="left" w:pos="378"/>
              </w:tabs>
            </w:pPr>
            <w:r>
              <w:t>+717</w:t>
            </w:r>
          </w:p>
        </w:tc>
      </w:tr>
      <w:tr w14:paraId="3F133D6E" w14:textId="77777777" w:rsidTr="00805537">
        <w:tblPrEx>
          <w:tblW w:w="0" w:type="auto"/>
          <w:tblLook w:val="04A0"/>
        </w:tblPrEx>
        <w:tc>
          <w:tcPr>
            <w:tcW w:w="2605" w:type="dxa"/>
          </w:tcPr>
          <w:p w:rsidR="00966D88" w:rsidP="00805537" w14:paraId="39C61612" w14:textId="77777777">
            <w:pPr>
              <w:pStyle w:val="Default"/>
              <w:tabs>
                <w:tab w:val="left" w:pos="378"/>
              </w:tabs>
            </w:pPr>
            <w:r>
              <w:t>Annual Burden Hours</w:t>
            </w:r>
          </w:p>
        </w:tc>
        <w:tc>
          <w:tcPr>
            <w:tcW w:w="2250" w:type="dxa"/>
          </w:tcPr>
          <w:p w:rsidR="00966D88" w:rsidP="00BC4EFA" w14:paraId="7F4986B4" w14:textId="07A5CFB1">
            <w:pPr>
              <w:pStyle w:val="Default"/>
              <w:tabs>
                <w:tab w:val="left" w:pos="378"/>
              </w:tabs>
            </w:pPr>
            <w:r>
              <w:rPr>
                <w:rFonts w:eastAsia="Times New Roman"/>
                <w:color w:val="000000" w:themeColor="text1"/>
              </w:rPr>
              <w:t>12</w:t>
            </w:r>
            <w:r w:rsidR="00BC4EFA">
              <w:rPr>
                <w:rFonts w:eastAsia="Times New Roman"/>
                <w:color w:val="000000" w:themeColor="text1"/>
              </w:rPr>
              <w:t>6,720</w:t>
            </w:r>
          </w:p>
        </w:tc>
        <w:tc>
          <w:tcPr>
            <w:tcW w:w="2430" w:type="dxa"/>
          </w:tcPr>
          <w:p w:rsidR="00966D88" w:rsidP="00805537" w14:paraId="42C1A33F" w14:textId="5E038E45">
            <w:pPr>
              <w:pStyle w:val="Default"/>
              <w:tabs>
                <w:tab w:val="left" w:pos="378"/>
              </w:tabs>
            </w:pPr>
            <w:r>
              <w:rPr>
                <w:rFonts w:eastAsia="Times New Roman"/>
                <w:color w:val="000000" w:themeColor="text1"/>
              </w:rPr>
              <w:t>127,489</w:t>
            </w:r>
          </w:p>
        </w:tc>
        <w:tc>
          <w:tcPr>
            <w:tcW w:w="2065" w:type="dxa"/>
          </w:tcPr>
          <w:p w:rsidR="00966D88" w:rsidP="00805537" w14:paraId="19A08B78" w14:textId="16C1BF03">
            <w:pPr>
              <w:pStyle w:val="Default"/>
              <w:tabs>
                <w:tab w:val="left" w:pos="378"/>
              </w:tabs>
            </w:pPr>
            <w:r>
              <w:t>-769</w:t>
            </w:r>
          </w:p>
        </w:tc>
      </w:tr>
      <w:tr w14:paraId="3412677E" w14:textId="77777777" w:rsidTr="00805537">
        <w:tblPrEx>
          <w:tblW w:w="0" w:type="auto"/>
          <w:tblLook w:val="04A0"/>
        </w:tblPrEx>
        <w:tc>
          <w:tcPr>
            <w:tcW w:w="2605" w:type="dxa"/>
          </w:tcPr>
          <w:p w:rsidR="00966D88" w:rsidP="00805537" w14:paraId="60287FB3" w14:textId="77777777">
            <w:pPr>
              <w:pStyle w:val="Default"/>
              <w:tabs>
                <w:tab w:val="left" w:pos="378"/>
              </w:tabs>
            </w:pPr>
            <w:r>
              <w:t>Burden Hour Wage Cost</w:t>
            </w:r>
          </w:p>
        </w:tc>
        <w:tc>
          <w:tcPr>
            <w:tcW w:w="2250" w:type="dxa"/>
          </w:tcPr>
          <w:p w:rsidR="00966D88" w:rsidP="00805537" w14:paraId="0CB7CE99" w14:textId="19C1A176">
            <w:pPr>
              <w:pStyle w:val="Default"/>
              <w:tabs>
                <w:tab w:val="left" w:pos="378"/>
              </w:tabs>
            </w:pPr>
            <w:r>
              <w:rPr>
                <w:rFonts w:eastAsia="Times New Roman"/>
                <w:color w:val="000000" w:themeColor="text1"/>
              </w:rPr>
              <w:t>$3,849,360</w:t>
            </w:r>
          </w:p>
        </w:tc>
        <w:tc>
          <w:tcPr>
            <w:tcW w:w="2430" w:type="dxa"/>
          </w:tcPr>
          <w:p w:rsidR="00966D88" w:rsidP="00805537" w14:paraId="027D6B86" w14:textId="65096E54">
            <w:pPr>
              <w:pStyle w:val="Default"/>
              <w:tabs>
                <w:tab w:val="left" w:pos="378"/>
              </w:tabs>
            </w:pPr>
            <w:r>
              <w:rPr>
                <w:rFonts w:eastAsia="Times New Roman"/>
                <w:color w:val="000000" w:themeColor="text1"/>
              </w:rPr>
              <w:t>$3,515,043</w:t>
            </w:r>
          </w:p>
        </w:tc>
        <w:tc>
          <w:tcPr>
            <w:tcW w:w="2065" w:type="dxa"/>
          </w:tcPr>
          <w:p w:rsidR="00966D88" w:rsidP="00E627EB" w14:paraId="2092A00A" w14:textId="13FF6933">
            <w:pPr>
              <w:pStyle w:val="Default"/>
              <w:tabs>
                <w:tab w:val="left" w:pos="378"/>
              </w:tabs>
            </w:pPr>
            <w:r>
              <w:rPr>
                <w:rFonts w:eastAsia="Times New Roman"/>
                <w:color w:val="000000" w:themeColor="text1"/>
              </w:rPr>
              <w:t>+</w:t>
            </w:r>
            <w:r w:rsidR="00805537">
              <w:rPr>
                <w:rFonts w:eastAsia="Times New Roman"/>
                <w:color w:val="000000" w:themeColor="text1"/>
              </w:rPr>
              <w:t>$</w:t>
            </w:r>
            <w:r>
              <w:rPr>
                <w:rFonts w:eastAsia="Times New Roman"/>
                <w:color w:val="000000" w:themeColor="text1"/>
              </w:rPr>
              <w:t>334,317</w:t>
            </w:r>
          </w:p>
        </w:tc>
      </w:tr>
      <w:tr w14:paraId="7FEFB2A1" w14:textId="77777777" w:rsidTr="00805537">
        <w:tblPrEx>
          <w:tblW w:w="0" w:type="auto"/>
          <w:tblLook w:val="04A0"/>
        </w:tblPrEx>
        <w:tc>
          <w:tcPr>
            <w:tcW w:w="2605" w:type="dxa"/>
          </w:tcPr>
          <w:p w:rsidR="00966D88" w:rsidP="00753A4D" w14:paraId="41191EAC" w14:textId="6BFAD6CD">
            <w:pPr>
              <w:pStyle w:val="Default"/>
              <w:tabs>
                <w:tab w:val="left" w:pos="378"/>
              </w:tabs>
            </w:pPr>
            <w:r>
              <w:t xml:space="preserve">Non-Wage Cost </w:t>
            </w:r>
          </w:p>
        </w:tc>
        <w:tc>
          <w:tcPr>
            <w:tcW w:w="2250" w:type="dxa"/>
          </w:tcPr>
          <w:p w:rsidR="00966D88" w14:paraId="7BBA746A" w14:textId="19292810">
            <w:pPr>
              <w:pStyle w:val="Default"/>
              <w:tabs>
                <w:tab w:val="left" w:pos="378"/>
              </w:tabs>
            </w:pPr>
            <w:r>
              <w:rPr>
                <w:rFonts w:eastAsia="Times New Roman"/>
              </w:rPr>
              <w:t>$38,376,960</w:t>
            </w:r>
          </w:p>
        </w:tc>
        <w:tc>
          <w:tcPr>
            <w:tcW w:w="2430" w:type="dxa"/>
          </w:tcPr>
          <w:p w:rsidR="00966D88" w14:paraId="3B10EEBC" w14:textId="771C47E6">
            <w:pPr>
              <w:pStyle w:val="Default"/>
              <w:tabs>
                <w:tab w:val="left" w:pos="378"/>
              </w:tabs>
            </w:pPr>
            <w:r>
              <w:t>$34,349,884</w:t>
            </w:r>
          </w:p>
        </w:tc>
        <w:tc>
          <w:tcPr>
            <w:tcW w:w="2065" w:type="dxa"/>
          </w:tcPr>
          <w:p w:rsidR="00966D88" w14:paraId="13A36F40" w14:textId="20125F2D">
            <w:pPr>
              <w:pStyle w:val="Default"/>
              <w:tabs>
                <w:tab w:val="left" w:pos="378"/>
              </w:tabs>
            </w:pPr>
            <w:r>
              <w:t>+4,027,076</w:t>
            </w:r>
          </w:p>
        </w:tc>
      </w:tr>
    </w:tbl>
    <w:p w:rsidR="00805537" w14:paraId="29A4B629" w14:textId="77777777">
      <w:pPr>
        <w:rPr>
          <w:rFonts w:ascii="Times New Roman" w:hAnsi="Times New Roman" w:cs="Times New Roman"/>
          <w:b/>
          <w:sz w:val="24"/>
          <w:szCs w:val="24"/>
        </w:rPr>
      </w:pPr>
    </w:p>
    <w:p w:rsidR="00966D88" w14:paraId="2EED1D7C" w14:textId="77777777">
      <w:pPr>
        <w:rPr>
          <w:b/>
        </w:rPr>
      </w:pPr>
      <w:r>
        <w:rPr>
          <w:rFonts w:ascii="Times New Roman" w:hAnsi="Times New Roman" w:cs="Times New Roman"/>
          <w:b/>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66D88" w14:paraId="5990E8AD" w14:textId="77777777">
      <w:pPr>
        <w:pStyle w:val="Default"/>
        <w:tabs>
          <w:tab w:val="left" w:pos="378"/>
        </w:tabs>
      </w:pPr>
    </w:p>
    <w:p w:rsidR="00966D88" w14:paraId="273B0B64" w14:textId="77777777">
      <w:pPr>
        <w:pStyle w:val="Default"/>
        <w:tabs>
          <w:tab w:val="left" w:pos="378"/>
        </w:tabs>
        <w:spacing w:line="480" w:lineRule="auto"/>
      </w:pPr>
      <w:r>
        <w:tab/>
      </w:r>
      <w:r>
        <w:tab/>
        <w:t xml:space="preserve">These are ongoing information collections with no ending date and no plans for publication. </w:t>
      </w:r>
    </w:p>
    <w:p w:rsidR="00966D88" w14:paraId="1F30CD4D" w14:textId="77777777">
      <w:pPr>
        <w:ind w:left="360" w:hanging="360"/>
      </w:pPr>
      <w:r>
        <w:rPr>
          <w:rFonts w:ascii="Times New Roman" w:hAnsi="Times New Roman" w:cs="Times New Roman"/>
          <w:b/>
          <w:sz w:val="24"/>
          <w:szCs w:val="24"/>
        </w:rPr>
        <w:t>17.</w:t>
      </w:r>
      <w:r>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r>
        <w:rPr>
          <w:b/>
          <w:bCs/>
        </w:rPr>
        <w:t xml:space="preserve"> </w:t>
      </w:r>
    </w:p>
    <w:p w:rsidR="00966D88" w14:paraId="2E40D1E0" w14:textId="77777777">
      <w:pPr>
        <w:pStyle w:val="Default"/>
        <w:tabs>
          <w:tab w:val="left" w:pos="378"/>
        </w:tabs>
      </w:pPr>
    </w:p>
    <w:p w:rsidR="00966D88" w14:paraId="07C03C1F" w14:textId="77777777">
      <w:pPr>
        <w:pStyle w:val="Default"/>
        <w:tabs>
          <w:tab w:val="left" w:pos="378"/>
        </w:tabs>
      </w:pPr>
      <w:r>
        <w:tab/>
      </w:r>
      <w:r>
        <w:tab/>
        <w:t xml:space="preserve">Not applicable. </w:t>
      </w:r>
    </w:p>
    <w:p w:rsidR="00966D88" w14:paraId="74CF1826" w14:textId="77777777">
      <w:pPr>
        <w:pStyle w:val="Default"/>
        <w:tabs>
          <w:tab w:val="left" w:pos="378"/>
        </w:tabs>
        <w:rPr>
          <w:b/>
          <w:bCs/>
        </w:rPr>
      </w:pPr>
    </w:p>
    <w:p w:rsidR="00966D88" w14:paraId="47DE4E0F" w14:textId="77777777">
      <w:pPr>
        <w:ind w:left="360" w:hanging="360"/>
      </w:pPr>
      <w:r>
        <w:rPr>
          <w:rFonts w:ascii="Times New Roman" w:hAnsi="Times New Roman" w:cs="Times New Roman"/>
          <w:b/>
          <w:sz w:val="24"/>
          <w:szCs w:val="24"/>
        </w:rPr>
        <w:t>18.</w:t>
      </w:r>
      <w:r>
        <w:rPr>
          <w:rFonts w:ascii="Times New Roman" w:hAnsi="Times New Roman" w:cs="Times New Roman"/>
          <w:b/>
          <w:sz w:val="24"/>
          <w:szCs w:val="24"/>
        </w:rPr>
        <w:tab/>
        <w:t>Explain each exception to the certification statement identified in Item 19, “Certification for Paperwork Reduction Act Submissions,” of OMB Form 83-I.</w:t>
      </w:r>
      <w:r>
        <w:rPr>
          <w:b/>
          <w:bCs/>
        </w:rPr>
        <w:t xml:space="preserve"> </w:t>
      </w:r>
    </w:p>
    <w:p w:rsidR="00966D88" w14:paraId="366570CA" w14:textId="77777777">
      <w:pPr>
        <w:pStyle w:val="Default"/>
        <w:tabs>
          <w:tab w:val="left" w:pos="378"/>
        </w:tabs>
      </w:pPr>
    </w:p>
    <w:p w:rsidR="00966D88" w14:paraId="6CA4B8F7" w14:textId="77777777">
      <w:pPr>
        <w:pStyle w:val="Default"/>
        <w:tabs>
          <w:tab w:val="left" w:pos="378"/>
        </w:tabs>
      </w:pPr>
      <w:r>
        <w:tab/>
      </w:r>
      <w:r>
        <w:tab/>
        <w:t xml:space="preserve">Not applicable. The NIGC certifies compliance with 5 CFR § 1320.9. </w:t>
      </w:r>
    </w:p>
    <w:p w:rsidR="00966D88" w14:paraId="0658D5CB" w14:textId="77777777">
      <w:pPr>
        <w:pStyle w:val="Default"/>
        <w:tabs>
          <w:tab w:val="left" w:pos="378"/>
        </w:tabs>
        <w:rPr>
          <w:b/>
          <w:bCs/>
        </w:rPr>
      </w:pPr>
    </w:p>
    <w:p w:rsidR="00966D88" w14:paraId="190E7C2E" w14:textId="77777777">
      <w:pPr>
        <w:ind w:left="360" w:hanging="360"/>
      </w:pPr>
      <w:r>
        <w:rPr>
          <w:rFonts w:ascii="Times New Roman" w:hAnsi="Times New Roman" w:cs="Times New Roman"/>
          <w:b/>
          <w:sz w:val="24"/>
          <w:szCs w:val="24"/>
        </w:rPr>
        <w:t>B.</w:t>
      </w:r>
      <w:r>
        <w:rPr>
          <w:rFonts w:ascii="Times New Roman" w:hAnsi="Times New Roman" w:cs="Times New Roman"/>
          <w:b/>
          <w:sz w:val="24"/>
          <w:szCs w:val="24"/>
        </w:rPr>
        <w:tab/>
        <w:t>COLLECTIONS OF INFORMATION EMPLOYING STATISTICAL METHODS</w:t>
      </w:r>
      <w:r>
        <w:rPr>
          <w:b/>
          <w:bCs/>
        </w:rPr>
        <w:t xml:space="preserve"> </w:t>
      </w:r>
    </w:p>
    <w:p w:rsidR="00966D88" w14:paraId="5BBEA35C" w14:textId="77777777">
      <w:pPr>
        <w:pStyle w:val="Default"/>
        <w:tabs>
          <w:tab w:val="left" w:pos="378"/>
        </w:tabs>
        <w:ind w:left="720" w:hanging="360"/>
      </w:pPr>
    </w:p>
    <w:p w:rsidR="00966D88" w14:paraId="3B8DF888" w14:textId="77777777">
      <w:pPr>
        <w:pStyle w:val="Default"/>
        <w:tabs>
          <w:tab w:val="left" w:pos="378"/>
        </w:tabs>
      </w:pPr>
      <w:r>
        <w:tab/>
      </w:r>
      <w:r>
        <w:tab/>
        <w:t>This section is not applicable. Statistical methods are not being employed.</w:t>
      </w:r>
    </w:p>
    <w:p w:rsidR="00966D88" w14:paraId="508459C3" w14:textId="77777777">
      <w:pPr>
        <w:pStyle w:val="Default"/>
        <w:tabs>
          <w:tab w:val="left" w:pos="378"/>
        </w:tabs>
      </w:pPr>
    </w:p>
    <w:p w:rsidR="00966D88" w14:paraId="00747E50" w14:textId="77777777">
      <w:pPr>
        <w:pStyle w:val="Default"/>
        <w:tabs>
          <w:tab w:val="left" w:pos="378"/>
        </w:tabs>
        <w:spacing w:line="480" w:lineRule="auto"/>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6D88" w14:paraId="09C383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6D88" w14:paraId="35F3BD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6D88" w14:paraId="1759CC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6D88" w14:paraId="290E56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6D88" w14:paraId="6AA1FB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6D88" w14:paraId="6C78F7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D5A4D"/>
    <w:multiLevelType w:val="hybridMultilevel"/>
    <w:tmpl w:val="8CEC9EB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7801DD"/>
    <w:multiLevelType w:val="hybridMultilevel"/>
    <w:tmpl w:val="8CEC9EB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987D5C"/>
    <w:multiLevelType w:val="hybridMultilevel"/>
    <w:tmpl w:val="FEB06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166373"/>
    <w:multiLevelType w:val="hybridMultilevel"/>
    <w:tmpl w:val="FE081C70"/>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4">
    <w:nsid w:val="5DB230D2"/>
    <w:multiLevelType w:val="hybridMultilevel"/>
    <w:tmpl w:val="3A0A1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544667"/>
    <w:multiLevelType w:val="hybridMultilevel"/>
    <w:tmpl w:val="39A00A0E"/>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584C00"/>
    <w:multiLevelType w:val="hybridMultilevel"/>
    <w:tmpl w:val="D3CA9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7A6487"/>
    <w:multiLevelType w:val="hybridMultilevel"/>
    <w:tmpl w:val="A606A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88"/>
    <w:rsid w:val="000D055D"/>
    <w:rsid w:val="00106F88"/>
    <w:rsid w:val="00162D1E"/>
    <w:rsid w:val="001E470D"/>
    <w:rsid w:val="001E4D95"/>
    <w:rsid w:val="001F2DB3"/>
    <w:rsid w:val="001F46BB"/>
    <w:rsid w:val="0025361B"/>
    <w:rsid w:val="0027686A"/>
    <w:rsid w:val="0036290B"/>
    <w:rsid w:val="00370FA7"/>
    <w:rsid w:val="0038315E"/>
    <w:rsid w:val="003A2540"/>
    <w:rsid w:val="00445CA2"/>
    <w:rsid w:val="00491591"/>
    <w:rsid w:val="004B686F"/>
    <w:rsid w:val="004C5CA0"/>
    <w:rsid w:val="00524AD0"/>
    <w:rsid w:val="00545A17"/>
    <w:rsid w:val="00576293"/>
    <w:rsid w:val="0065112E"/>
    <w:rsid w:val="00653EE2"/>
    <w:rsid w:val="00691994"/>
    <w:rsid w:val="006B21C6"/>
    <w:rsid w:val="00710C8A"/>
    <w:rsid w:val="00725991"/>
    <w:rsid w:val="00753A4D"/>
    <w:rsid w:val="00805537"/>
    <w:rsid w:val="00813694"/>
    <w:rsid w:val="008325FC"/>
    <w:rsid w:val="00854386"/>
    <w:rsid w:val="008B3660"/>
    <w:rsid w:val="00917BAF"/>
    <w:rsid w:val="009518B3"/>
    <w:rsid w:val="00966D88"/>
    <w:rsid w:val="009D013A"/>
    <w:rsid w:val="00A747A0"/>
    <w:rsid w:val="00A95CDC"/>
    <w:rsid w:val="00B57039"/>
    <w:rsid w:val="00B83208"/>
    <w:rsid w:val="00BA3C02"/>
    <w:rsid w:val="00BB4B27"/>
    <w:rsid w:val="00BC4EFA"/>
    <w:rsid w:val="00C53DFB"/>
    <w:rsid w:val="00C57C7E"/>
    <w:rsid w:val="00CC7117"/>
    <w:rsid w:val="00CD3853"/>
    <w:rsid w:val="00CE647E"/>
    <w:rsid w:val="00D507B2"/>
    <w:rsid w:val="00DB5CA4"/>
    <w:rsid w:val="00DC357A"/>
    <w:rsid w:val="00DD18AC"/>
    <w:rsid w:val="00DE3022"/>
    <w:rsid w:val="00DE4B40"/>
    <w:rsid w:val="00E051E5"/>
    <w:rsid w:val="00E627EB"/>
    <w:rsid w:val="00EC0C16"/>
    <w:rsid w:val="00F20F75"/>
    <w:rsid w:val="00F31F74"/>
    <w:rsid w:val="00F45E75"/>
    <w:rsid w:val="00F913CF"/>
    <w:rsid w:val="00FF3B0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381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spacing w:after="200" w:line="276" w:lineRule="auto"/>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32F5-103B-4354-A021-94339C52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2020-05-12T13:28:00Z</dcterms:created>
  <dcterms:modified xsi:type="dcterms:W3CDTF">2023-06-06T21:25:00Z</dcterms:modified>
</cp:coreProperties>
</file>